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666DF4" w:rsidRDefault="00A47CF6" w:rsidP="00D54D50">
      <w:pPr>
        <w:pStyle w:val="Title"/>
      </w:pPr>
      <w:r w:rsidRPr="00666DF4">
        <w:t>Office of the Director of Mental Health Annual Report</w:t>
      </w:r>
    </w:p>
    <w:p w:rsidR="00455CC9" w:rsidRPr="00666DF4" w:rsidRDefault="00A47CF6" w:rsidP="00455CC9">
      <w:pPr>
        <w:pStyle w:val="Year"/>
      </w:pPr>
      <w:r w:rsidRPr="00666DF4">
        <w:t>2016</w:t>
      </w:r>
    </w:p>
    <w:p w:rsidR="00C86248" w:rsidRPr="00666DF4" w:rsidRDefault="00C86248" w:rsidP="00343365">
      <w:pPr>
        <w:pStyle w:val="Subhead"/>
      </w:pPr>
    </w:p>
    <w:p w:rsidR="00142954" w:rsidRPr="00666DF4" w:rsidRDefault="00142954" w:rsidP="00142954">
      <w:pPr>
        <w:sectPr w:rsidR="00142954" w:rsidRPr="00666DF4" w:rsidSect="000F2AE2">
          <w:headerReference w:type="default" r:id="rId8"/>
          <w:footerReference w:type="default" r:id="rId9"/>
          <w:pgSz w:w="11907" w:h="16834" w:code="9"/>
          <w:pgMar w:top="3969" w:right="851" w:bottom="851" w:left="2552" w:header="851" w:footer="851" w:gutter="0"/>
          <w:cols w:space="720"/>
        </w:sectPr>
      </w:pPr>
    </w:p>
    <w:p w:rsidR="001A3F09" w:rsidRPr="00666DF4" w:rsidRDefault="001A3F09" w:rsidP="00CE1686">
      <w:pPr>
        <w:pStyle w:val="Heading3"/>
        <w:spacing w:before="0"/>
        <w:rPr>
          <w:bCs/>
        </w:rPr>
      </w:pPr>
      <w:r w:rsidRPr="00666DF4">
        <w:lastRenderedPageBreak/>
        <w:t>Disclaimer</w:t>
      </w:r>
    </w:p>
    <w:p w:rsidR="001A3F09" w:rsidRPr="00185F9B" w:rsidRDefault="001A3F09" w:rsidP="00185F9B">
      <w:pPr>
        <w:spacing w:before="120"/>
        <w:rPr>
          <w:sz w:val="21"/>
          <w:szCs w:val="21"/>
        </w:rPr>
      </w:pPr>
      <w:r w:rsidRPr="00185F9B">
        <w:rPr>
          <w:sz w:val="21"/>
          <w:szCs w:val="21"/>
        </w:rPr>
        <w:t>The purpose of this publication is to inform discussion about mental health services and outcomes in New Zealand, and to assist in policy development.</w:t>
      </w:r>
    </w:p>
    <w:p w:rsidR="001A3F09" w:rsidRPr="00185F9B" w:rsidRDefault="001A3F09" w:rsidP="00185F9B">
      <w:pPr>
        <w:spacing w:before="120"/>
        <w:rPr>
          <w:sz w:val="21"/>
          <w:szCs w:val="21"/>
        </w:rPr>
      </w:pPr>
      <w:r w:rsidRPr="00185F9B">
        <w:rPr>
          <w:sz w:val="21"/>
          <w:szCs w:val="21"/>
        </w:rPr>
        <w:t>This publication reports information provided to the Programme for the Integration of Mental Health Data (PRIMHD) (see Appendix 1) by district health boards (DHBs) and non-governmental organisations (NGOs). It is important to note that, because PRIMHD is a dynamic collection, it was necessary to</w:t>
      </w:r>
      <w:r w:rsidR="00CE1686" w:rsidRPr="00185F9B">
        <w:rPr>
          <w:sz w:val="21"/>
          <w:szCs w:val="21"/>
        </w:rPr>
        <w:t xml:space="preserve"> </w:t>
      </w:r>
      <w:r w:rsidRPr="00185F9B">
        <w:rPr>
          <w:sz w:val="21"/>
          <w:szCs w:val="21"/>
        </w:rPr>
        <w:t>wait a certain period before publishing a record of the information in it, so that it is less likely that the information will need to be amended after publication.</w:t>
      </w:r>
    </w:p>
    <w:p w:rsidR="001A3F09" w:rsidRPr="00185F9B" w:rsidRDefault="001A3F09" w:rsidP="00185F9B">
      <w:pPr>
        <w:spacing w:before="120"/>
        <w:rPr>
          <w:sz w:val="21"/>
          <w:szCs w:val="21"/>
        </w:rPr>
      </w:pPr>
      <w:r w:rsidRPr="00185F9B">
        <w:rPr>
          <w:sz w:val="21"/>
          <w:szCs w:val="21"/>
        </w:rPr>
        <w:t>Although every care has been taken in preparing this document, the Ministry of Health cannot accept legal liability for any errors, omissions or damages resulting from reliance on the information it contains.</w:t>
      </w:r>
    </w:p>
    <w:p w:rsidR="001A3F09" w:rsidRPr="00666DF4" w:rsidRDefault="001A3F09" w:rsidP="00185F9B">
      <w:pPr>
        <w:rPr>
          <w:rFonts w:eastAsia="Century"/>
        </w:rPr>
      </w:pPr>
    </w:p>
    <w:p w:rsidR="001A3F09" w:rsidRPr="00666DF4" w:rsidRDefault="001A3F09" w:rsidP="00CE1686">
      <w:pPr>
        <w:pStyle w:val="Heading3"/>
        <w:rPr>
          <w:bCs/>
        </w:rPr>
      </w:pPr>
      <w:r w:rsidRPr="00666DF4">
        <w:t>A note on the cover</w:t>
      </w:r>
    </w:p>
    <w:p w:rsidR="001A3F09" w:rsidRPr="00185F9B" w:rsidRDefault="00BF25EC" w:rsidP="00185F9B">
      <w:pPr>
        <w:spacing w:before="120"/>
        <w:rPr>
          <w:b/>
          <w:bCs/>
          <w:sz w:val="21"/>
          <w:szCs w:val="21"/>
        </w:rPr>
      </w:pPr>
      <w:r w:rsidRPr="00185F9B">
        <w:rPr>
          <w:sz w:val="21"/>
          <w:szCs w:val="21"/>
        </w:rPr>
        <w:t>‘</w:t>
      </w:r>
      <w:r w:rsidR="001A3F09" w:rsidRPr="00185F9B">
        <w:rPr>
          <w:sz w:val="21"/>
          <w:szCs w:val="21"/>
        </w:rPr>
        <w:t>Resonance</w:t>
      </w:r>
      <w:r w:rsidRPr="00185F9B">
        <w:rPr>
          <w:sz w:val="21"/>
          <w:szCs w:val="21"/>
        </w:rPr>
        <w:t>’</w:t>
      </w:r>
      <w:r w:rsidR="001A3F09" w:rsidRPr="00185F9B">
        <w:rPr>
          <w:sz w:val="21"/>
          <w:szCs w:val="21"/>
        </w:rPr>
        <w:t xml:space="preserve"> by Levi Coop</w:t>
      </w:r>
    </w:p>
    <w:p w:rsidR="001A3F09" w:rsidRPr="00185F9B" w:rsidRDefault="001A3F09" w:rsidP="00185F9B">
      <w:pPr>
        <w:spacing w:before="120"/>
        <w:rPr>
          <w:sz w:val="21"/>
          <w:szCs w:val="21"/>
        </w:rPr>
      </w:pPr>
      <w:r w:rsidRPr="00185F9B">
        <w:rPr>
          <w:sz w:val="21"/>
          <w:szCs w:val="21"/>
        </w:rPr>
        <w:t xml:space="preserve">Although Levi Coop holds a degree in art history, he says art-making rarely comes easily to him. This, however, does not stop him! Usually dance and music inform his work, abstraction is a new venture. He finds </w:t>
      </w:r>
      <w:proofErr w:type="spellStart"/>
      <w:r w:rsidRPr="00185F9B">
        <w:rPr>
          <w:sz w:val="21"/>
          <w:szCs w:val="21"/>
        </w:rPr>
        <w:t>Vincents</w:t>
      </w:r>
      <w:proofErr w:type="spellEnd"/>
      <w:r w:rsidRPr="00185F9B">
        <w:rPr>
          <w:sz w:val="21"/>
          <w:szCs w:val="21"/>
        </w:rPr>
        <w:t xml:space="preserve"> a treasure and cannot speak highly enough of the staff. Levi</w:t>
      </w:r>
      <w:r w:rsidR="00BF25EC" w:rsidRPr="00185F9B">
        <w:rPr>
          <w:sz w:val="21"/>
          <w:szCs w:val="21"/>
        </w:rPr>
        <w:t>’</w:t>
      </w:r>
      <w:r w:rsidRPr="00185F9B">
        <w:rPr>
          <w:sz w:val="21"/>
          <w:szCs w:val="21"/>
        </w:rPr>
        <w:t xml:space="preserve">s work </w:t>
      </w:r>
      <w:r w:rsidR="00BF25EC" w:rsidRPr="00185F9B">
        <w:rPr>
          <w:sz w:val="21"/>
          <w:szCs w:val="21"/>
        </w:rPr>
        <w:t>‘</w:t>
      </w:r>
      <w:r w:rsidRPr="00185F9B">
        <w:rPr>
          <w:sz w:val="21"/>
          <w:szCs w:val="21"/>
        </w:rPr>
        <w:t>Resonance</w:t>
      </w:r>
      <w:r w:rsidR="00BF25EC" w:rsidRPr="00185F9B">
        <w:rPr>
          <w:sz w:val="21"/>
          <w:szCs w:val="21"/>
        </w:rPr>
        <w:t>’</w:t>
      </w:r>
      <w:r w:rsidRPr="00185F9B">
        <w:rPr>
          <w:sz w:val="21"/>
          <w:szCs w:val="21"/>
        </w:rPr>
        <w:t xml:space="preserve"> is acrylics and oil pastel on canvas.</w:t>
      </w:r>
    </w:p>
    <w:p w:rsidR="001A3F09" w:rsidRPr="00185F9B" w:rsidRDefault="001A3F09" w:rsidP="00185F9B">
      <w:pPr>
        <w:spacing w:before="120"/>
        <w:rPr>
          <w:sz w:val="21"/>
          <w:szCs w:val="21"/>
        </w:rPr>
      </w:pPr>
      <w:proofErr w:type="spellStart"/>
      <w:r w:rsidRPr="00185F9B">
        <w:rPr>
          <w:sz w:val="21"/>
          <w:szCs w:val="21"/>
        </w:rPr>
        <w:t>Vincents</w:t>
      </w:r>
      <w:proofErr w:type="spellEnd"/>
      <w:r w:rsidRPr="00185F9B">
        <w:rPr>
          <w:sz w:val="21"/>
          <w:szCs w:val="21"/>
        </w:rPr>
        <w:t xml:space="preserve"> Art Workshop is a community art space in Wellington established in 1985. A number of people who attend have had experience of mental health services or have a disability, and all people are welcome. </w:t>
      </w:r>
      <w:proofErr w:type="spellStart"/>
      <w:r w:rsidRPr="00185F9B">
        <w:rPr>
          <w:sz w:val="21"/>
          <w:szCs w:val="21"/>
        </w:rPr>
        <w:t>Vincents</w:t>
      </w:r>
      <w:proofErr w:type="spellEnd"/>
      <w:r w:rsidRPr="00185F9B">
        <w:rPr>
          <w:sz w:val="21"/>
          <w:szCs w:val="21"/>
        </w:rPr>
        <w:t xml:space="preserve"> Art Workshop models the philosophy of inclusion and celebrates the development of creative potential and growth.</w:t>
      </w:r>
    </w:p>
    <w:p w:rsidR="001A3F09" w:rsidRPr="00185F9B" w:rsidRDefault="001A3F09" w:rsidP="00185F9B">
      <w:pPr>
        <w:spacing w:before="120"/>
        <w:rPr>
          <w:sz w:val="21"/>
          <w:szCs w:val="21"/>
        </w:rPr>
      </w:pPr>
      <w:r w:rsidRPr="00185F9B">
        <w:rPr>
          <w:sz w:val="21"/>
          <w:szCs w:val="21"/>
        </w:rPr>
        <w:t>Website:</w:t>
      </w:r>
      <w:r w:rsidR="00BF25EC" w:rsidRPr="00185F9B">
        <w:rPr>
          <w:sz w:val="21"/>
          <w:szCs w:val="21"/>
        </w:rPr>
        <w:t xml:space="preserve"> </w:t>
      </w:r>
      <w:hyperlink r:id="rId10">
        <w:r w:rsidRPr="00185F9B">
          <w:rPr>
            <w:sz w:val="21"/>
            <w:szCs w:val="21"/>
          </w:rPr>
          <w:t>www.vincents.co.nz</w:t>
        </w:r>
      </w:hyperlink>
    </w:p>
    <w:p w:rsidR="001A3F09" w:rsidRPr="00666DF4" w:rsidRDefault="001A3F09" w:rsidP="00CE1686"/>
    <w:p w:rsidR="00A80363" w:rsidRPr="00666DF4" w:rsidRDefault="00A80363" w:rsidP="00185F9B">
      <w:pPr>
        <w:pStyle w:val="Imprint"/>
        <w:spacing w:before="600"/>
      </w:pPr>
      <w:r w:rsidRPr="00666DF4">
        <w:t xml:space="preserve">Citation: </w:t>
      </w:r>
      <w:r w:rsidR="00442C1C" w:rsidRPr="00666DF4">
        <w:t xml:space="preserve">Ministry of Health. </w:t>
      </w:r>
      <w:r w:rsidR="00A47CF6" w:rsidRPr="00666DF4">
        <w:t>2017</w:t>
      </w:r>
      <w:r w:rsidR="00442C1C" w:rsidRPr="00666DF4">
        <w:t xml:space="preserve">. </w:t>
      </w:r>
      <w:r w:rsidR="00A47CF6" w:rsidRPr="00666DF4">
        <w:rPr>
          <w:i/>
        </w:rPr>
        <w:t>Office of the Director of Mental Health Annual Report 2016</w:t>
      </w:r>
      <w:r w:rsidR="00442C1C" w:rsidRPr="00666DF4">
        <w:t>. Wellington: Ministry of Health.</w:t>
      </w:r>
    </w:p>
    <w:p w:rsidR="00C86248" w:rsidRPr="00666DF4" w:rsidRDefault="00C86248">
      <w:pPr>
        <w:pStyle w:val="Imprint"/>
      </w:pPr>
      <w:r w:rsidRPr="00666DF4">
        <w:t xml:space="preserve">Published in </w:t>
      </w:r>
      <w:r w:rsidR="00A47CF6" w:rsidRPr="00666DF4">
        <w:t>December 2017</w:t>
      </w:r>
      <w:r w:rsidR="005019AE" w:rsidRPr="00666DF4">
        <w:br/>
      </w:r>
      <w:r w:rsidRPr="00666DF4">
        <w:t>by the</w:t>
      </w:r>
      <w:r w:rsidR="00442C1C" w:rsidRPr="00666DF4">
        <w:t xml:space="preserve"> </w:t>
      </w:r>
      <w:r w:rsidRPr="00666DF4">
        <w:t>Ministry of Health</w:t>
      </w:r>
      <w:r w:rsidRPr="00666DF4">
        <w:br/>
        <w:t>PO Box 5013, Wellington</w:t>
      </w:r>
      <w:r w:rsidR="00A80363" w:rsidRPr="00666DF4">
        <w:t xml:space="preserve"> 614</w:t>
      </w:r>
      <w:r w:rsidR="006041F0" w:rsidRPr="00666DF4">
        <w:t>0</w:t>
      </w:r>
      <w:r w:rsidRPr="00666DF4">
        <w:t>, New Zealand</w:t>
      </w:r>
    </w:p>
    <w:p w:rsidR="00082CD6" w:rsidRPr="00666DF4" w:rsidRDefault="00D863D0" w:rsidP="00082CD6">
      <w:pPr>
        <w:pStyle w:val="Imprint"/>
      </w:pPr>
      <w:r w:rsidRPr="00666DF4">
        <w:t>ISBN</w:t>
      </w:r>
      <w:r w:rsidR="00442C1C" w:rsidRPr="00666DF4">
        <w:t xml:space="preserve"> </w:t>
      </w:r>
      <w:r w:rsidR="00A47CF6" w:rsidRPr="00666DF4">
        <w:t>978-1-98-853920-1 (print</w:t>
      </w:r>
      <w:proofErr w:type="gramStart"/>
      <w:r w:rsidR="00A47CF6" w:rsidRPr="00666DF4">
        <w:t>)</w:t>
      </w:r>
      <w:proofErr w:type="gramEnd"/>
      <w:r w:rsidR="00A47CF6" w:rsidRPr="00666DF4">
        <w:br/>
        <w:t>ISBN 978-1-98-853921-8</w:t>
      </w:r>
      <w:r w:rsidR="00442C1C" w:rsidRPr="00666DF4">
        <w:t xml:space="preserve"> </w:t>
      </w:r>
      <w:r w:rsidRPr="00666DF4">
        <w:t>(</w:t>
      </w:r>
      <w:r w:rsidR="00442C1C" w:rsidRPr="00666DF4">
        <w:t>online</w:t>
      </w:r>
      <w:r w:rsidRPr="00666DF4">
        <w:t>)</w:t>
      </w:r>
      <w:r w:rsidR="00082CD6" w:rsidRPr="00666DF4">
        <w:br/>
        <w:t xml:space="preserve">HP </w:t>
      </w:r>
      <w:r w:rsidR="00A47CF6" w:rsidRPr="00666DF4">
        <w:t>6723</w:t>
      </w:r>
    </w:p>
    <w:p w:rsidR="00C86248" w:rsidRPr="00BF25EC" w:rsidRDefault="008E3A07">
      <w:pPr>
        <w:pStyle w:val="Imprint"/>
        <w:rPr>
          <w:rStyle w:val="Hyperlink"/>
          <w:rFonts w:eastAsia="MS Gothic"/>
        </w:rPr>
      </w:pPr>
      <w:r w:rsidRPr="00666DF4">
        <w:t>This document is available at www.health.govt.nz</w:t>
      </w:r>
    </w:p>
    <w:p w:rsidR="00C86248" w:rsidRPr="00666DF4" w:rsidRDefault="008C64C4">
      <w:pPr>
        <w:jc w:val="center"/>
      </w:pPr>
      <w:r w:rsidRPr="00666DF4">
        <w:rPr>
          <w:noProof/>
          <w:lang w:eastAsia="en-NZ"/>
        </w:rPr>
        <w:drawing>
          <wp:inline distT="0" distB="0" distL="0" distR="0" wp14:anchorId="70034D2D" wp14:editId="49B4995B">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666DF4" w:rsidRDefault="007E74F1" w:rsidP="001F45A7">
      <w:pPr>
        <w:spacing w:before="240"/>
        <w:ind w:right="-851"/>
        <w:rPr>
          <w:sz w:val="18"/>
          <w:szCs w:val="18"/>
        </w:rPr>
      </w:pPr>
      <w:r w:rsidRPr="00666DF4">
        <w:rPr>
          <w:b/>
          <w:noProof/>
          <w:sz w:val="18"/>
          <w:szCs w:val="18"/>
          <w:lang w:eastAsia="en-NZ"/>
        </w:rPr>
        <w:drawing>
          <wp:inline distT="0" distB="0" distL="0" distR="0" wp14:anchorId="306C0204" wp14:editId="3A9611A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666DF4">
        <w:rPr>
          <w:sz w:val="18"/>
          <w:szCs w:val="18"/>
        </w:rPr>
        <w:t xml:space="preserve"> This work is licensed under the Creative Commons Attribution 4.0 International licence. In essence, </w:t>
      </w:r>
      <w:r w:rsidRPr="00666DF4">
        <w:rPr>
          <w:bCs/>
          <w:sz w:val="18"/>
          <w:szCs w:val="18"/>
        </w:rPr>
        <w:t xml:space="preserve">you are free to: </w:t>
      </w:r>
      <w:r w:rsidRPr="00666DF4">
        <w:rPr>
          <w:sz w:val="18"/>
          <w:szCs w:val="18"/>
        </w:rPr>
        <w:t xml:space="preserve">share </w:t>
      </w:r>
      <w:proofErr w:type="spellStart"/>
      <w:r w:rsidRPr="00666DF4">
        <w:rPr>
          <w:sz w:val="18"/>
          <w:szCs w:val="18"/>
        </w:rPr>
        <w:t>ie</w:t>
      </w:r>
      <w:proofErr w:type="spellEnd"/>
      <w:r w:rsidRPr="00666DF4">
        <w:rPr>
          <w:sz w:val="18"/>
          <w:szCs w:val="18"/>
        </w:rPr>
        <w:t xml:space="preserve">, copy and redistribute the material in any medium or format; adapt </w:t>
      </w:r>
      <w:proofErr w:type="spellStart"/>
      <w:r w:rsidRPr="00666DF4">
        <w:rPr>
          <w:sz w:val="18"/>
          <w:szCs w:val="18"/>
        </w:rPr>
        <w:t>ie</w:t>
      </w:r>
      <w:proofErr w:type="spellEnd"/>
      <w:r w:rsidRPr="00666DF4">
        <w:rPr>
          <w:sz w:val="18"/>
          <w:szCs w:val="18"/>
        </w:rPr>
        <w:t xml:space="preserve">, remix, transform and build upon the material. </w:t>
      </w:r>
      <w:r w:rsidRPr="00666DF4">
        <w:rPr>
          <w:bCs/>
          <w:sz w:val="18"/>
          <w:szCs w:val="18"/>
        </w:rPr>
        <w:t>You must give appropriate credit, provide a link to the licence and indicate if changes were made.</w:t>
      </w:r>
    </w:p>
    <w:p w:rsidR="00C86248" w:rsidRPr="00666DF4" w:rsidRDefault="00C86248">
      <w:pPr>
        <w:jc w:val="center"/>
        <w:sectPr w:rsidR="00C86248" w:rsidRPr="00666DF4" w:rsidSect="00185F9B">
          <w:footerReference w:type="even" r:id="rId13"/>
          <w:footerReference w:type="default" r:id="rId14"/>
          <w:pgSz w:w="11907" w:h="16834" w:code="9"/>
          <w:pgMar w:top="1134" w:right="1134" w:bottom="1134" w:left="1985" w:header="0" w:footer="0" w:gutter="0"/>
          <w:cols w:space="720"/>
        </w:sectPr>
      </w:pPr>
    </w:p>
    <w:p w:rsidR="00032C0A" w:rsidRPr="00666DF4" w:rsidRDefault="008E3A07" w:rsidP="008B19DC">
      <w:pPr>
        <w:pStyle w:val="Heading1"/>
      </w:pPr>
      <w:bookmarkStart w:id="0" w:name="_Toc405792991"/>
      <w:bookmarkStart w:id="1" w:name="_Toc405793224"/>
      <w:bookmarkStart w:id="2" w:name="_Toc508707255"/>
      <w:r w:rsidRPr="00666DF4">
        <w:lastRenderedPageBreak/>
        <w:t>Foreword</w:t>
      </w:r>
      <w:bookmarkEnd w:id="2"/>
    </w:p>
    <w:p w:rsidR="00A47CF6" w:rsidRPr="003D42AA" w:rsidRDefault="00A47CF6" w:rsidP="003D42AA">
      <w:pPr>
        <w:spacing w:before="120"/>
        <w:rPr>
          <w:rFonts w:eastAsia="Georgia" w:cs="Georgia"/>
          <w:b/>
          <w:sz w:val="21"/>
          <w:szCs w:val="21"/>
        </w:rPr>
      </w:pPr>
      <w:proofErr w:type="spellStart"/>
      <w:r w:rsidRPr="003D42AA">
        <w:rPr>
          <w:b/>
          <w:sz w:val="21"/>
          <w:szCs w:val="21"/>
        </w:rPr>
        <w:t>Tēnā</w:t>
      </w:r>
      <w:proofErr w:type="spellEnd"/>
      <w:r w:rsidRPr="003D42AA">
        <w:rPr>
          <w:b/>
          <w:sz w:val="21"/>
          <w:szCs w:val="21"/>
        </w:rPr>
        <w:t xml:space="preserve"> </w:t>
      </w:r>
      <w:proofErr w:type="spellStart"/>
      <w:r w:rsidRPr="003D42AA">
        <w:rPr>
          <w:b/>
          <w:sz w:val="21"/>
          <w:szCs w:val="21"/>
        </w:rPr>
        <w:t>koutou</w:t>
      </w:r>
      <w:proofErr w:type="spellEnd"/>
      <w:r w:rsidRPr="003D42AA">
        <w:rPr>
          <w:b/>
          <w:sz w:val="21"/>
          <w:szCs w:val="21"/>
        </w:rPr>
        <w:t>.</w:t>
      </w:r>
    </w:p>
    <w:p w:rsidR="00A47CF6" w:rsidRPr="003D42AA" w:rsidRDefault="00A47CF6" w:rsidP="003D42AA">
      <w:pPr>
        <w:spacing w:before="120"/>
        <w:rPr>
          <w:rFonts w:eastAsia="Georgia" w:cs="Georgia"/>
          <w:b/>
          <w:sz w:val="21"/>
          <w:szCs w:val="21"/>
        </w:rPr>
      </w:pPr>
      <w:proofErr w:type="spellStart"/>
      <w:r w:rsidRPr="003D42AA">
        <w:rPr>
          <w:b/>
          <w:sz w:val="21"/>
          <w:szCs w:val="21"/>
        </w:rPr>
        <w:t>Nau</w:t>
      </w:r>
      <w:proofErr w:type="spellEnd"/>
      <w:r w:rsidRPr="003D42AA">
        <w:rPr>
          <w:b/>
          <w:sz w:val="21"/>
          <w:szCs w:val="21"/>
        </w:rPr>
        <w:t xml:space="preserve"> </w:t>
      </w:r>
      <w:proofErr w:type="spellStart"/>
      <w:r w:rsidRPr="003D42AA">
        <w:rPr>
          <w:b/>
          <w:sz w:val="21"/>
          <w:szCs w:val="21"/>
        </w:rPr>
        <w:t>mai</w:t>
      </w:r>
      <w:proofErr w:type="spellEnd"/>
      <w:r w:rsidRPr="003D42AA">
        <w:rPr>
          <w:b/>
          <w:sz w:val="21"/>
          <w:szCs w:val="21"/>
        </w:rPr>
        <w:t xml:space="preserve"> </w:t>
      </w:r>
      <w:proofErr w:type="spellStart"/>
      <w:r w:rsidRPr="003D42AA">
        <w:rPr>
          <w:b/>
          <w:sz w:val="21"/>
          <w:szCs w:val="21"/>
        </w:rPr>
        <w:t>ki</w:t>
      </w:r>
      <w:proofErr w:type="spellEnd"/>
      <w:r w:rsidRPr="003D42AA">
        <w:rPr>
          <w:b/>
          <w:sz w:val="21"/>
          <w:szCs w:val="21"/>
        </w:rPr>
        <w:t xml:space="preserve"> </w:t>
      </w:r>
      <w:proofErr w:type="spellStart"/>
      <w:r w:rsidRPr="003D42AA">
        <w:rPr>
          <w:b/>
          <w:sz w:val="21"/>
          <w:szCs w:val="21"/>
        </w:rPr>
        <w:t>tēnei</w:t>
      </w:r>
      <w:proofErr w:type="spellEnd"/>
      <w:r w:rsidRPr="003D42AA">
        <w:rPr>
          <w:b/>
          <w:sz w:val="21"/>
          <w:szCs w:val="21"/>
        </w:rPr>
        <w:t xml:space="preserve"> </w:t>
      </w:r>
      <w:proofErr w:type="spellStart"/>
      <w:r w:rsidRPr="003D42AA">
        <w:rPr>
          <w:b/>
          <w:sz w:val="21"/>
          <w:szCs w:val="21"/>
        </w:rPr>
        <w:t>tekau</w:t>
      </w:r>
      <w:proofErr w:type="spellEnd"/>
      <w:r w:rsidRPr="003D42AA">
        <w:rPr>
          <w:b/>
          <w:sz w:val="21"/>
          <w:szCs w:val="21"/>
        </w:rPr>
        <w:t xml:space="preserve"> </w:t>
      </w:r>
      <w:proofErr w:type="spellStart"/>
      <w:r w:rsidRPr="003D42AA">
        <w:rPr>
          <w:b/>
          <w:sz w:val="21"/>
          <w:szCs w:val="21"/>
        </w:rPr>
        <w:t>mā</w:t>
      </w:r>
      <w:proofErr w:type="spellEnd"/>
      <w:r w:rsidRPr="003D42AA">
        <w:rPr>
          <w:b/>
          <w:sz w:val="21"/>
          <w:szCs w:val="21"/>
        </w:rPr>
        <w:t xml:space="preserve"> </w:t>
      </w:r>
      <w:proofErr w:type="spellStart"/>
      <w:r w:rsidRPr="003D42AA">
        <w:rPr>
          <w:b/>
          <w:sz w:val="21"/>
          <w:szCs w:val="21"/>
        </w:rPr>
        <w:t>rua</w:t>
      </w:r>
      <w:proofErr w:type="spellEnd"/>
      <w:r w:rsidRPr="003D42AA">
        <w:rPr>
          <w:b/>
          <w:sz w:val="21"/>
          <w:szCs w:val="21"/>
        </w:rPr>
        <w:t xml:space="preserve"> o </w:t>
      </w:r>
      <w:proofErr w:type="spellStart"/>
      <w:r w:rsidRPr="003D42AA">
        <w:rPr>
          <w:b/>
          <w:sz w:val="21"/>
          <w:szCs w:val="21"/>
        </w:rPr>
        <w:t>ngā</w:t>
      </w:r>
      <w:proofErr w:type="spellEnd"/>
      <w:r w:rsidRPr="003D42AA">
        <w:rPr>
          <w:b/>
          <w:sz w:val="21"/>
          <w:szCs w:val="21"/>
        </w:rPr>
        <w:t xml:space="preserve"> </w:t>
      </w:r>
      <w:proofErr w:type="spellStart"/>
      <w:r w:rsidRPr="003D42AA">
        <w:rPr>
          <w:b/>
          <w:sz w:val="21"/>
          <w:szCs w:val="21"/>
        </w:rPr>
        <w:t>Rīpoata</w:t>
      </w:r>
      <w:proofErr w:type="spellEnd"/>
      <w:r w:rsidRPr="003D42AA">
        <w:rPr>
          <w:b/>
          <w:sz w:val="21"/>
          <w:szCs w:val="21"/>
        </w:rPr>
        <w:t xml:space="preserve"> ā Tau a </w:t>
      </w:r>
      <w:proofErr w:type="spellStart"/>
      <w:proofErr w:type="gramStart"/>
      <w:r w:rsidRPr="003D42AA">
        <w:rPr>
          <w:b/>
          <w:sz w:val="21"/>
          <w:szCs w:val="21"/>
        </w:rPr>
        <w:t>te</w:t>
      </w:r>
      <w:proofErr w:type="spellEnd"/>
      <w:proofErr w:type="gramEnd"/>
      <w:r w:rsidRPr="003D42AA">
        <w:rPr>
          <w:b/>
          <w:sz w:val="21"/>
          <w:szCs w:val="21"/>
        </w:rPr>
        <w:t xml:space="preserve"> </w:t>
      </w:r>
      <w:proofErr w:type="spellStart"/>
      <w:r w:rsidRPr="003D42AA">
        <w:rPr>
          <w:b/>
          <w:sz w:val="21"/>
          <w:szCs w:val="21"/>
        </w:rPr>
        <w:t>Āpiha</w:t>
      </w:r>
      <w:proofErr w:type="spellEnd"/>
      <w:r w:rsidRPr="003D42AA">
        <w:rPr>
          <w:b/>
          <w:sz w:val="21"/>
          <w:szCs w:val="21"/>
        </w:rPr>
        <w:t xml:space="preserve"> </w:t>
      </w:r>
      <w:proofErr w:type="spellStart"/>
      <w:r w:rsidRPr="003D42AA">
        <w:rPr>
          <w:b/>
          <w:sz w:val="21"/>
          <w:szCs w:val="21"/>
        </w:rPr>
        <w:t>Kaitohu</w:t>
      </w:r>
      <w:proofErr w:type="spellEnd"/>
      <w:r w:rsidR="003D42AA">
        <w:rPr>
          <w:b/>
          <w:sz w:val="21"/>
          <w:szCs w:val="21"/>
        </w:rPr>
        <w:br/>
      </w:r>
      <w:proofErr w:type="spellStart"/>
      <w:r w:rsidRPr="003D42AA">
        <w:rPr>
          <w:b/>
          <w:sz w:val="21"/>
          <w:szCs w:val="21"/>
        </w:rPr>
        <w:t>Tari</w:t>
      </w:r>
      <w:proofErr w:type="spellEnd"/>
      <w:r w:rsidRPr="003D42AA">
        <w:rPr>
          <w:b/>
          <w:sz w:val="21"/>
          <w:szCs w:val="21"/>
        </w:rPr>
        <w:t xml:space="preserve"> </w:t>
      </w:r>
      <w:proofErr w:type="spellStart"/>
      <w:r w:rsidRPr="003D42AA">
        <w:rPr>
          <w:b/>
          <w:sz w:val="21"/>
          <w:szCs w:val="21"/>
        </w:rPr>
        <w:t>Hauora</w:t>
      </w:r>
      <w:proofErr w:type="spellEnd"/>
      <w:r w:rsidRPr="003D42AA">
        <w:rPr>
          <w:b/>
          <w:sz w:val="21"/>
          <w:szCs w:val="21"/>
        </w:rPr>
        <w:t xml:space="preserve"> </w:t>
      </w:r>
      <w:proofErr w:type="spellStart"/>
      <w:r w:rsidRPr="003D42AA">
        <w:rPr>
          <w:b/>
          <w:sz w:val="21"/>
          <w:szCs w:val="21"/>
        </w:rPr>
        <w:t>Hinengaro</w:t>
      </w:r>
      <w:proofErr w:type="spellEnd"/>
      <w:r w:rsidRPr="003D42AA">
        <w:rPr>
          <w:b/>
          <w:sz w:val="21"/>
          <w:szCs w:val="21"/>
        </w:rPr>
        <w:t xml:space="preserve"> </w:t>
      </w:r>
      <w:proofErr w:type="spellStart"/>
      <w:r w:rsidRPr="003D42AA">
        <w:rPr>
          <w:b/>
          <w:sz w:val="21"/>
          <w:szCs w:val="21"/>
        </w:rPr>
        <w:t>mō</w:t>
      </w:r>
      <w:proofErr w:type="spellEnd"/>
      <w:r w:rsidRPr="003D42AA">
        <w:rPr>
          <w:b/>
          <w:sz w:val="21"/>
          <w:szCs w:val="21"/>
        </w:rPr>
        <w:t xml:space="preserve">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Manatū</w:t>
      </w:r>
      <w:proofErr w:type="spellEnd"/>
      <w:r w:rsidRPr="003D42AA">
        <w:rPr>
          <w:b/>
          <w:sz w:val="21"/>
          <w:szCs w:val="21"/>
        </w:rPr>
        <w:t xml:space="preserve"> </w:t>
      </w:r>
      <w:proofErr w:type="spellStart"/>
      <w:r w:rsidRPr="003D42AA">
        <w:rPr>
          <w:b/>
          <w:sz w:val="21"/>
          <w:szCs w:val="21"/>
        </w:rPr>
        <w:t>Hauora</w:t>
      </w:r>
      <w:proofErr w:type="spellEnd"/>
      <w:r w:rsidRPr="003D42AA">
        <w:rPr>
          <w:b/>
          <w:sz w:val="21"/>
          <w:szCs w:val="21"/>
        </w:rPr>
        <w:t xml:space="preserve">. Kei </w:t>
      </w:r>
      <w:proofErr w:type="spellStart"/>
      <w:r w:rsidRPr="003D42AA">
        <w:rPr>
          <w:b/>
          <w:sz w:val="21"/>
          <w:szCs w:val="21"/>
        </w:rPr>
        <w:t>tēnei</w:t>
      </w:r>
      <w:proofErr w:type="spellEnd"/>
      <w:r w:rsidRPr="003D42AA">
        <w:rPr>
          <w:b/>
          <w:sz w:val="21"/>
          <w:szCs w:val="21"/>
        </w:rPr>
        <w:t xml:space="preserve"> </w:t>
      </w:r>
      <w:proofErr w:type="spellStart"/>
      <w:r w:rsidRPr="003D42AA">
        <w:rPr>
          <w:b/>
          <w:sz w:val="21"/>
          <w:szCs w:val="21"/>
        </w:rPr>
        <w:t>tūnga</w:t>
      </w:r>
      <w:proofErr w:type="spellEnd"/>
      <w:r w:rsidRPr="003D42AA">
        <w:rPr>
          <w:b/>
          <w:sz w:val="21"/>
          <w:szCs w:val="21"/>
        </w:rPr>
        <w:t xml:space="preserve"> </w:t>
      </w:r>
      <w:proofErr w:type="spellStart"/>
      <w:proofErr w:type="gramStart"/>
      <w:r w:rsidRPr="003D42AA">
        <w:rPr>
          <w:b/>
          <w:sz w:val="21"/>
          <w:szCs w:val="21"/>
        </w:rPr>
        <w:t>te</w:t>
      </w:r>
      <w:proofErr w:type="spellEnd"/>
      <w:proofErr w:type="gramEnd"/>
      <w:r w:rsidR="003D42AA">
        <w:rPr>
          <w:b/>
          <w:sz w:val="21"/>
          <w:szCs w:val="21"/>
        </w:rPr>
        <w:br/>
      </w:r>
      <w:proofErr w:type="spellStart"/>
      <w:r w:rsidRPr="003D42AA">
        <w:rPr>
          <w:b/>
          <w:sz w:val="21"/>
          <w:szCs w:val="21"/>
        </w:rPr>
        <w:t>mana</w:t>
      </w:r>
      <w:proofErr w:type="spellEnd"/>
      <w:r w:rsidRPr="003D42AA">
        <w:rPr>
          <w:b/>
          <w:sz w:val="21"/>
          <w:szCs w:val="21"/>
        </w:rPr>
        <w:t xml:space="preserve"> </w:t>
      </w:r>
      <w:proofErr w:type="spellStart"/>
      <w:r w:rsidRPr="003D42AA">
        <w:rPr>
          <w:b/>
          <w:sz w:val="21"/>
          <w:szCs w:val="21"/>
        </w:rPr>
        <w:t>whakaruruhau</w:t>
      </w:r>
      <w:proofErr w:type="spellEnd"/>
      <w:r w:rsidRPr="003D42AA">
        <w:rPr>
          <w:b/>
          <w:sz w:val="21"/>
          <w:szCs w:val="21"/>
        </w:rPr>
        <w:t xml:space="preserve"> </w:t>
      </w:r>
      <w:proofErr w:type="spellStart"/>
      <w:r w:rsidRPr="003D42AA">
        <w:rPr>
          <w:b/>
          <w:sz w:val="21"/>
          <w:szCs w:val="21"/>
        </w:rPr>
        <w:t>kia</w:t>
      </w:r>
      <w:proofErr w:type="spellEnd"/>
      <w:r w:rsidRPr="003D42AA">
        <w:rPr>
          <w:b/>
          <w:sz w:val="21"/>
          <w:szCs w:val="21"/>
        </w:rPr>
        <w:t xml:space="preserve"> </w:t>
      </w:r>
      <w:proofErr w:type="spellStart"/>
      <w:r w:rsidRPr="003D42AA">
        <w:rPr>
          <w:b/>
          <w:sz w:val="21"/>
          <w:szCs w:val="21"/>
        </w:rPr>
        <w:t>tika</w:t>
      </w:r>
      <w:proofErr w:type="spellEnd"/>
      <w:r w:rsidRPr="003D42AA">
        <w:rPr>
          <w:b/>
          <w:sz w:val="21"/>
          <w:szCs w:val="21"/>
        </w:rPr>
        <w:t xml:space="preserve"> </w:t>
      </w:r>
      <w:proofErr w:type="spellStart"/>
      <w:r w:rsidRPr="003D42AA">
        <w:rPr>
          <w:b/>
          <w:sz w:val="21"/>
          <w:szCs w:val="21"/>
        </w:rPr>
        <w:t>ai</w:t>
      </w:r>
      <w:proofErr w:type="spellEnd"/>
      <w:r w:rsidRPr="003D42AA">
        <w:rPr>
          <w:b/>
          <w:sz w:val="21"/>
          <w:szCs w:val="21"/>
        </w:rPr>
        <w:t xml:space="preserve">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tiaki</w:t>
      </w:r>
      <w:proofErr w:type="spellEnd"/>
      <w:r w:rsidRPr="003D42AA">
        <w:rPr>
          <w:b/>
          <w:sz w:val="21"/>
          <w:szCs w:val="21"/>
        </w:rPr>
        <w:t xml:space="preserve"> </w:t>
      </w:r>
      <w:proofErr w:type="spellStart"/>
      <w:r w:rsidRPr="003D42AA">
        <w:rPr>
          <w:b/>
          <w:sz w:val="21"/>
          <w:szCs w:val="21"/>
        </w:rPr>
        <w:t>i</w:t>
      </w:r>
      <w:proofErr w:type="spellEnd"/>
      <w:r w:rsidRPr="003D42AA">
        <w:rPr>
          <w:b/>
          <w:sz w:val="21"/>
          <w:szCs w:val="21"/>
        </w:rPr>
        <w:t xml:space="preserve">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hunga</w:t>
      </w:r>
      <w:proofErr w:type="spellEnd"/>
      <w:r w:rsidRPr="003D42AA">
        <w:rPr>
          <w:b/>
          <w:sz w:val="21"/>
          <w:szCs w:val="21"/>
        </w:rPr>
        <w:t xml:space="preserve"> e </w:t>
      </w:r>
      <w:proofErr w:type="spellStart"/>
      <w:r w:rsidRPr="003D42AA">
        <w:rPr>
          <w:b/>
          <w:sz w:val="21"/>
          <w:szCs w:val="21"/>
        </w:rPr>
        <w:t>whai</w:t>
      </w:r>
      <w:proofErr w:type="spellEnd"/>
      <w:r w:rsidRPr="003D42AA">
        <w:rPr>
          <w:b/>
          <w:sz w:val="21"/>
          <w:szCs w:val="21"/>
        </w:rPr>
        <w:t xml:space="preserve"> </w:t>
      </w:r>
      <w:proofErr w:type="spellStart"/>
      <w:r w:rsidRPr="003D42AA">
        <w:rPr>
          <w:b/>
          <w:sz w:val="21"/>
          <w:szCs w:val="21"/>
        </w:rPr>
        <w:t>nei</w:t>
      </w:r>
      <w:proofErr w:type="spellEnd"/>
      <w:r w:rsidRPr="003D42AA">
        <w:rPr>
          <w:b/>
          <w:sz w:val="21"/>
          <w:szCs w:val="21"/>
        </w:rPr>
        <w:t xml:space="preserve"> </w:t>
      </w:r>
      <w:proofErr w:type="spellStart"/>
      <w:r w:rsidRPr="003D42AA">
        <w:rPr>
          <w:b/>
          <w:sz w:val="21"/>
          <w:szCs w:val="21"/>
        </w:rPr>
        <w:t>i</w:t>
      </w:r>
      <w:proofErr w:type="spellEnd"/>
      <w:r w:rsidRPr="003D42AA">
        <w:rPr>
          <w:b/>
          <w:sz w:val="21"/>
          <w:szCs w:val="21"/>
        </w:rPr>
        <w:t xml:space="preserve"> </w:t>
      </w:r>
      <w:proofErr w:type="spellStart"/>
      <w:r w:rsidRPr="003D42AA">
        <w:rPr>
          <w:b/>
          <w:sz w:val="21"/>
          <w:szCs w:val="21"/>
        </w:rPr>
        <w:t>te</w:t>
      </w:r>
      <w:proofErr w:type="spellEnd"/>
      <w:r w:rsidR="003D42AA">
        <w:rPr>
          <w:b/>
          <w:sz w:val="21"/>
          <w:szCs w:val="21"/>
        </w:rPr>
        <w:br/>
      </w:r>
      <w:proofErr w:type="spellStart"/>
      <w:r w:rsidRPr="003D42AA">
        <w:rPr>
          <w:b/>
          <w:sz w:val="21"/>
          <w:szCs w:val="21"/>
        </w:rPr>
        <w:t>oranga</w:t>
      </w:r>
      <w:proofErr w:type="spellEnd"/>
      <w:r w:rsidRPr="003D42AA">
        <w:rPr>
          <w:b/>
          <w:sz w:val="21"/>
          <w:szCs w:val="21"/>
        </w:rPr>
        <w:t xml:space="preserve"> </w:t>
      </w:r>
      <w:proofErr w:type="spellStart"/>
      <w:r w:rsidRPr="003D42AA">
        <w:rPr>
          <w:b/>
          <w:sz w:val="21"/>
          <w:szCs w:val="21"/>
        </w:rPr>
        <w:t>hinengaro</w:t>
      </w:r>
      <w:proofErr w:type="spellEnd"/>
      <w:r w:rsidRPr="003D42AA">
        <w:rPr>
          <w:b/>
          <w:sz w:val="21"/>
          <w:szCs w:val="21"/>
        </w:rPr>
        <w:t xml:space="preserve">. </w:t>
      </w:r>
      <w:proofErr w:type="spellStart"/>
      <w:proofErr w:type="gramStart"/>
      <w:r w:rsidRPr="003D42AA">
        <w:rPr>
          <w:b/>
          <w:sz w:val="21"/>
          <w:szCs w:val="21"/>
        </w:rPr>
        <w:t>Ia</w:t>
      </w:r>
      <w:proofErr w:type="spellEnd"/>
      <w:proofErr w:type="gramEnd"/>
      <w:r w:rsidRPr="003D42AA">
        <w:rPr>
          <w:b/>
          <w:sz w:val="21"/>
          <w:szCs w:val="21"/>
        </w:rPr>
        <w:t xml:space="preserve"> tau </w:t>
      </w:r>
      <w:proofErr w:type="spellStart"/>
      <w:r w:rsidRPr="003D42AA">
        <w:rPr>
          <w:b/>
          <w:sz w:val="21"/>
          <w:szCs w:val="21"/>
        </w:rPr>
        <w:t>ka</w:t>
      </w:r>
      <w:proofErr w:type="spellEnd"/>
      <w:r w:rsidRPr="003D42AA">
        <w:rPr>
          <w:b/>
          <w:sz w:val="21"/>
          <w:szCs w:val="21"/>
        </w:rPr>
        <w:t xml:space="preserve"> </w:t>
      </w:r>
      <w:proofErr w:type="spellStart"/>
      <w:r w:rsidRPr="003D42AA">
        <w:rPr>
          <w:b/>
          <w:sz w:val="21"/>
          <w:szCs w:val="21"/>
        </w:rPr>
        <w:t>pānuitia</w:t>
      </w:r>
      <w:proofErr w:type="spellEnd"/>
      <w:r w:rsidRPr="003D42AA">
        <w:rPr>
          <w:b/>
          <w:sz w:val="21"/>
          <w:szCs w:val="21"/>
        </w:rPr>
        <w:t xml:space="preserve"> </w:t>
      </w:r>
      <w:proofErr w:type="spellStart"/>
      <w:r w:rsidRPr="003D42AA">
        <w:rPr>
          <w:b/>
          <w:sz w:val="21"/>
          <w:szCs w:val="21"/>
        </w:rPr>
        <w:t>tēnei</w:t>
      </w:r>
      <w:proofErr w:type="spellEnd"/>
      <w:r w:rsidRPr="003D42AA">
        <w:rPr>
          <w:b/>
          <w:sz w:val="21"/>
          <w:szCs w:val="21"/>
        </w:rPr>
        <w:t xml:space="preserve"> </w:t>
      </w:r>
      <w:proofErr w:type="spellStart"/>
      <w:r w:rsidRPr="003D42AA">
        <w:rPr>
          <w:b/>
          <w:sz w:val="21"/>
          <w:szCs w:val="21"/>
        </w:rPr>
        <w:t>ripoata</w:t>
      </w:r>
      <w:proofErr w:type="spellEnd"/>
      <w:r w:rsidRPr="003D42AA">
        <w:rPr>
          <w:b/>
          <w:sz w:val="21"/>
          <w:szCs w:val="21"/>
        </w:rPr>
        <w:t xml:space="preserve"> </w:t>
      </w:r>
      <w:proofErr w:type="spellStart"/>
      <w:r w:rsidRPr="003D42AA">
        <w:rPr>
          <w:b/>
          <w:sz w:val="21"/>
          <w:szCs w:val="21"/>
        </w:rPr>
        <w:t>kia</w:t>
      </w:r>
      <w:proofErr w:type="spellEnd"/>
      <w:r w:rsidRPr="003D42AA">
        <w:rPr>
          <w:b/>
          <w:sz w:val="21"/>
          <w:szCs w:val="21"/>
        </w:rPr>
        <w:t xml:space="preserve"> </w:t>
      </w:r>
      <w:proofErr w:type="spellStart"/>
      <w:r w:rsidRPr="003D42AA">
        <w:rPr>
          <w:b/>
          <w:sz w:val="21"/>
          <w:szCs w:val="21"/>
        </w:rPr>
        <w:t>mārama</w:t>
      </w:r>
      <w:proofErr w:type="spellEnd"/>
      <w:r w:rsidRPr="003D42AA">
        <w:rPr>
          <w:b/>
          <w:sz w:val="21"/>
          <w:szCs w:val="21"/>
        </w:rPr>
        <w:t xml:space="preserve"> </w:t>
      </w:r>
      <w:proofErr w:type="spellStart"/>
      <w:r w:rsidRPr="003D42AA">
        <w:rPr>
          <w:b/>
          <w:sz w:val="21"/>
          <w:szCs w:val="21"/>
        </w:rPr>
        <w:t>ai</w:t>
      </w:r>
      <w:proofErr w:type="spellEnd"/>
      <w:r w:rsidRPr="003D42AA">
        <w:rPr>
          <w:b/>
          <w:sz w:val="21"/>
          <w:szCs w:val="21"/>
        </w:rPr>
        <w:t xml:space="preserve"> </w:t>
      </w:r>
      <w:proofErr w:type="spellStart"/>
      <w:r w:rsidRPr="003D42AA">
        <w:rPr>
          <w:b/>
          <w:sz w:val="21"/>
          <w:szCs w:val="21"/>
        </w:rPr>
        <w:t>te</w:t>
      </w:r>
      <w:proofErr w:type="spellEnd"/>
      <w:r w:rsidR="003D42AA">
        <w:rPr>
          <w:b/>
          <w:sz w:val="21"/>
          <w:szCs w:val="21"/>
        </w:rPr>
        <w:br/>
      </w:r>
      <w:proofErr w:type="spellStart"/>
      <w:r w:rsidRPr="003D42AA">
        <w:rPr>
          <w:b/>
          <w:sz w:val="21"/>
          <w:szCs w:val="21"/>
        </w:rPr>
        <w:t>kaitiakitanga</w:t>
      </w:r>
      <w:proofErr w:type="spellEnd"/>
      <w:r w:rsidRPr="003D42AA">
        <w:rPr>
          <w:b/>
          <w:sz w:val="21"/>
          <w:szCs w:val="21"/>
        </w:rPr>
        <w:t xml:space="preserve"> me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takohanga</w:t>
      </w:r>
      <w:proofErr w:type="spellEnd"/>
      <w:r w:rsidRPr="003D42AA">
        <w:rPr>
          <w:b/>
          <w:sz w:val="21"/>
          <w:szCs w:val="21"/>
        </w:rPr>
        <w:t xml:space="preserve"> o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apiha</w:t>
      </w:r>
      <w:proofErr w:type="spellEnd"/>
      <w:r w:rsidRPr="003D42AA">
        <w:rPr>
          <w:b/>
          <w:sz w:val="21"/>
          <w:szCs w:val="21"/>
        </w:rPr>
        <w:t xml:space="preserve"> </w:t>
      </w:r>
      <w:proofErr w:type="spellStart"/>
      <w:r w:rsidRPr="003D42AA">
        <w:rPr>
          <w:b/>
          <w:sz w:val="21"/>
          <w:szCs w:val="21"/>
        </w:rPr>
        <w:t>nei</w:t>
      </w:r>
      <w:proofErr w:type="spellEnd"/>
      <w:r w:rsidRPr="003D42AA">
        <w:rPr>
          <w:b/>
          <w:sz w:val="21"/>
          <w:szCs w:val="21"/>
        </w:rPr>
        <w:t xml:space="preserve"> </w:t>
      </w:r>
      <w:proofErr w:type="spellStart"/>
      <w:r w:rsidRPr="003D42AA">
        <w:rPr>
          <w:b/>
          <w:sz w:val="21"/>
          <w:szCs w:val="21"/>
        </w:rPr>
        <w:t>ki</w:t>
      </w:r>
      <w:proofErr w:type="spellEnd"/>
      <w:r w:rsidRPr="003D42AA">
        <w:rPr>
          <w:b/>
          <w:sz w:val="21"/>
          <w:szCs w:val="21"/>
        </w:rPr>
        <w:t xml:space="preserve"> </w:t>
      </w:r>
      <w:proofErr w:type="spellStart"/>
      <w:r w:rsidRPr="003D42AA">
        <w:rPr>
          <w:b/>
          <w:sz w:val="21"/>
          <w:szCs w:val="21"/>
        </w:rPr>
        <w:t>te</w:t>
      </w:r>
      <w:proofErr w:type="spellEnd"/>
      <w:r w:rsidRPr="003D42AA">
        <w:rPr>
          <w:b/>
          <w:sz w:val="21"/>
          <w:szCs w:val="21"/>
        </w:rPr>
        <w:t xml:space="preserve"> </w:t>
      </w:r>
      <w:proofErr w:type="spellStart"/>
      <w:r w:rsidRPr="003D42AA">
        <w:rPr>
          <w:b/>
          <w:sz w:val="21"/>
          <w:szCs w:val="21"/>
        </w:rPr>
        <w:t>katoa</w:t>
      </w:r>
      <w:proofErr w:type="spellEnd"/>
      <w:r w:rsidRPr="003D42AA">
        <w:rPr>
          <w:b/>
          <w:sz w:val="21"/>
          <w:szCs w:val="21"/>
        </w:rPr>
        <w:t>.</w:t>
      </w:r>
    </w:p>
    <w:p w:rsidR="00A47CF6" w:rsidRPr="003D42AA" w:rsidRDefault="00A47CF6" w:rsidP="003D42AA">
      <w:pPr>
        <w:spacing w:before="120"/>
        <w:rPr>
          <w:sz w:val="21"/>
          <w:szCs w:val="21"/>
        </w:rPr>
      </w:pPr>
      <w:r w:rsidRPr="003D42AA">
        <w:rPr>
          <w:sz w:val="21"/>
          <w:szCs w:val="21"/>
        </w:rPr>
        <w:t>Welcome to the 12th annual report of the Office of the Director of Mental Health. The purpose of the report is to present information and statistics that serve as indicators of the quality of our specialist mental health services. It is</w:t>
      </w:r>
      <w:r w:rsidR="003D42AA" w:rsidRPr="003D42AA">
        <w:rPr>
          <w:sz w:val="21"/>
          <w:szCs w:val="21"/>
        </w:rPr>
        <w:t xml:space="preserve"> </w:t>
      </w:r>
      <w:r w:rsidRPr="003D42AA">
        <w:rPr>
          <w:sz w:val="21"/>
          <w:szCs w:val="21"/>
        </w:rPr>
        <w:t>vital that we actively monitor these services to ensure that New Zealanders receive quality care.</w:t>
      </w:r>
    </w:p>
    <w:p w:rsidR="00A47CF6" w:rsidRPr="003D42AA" w:rsidRDefault="00A47CF6" w:rsidP="003D42AA">
      <w:pPr>
        <w:spacing w:before="120"/>
        <w:rPr>
          <w:sz w:val="21"/>
          <w:szCs w:val="21"/>
        </w:rPr>
      </w:pPr>
      <w:r w:rsidRPr="003D42AA">
        <w:rPr>
          <w:sz w:val="21"/>
          <w:szCs w:val="21"/>
        </w:rPr>
        <w:t>Resonating with last year</w:t>
      </w:r>
      <w:r w:rsidR="00BF25EC" w:rsidRPr="003D42AA">
        <w:rPr>
          <w:sz w:val="21"/>
          <w:szCs w:val="21"/>
        </w:rPr>
        <w:t>’</w:t>
      </w:r>
      <w:r w:rsidRPr="003D42AA">
        <w:rPr>
          <w:sz w:val="21"/>
          <w:szCs w:val="21"/>
        </w:rPr>
        <w:t>s theme, mental health care in New Zealand continues on its transformational journey. The Government recognises that good mental health improves our lives and has widespread social and economic benefits. The mental health system will acknowledge the benefits of early intervention and allow us to effectively support, nurture and encourage healthy development.</w:t>
      </w:r>
    </w:p>
    <w:p w:rsidR="00A47CF6" w:rsidRPr="003D42AA" w:rsidRDefault="00A47CF6" w:rsidP="003D42AA">
      <w:pPr>
        <w:spacing w:before="120"/>
        <w:rPr>
          <w:sz w:val="21"/>
          <w:szCs w:val="21"/>
        </w:rPr>
      </w:pPr>
      <w:r w:rsidRPr="003D42AA">
        <w:rPr>
          <w:sz w:val="21"/>
          <w:szCs w:val="21"/>
        </w:rPr>
        <w:t>To align with this approach, the key themes for our work in 2016 were interagency relationships and early intervention. We used cross-agency datasets to inform policy development and focused on targeting identified vulnerable groups with high risk of poor outcomes, including people with mental health or addiction problems.</w:t>
      </w:r>
    </w:p>
    <w:p w:rsidR="00A47CF6" w:rsidRPr="003D42AA" w:rsidRDefault="006468C6" w:rsidP="003D42AA">
      <w:pPr>
        <w:spacing w:before="120"/>
        <w:rPr>
          <w:sz w:val="21"/>
          <w:szCs w:val="21"/>
        </w:rPr>
      </w:pPr>
      <w:r>
        <w:rPr>
          <w:sz w:val="21"/>
          <w:szCs w:val="21"/>
        </w:rPr>
        <w:t>N</w:t>
      </w:r>
      <w:r w:rsidR="00A47CF6" w:rsidRPr="003D42AA">
        <w:rPr>
          <w:sz w:val="21"/>
          <w:szCs w:val="21"/>
        </w:rPr>
        <w:t>ew to this year</w:t>
      </w:r>
      <w:r w:rsidR="00BF25EC" w:rsidRPr="003D42AA">
        <w:rPr>
          <w:sz w:val="21"/>
          <w:szCs w:val="21"/>
        </w:rPr>
        <w:t>’</w:t>
      </w:r>
      <w:r w:rsidR="00A47CF6" w:rsidRPr="003D42AA">
        <w:rPr>
          <w:sz w:val="21"/>
          <w:szCs w:val="21"/>
        </w:rPr>
        <w:t xml:space="preserve">s report are statistics relating to mentally ill offenders who are detained in forensic mental health services under specific legislative provisions – referred to as </w:t>
      </w:r>
      <w:r w:rsidR="00BF25EC" w:rsidRPr="003D42AA">
        <w:rPr>
          <w:sz w:val="21"/>
          <w:szCs w:val="21"/>
        </w:rPr>
        <w:t>‘</w:t>
      </w:r>
      <w:r w:rsidR="00A47CF6" w:rsidRPr="003D42AA">
        <w:rPr>
          <w:sz w:val="21"/>
          <w:szCs w:val="21"/>
        </w:rPr>
        <w:t>special</w:t>
      </w:r>
      <w:r w:rsidR="00BF25EC" w:rsidRPr="003D42AA">
        <w:rPr>
          <w:sz w:val="21"/>
          <w:szCs w:val="21"/>
        </w:rPr>
        <w:t>’</w:t>
      </w:r>
      <w:r w:rsidR="00A47CF6" w:rsidRPr="003D42AA">
        <w:rPr>
          <w:sz w:val="21"/>
          <w:szCs w:val="21"/>
        </w:rPr>
        <w:t xml:space="preserve"> or </w:t>
      </w:r>
      <w:r w:rsidR="00BF25EC" w:rsidRPr="003D42AA">
        <w:rPr>
          <w:sz w:val="21"/>
          <w:szCs w:val="21"/>
        </w:rPr>
        <w:t>‘</w:t>
      </w:r>
      <w:r w:rsidR="00A47CF6" w:rsidRPr="003D42AA">
        <w:rPr>
          <w:sz w:val="21"/>
          <w:szCs w:val="21"/>
        </w:rPr>
        <w:t>restricted</w:t>
      </w:r>
      <w:r w:rsidR="00BF25EC" w:rsidRPr="003D42AA">
        <w:rPr>
          <w:sz w:val="21"/>
          <w:szCs w:val="21"/>
        </w:rPr>
        <w:t>’</w:t>
      </w:r>
      <w:r w:rsidR="00A47CF6" w:rsidRPr="003D42AA">
        <w:rPr>
          <w:sz w:val="21"/>
          <w:szCs w:val="21"/>
        </w:rPr>
        <w:t xml:space="preserve"> patients. Our aim is to increase the visibility of care provided by the regional forensic mental health care facilities and to develop public understanding of the rehabili</w:t>
      </w:r>
      <w:r w:rsidR="00BC380C">
        <w:rPr>
          <w:sz w:val="21"/>
          <w:szCs w:val="21"/>
        </w:rPr>
        <w:t>ta</w:t>
      </w:r>
      <w:r w:rsidR="00A47CF6" w:rsidRPr="003D42AA">
        <w:rPr>
          <w:sz w:val="21"/>
          <w:szCs w:val="21"/>
        </w:rPr>
        <w:t>tive process for mentally ill offenders.</w:t>
      </w:r>
    </w:p>
    <w:p w:rsidR="00A47CF6" w:rsidRPr="003D42AA" w:rsidRDefault="00A47CF6" w:rsidP="003D42AA">
      <w:pPr>
        <w:spacing w:before="120"/>
        <w:rPr>
          <w:sz w:val="21"/>
          <w:szCs w:val="21"/>
        </w:rPr>
      </w:pPr>
      <w:r w:rsidRPr="003D42AA">
        <w:rPr>
          <w:sz w:val="21"/>
          <w:szCs w:val="21"/>
        </w:rPr>
        <w:t>Looking to the future, the Office of the Director of Mental Health will continue to improve the processes around administering the Mental Health Act, always with the aim of making a meaningful contribution to the changing landscape of the mental health sector in New Zealand. To support the Government</w:t>
      </w:r>
      <w:r w:rsidR="00BF25EC" w:rsidRPr="003D42AA">
        <w:rPr>
          <w:sz w:val="21"/>
          <w:szCs w:val="21"/>
        </w:rPr>
        <w:t>’</w:t>
      </w:r>
      <w:r w:rsidRPr="003D42AA">
        <w:rPr>
          <w:sz w:val="21"/>
          <w:szCs w:val="21"/>
        </w:rPr>
        <w:t>s early intervention approach, we are committed to broader engagement with mental health beyond the health sector, focusing on the continuum of care, as opposed to solely specialist care.</w:t>
      </w:r>
    </w:p>
    <w:p w:rsidR="00A47CF6" w:rsidRPr="003D42AA" w:rsidRDefault="00A47CF6" w:rsidP="003D42AA">
      <w:pPr>
        <w:spacing w:before="120"/>
        <w:rPr>
          <w:sz w:val="21"/>
          <w:szCs w:val="21"/>
        </w:rPr>
      </w:pPr>
      <w:r w:rsidRPr="003D42AA">
        <w:rPr>
          <w:sz w:val="21"/>
          <w:szCs w:val="21"/>
        </w:rPr>
        <w:t xml:space="preserve">Lastly, I would like to note that in 2016 I was fortunate to welcome Dr Ian </w:t>
      </w:r>
      <w:proofErr w:type="spellStart"/>
      <w:r w:rsidRPr="003D42AA">
        <w:rPr>
          <w:sz w:val="21"/>
          <w:szCs w:val="21"/>
        </w:rPr>
        <w:t>Soosay</w:t>
      </w:r>
      <w:proofErr w:type="spellEnd"/>
      <w:r w:rsidRPr="003D42AA">
        <w:rPr>
          <w:sz w:val="21"/>
          <w:szCs w:val="21"/>
        </w:rPr>
        <w:t xml:space="preserve"> on board as Deputy Director of Mental Health. Ian brings valuable clinical leadership and experience, which is summarised in Appendix 2. I look forward to our continued work together.</w:t>
      </w:r>
    </w:p>
    <w:p w:rsidR="003D42AA" w:rsidRPr="003D42AA" w:rsidRDefault="003D42AA" w:rsidP="003D42AA">
      <w:pPr>
        <w:spacing w:before="120"/>
        <w:rPr>
          <w:sz w:val="21"/>
          <w:szCs w:val="21"/>
        </w:rPr>
      </w:pPr>
    </w:p>
    <w:p w:rsidR="00A47CF6" w:rsidRPr="003D42AA" w:rsidRDefault="00A47CF6" w:rsidP="003D42AA">
      <w:pPr>
        <w:spacing w:before="120"/>
        <w:rPr>
          <w:sz w:val="21"/>
          <w:szCs w:val="21"/>
        </w:rPr>
      </w:pPr>
      <w:proofErr w:type="spellStart"/>
      <w:r w:rsidRPr="003D42AA">
        <w:rPr>
          <w:sz w:val="21"/>
          <w:szCs w:val="21"/>
        </w:rPr>
        <w:t>Noho</w:t>
      </w:r>
      <w:proofErr w:type="spellEnd"/>
      <w:r w:rsidRPr="003D42AA">
        <w:rPr>
          <w:sz w:val="21"/>
          <w:szCs w:val="21"/>
        </w:rPr>
        <w:t xml:space="preserve"> </w:t>
      </w:r>
      <w:proofErr w:type="spellStart"/>
      <w:r w:rsidRPr="003D42AA">
        <w:rPr>
          <w:sz w:val="21"/>
          <w:szCs w:val="21"/>
        </w:rPr>
        <w:t>ora</w:t>
      </w:r>
      <w:proofErr w:type="spellEnd"/>
      <w:r w:rsidRPr="003D42AA">
        <w:rPr>
          <w:sz w:val="21"/>
          <w:szCs w:val="21"/>
        </w:rPr>
        <w:t xml:space="preserve"> </w:t>
      </w:r>
      <w:proofErr w:type="spellStart"/>
      <w:r w:rsidRPr="003D42AA">
        <w:rPr>
          <w:sz w:val="21"/>
          <w:szCs w:val="21"/>
        </w:rPr>
        <w:t>mai</w:t>
      </w:r>
      <w:proofErr w:type="spellEnd"/>
    </w:p>
    <w:p w:rsidR="00A47CF6" w:rsidRPr="003D42AA" w:rsidRDefault="00A47CF6" w:rsidP="003D42AA">
      <w:pPr>
        <w:spacing w:before="120"/>
        <w:rPr>
          <w:rFonts w:eastAsia="Century" w:hAnsi="Century" w:cs="Century"/>
          <w:sz w:val="21"/>
          <w:szCs w:val="21"/>
        </w:rPr>
      </w:pPr>
      <w:r w:rsidRPr="003D42AA">
        <w:rPr>
          <w:sz w:val="21"/>
          <w:szCs w:val="21"/>
        </w:rPr>
        <w:t xml:space="preserve">Dr John </w:t>
      </w:r>
      <w:proofErr w:type="spellStart"/>
      <w:r w:rsidRPr="003D42AA">
        <w:rPr>
          <w:sz w:val="21"/>
          <w:szCs w:val="21"/>
        </w:rPr>
        <w:t>Crawshaw</w:t>
      </w:r>
      <w:proofErr w:type="spellEnd"/>
      <w:r w:rsidRPr="003D42AA">
        <w:rPr>
          <w:sz w:val="21"/>
          <w:szCs w:val="21"/>
        </w:rPr>
        <w:t xml:space="preserve"> Director of Mental Health</w:t>
      </w:r>
      <w:r w:rsidR="003D42AA">
        <w:rPr>
          <w:sz w:val="21"/>
          <w:szCs w:val="21"/>
        </w:rPr>
        <w:br/>
      </w:r>
      <w:r w:rsidRPr="003D42AA">
        <w:rPr>
          <w:sz w:val="21"/>
          <w:szCs w:val="21"/>
        </w:rPr>
        <w:t>Chief Advisor, Mental Health</w:t>
      </w:r>
    </w:p>
    <w:p w:rsidR="00032C0A" w:rsidRPr="00666DF4" w:rsidRDefault="00032C0A" w:rsidP="003D42AA"/>
    <w:p w:rsidR="003D42AA" w:rsidRDefault="003D42AA" w:rsidP="003D42AA">
      <w:r>
        <w:br w:type="page"/>
      </w:r>
    </w:p>
    <w:p w:rsidR="009E5C48" w:rsidRDefault="009E5C48" w:rsidP="009E5C48"/>
    <w:p w:rsidR="003D42AA" w:rsidRPr="003D42AA" w:rsidRDefault="00A47CF6" w:rsidP="003D42AA">
      <w:pPr>
        <w:spacing w:before="2000"/>
        <w:jc w:val="center"/>
        <w:rPr>
          <w:b/>
          <w:sz w:val="28"/>
          <w:szCs w:val="28"/>
        </w:rPr>
      </w:pPr>
      <w:proofErr w:type="spellStart"/>
      <w:r w:rsidRPr="003D42AA">
        <w:rPr>
          <w:b/>
          <w:sz w:val="28"/>
          <w:szCs w:val="28"/>
        </w:rPr>
        <w:t>Mā</w:t>
      </w:r>
      <w:proofErr w:type="spellEnd"/>
      <w:r w:rsidRPr="003D42AA">
        <w:rPr>
          <w:b/>
          <w:sz w:val="28"/>
          <w:szCs w:val="28"/>
        </w:rPr>
        <w:t xml:space="preserve"> </w:t>
      </w:r>
      <w:proofErr w:type="spellStart"/>
      <w:proofErr w:type="gramStart"/>
      <w:r w:rsidRPr="003D42AA">
        <w:rPr>
          <w:b/>
          <w:sz w:val="28"/>
          <w:szCs w:val="28"/>
        </w:rPr>
        <w:t>te</w:t>
      </w:r>
      <w:proofErr w:type="spellEnd"/>
      <w:proofErr w:type="gramEnd"/>
      <w:r w:rsidRPr="003D42AA">
        <w:rPr>
          <w:b/>
          <w:sz w:val="28"/>
          <w:szCs w:val="28"/>
        </w:rPr>
        <w:t xml:space="preserve"> </w:t>
      </w:r>
      <w:proofErr w:type="spellStart"/>
      <w:r w:rsidRPr="003D42AA">
        <w:rPr>
          <w:b/>
          <w:sz w:val="28"/>
          <w:szCs w:val="28"/>
        </w:rPr>
        <w:t>rongo</w:t>
      </w:r>
      <w:proofErr w:type="spellEnd"/>
      <w:r w:rsidRPr="003D42AA">
        <w:rPr>
          <w:b/>
          <w:sz w:val="28"/>
          <w:szCs w:val="28"/>
        </w:rPr>
        <w:t xml:space="preserve">, </w:t>
      </w:r>
      <w:proofErr w:type="spellStart"/>
      <w:r w:rsidRPr="003D42AA">
        <w:rPr>
          <w:b/>
          <w:sz w:val="28"/>
          <w:szCs w:val="28"/>
        </w:rPr>
        <w:t>ka</w:t>
      </w:r>
      <w:proofErr w:type="spellEnd"/>
      <w:r w:rsidRPr="003D42AA">
        <w:rPr>
          <w:b/>
          <w:sz w:val="28"/>
          <w:szCs w:val="28"/>
        </w:rPr>
        <w:t xml:space="preserve"> </w:t>
      </w:r>
      <w:proofErr w:type="spellStart"/>
      <w:r w:rsidRPr="003D42AA">
        <w:rPr>
          <w:b/>
          <w:sz w:val="28"/>
          <w:szCs w:val="28"/>
        </w:rPr>
        <w:t>mōhio</w:t>
      </w:r>
      <w:proofErr w:type="spellEnd"/>
      <w:r w:rsidRPr="003D42AA">
        <w:rPr>
          <w:b/>
          <w:sz w:val="28"/>
          <w:szCs w:val="28"/>
        </w:rPr>
        <w:t>;</w:t>
      </w:r>
    </w:p>
    <w:p w:rsidR="003D42AA" w:rsidRPr="003D42AA" w:rsidRDefault="00A47CF6" w:rsidP="003D42AA">
      <w:pPr>
        <w:jc w:val="center"/>
        <w:rPr>
          <w:b/>
          <w:sz w:val="28"/>
          <w:szCs w:val="28"/>
        </w:rPr>
      </w:pPr>
      <w:proofErr w:type="spellStart"/>
      <w:r w:rsidRPr="003D42AA">
        <w:rPr>
          <w:b/>
          <w:sz w:val="28"/>
          <w:szCs w:val="28"/>
        </w:rPr>
        <w:t>Mā</w:t>
      </w:r>
      <w:proofErr w:type="spellEnd"/>
      <w:r w:rsidRPr="003D42AA">
        <w:rPr>
          <w:b/>
          <w:sz w:val="28"/>
          <w:szCs w:val="28"/>
        </w:rPr>
        <w:t xml:space="preserve"> </w:t>
      </w:r>
      <w:proofErr w:type="spellStart"/>
      <w:proofErr w:type="gramStart"/>
      <w:r w:rsidRPr="003D42AA">
        <w:rPr>
          <w:b/>
          <w:sz w:val="28"/>
          <w:szCs w:val="28"/>
        </w:rPr>
        <w:t>te</w:t>
      </w:r>
      <w:proofErr w:type="spellEnd"/>
      <w:proofErr w:type="gramEnd"/>
      <w:r w:rsidRPr="003D42AA">
        <w:rPr>
          <w:b/>
          <w:sz w:val="28"/>
          <w:szCs w:val="28"/>
        </w:rPr>
        <w:t xml:space="preserve"> </w:t>
      </w:r>
      <w:proofErr w:type="spellStart"/>
      <w:r w:rsidRPr="003D42AA">
        <w:rPr>
          <w:b/>
          <w:sz w:val="28"/>
          <w:szCs w:val="28"/>
        </w:rPr>
        <w:t>mōhio</w:t>
      </w:r>
      <w:proofErr w:type="spellEnd"/>
      <w:r w:rsidRPr="003D42AA">
        <w:rPr>
          <w:b/>
          <w:sz w:val="28"/>
          <w:szCs w:val="28"/>
        </w:rPr>
        <w:t xml:space="preserve">, </w:t>
      </w:r>
      <w:proofErr w:type="spellStart"/>
      <w:r w:rsidRPr="003D42AA">
        <w:rPr>
          <w:b/>
          <w:sz w:val="28"/>
          <w:szCs w:val="28"/>
        </w:rPr>
        <w:t>ka</w:t>
      </w:r>
      <w:proofErr w:type="spellEnd"/>
      <w:r w:rsidRPr="003D42AA">
        <w:rPr>
          <w:b/>
          <w:sz w:val="28"/>
          <w:szCs w:val="28"/>
        </w:rPr>
        <w:t xml:space="preserve"> </w:t>
      </w:r>
      <w:proofErr w:type="spellStart"/>
      <w:r w:rsidRPr="003D42AA">
        <w:rPr>
          <w:b/>
          <w:sz w:val="28"/>
          <w:szCs w:val="28"/>
        </w:rPr>
        <w:t>mārama</w:t>
      </w:r>
      <w:proofErr w:type="spellEnd"/>
      <w:r w:rsidRPr="003D42AA">
        <w:rPr>
          <w:b/>
          <w:sz w:val="28"/>
          <w:szCs w:val="28"/>
        </w:rPr>
        <w:t>;</w:t>
      </w:r>
    </w:p>
    <w:p w:rsidR="003D42AA" w:rsidRPr="003D42AA" w:rsidRDefault="00A47CF6" w:rsidP="003D42AA">
      <w:pPr>
        <w:jc w:val="center"/>
        <w:rPr>
          <w:b/>
          <w:sz w:val="28"/>
          <w:szCs w:val="28"/>
        </w:rPr>
      </w:pPr>
      <w:proofErr w:type="spellStart"/>
      <w:r w:rsidRPr="003D42AA">
        <w:rPr>
          <w:b/>
          <w:sz w:val="28"/>
          <w:szCs w:val="28"/>
        </w:rPr>
        <w:t>Mā</w:t>
      </w:r>
      <w:proofErr w:type="spellEnd"/>
      <w:r w:rsidRPr="003D42AA">
        <w:rPr>
          <w:b/>
          <w:sz w:val="28"/>
          <w:szCs w:val="28"/>
        </w:rPr>
        <w:t xml:space="preserve"> </w:t>
      </w:r>
      <w:proofErr w:type="spellStart"/>
      <w:proofErr w:type="gramStart"/>
      <w:r w:rsidRPr="003D42AA">
        <w:rPr>
          <w:b/>
          <w:sz w:val="28"/>
          <w:szCs w:val="28"/>
        </w:rPr>
        <w:t>te</w:t>
      </w:r>
      <w:proofErr w:type="spellEnd"/>
      <w:proofErr w:type="gramEnd"/>
      <w:r w:rsidRPr="003D42AA">
        <w:rPr>
          <w:b/>
          <w:sz w:val="28"/>
          <w:szCs w:val="28"/>
        </w:rPr>
        <w:t xml:space="preserve"> </w:t>
      </w:r>
      <w:proofErr w:type="spellStart"/>
      <w:r w:rsidRPr="003D42AA">
        <w:rPr>
          <w:b/>
          <w:sz w:val="28"/>
          <w:szCs w:val="28"/>
        </w:rPr>
        <w:t>mārama</w:t>
      </w:r>
      <w:proofErr w:type="spellEnd"/>
      <w:r w:rsidRPr="003D42AA">
        <w:rPr>
          <w:b/>
          <w:sz w:val="28"/>
          <w:szCs w:val="28"/>
        </w:rPr>
        <w:t xml:space="preserve">, </w:t>
      </w:r>
      <w:proofErr w:type="spellStart"/>
      <w:r w:rsidRPr="003D42AA">
        <w:rPr>
          <w:b/>
          <w:sz w:val="28"/>
          <w:szCs w:val="28"/>
        </w:rPr>
        <w:t>ka</w:t>
      </w:r>
      <w:proofErr w:type="spellEnd"/>
      <w:r w:rsidRPr="003D42AA">
        <w:rPr>
          <w:b/>
          <w:sz w:val="28"/>
          <w:szCs w:val="28"/>
        </w:rPr>
        <w:t xml:space="preserve"> </w:t>
      </w:r>
      <w:proofErr w:type="spellStart"/>
      <w:r w:rsidRPr="003D42AA">
        <w:rPr>
          <w:b/>
          <w:sz w:val="28"/>
          <w:szCs w:val="28"/>
        </w:rPr>
        <w:t>mātau</w:t>
      </w:r>
      <w:proofErr w:type="spellEnd"/>
      <w:r w:rsidRPr="003D42AA">
        <w:rPr>
          <w:b/>
          <w:sz w:val="28"/>
          <w:szCs w:val="28"/>
        </w:rPr>
        <w:t>;</w:t>
      </w:r>
    </w:p>
    <w:p w:rsidR="00A47CF6" w:rsidRPr="003D42AA" w:rsidRDefault="00A47CF6" w:rsidP="003D42AA">
      <w:pPr>
        <w:jc w:val="center"/>
        <w:rPr>
          <w:b/>
          <w:bCs/>
          <w:sz w:val="28"/>
          <w:szCs w:val="28"/>
        </w:rPr>
      </w:pPr>
      <w:proofErr w:type="spellStart"/>
      <w:r w:rsidRPr="003D42AA">
        <w:rPr>
          <w:b/>
          <w:sz w:val="28"/>
          <w:szCs w:val="28"/>
        </w:rPr>
        <w:t>Mā</w:t>
      </w:r>
      <w:proofErr w:type="spellEnd"/>
      <w:r w:rsidRPr="003D42AA">
        <w:rPr>
          <w:b/>
          <w:sz w:val="28"/>
          <w:szCs w:val="28"/>
        </w:rPr>
        <w:t xml:space="preserve"> </w:t>
      </w:r>
      <w:proofErr w:type="spellStart"/>
      <w:proofErr w:type="gramStart"/>
      <w:r w:rsidRPr="003D42AA">
        <w:rPr>
          <w:b/>
          <w:sz w:val="28"/>
          <w:szCs w:val="28"/>
        </w:rPr>
        <w:t>te</w:t>
      </w:r>
      <w:proofErr w:type="spellEnd"/>
      <w:proofErr w:type="gramEnd"/>
      <w:r w:rsidRPr="003D42AA">
        <w:rPr>
          <w:b/>
          <w:sz w:val="28"/>
          <w:szCs w:val="28"/>
        </w:rPr>
        <w:t xml:space="preserve"> </w:t>
      </w:r>
      <w:proofErr w:type="spellStart"/>
      <w:r w:rsidRPr="003D42AA">
        <w:rPr>
          <w:b/>
          <w:sz w:val="28"/>
          <w:szCs w:val="28"/>
        </w:rPr>
        <w:t>mātau</w:t>
      </w:r>
      <w:proofErr w:type="spellEnd"/>
      <w:r w:rsidRPr="003D42AA">
        <w:rPr>
          <w:b/>
          <w:sz w:val="28"/>
          <w:szCs w:val="28"/>
        </w:rPr>
        <w:t xml:space="preserve">, </w:t>
      </w:r>
      <w:proofErr w:type="spellStart"/>
      <w:r w:rsidRPr="003D42AA">
        <w:rPr>
          <w:b/>
          <w:sz w:val="28"/>
          <w:szCs w:val="28"/>
        </w:rPr>
        <w:t>ka</w:t>
      </w:r>
      <w:proofErr w:type="spellEnd"/>
      <w:r w:rsidRPr="003D42AA">
        <w:rPr>
          <w:b/>
          <w:sz w:val="28"/>
          <w:szCs w:val="28"/>
        </w:rPr>
        <w:t xml:space="preserve"> </w:t>
      </w:r>
      <w:proofErr w:type="spellStart"/>
      <w:r w:rsidRPr="003D42AA">
        <w:rPr>
          <w:b/>
          <w:sz w:val="28"/>
          <w:szCs w:val="28"/>
        </w:rPr>
        <w:t>ora</w:t>
      </w:r>
      <w:proofErr w:type="spellEnd"/>
      <w:r w:rsidRPr="003D42AA">
        <w:rPr>
          <w:b/>
          <w:sz w:val="28"/>
          <w:szCs w:val="28"/>
        </w:rPr>
        <w:t>.</w:t>
      </w:r>
    </w:p>
    <w:p w:rsidR="00A47CF6" w:rsidRPr="003D42AA" w:rsidRDefault="00A47CF6" w:rsidP="003D42AA">
      <w:pPr>
        <w:spacing w:before="240"/>
        <w:jc w:val="center"/>
        <w:rPr>
          <w:sz w:val="28"/>
          <w:szCs w:val="28"/>
        </w:rPr>
      </w:pPr>
      <w:r w:rsidRPr="003D42AA">
        <w:rPr>
          <w:sz w:val="28"/>
          <w:szCs w:val="28"/>
        </w:rPr>
        <w:t>Through resonance comes cognisance;</w:t>
      </w:r>
    </w:p>
    <w:p w:rsidR="003D42AA" w:rsidRDefault="00A47CF6" w:rsidP="003D42AA">
      <w:pPr>
        <w:jc w:val="center"/>
        <w:rPr>
          <w:sz w:val="28"/>
          <w:szCs w:val="28"/>
        </w:rPr>
      </w:pPr>
      <w:proofErr w:type="gramStart"/>
      <w:r w:rsidRPr="003D42AA">
        <w:rPr>
          <w:sz w:val="28"/>
          <w:szCs w:val="28"/>
        </w:rPr>
        <w:t>through</w:t>
      </w:r>
      <w:proofErr w:type="gramEnd"/>
      <w:r w:rsidRPr="003D42AA">
        <w:rPr>
          <w:sz w:val="28"/>
          <w:szCs w:val="28"/>
        </w:rPr>
        <w:t xml:space="preserve"> cognisance comes understanding;</w:t>
      </w:r>
    </w:p>
    <w:p w:rsidR="003D42AA" w:rsidRDefault="00A47CF6" w:rsidP="003D42AA">
      <w:pPr>
        <w:jc w:val="center"/>
        <w:rPr>
          <w:sz w:val="28"/>
          <w:szCs w:val="28"/>
        </w:rPr>
      </w:pPr>
      <w:proofErr w:type="gramStart"/>
      <w:r w:rsidRPr="003D42AA">
        <w:rPr>
          <w:sz w:val="28"/>
          <w:szCs w:val="28"/>
        </w:rPr>
        <w:t>through</w:t>
      </w:r>
      <w:proofErr w:type="gramEnd"/>
      <w:r w:rsidRPr="003D42AA">
        <w:rPr>
          <w:sz w:val="28"/>
          <w:szCs w:val="28"/>
        </w:rPr>
        <w:t xml:space="preserve"> understanding comes knowledge;</w:t>
      </w:r>
    </w:p>
    <w:p w:rsidR="00A47CF6" w:rsidRPr="003D42AA" w:rsidRDefault="00A47CF6" w:rsidP="003D42AA">
      <w:pPr>
        <w:jc w:val="center"/>
        <w:rPr>
          <w:sz w:val="28"/>
          <w:szCs w:val="28"/>
        </w:rPr>
      </w:pPr>
      <w:proofErr w:type="gramStart"/>
      <w:r w:rsidRPr="003D42AA">
        <w:rPr>
          <w:sz w:val="28"/>
          <w:szCs w:val="28"/>
        </w:rPr>
        <w:t>through</w:t>
      </w:r>
      <w:proofErr w:type="gramEnd"/>
      <w:r w:rsidRPr="003D42AA">
        <w:rPr>
          <w:sz w:val="28"/>
          <w:szCs w:val="28"/>
        </w:rPr>
        <w:t xml:space="preserve"> knowledge comes life and wellbeing</w:t>
      </w:r>
      <w:r w:rsidR="003D42AA">
        <w:rPr>
          <w:sz w:val="28"/>
          <w:szCs w:val="28"/>
        </w:rPr>
        <w:t>.</w:t>
      </w:r>
    </w:p>
    <w:p w:rsidR="003D137D" w:rsidRPr="00666DF4" w:rsidRDefault="003D137D" w:rsidP="003D137D"/>
    <w:p w:rsidR="00C86248" w:rsidRPr="00666DF4" w:rsidRDefault="00C86248" w:rsidP="00025A6F">
      <w:pPr>
        <w:pStyle w:val="IntroHead"/>
      </w:pPr>
      <w:r w:rsidRPr="00666DF4">
        <w:t>Contents</w:t>
      </w:r>
      <w:bookmarkEnd w:id="0"/>
      <w:bookmarkEnd w:id="1"/>
    </w:p>
    <w:p w:rsidR="006E6276" w:rsidRDefault="00C86248">
      <w:pPr>
        <w:pStyle w:val="TOC1"/>
        <w:rPr>
          <w:rFonts w:asciiTheme="minorHAnsi" w:eastAsiaTheme="minorEastAsia" w:hAnsiTheme="minorHAnsi" w:cstheme="minorBidi"/>
          <w:b w:val="0"/>
          <w:noProof/>
          <w:szCs w:val="22"/>
          <w:lang w:eastAsia="en-NZ"/>
        </w:rPr>
      </w:pPr>
      <w:r w:rsidRPr="00666DF4">
        <w:rPr>
          <w:b w:val="0"/>
        </w:rPr>
        <w:fldChar w:fldCharType="begin"/>
      </w:r>
      <w:r w:rsidRPr="00666DF4">
        <w:instrText xml:space="preserve"> TOC \o "1-2" </w:instrText>
      </w:r>
      <w:r w:rsidRPr="00666DF4">
        <w:rPr>
          <w:b w:val="0"/>
        </w:rPr>
        <w:fldChar w:fldCharType="separate"/>
      </w:r>
      <w:r w:rsidR="006E6276">
        <w:rPr>
          <w:noProof/>
        </w:rPr>
        <w:t>Foreword</w:t>
      </w:r>
      <w:r w:rsidR="006E6276">
        <w:rPr>
          <w:noProof/>
        </w:rPr>
        <w:tab/>
      </w:r>
      <w:r w:rsidR="006E6276">
        <w:rPr>
          <w:noProof/>
        </w:rPr>
        <w:fldChar w:fldCharType="begin"/>
      </w:r>
      <w:r w:rsidR="006E6276">
        <w:rPr>
          <w:noProof/>
        </w:rPr>
        <w:instrText xml:space="preserve"> PAGEREF _Toc508707255 \h </w:instrText>
      </w:r>
      <w:r w:rsidR="006E6276">
        <w:rPr>
          <w:noProof/>
        </w:rPr>
      </w:r>
      <w:r w:rsidR="006E6276">
        <w:rPr>
          <w:noProof/>
        </w:rPr>
        <w:fldChar w:fldCharType="separate"/>
      </w:r>
      <w:r w:rsidR="006E6276">
        <w:rPr>
          <w:noProof/>
        </w:rPr>
        <w:t>iii</w:t>
      </w:r>
      <w:r w:rsidR="006E6276">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_Toc508707256 \h </w:instrText>
      </w:r>
      <w:r>
        <w:rPr>
          <w:noProof/>
        </w:rPr>
      </w:r>
      <w:r>
        <w:rPr>
          <w:noProof/>
        </w:rPr>
        <w:fldChar w:fldCharType="separate"/>
      </w:r>
      <w:r>
        <w:rPr>
          <w:noProof/>
        </w:rPr>
        <w:t>x</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_Toc508707257 \h </w:instrText>
      </w:r>
      <w:r>
        <w:rPr>
          <w:noProof/>
        </w:rPr>
      </w:r>
      <w:r>
        <w:rPr>
          <w:noProof/>
        </w:rPr>
        <w:fldChar w:fldCharType="separate"/>
      </w:r>
      <w:r>
        <w:rPr>
          <w:noProof/>
        </w:rPr>
        <w:t>1</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Objectives</w:t>
      </w:r>
      <w:r>
        <w:rPr>
          <w:noProof/>
        </w:rPr>
        <w:tab/>
      </w:r>
      <w:r>
        <w:rPr>
          <w:noProof/>
        </w:rPr>
        <w:fldChar w:fldCharType="begin"/>
      </w:r>
      <w:r>
        <w:rPr>
          <w:noProof/>
        </w:rPr>
        <w:instrText xml:space="preserve"> PAGEREF _Toc508707258 \h </w:instrText>
      </w:r>
      <w:r>
        <w:rPr>
          <w:noProof/>
        </w:rPr>
      </w:r>
      <w:r>
        <w:rPr>
          <w:noProof/>
        </w:rPr>
        <w:fldChar w:fldCharType="separate"/>
      </w:r>
      <w:r>
        <w:rPr>
          <w:noProof/>
        </w:rPr>
        <w:t>1</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Structure of this report</w:t>
      </w:r>
      <w:r>
        <w:rPr>
          <w:noProof/>
        </w:rPr>
        <w:tab/>
      </w:r>
      <w:r>
        <w:rPr>
          <w:noProof/>
        </w:rPr>
        <w:fldChar w:fldCharType="begin"/>
      </w:r>
      <w:r>
        <w:rPr>
          <w:noProof/>
        </w:rPr>
        <w:instrText xml:space="preserve"> PAGEREF _Toc508707259 \h </w:instrText>
      </w:r>
      <w:r>
        <w:rPr>
          <w:noProof/>
        </w:rPr>
      </w:r>
      <w:r>
        <w:rPr>
          <w:noProof/>
        </w:rPr>
        <w:fldChar w:fldCharType="separate"/>
      </w:r>
      <w:r>
        <w:rPr>
          <w:noProof/>
        </w:rPr>
        <w:t>1</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Context</w:t>
      </w:r>
      <w:r>
        <w:rPr>
          <w:noProof/>
        </w:rPr>
        <w:tab/>
      </w:r>
      <w:r>
        <w:rPr>
          <w:noProof/>
        </w:rPr>
        <w:fldChar w:fldCharType="begin"/>
      </w:r>
      <w:r>
        <w:rPr>
          <w:noProof/>
        </w:rPr>
        <w:instrText xml:space="preserve"> PAGEREF _Toc508707260 \h </w:instrText>
      </w:r>
      <w:r>
        <w:rPr>
          <w:noProof/>
        </w:rPr>
      </w:r>
      <w:r>
        <w:rPr>
          <w:noProof/>
        </w:rPr>
        <w:fldChar w:fldCharType="separate"/>
      </w:r>
      <w:r>
        <w:rPr>
          <w:noProof/>
        </w:rPr>
        <w:t>2</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The Ministry of Health</w:t>
      </w:r>
      <w:r>
        <w:rPr>
          <w:noProof/>
        </w:rPr>
        <w:tab/>
      </w:r>
      <w:r>
        <w:rPr>
          <w:noProof/>
        </w:rPr>
        <w:fldChar w:fldCharType="begin"/>
      </w:r>
      <w:r>
        <w:rPr>
          <w:noProof/>
        </w:rPr>
        <w:instrText xml:space="preserve"> PAGEREF _Toc508707261 \h </w:instrText>
      </w:r>
      <w:r>
        <w:rPr>
          <w:noProof/>
        </w:rPr>
      </w:r>
      <w:r>
        <w:rPr>
          <w:noProof/>
        </w:rPr>
        <w:fldChar w:fldCharType="separate"/>
      </w:r>
      <w:r>
        <w:rPr>
          <w:noProof/>
        </w:rPr>
        <w:t>2</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Mental health care in New Zealand: A transformational journey</w:t>
      </w:r>
      <w:r>
        <w:rPr>
          <w:noProof/>
        </w:rPr>
        <w:tab/>
      </w:r>
      <w:r>
        <w:rPr>
          <w:noProof/>
        </w:rPr>
        <w:fldChar w:fldCharType="begin"/>
      </w:r>
      <w:r>
        <w:rPr>
          <w:noProof/>
        </w:rPr>
        <w:instrText xml:space="preserve"> PAGEREF _Toc508707262 \h </w:instrText>
      </w:r>
      <w:r>
        <w:rPr>
          <w:noProof/>
        </w:rPr>
      </w:r>
      <w:r>
        <w:rPr>
          <w:noProof/>
        </w:rPr>
        <w:fldChar w:fldCharType="separate"/>
      </w:r>
      <w:r>
        <w:rPr>
          <w:noProof/>
        </w:rPr>
        <w:t>2</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Specialist mental health services</w:t>
      </w:r>
      <w:r>
        <w:rPr>
          <w:noProof/>
        </w:rPr>
        <w:tab/>
      </w:r>
      <w:r>
        <w:rPr>
          <w:noProof/>
        </w:rPr>
        <w:fldChar w:fldCharType="begin"/>
      </w:r>
      <w:r>
        <w:rPr>
          <w:noProof/>
        </w:rPr>
        <w:instrText xml:space="preserve"> PAGEREF _Toc508707263 \h </w:instrText>
      </w:r>
      <w:r>
        <w:rPr>
          <w:noProof/>
        </w:rPr>
      </w:r>
      <w:r>
        <w:rPr>
          <w:noProof/>
        </w:rPr>
        <w:fldChar w:fldCharType="separate"/>
      </w:r>
      <w:r>
        <w:rPr>
          <w:noProof/>
        </w:rPr>
        <w:t>4</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The Mental Health Act</w:t>
      </w:r>
      <w:r>
        <w:rPr>
          <w:noProof/>
        </w:rPr>
        <w:tab/>
      </w:r>
      <w:r>
        <w:rPr>
          <w:noProof/>
        </w:rPr>
        <w:fldChar w:fldCharType="begin"/>
      </w:r>
      <w:r>
        <w:rPr>
          <w:noProof/>
        </w:rPr>
        <w:instrText xml:space="preserve"> PAGEREF _Toc508707264 \h </w:instrText>
      </w:r>
      <w:r>
        <w:rPr>
          <w:noProof/>
        </w:rPr>
      </w:r>
      <w:r>
        <w:rPr>
          <w:noProof/>
        </w:rPr>
        <w:fldChar w:fldCharType="separate"/>
      </w:r>
      <w:r>
        <w:rPr>
          <w:noProof/>
        </w:rPr>
        <w:t>6</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Activities for 2016</w:t>
      </w:r>
      <w:r>
        <w:rPr>
          <w:noProof/>
        </w:rPr>
        <w:tab/>
      </w:r>
      <w:r>
        <w:rPr>
          <w:noProof/>
        </w:rPr>
        <w:fldChar w:fldCharType="begin"/>
      </w:r>
      <w:r>
        <w:rPr>
          <w:noProof/>
        </w:rPr>
        <w:instrText xml:space="preserve"> PAGEREF _Toc508707265 \h </w:instrText>
      </w:r>
      <w:r>
        <w:rPr>
          <w:noProof/>
        </w:rPr>
      </w:r>
      <w:r>
        <w:rPr>
          <w:noProof/>
        </w:rPr>
        <w:fldChar w:fldCharType="separate"/>
      </w:r>
      <w:r>
        <w:rPr>
          <w:noProof/>
        </w:rPr>
        <w:t>10</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Mental health sector relationships</w:t>
      </w:r>
      <w:r>
        <w:rPr>
          <w:noProof/>
        </w:rPr>
        <w:tab/>
      </w:r>
      <w:r>
        <w:rPr>
          <w:noProof/>
        </w:rPr>
        <w:fldChar w:fldCharType="begin"/>
      </w:r>
      <w:r>
        <w:rPr>
          <w:noProof/>
        </w:rPr>
        <w:instrText xml:space="preserve"> PAGEREF _Toc508707266 \h </w:instrText>
      </w:r>
      <w:r>
        <w:rPr>
          <w:noProof/>
        </w:rPr>
      </w:r>
      <w:r>
        <w:rPr>
          <w:noProof/>
        </w:rPr>
        <w:fldChar w:fldCharType="separate"/>
      </w:r>
      <w:r>
        <w:rPr>
          <w:noProof/>
        </w:rPr>
        <w:t>10</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Cross-government relationships</w:t>
      </w:r>
      <w:r>
        <w:rPr>
          <w:noProof/>
        </w:rPr>
        <w:tab/>
      </w:r>
      <w:r>
        <w:rPr>
          <w:noProof/>
        </w:rPr>
        <w:fldChar w:fldCharType="begin"/>
      </w:r>
      <w:r>
        <w:rPr>
          <w:noProof/>
        </w:rPr>
        <w:instrText xml:space="preserve"> PAGEREF _Toc508707267 \h </w:instrText>
      </w:r>
      <w:r>
        <w:rPr>
          <w:noProof/>
        </w:rPr>
      </w:r>
      <w:r>
        <w:rPr>
          <w:noProof/>
        </w:rPr>
        <w:fldChar w:fldCharType="separate"/>
      </w:r>
      <w:r>
        <w:rPr>
          <w:noProof/>
        </w:rPr>
        <w:t>10</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Child and adolescent mental health services</w:t>
      </w:r>
      <w:r>
        <w:rPr>
          <w:noProof/>
        </w:rPr>
        <w:tab/>
      </w:r>
      <w:r>
        <w:rPr>
          <w:noProof/>
        </w:rPr>
        <w:fldChar w:fldCharType="begin"/>
      </w:r>
      <w:r>
        <w:rPr>
          <w:noProof/>
        </w:rPr>
        <w:instrText xml:space="preserve"> PAGEREF _Toc508707268 \h </w:instrText>
      </w:r>
      <w:r>
        <w:rPr>
          <w:noProof/>
        </w:rPr>
      </w:r>
      <w:r>
        <w:rPr>
          <w:noProof/>
        </w:rPr>
        <w:fldChar w:fldCharType="separate"/>
      </w:r>
      <w:r>
        <w:rPr>
          <w:noProof/>
        </w:rPr>
        <w:t>11</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Statutory changes to health practitioner status</w:t>
      </w:r>
      <w:r>
        <w:rPr>
          <w:noProof/>
        </w:rPr>
        <w:tab/>
      </w:r>
      <w:r>
        <w:rPr>
          <w:noProof/>
        </w:rPr>
        <w:fldChar w:fldCharType="begin"/>
      </w:r>
      <w:r>
        <w:rPr>
          <w:noProof/>
        </w:rPr>
        <w:instrText xml:space="preserve"> PAGEREF _Toc508707269 \h </w:instrText>
      </w:r>
      <w:r>
        <w:rPr>
          <w:noProof/>
        </w:rPr>
      </w:r>
      <w:r>
        <w:rPr>
          <w:noProof/>
        </w:rPr>
        <w:fldChar w:fldCharType="separate"/>
      </w:r>
      <w:r>
        <w:rPr>
          <w:noProof/>
        </w:rPr>
        <w:t>11</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Towards restraint-free mental health practice</w:t>
      </w:r>
      <w:r>
        <w:rPr>
          <w:noProof/>
        </w:rPr>
        <w:tab/>
      </w:r>
      <w:r>
        <w:rPr>
          <w:noProof/>
        </w:rPr>
        <w:fldChar w:fldCharType="begin"/>
      </w:r>
      <w:r>
        <w:rPr>
          <w:noProof/>
        </w:rPr>
        <w:instrText xml:space="preserve"> PAGEREF _Toc508707270 \h </w:instrText>
      </w:r>
      <w:r>
        <w:rPr>
          <w:noProof/>
        </w:rPr>
      </w:r>
      <w:r>
        <w:rPr>
          <w:noProof/>
        </w:rPr>
        <w:fldChar w:fldCharType="separate"/>
      </w:r>
      <w:r>
        <w:rPr>
          <w:noProof/>
        </w:rPr>
        <w:t>12</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A strategic approach to rural mental health and addiction</w:t>
      </w:r>
      <w:r>
        <w:rPr>
          <w:noProof/>
        </w:rPr>
        <w:tab/>
      </w:r>
      <w:r>
        <w:rPr>
          <w:noProof/>
        </w:rPr>
        <w:fldChar w:fldCharType="begin"/>
      </w:r>
      <w:r>
        <w:rPr>
          <w:noProof/>
        </w:rPr>
        <w:instrText xml:space="preserve"> PAGEREF _Toc508707271 \h </w:instrText>
      </w:r>
      <w:r>
        <w:rPr>
          <w:noProof/>
        </w:rPr>
      </w:r>
      <w:r>
        <w:rPr>
          <w:noProof/>
        </w:rPr>
        <w:fldChar w:fldCharType="separate"/>
      </w:r>
      <w:r>
        <w:rPr>
          <w:noProof/>
        </w:rPr>
        <w:t>13</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Office of the Auditor-General performance audit</w:t>
      </w:r>
      <w:r>
        <w:rPr>
          <w:noProof/>
        </w:rPr>
        <w:tab/>
      </w:r>
      <w:r>
        <w:rPr>
          <w:noProof/>
        </w:rPr>
        <w:fldChar w:fldCharType="begin"/>
      </w:r>
      <w:r>
        <w:rPr>
          <w:noProof/>
        </w:rPr>
        <w:instrText xml:space="preserve"> PAGEREF _Toc508707272 \h </w:instrText>
      </w:r>
      <w:r>
        <w:rPr>
          <w:noProof/>
        </w:rPr>
      </w:r>
      <w:r>
        <w:rPr>
          <w:noProof/>
        </w:rPr>
        <w:fldChar w:fldCharType="separate"/>
      </w:r>
      <w:r>
        <w:rPr>
          <w:noProof/>
        </w:rPr>
        <w:t>13</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Mental Health and Addiction Workforce Action Plan</w:t>
      </w:r>
      <w:r>
        <w:rPr>
          <w:noProof/>
        </w:rPr>
        <w:tab/>
      </w:r>
      <w:r>
        <w:rPr>
          <w:noProof/>
        </w:rPr>
        <w:fldChar w:fldCharType="begin"/>
      </w:r>
      <w:r>
        <w:rPr>
          <w:noProof/>
        </w:rPr>
        <w:instrText xml:space="preserve"> PAGEREF _Toc508707273 \h </w:instrText>
      </w:r>
      <w:r>
        <w:rPr>
          <w:noProof/>
        </w:rPr>
      </w:r>
      <w:r>
        <w:rPr>
          <w:noProof/>
        </w:rPr>
        <w:fldChar w:fldCharType="separate"/>
      </w:r>
      <w:r>
        <w:rPr>
          <w:noProof/>
        </w:rPr>
        <w:t>14</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New Zealanders returning from Australia</w:t>
      </w:r>
      <w:r>
        <w:rPr>
          <w:noProof/>
        </w:rPr>
        <w:tab/>
      </w:r>
      <w:r>
        <w:rPr>
          <w:noProof/>
        </w:rPr>
        <w:fldChar w:fldCharType="begin"/>
      </w:r>
      <w:r>
        <w:rPr>
          <w:noProof/>
        </w:rPr>
        <w:instrText xml:space="preserve"> PAGEREF _Toc508707274 \h </w:instrText>
      </w:r>
      <w:r>
        <w:rPr>
          <w:noProof/>
        </w:rPr>
      </w:r>
      <w:r>
        <w:rPr>
          <w:noProof/>
        </w:rPr>
        <w:fldChar w:fldCharType="separate"/>
      </w:r>
      <w:r>
        <w:rPr>
          <w:noProof/>
        </w:rPr>
        <w:t>15</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Substance Addiction (Compulsory Assessment and Treatment) Bill</w:t>
      </w:r>
      <w:r>
        <w:rPr>
          <w:noProof/>
        </w:rPr>
        <w:tab/>
      </w:r>
      <w:r>
        <w:rPr>
          <w:noProof/>
        </w:rPr>
        <w:fldChar w:fldCharType="begin"/>
      </w:r>
      <w:r>
        <w:rPr>
          <w:noProof/>
        </w:rPr>
        <w:instrText xml:space="preserve"> PAGEREF _Toc508707275 \h </w:instrText>
      </w:r>
      <w:r>
        <w:rPr>
          <w:noProof/>
        </w:rPr>
      </w:r>
      <w:r>
        <w:rPr>
          <w:noProof/>
        </w:rPr>
        <w:fldChar w:fldCharType="separate"/>
      </w:r>
      <w:r>
        <w:rPr>
          <w:noProof/>
        </w:rPr>
        <w:t>15</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Action 9(d) of the Disability Action Plan 2014–2018</w:t>
      </w:r>
      <w:r>
        <w:rPr>
          <w:noProof/>
        </w:rPr>
        <w:tab/>
      </w:r>
      <w:r>
        <w:rPr>
          <w:noProof/>
        </w:rPr>
        <w:fldChar w:fldCharType="begin"/>
      </w:r>
      <w:r>
        <w:rPr>
          <w:noProof/>
        </w:rPr>
        <w:instrText xml:space="preserve"> PAGEREF _Toc508707276 \h </w:instrText>
      </w:r>
      <w:r>
        <w:rPr>
          <w:noProof/>
        </w:rPr>
      </w:r>
      <w:r>
        <w:rPr>
          <w:noProof/>
        </w:rPr>
        <w:fldChar w:fldCharType="separate"/>
      </w:r>
      <w:r>
        <w:rPr>
          <w:noProof/>
        </w:rPr>
        <w:t>16</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Other investigations</w:t>
      </w:r>
      <w:r>
        <w:rPr>
          <w:noProof/>
        </w:rPr>
        <w:tab/>
      </w:r>
      <w:r>
        <w:rPr>
          <w:noProof/>
        </w:rPr>
        <w:fldChar w:fldCharType="begin"/>
      </w:r>
      <w:r>
        <w:rPr>
          <w:noProof/>
        </w:rPr>
        <w:instrText xml:space="preserve"> PAGEREF _Toc508707277 \h </w:instrText>
      </w:r>
      <w:r>
        <w:rPr>
          <w:noProof/>
        </w:rPr>
      </w:r>
      <w:r>
        <w:rPr>
          <w:noProof/>
        </w:rPr>
        <w:fldChar w:fldCharType="separate"/>
      </w:r>
      <w:r>
        <w:rPr>
          <w:noProof/>
        </w:rPr>
        <w:t>16</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Ensuring service quality</w:t>
      </w:r>
      <w:r>
        <w:rPr>
          <w:noProof/>
        </w:rPr>
        <w:tab/>
      </w:r>
      <w:r>
        <w:rPr>
          <w:noProof/>
        </w:rPr>
        <w:fldChar w:fldCharType="begin"/>
      </w:r>
      <w:r>
        <w:rPr>
          <w:noProof/>
        </w:rPr>
        <w:instrText xml:space="preserve"> PAGEREF _Toc508707278 \h </w:instrText>
      </w:r>
      <w:r>
        <w:rPr>
          <w:noProof/>
        </w:rPr>
      </w:r>
      <w:r>
        <w:rPr>
          <w:noProof/>
        </w:rPr>
        <w:fldChar w:fldCharType="separate"/>
      </w:r>
      <w:r>
        <w:rPr>
          <w:noProof/>
        </w:rPr>
        <w:t>18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Specialist mental health services</w:t>
      </w:r>
      <w:r>
        <w:rPr>
          <w:noProof/>
        </w:rPr>
        <w:tab/>
      </w:r>
      <w:r>
        <w:rPr>
          <w:noProof/>
        </w:rPr>
        <w:fldChar w:fldCharType="begin"/>
      </w:r>
      <w:r>
        <w:rPr>
          <w:noProof/>
        </w:rPr>
        <w:instrText xml:space="preserve"> PAGEREF _Toc508707279 \h </w:instrText>
      </w:r>
      <w:r>
        <w:rPr>
          <w:noProof/>
        </w:rPr>
      </w:r>
      <w:r>
        <w:rPr>
          <w:noProof/>
        </w:rPr>
        <w:fldChar w:fldCharType="separate"/>
      </w:r>
      <w:r>
        <w:rPr>
          <w:noProof/>
        </w:rPr>
        <w:t>18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Use of the Mental Health Act</w:t>
      </w:r>
      <w:r>
        <w:rPr>
          <w:noProof/>
        </w:rPr>
        <w:tab/>
      </w:r>
      <w:r>
        <w:rPr>
          <w:noProof/>
        </w:rPr>
        <w:fldChar w:fldCharType="begin"/>
      </w:r>
      <w:r>
        <w:rPr>
          <w:noProof/>
        </w:rPr>
        <w:instrText xml:space="preserve"> PAGEREF _Toc508707280 \h </w:instrText>
      </w:r>
      <w:r>
        <w:rPr>
          <w:noProof/>
        </w:rPr>
      </w:r>
      <w:r>
        <w:rPr>
          <w:noProof/>
        </w:rPr>
        <w:fldChar w:fldCharType="separate"/>
      </w:r>
      <w:r>
        <w:rPr>
          <w:noProof/>
        </w:rPr>
        <w:t>21</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Māori and the Mental Health Act</w:t>
      </w:r>
      <w:r>
        <w:rPr>
          <w:noProof/>
        </w:rPr>
        <w:tab/>
      </w:r>
      <w:r>
        <w:rPr>
          <w:noProof/>
        </w:rPr>
        <w:fldChar w:fldCharType="begin"/>
      </w:r>
      <w:r>
        <w:rPr>
          <w:noProof/>
        </w:rPr>
        <w:instrText xml:space="preserve"> PAGEREF _Toc508707281 \h </w:instrText>
      </w:r>
      <w:r>
        <w:rPr>
          <w:noProof/>
        </w:rPr>
      </w:r>
      <w:r>
        <w:rPr>
          <w:noProof/>
        </w:rPr>
        <w:fldChar w:fldCharType="separate"/>
      </w:r>
      <w:r>
        <w:rPr>
          <w:noProof/>
        </w:rPr>
        <w:t>28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Family/whānau consultation and the Mental Health Act</w:t>
      </w:r>
      <w:r>
        <w:rPr>
          <w:noProof/>
        </w:rPr>
        <w:tab/>
      </w:r>
      <w:r>
        <w:rPr>
          <w:noProof/>
        </w:rPr>
        <w:fldChar w:fldCharType="begin"/>
      </w:r>
      <w:r>
        <w:rPr>
          <w:noProof/>
        </w:rPr>
        <w:instrText xml:space="preserve"> PAGEREF _Toc508707282 \h </w:instrText>
      </w:r>
      <w:r>
        <w:rPr>
          <w:noProof/>
        </w:rPr>
      </w:r>
      <w:r>
        <w:rPr>
          <w:noProof/>
        </w:rPr>
        <w:fldChar w:fldCharType="separate"/>
      </w:r>
      <w:r>
        <w:rPr>
          <w:noProof/>
        </w:rPr>
        <w:t>33</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Seclusion</w:t>
      </w:r>
      <w:r>
        <w:rPr>
          <w:noProof/>
        </w:rPr>
        <w:tab/>
      </w:r>
      <w:r>
        <w:rPr>
          <w:noProof/>
        </w:rPr>
        <w:fldChar w:fldCharType="begin"/>
      </w:r>
      <w:r>
        <w:rPr>
          <w:noProof/>
        </w:rPr>
        <w:instrText xml:space="preserve"> PAGEREF _Toc508707283 \h </w:instrText>
      </w:r>
      <w:r>
        <w:rPr>
          <w:noProof/>
        </w:rPr>
      </w:r>
      <w:r>
        <w:rPr>
          <w:noProof/>
        </w:rPr>
        <w:fldChar w:fldCharType="separate"/>
      </w:r>
      <w:r>
        <w:rPr>
          <w:noProof/>
        </w:rPr>
        <w:t>36</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Special and restricted patients</w:t>
      </w:r>
      <w:r>
        <w:rPr>
          <w:noProof/>
        </w:rPr>
        <w:tab/>
      </w:r>
      <w:r>
        <w:rPr>
          <w:noProof/>
        </w:rPr>
        <w:fldChar w:fldCharType="begin"/>
      </w:r>
      <w:r>
        <w:rPr>
          <w:noProof/>
        </w:rPr>
        <w:instrText xml:space="preserve"> PAGEREF _Toc508707284 \h </w:instrText>
      </w:r>
      <w:r>
        <w:rPr>
          <w:noProof/>
        </w:rPr>
      </w:r>
      <w:r>
        <w:rPr>
          <w:noProof/>
        </w:rPr>
        <w:fldChar w:fldCharType="separate"/>
      </w:r>
      <w:r>
        <w:rPr>
          <w:noProof/>
        </w:rPr>
        <w:t>44</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Mental health and addiction adverse event reporting</w:t>
      </w:r>
      <w:r>
        <w:rPr>
          <w:noProof/>
        </w:rPr>
        <w:tab/>
      </w:r>
      <w:r>
        <w:rPr>
          <w:noProof/>
        </w:rPr>
        <w:fldChar w:fldCharType="begin"/>
      </w:r>
      <w:r>
        <w:rPr>
          <w:noProof/>
        </w:rPr>
        <w:instrText xml:space="preserve"> PAGEREF _Toc508707285 \h </w:instrText>
      </w:r>
      <w:r>
        <w:rPr>
          <w:noProof/>
        </w:rPr>
      </w:r>
      <w:r>
        <w:rPr>
          <w:noProof/>
        </w:rPr>
        <w:fldChar w:fldCharType="separate"/>
      </w:r>
      <w:r>
        <w:rPr>
          <w:noProof/>
        </w:rPr>
        <w:t>50</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Death by suicide</w:t>
      </w:r>
      <w:r>
        <w:rPr>
          <w:noProof/>
        </w:rPr>
        <w:tab/>
      </w:r>
      <w:r>
        <w:rPr>
          <w:noProof/>
        </w:rPr>
        <w:fldChar w:fldCharType="begin"/>
      </w:r>
      <w:r>
        <w:rPr>
          <w:noProof/>
        </w:rPr>
        <w:instrText xml:space="preserve"> PAGEREF _Toc508707286 \h </w:instrText>
      </w:r>
      <w:r>
        <w:rPr>
          <w:noProof/>
        </w:rPr>
      </w:r>
      <w:r>
        <w:rPr>
          <w:noProof/>
        </w:rPr>
        <w:fldChar w:fldCharType="separate"/>
      </w:r>
      <w:r>
        <w:rPr>
          <w:noProof/>
        </w:rPr>
        <w:t>53</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Specialist treatment regimes</w:t>
      </w:r>
      <w:r>
        <w:rPr>
          <w:noProof/>
        </w:rPr>
        <w:tab/>
      </w:r>
      <w:r>
        <w:rPr>
          <w:noProof/>
        </w:rPr>
        <w:fldChar w:fldCharType="begin"/>
      </w:r>
      <w:r>
        <w:rPr>
          <w:noProof/>
        </w:rPr>
        <w:instrText xml:space="preserve"> PAGEREF _Toc508707287 \h </w:instrText>
      </w:r>
      <w:r>
        <w:rPr>
          <w:noProof/>
        </w:rPr>
      </w:r>
      <w:r>
        <w:rPr>
          <w:noProof/>
        </w:rPr>
        <w:fldChar w:fldCharType="separate"/>
      </w:r>
      <w:r>
        <w:rPr>
          <w:noProof/>
        </w:rPr>
        <w:t>58</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_Toc508707288 \h </w:instrText>
      </w:r>
      <w:r>
        <w:rPr>
          <w:noProof/>
        </w:rPr>
      </w:r>
      <w:r>
        <w:rPr>
          <w:noProof/>
        </w:rPr>
        <w:fldChar w:fldCharType="separate"/>
      </w:r>
      <w:r>
        <w:rPr>
          <w:noProof/>
        </w:rPr>
        <w:t>70</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Appendix 1: Caveats relating to the Programme for the Integration of Mental Health Data</w:t>
      </w:r>
      <w:r>
        <w:rPr>
          <w:noProof/>
        </w:rPr>
        <w:tab/>
      </w:r>
      <w:r>
        <w:rPr>
          <w:noProof/>
        </w:rPr>
        <w:fldChar w:fldCharType="begin"/>
      </w:r>
      <w:r>
        <w:rPr>
          <w:noProof/>
        </w:rPr>
        <w:instrText xml:space="preserve"> PAGEREF _Toc508707289 \h </w:instrText>
      </w:r>
      <w:r>
        <w:rPr>
          <w:noProof/>
        </w:rPr>
      </w:r>
      <w:r>
        <w:rPr>
          <w:noProof/>
        </w:rPr>
        <w:fldChar w:fldCharType="separate"/>
      </w:r>
      <w:r>
        <w:rPr>
          <w:noProof/>
        </w:rPr>
        <w:t>72</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Appendix 2: Deputy Director of Mental Health: Dr Ian Soosay</w:t>
      </w:r>
      <w:r>
        <w:rPr>
          <w:noProof/>
        </w:rPr>
        <w:tab/>
      </w:r>
      <w:r>
        <w:rPr>
          <w:noProof/>
        </w:rPr>
        <w:fldChar w:fldCharType="begin"/>
      </w:r>
      <w:r>
        <w:rPr>
          <w:noProof/>
        </w:rPr>
        <w:instrText xml:space="preserve"> PAGEREF _Toc508707290 \h </w:instrText>
      </w:r>
      <w:r>
        <w:rPr>
          <w:noProof/>
        </w:rPr>
      </w:r>
      <w:r>
        <w:rPr>
          <w:noProof/>
        </w:rPr>
        <w:fldChar w:fldCharType="separate"/>
      </w:r>
      <w:r>
        <w:rPr>
          <w:noProof/>
        </w:rPr>
        <w:t>73</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Appendix 3: Additional statistics</w:t>
      </w:r>
      <w:r>
        <w:rPr>
          <w:noProof/>
        </w:rPr>
        <w:tab/>
      </w:r>
      <w:r>
        <w:rPr>
          <w:noProof/>
        </w:rPr>
        <w:fldChar w:fldCharType="begin"/>
      </w:r>
      <w:r>
        <w:rPr>
          <w:noProof/>
        </w:rPr>
        <w:instrText xml:space="preserve"> PAGEREF _Toc508707291 \h </w:instrText>
      </w:r>
      <w:r>
        <w:rPr>
          <w:noProof/>
        </w:rPr>
      </w:r>
      <w:r>
        <w:rPr>
          <w:noProof/>
        </w:rPr>
        <w:fldChar w:fldCharType="separate"/>
      </w:r>
      <w:r>
        <w:rPr>
          <w:noProof/>
        </w:rPr>
        <w:t>74</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The Mental Health Review Tribunal</w:t>
      </w:r>
      <w:r>
        <w:rPr>
          <w:noProof/>
        </w:rPr>
        <w:tab/>
      </w:r>
      <w:r>
        <w:rPr>
          <w:noProof/>
        </w:rPr>
        <w:fldChar w:fldCharType="begin"/>
      </w:r>
      <w:r>
        <w:rPr>
          <w:noProof/>
        </w:rPr>
        <w:instrText xml:space="preserve"> PAGEREF _Toc508707292 \h </w:instrText>
      </w:r>
      <w:r>
        <w:rPr>
          <w:noProof/>
        </w:rPr>
      </w:r>
      <w:r>
        <w:rPr>
          <w:noProof/>
        </w:rPr>
        <w:fldChar w:fldCharType="separate"/>
      </w:r>
      <w:r>
        <w:rPr>
          <w:noProof/>
        </w:rPr>
        <w:t>74</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Ministry of Justice statistics</w:t>
      </w:r>
      <w:r>
        <w:rPr>
          <w:noProof/>
        </w:rPr>
        <w:tab/>
      </w:r>
      <w:r>
        <w:rPr>
          <w:noProof/>
        </w:rPr>
        <w:fldChar w:fldCharType="begin"/>
      </w:r>
      <w:r>
        <w:rPr>
          <w:noProof/>
        </w:rPr>
        <w:instrText xml:space="preserve"> PAGEREF _Toc508707293 \h </w:instrText>
      </w:r>
      <w:r>
        <w:rPr>
          <w:noProof/>
        </w:rPr>
      </w:r>
      <w:r>
        <w:rPr>
          <w:noProof/>
        </w:rPr>
        <w:fldChar w:fldCharType="separate"/>
      </w:r>
      <w:r>
        <w:rPr>
          <w:noProof/>
        </w:rPr>
        <w:t>76</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Special patient legal status types</w:t>
      </w:r>
      <w:r>
        <w:rPr>
          <w:noProof/>
        </w:rPr>
        <w:tab/>
      </w:r>
      <w:r>
        <w:rPr>
          <w:noProof/>
        </w:rPr>
        <w:fldChar w:fldCharType="begin"/>
      </w:r>
      <w:r>
        <w:rPr>
          <w:noProof/>
        </w:rPr>
        <w:instrText xml:space="preserve"> PAGEREF _Toc508707294 \h </w:instrText>
      </w:r>
      <w:r>
        <w:rPr>
          <w:noProof/>
        </w:rPr>
      </w:r>
      <w:r>
        <w:rPr>
          <w:noProof/>
        </w:rPr>
        <w:fldChar w:fldCharType="separate"/>
      </w:r>
      <w:r>
        <w:rPr>
          <w:noProof/>
        </w:rPr>
        <w:t>77</w:t>
      </w:r>
      <w:r>
        <w:rPr>
          <w:noProof/>
        </w:rPr>
        <w:fldChar w:fldCharType="end"/>
      </w:r>
    </w:p>
    <w:p w:rsidR="006E6276" w:rsidRDefault="006E6276">
      <w:pPr>
        <w:pStyle w:val="TOC1"/>
        <w:rPr>
          <w:rFonts w:asciiTheme="minorHAnsi" w:eastAsiaTheme="minorEastAsia" w:hAnsiTheme="minorHAnsi" w:cstheme="minorBidi"/>
          <w:b w:val="0"/>
          <w:noProof/>
          <w:szCs w:val="22"/>
          <w:lang w:eastAsia="en-NZ"/>
        </w:rPr>
      </w:pPr>
      <w:r>
        <w:rPr>
          <w:noProof/>
        </w:rPr>
        <w:t>Appendix 4: Developments in mental health and addiction reporting and improvement</w:t>
      </w:r>
      <w:r>
        <w:rPr>
          <w:noProof/>
        </w:rPr>
        <w:tab/>
      </w:r>
      <w:r>
        <w:rPr>
          <w:noProof/>
        </w:rPr>
        <w:fldChar w:fldCharType="begin"/>
      </w:r>
      <w:r>
        <w:rPr>
          <w:noProof/>
        </w:rPr>
        <w:instrText xml:space="preserve"> PAGEREF _Toc508707295 \h </w:instrText>
      </w:r>
      <w:r>
        <w:rPr>
          <w:noProof/>
        </w:rPr>
      </w:r>
      <w:r>
        <w:rPr>
          <w:noProof/>
        </w:rPr>
        <w:fldChar w:fldCharType="separate"/>
      </w:r>
      <w:r>
        <w:rPr>
          <w:noProof/>
        </w:rPr>
        <w:t>78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Updated National Adverse Events Reporting Policy 2017</w:t>
      </w:r>
      <w:r>
        <w:rPr>
          <w:noProof/>
        </w:rPr>
        <w:tab/>
      </w:r>
      <w:r>
        <w:rPr>
          <w:noProof/>
        </w:rPr>
        <w:fldChar w:fldCharType="begin"/>
      </w:r>
      <w:r>
        <w:rPr>
          <w:noProof/>
        </w:rPr>
        <w:instrText xml:space="preserve"> PAGEREF _Toc508707296 \h </w:instrText>
      </w:r>
      <w:r>
        <w:rPr>
          <w:noProof/>
        </w:rPr>
      </w:r>
      <w:r>
        <w:rPr>
          <w:noProof/>
        </w:rPr>
        <w:fldChar w:fldCharType="separate"/>
      </w:r>
      <w:r>
        <w:rPr>
          <w:noProof/>
        </w:rPr>
        <w:t>78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National mental health and addiction quality improvement programme</w:t>
      </w:r>
      <w:r>
        <w:rPr>
          <w:noProof/>
        </w:rPr>
        <w:tab/>
      </w:r>
      <w:r>
        <w:rPr>
          <w:noProof/>
        </w:rPr>
        <w:fldChar w:fldCharType="begin"/>
      </w:r>
      <w:r>
        <w:rPr>
          <w:noProof/>
        </w:rPr>
        <w:instrText xml:space="preserve"> PAGEREF _Toc508707297 \h </w:instrText>
      </w:r>
      <w:r>
        <w:rPr>
          <w:noProof/>
        </w:rPr>
      </w:r>
      <w:r>
        <w:rPr>
          <w:noProof/>
        </w:rPr>
        <w:fldChar w:fldCharType="separate"/>
      </w:r>
      <w:r>
        <w:rPr>
          <w:noProof/>
        </w:rPr>
        <w:t>78</w:t>
      </w:r>
      <w:r>
        <w:rPr>
          <w:noProof/>
        </w:rPr>
        <w:fldChar w:fldCharType="end"/>
      </w:r>
    </w:p>
    <w:p w:rsidR="006E6276" w:rsidRDefault="006E6276">
      <w:pPr>
        <w:pStyle w:val="TOC2"/>
        <w:rPr>
          <w:rFonts w:asciiTheme="minorHAnsi" w:eastAsiaTheme="minorEastAsia" w:hAnsiTheme="minorHAnsi" w:cstheme="minorBidi"/>
          <w:noProof/>
          <w:szCs w:val="22"/>
          <w:lang w:eastAsia="en-NZ"/>
        </w:rPr>
      </w:pPr>
      <w:r>
        <w:rPr>
          <w:noProof/>
        </w:rPr>
        <w:t>Suicide Mortality Review Committee</w:t>
      </w:r>
      <w:r>
        <w:rPr>
          <w:noProof/>
        </w:rPr>
        <w:tab/>
      </w:r>
      <w:r>
        <w:rPr>
          <w:noProof/>
        </w:rPr>
        <w:fldChar w:fldCharType="begin"/>
      </w:r>
      <w:r>
        <w:rPr>
          <w:noProof/>
        </w:rPr>
        <w:instrText xml:space="preserve"> PAGEREF _Toc508707298 \h </w:instrText>
      </w:r>
      <w:r>
        <w:rPr>
          <w:noProof/>
        </w:rPr>
      </w:r>
      <w:r>
        <w:rPr>
          <w:noProof/>
        </w:rPr>
        <w:fldChar w:fldCharType="separate"/>
      </w:r>
      <w:r>
        <w:rPr>
          <w:noProof/>
        </w:rPr>
        <w:t>79</w:t>
      </w:r>
      <w:r>
        <w:rPr>
          <w:noProof/>
        </w:rPr>
        <w:fldChar w:fldCharType="end"/>
      </w:r>
    </w:p>
    <w:p w:rsidR="00C86248" w:rsidRPr="00666DF4" w:rsidRDefault="00C86248">
      <w:r w:rsidRPr="00666DF4">
        <w:rPr>
          <w:b/>
        </w:rPr>
        <w:fldChar w:fldCharType="end"/>
      </w:r>
    </w:p>
    <w:p w:rsidR="00C86248" w:rsidRPr="00666DF4" w:rsidRDefault="00C86248"/>
    <w:p w:rsidR="00C86248" w:rsidRPr="00666DF4" w:rsidRDefault="00C86248" w:rsidP="003B1D10">
      <w:pPr>
        <w:pStyle w:val="TOC1"/>
        <w:keepNext/>
      </w:pPr>
      <w:r w:rsidRPr="00666DF4">
        <w:t>List of Tables</w:t>
      </w:r>
    </w:p>
    <w:p w:rsidR="006E6276" w:rsidRDefault="00C86248">
      <w:pPr>
        <w:pStyle w:val="TOC3"/>
        <w:rPr>
          <w:rFonts w:asciiTheme="minorHAnsi" w:eastAsiaTheme="minorEastAsia" w:hAnsiTheme="minorHAnsi" w:cstheme="minorBidi"/>
          <w:noProof/>
          <w:szCs w:val="22"/>
          <w:lang w:eastAsia="en-NZ"/>
        </w:rPr>
      </w:pPr>
      <w:r w:rsidRPr="00666DF4">
        <w:rPr>
          <w:sz w:val="20"/>
        </w:rPr>
        <w:fldChar w:fldCharType="begin"/>
      </w:r>
      <w:r w:rsidRPr="00666DF4">
        <w:instrText xml:space="preserve"> TOC \t "Table,3" </w:instrText>
      </w:r>
      <w:r w:rsidRPr="00666DF4">
        <w:rPr>
          <w:sz w:val="20"/>
        </w:rPr>
        <w:fldChar w:fldCharType="separate"/>
      </w:r>
      <w:r w:rsidR="006E6276" w:rsidRPr="000E11DB">
        <w:rPr>
          <w:rFonts w:eastAsia="Georgia"/>
          <w:noProof/>
        </w:rPr>
        <w:t>Table 1: Number of completed section 95 inquiry reports received by the Director of Mental Health, 2003–2016</w:t>
      </w:r>
      <w:r w:rsidR="006E6276">
        <w:rPr>
          <w:noProof/>
        </w:rPr>
        <w:tab/>
      </w:r>
      <w:r w:rsidR="006E6276">
        <w:rPr>
          <w:noProof/>
        </w:rPr>
        <w:fldChar w:fldCharType="begin"/>
      </w:r>
      <w:r w:rsidR="006E6276">
        <w:rPr>
          <w:noProof/>
        </w:rPr>
        <w:instrText xml:space="preserve"> PAGEREF _Toc508707299 \h </w:instrText>
      </w:r>
      <w:r w:rsidR="006E6276">
        <w:rPr>
          <w:noProof/>
        </w:rPr>
      </w:r>
      <w:r w:rsidR="006E6276">
        <w:rPr>
          <w:noProof/>
        </w:rPr>
        <w:fldChar w:fldCharType="separate"/>
      </w:r>
      <w:r w:rsidR="006E6276">
        <w:rPr>
          <w:noProof/>
        </w:rPr>
        <w:t>8</w:t>
      </w:r>
      <w:r w:rsidR="006E6276">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2: Average number of people per 100,000 per month required to undergo assessment under sections 11, 13 and 14(4) of the Mental Health Act, by DHB, 1 January to 31 December 2016</w:t>
      </w:r>
      <w:r>
        <w:rPr>
          <w:noProof/>
        </w:rPr>
        <w:tab/>
      </w:r>
      <w:r>
        <w:rPr>
          <w:noProof/>
        </w:rPr>
        <w:fldChar w:fldCharType="begin"/>
      </w:r>
      <w:r>
        <w:rPr>
          <w:noProof/>
        </w:rPr>
        <w:instrText xml:space="preserve"> PAGEREF _Toc508707300 \h </w:instrText>
      </w:r>
      <w:r>
        <w:rPr>
          <w:noProof/>
        </w:rPr>
      </w:r>
      <w:r>
        <w:rPr>
          <w:noProof/>
        </w:rPr>
        <w:fldChar w:fldCharType="separate"/>
      </w:r>
      <w:r>
        <w:rPr>
          <w:noProof/>
        </w:rPr>
        <w:t>24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3: Average number of people per 100,000 on a given day* subject to sections 29, 30 and 31 of the Mental Health Act, by DHB, 1 January to 31 December 2016</w:t>
      </w:r>
      <w:r>
        <w:rPr>
          <w:noProof/>
        </w:rPr>
        <w:tab/>
      </w:r>
      <w:r>
        <w:rPr>
          <w:noProof/>
        </w:rPr>
        <w:fldChar w:fldCharType="begin"/>
      </w:r>
      <w:r>
        <w:rPr>
          <w:noProof/>
        </w:rPr>
        <w:instrText xml:space="preserve"> PAGEREF _Toc508707301 \h </w:instrText>
      </w:r>
      <w:r>
        <w:rPr>
          <w:noProof/>
        </w:rPr>
      </w:r>
      <w:r>
        <w:rPr>
          <w:noProof/>
        </w:rPr>
        <w:fldChar w:fldCharType="separate"/>
      </w:r>
      <w:r>
        <w:rPr>
          <w:noProof/>
        </w:rPr>
        <w:t>25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4: Age-standardised rates of Māori and non-Māori subject to community and inpatient treatment orders (sections 29 and 30) under the Mental Health Act, by gender, 1 January to 31 December 2016</w:t>
      </w:r>
      <w:r>
        <w:rPr>
          <w:noProof/>
        </w:rPr>
        <w:tab/>
      </w:r>
      <w:r>
        <w:rPr>
          <w:noProof/>
        </w:rPr>
        <w:fldChar w:fldCharType="begin"/>
      </w:r>
      <w:r>
        <w:rPr>
          <w:noProof/>
        </w:rPr>
        <w:instrText xml:space="preserve"> PAGEREF _Toc508707302 \h </w:instrText>
      </w:r>
      <w:r>
        <w:rPr>
          <w:noProof/>
        </w:rPr>
      </w:r>
      <w:r>
        <w:rPr>
          <w:noProof/>
        </w:rPr>
        <w:fldChar w:fldCharType="separate"/>
      </w:r>
      <w:r>
        <w:rPr>
          <w:noProof/>
        </w:rPr>
        <w:t>31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5: Seclusion indicators for forensic mental health services*, by DHB, 1 January to 31 December 2016</w:t>
      </w:r>
      <w:r>
        <w:rPr>
          <w:noProof/>
        </w:rPr>
        <w:tab/>
      </w:r>
      <w:r>
        <w:rPr>
          <w:noProof/>
        </w:rPr>
        <w:fldChar w:fldCharType="begin"/>
      </w:r>
      <w:r>
        <w:rPr>
          <w:noProof/>
        </w:rPr>
        <w:instrText xml:space="preserve"> PAGEREF _Toc508707303 \h </w:instrText>
      </w:r>
      <w:r>
        <w:rPr>
          <w:noProof/>
        </w:rPr>
      </w:r>
      <w:r>
        <w:rPr>
          <w:noProof/>
        </w:rPr>
        <w:fldChar w:fldCharType="separate"/>
      </w:r>
      <w:r>
        <w:rPr>
          <w:noProof/>
        </w:rPr>
        <w:t>44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6: Total number of special patients, by type and DHB, 1 January to 31 December 2016</w:t>
      </w:r>
      <w:r>
        <w:rPr>
          <w:noProof/>
        </w:rPr>
        <w:tab/>
      </w:r>
      <w:r>
        <w:rPr>
          <w:noProof/>
        </w:rPr>
        <w:fldChar w:fldCharType="begin"/>
      </w:r>
      <w:r>
        <w:rPr>
          <w:noProof/>
        </w:rPr>
        <w:instrText xml:space="preserve"> PAGEREF _Toc508707304 \h </w:instrText>
      </w:r>
      <w:r>
        <w:rPr>
          <w:noProof/>
        </w:rPr>
      </w:r>
      <w:r>
        <w:rPr>
          <w:noProof/>
        </w:rPr>
        <w:fldChar w:fldCharType="separate"/>
      </w:r>
      <w:r>
        <w:rPr>
          <w:noProof/>
        </w:rPr>
        <w:t>46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7: Number of long-leave, revocation and reclassification applications sent to the Minister of Health for special patients and restricted patients, 1 January to 31 December 2016*</w:t>
      </w:r>
      <w:r>
        <w:rPr>
          <w:noProof/>
        </w:rPr>
        <w:tab/>
      </w:r>
      <w:r>
        <w:rPr>
          <w:noProof/>
        </w:rPr>
        <w:fldChar w:fldCharType="begin"/>
      </w:r>
      <w:r>
        <w:rPr>
          <w:noProof/>
        </w:rPr>
        <w:instrText xml:space="preserve"> PAGEREF _Toc508707305 \h </w:instrText>
      </w:r>
      <w:r>
        <w:rPr>
          <w:noProof/>
        </w:rPr>
      </w:r>
      <w:r>
        <w:rPr>
          <w:noProof/>
        </w:rPr>
        <w:fldChar w:fldCharType="separate"/>
      </w:r>
      <w:r>
        <w:rPr>
          <w:noProof/>
        </w:rPr>
        <w:t>50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8: Outcomes of reportable death notifications under section 132 of the Mental Health Act, 1 January to 31 December 2016</w:t>
      </w:r>
      <w:r>
        <w:rPr>
          <w:noProof/>
        </w:rPr>
        <w:tab/>
      </w:r>
      <w:r>
        <w:rPr>
          <w:noProof/>
        </w:rPr>
        <w:fldChar w:fldCharType="begin"/>
      </w:r>
      <w:r>
        <w:rPr>
          <w:noProof/>
        </w:rPr>
        <w:instrText xml:space="preserve"> PAGEREF _Toc508707306 \h </w:instrText>
      </w:r>
      <w:r>
        <w:rPr>
          <w:noProof/>
        </w:rPr>
      </w:r>
      <w:r>
        <w:rPr>
          <w:noProof/>
        </w:rPr>
        <w:fldChar w:fldCharType="separate"/>
      </w:r>
      <w:r>
        <w:rPr>
          <w:noProof/>
        </w:rPr>
        <w:t>51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9: Adverse events (relating to mental health behaviour) reported by DHBs to the Health Quality &amp; Safety Commission, 1 January to 31 December 2016</w:t>
      </w:r>
      <w:r>
        <w:rPr>
          <w:noProof/>
        </w:rPr>
        <w:tab/>
      </w:r>
      <w:r>
        <w:rPr>
          <w:noProof/>
        </w:rPr>
        <w:fldChar w:fldCharType="begin"/>
      </w:r>
      <w:r>
        <w:rPr>
          <w:noProof/>
        </w:rPr>
        <w:instrText xml:space="preserve"> PAGEREF _Toc508707307 \h </w:instrText>
      </w:r>
      <w:r>
        <w:rPr>
          <w:noProof/>
        </w:rPr>
      </w:r>
      <w:r>
        <w:rPr>
          <w:noProof/>
        </w:rPr>
        <w:fldChar w:fldCharType="separate"/>
      </w:r>
      <w:r>
        <w:rPr>
          <w:noProof/>
        </w:rPr>
        <w:t>52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10: Mental health adverse events reported to the Health Quality &amp; Safety Commission, by DHB, 1 January to 31 December 2016</w:t>
      </w:r>
      <w:r>
        <w:rPr>
          <w:noProof/>
        </w:rPr>
        <w:tab/>
      </w:r>
      <w:r>
        <w:rPr>
          <w:noProof/>
        </w:rPr>
        <w:fldChar w:fldCharType="begin"/>
      </w:r>
      <w:r>
        <w:rPr>
          <w:noProof/>
        </w:rPr>
        <w:instrText xml:space="preserve"> PAGEREF _Toc508707308 \h </w:instrText>
      </w:r>
      <w:r>
        <w:rPr>
          <w:noProof/>
        </w:rPr>
      </w:r>
      <w:r>
        <w:rPr>
          <w:noProof/>
        </w:rPr>
        <w:fldChar w:fldCharType="separate"/>
      </w:r>
      <w:r>
        <w:rPr>
          <w:noProof/>
        </w:rPr>
        <w:t>52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11: Number and age-standardised rate of suicide, by service use, people aged 10–64 years, 2014</w:t>
      </w:r>
      <w:r>
        <w:rPr>
          <w:noProof/>
        </w:rPr>
        <w:tab/>
      </w:r>
      <w:r>
        <w:rPr>
          <w:noProof/>
        </w:rPr>
        <w:fldChar w:fldCharType="begin"/>
      </w:r>
      <w:r>
        <w:rPr>
          <w:noProof/>
        </w:rPr>
        <w:instrText xml:space="preserve"> PAGEREF _Toc508707309 \h </w:instrText>
      </w:r>
      <w:r>
        <w:rPr>
          <w:noProof/>
        </w:rPr>
      </w:r>
      <w:r>
        <w:rPr>
          <w:noProof/>
        </w:rPr>
        <w:fldChar w:fldCharType="separate"/>
      </w:r>
      <w:r>
        <w:rPr>
          <w:noProof/>
        </w:rPr>
        <w:t>54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12: Number and age-standardised rate of suicide, by service use and gender, people aged 10–64 years, 2014</w:t>
      </w:r>
      <w:r>
        <w:rPr>
          <w:noProof/>
        </w:rPr>
        <w:tab/>
      </w:r>
      <w:r>
        <w:rPr>
          <w:noProof/>
        </w:rPr>
        <w:fldChar w:fldCharType="begin"/>
      </w:r>
      <w:r>
        <w:rPr>
          <w:noProof/>
        </w:rPr>
        <w:instrText xml:space="preserve"> PAGEREF _Toc508707310 \h </w:instrText>
      </w:r>
      <w:r>
        <w:rPr>
          <w:noProof/>
        </w:rPr>
      </w:r>
      <w:r>
        <w:rPr>
          <w:noProof/>
        </w:rPr>
        <w:fldChar w:fldCharType="separate"/>
      </w:r>
      <w:r>
        <w:rPr>
          <w:noProof/>
        </w:rPr>
        <w:t>55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13: Number and age-specific rate of suicide, by age group, gender and service use, people aged 10–64 years, 2014</w:t>
      </w:r>
      <w:r>
        <w:rPr>
          <w:noProof/>
        </w:rPr>
        <w:tab/>
      </w:r>
      <w:r>
        <w:rPr>
          <w:noProof/>
        </w:rPr>
        <w:fldChar w:fldCharType="begin"/>
      </w:r>
      <w:r>
        <w:rPr>
          <w:noProof/>
        </w:rPr>
        <w:instrText xml:space="preserve"> PAGEREF _Toc508707311 \h </w:instrText>
      </w:r>
      <w:r>
        <w:rPr>
          <w:noProof/>
        </w:rPr>
      </w:r>
      <w:r>
        <w:rPr>
          <w:noProof/>
        </w:rPr>
        <w:fldChar w:fldCharType="separate"/>
      </w:r>
      <w:r>
        <w:rPr>
          <w:noProof/>
        </w:rPr>
        <w:t>56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14: Number and age-standardised rate of suicide and deaths of undetermined intent, by ethnicity and service use, people aged 10–64 years, 2014</w:t>
      </w:r>
      <w:r>
        <w:rPr>
          <w:noProof/>
        </w:rPr>
        <w:tab/>
      </w:r>
      <w:r>
        <w:rPr>
          <w:noProof/>
        </w:rPr>
        <w:fldChar w:fldCharType="begin"/>
      </w:r>
      <w:r>
        <w:rPr>
          <w:noProof/>
        </w:rPr>
        <w:instrText xml:space="preserve"> PAGEREF _Toc508707312 \h </w:instrText>
      </w:r>
      <w:r>
        <w:rPr>
          <w:noProof/>
        </w:rPr>
      </w:r>
      <w:r>
        <w:rPr>
          <w:noProof/>
        </w:rPr>
        <w:fldChar w:fldCharType="separate"/>
      </w:r>
      <w:r>
        <w:rPr>
          <w:noProof/>
        </w:rPr>
        <w:t>57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15: Number of applications for detention and committal under the ADA Act, by application outcome, 2004–2016</w:t>
      </w:r>
      <w:r>
        <w:rPr>
          <w:noProof/>
        </w:rPr>
        <w:tab/>
      </w:r>
      <w:r>
        <w:rPr>
          <w:noProof/>
        </w:rPr>
        <w:fldChar w:fldCharType="begin"/>
      </w:r>
      <w:r>
        <w:rPr>
          <w:noProof/>
        </w:rPr>
        <w:instrText xml:space="preserve"> PAGEREF _Toc508707313 \h </w:instrText>
      </w:r>
      <w:r>
        <w:rPr>
          <w:noProof/>
        </w:rPr>
      </w:r>
      <w:r>
        <w:rPr>
          <w:noProof/>
        </w:rPr>
        <w:fldChar w:fldCharType="separate"/>
      </w:r>
      <w:r>
        <w:rPr>
          <w:noProof/>
        </w:rPr>
        <w:t>62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16: Number of granted orders for detention and committal, under the ADA Act, 2004–2016</w:t>
      </w:r>
      <w:r>
        <w:rPr>
          <w:noProof/>
        </w:rPr>
        <w:tab/>
      </w:r>
      <w:r>
        <w:rPr>
          <w:noProof/>
        </w:rPr>
        <w:fldChar w:fldCharType="begin"/>
      </w:r>
      <w:r>
        <w:rPr>
          <w:noProof/>
        </w:rPr>
        <w:instrText xml:space="preserve"> PAGEREF _Toc508707314 \h </w:instrText>
      </w:r>
      <w:r>
        <w:rPr>
          <w:noProof/>
        </w:rPr>
      </w:r>
      <w:r>
        <w:rPr>
          <w:noProof/>
        </w:rPr>
        <w:fldChar w:fldCharType="separate"/>
      </w:r>
      <w:r>
        <w:rPr>
          <w:noProof/>
        </w:rPr>
        <w:t>63</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17: Electroconvulsive therapy indicators, by DHB of domicile, 1 January to 31 December 2016</w:t>
      </w:r>
      <w:r>
        <w:rPr>
          <w:noProof/>
        </w:rPr>
        <w:tab/>
      </w:r>
      <w:r>
        <w:rPr>
          <w:noProof/>
        </w:rPr>
        <w:fldChar w:fldCharType="begin"/>
      </w:r>
      <w:r>
        <w:rPr>
          <w:noProof/>
        </w:rPr>
        <w:instrText xml:space="preserve"> PAGEREF _Toc508707315 \h </w:instrText>
      </w:r>
      <w:r>
        <w:rPr>
          <w:noProof/>
        </w:rPr>
      </w:r>
      <w:r>
        <w:rPr>
          <w:noProof/>
        </w:rPr>
        <w:fldChar w:fldCharType="separate"/>
      </w:r>
      <w:r>
        <w:rPr>
          <w:noProof/>
        </w:rPr>
        <w:t>65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18: Indicators for situations in which electroconvulsive therapy was not consented to, by DHB of service, 1 January to 31 December 2016</w:t>
      </w:r>
      <w:r>
        <w:rPr>
          <w:noProof/>
        </w:rPr>
        <w:tab/>
      </w:r>
      <w:r>
        <w:rPr>
          <w:noProof/>
        </w:rPr>
        <w:fldChar w:fldCharType="begin"/>
      </w:r>
      <w:r>
        <w:rPr>
          <w:noProof/>
        </w:rPr>
        <w:instrText xml:space="preserve"> PAGEREF _Toc508707316 \h </w:instrText>
      </w:r>
      <w:r>
        <w:rPr>
          <w:noProof/>
        </w:rPr>
      </w:r>
      <w:r>
        <w:rPr>
          <w:noProof/>
        </w:rPr>
        <w:fldChar w:fldCharType="separate"/>
      </w:r>
      <w:r>
        <w:rPr>
          <w:noProof/>
        </w:rPr>
        <w:t>67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19: Number of people treated with electroconvulsive therapy, by age group and gender, 1 January to 31 December 2016</w:t>
      </w:r>
      <w:r>
        <w:rPr>
          <w:noProof/>
        </w:rPr>
        <w:tab/>
      </w:r>
      <w:r>
        <w:rPr>
          <w:noProof/>
        </w:rPr>
        <w:fldChar w:fldCharType="begin"/>
      </w:r>
      <w:r>
        <w:rPr>
          <w:noProof/>
        </w:rPr>
        <w:instrText xml:space="preserve"> PAGEREF _Toc508707317 \h </w:instrText>
      </w:r>
      <w:r>
        <w:rPr>
          <w:noProof/>
        </w:rPr>
      </w:r>
      <w:r>
        <w:rPr>
          <w:noProof/>
        </w:rPr>
        <w:fldChar w:fldCharType="separate"/>
      </w:r>
      <w:r>
        <w:rPr>
          <w:noProof/>
        </w:rPr>
        <w:t>68</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20: Number of people treated with electroconvulsive therapy, by ethnicity, 1 January to 31 December 2016</w:t>
      </w:r>
      <w:r>
        <w:rPr>
          <w:noProof/>
        </w:rPr>
        <w:tab/>
      </w:r>
      <w:r>
        <w:rPr>
          <w:noProof/>
        </w:rPr>
        <w:fldChar w:fldCharType="begin"/>
      </w:r>
      <w:r>
        <w:rPr>
          <w:noProof/>
        </w:rPr>
        <w:instrText xml:space="preserve"> PAGEREF _Toc508707318 \h </w:instrText>
      </w:r>
      <w:r>
        <w:rPr>
          <w:noProof/>
        </w:rPr>
      </w:r>
      <w:r>
        <w:rPr>
          <w:noProof/>
        </w:rPr>
        <w:fldChar w:fldCharType="separate"/>
      </w:r>
      <w:r>
        <w:rPr>
          <w:noProof/>
        </w:rPr>
        <w:t>69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A1: Outcome of Mental Health Act applications received by the Mental Health Review Tribunal, 1 July 2015 to 30 June 2016</w:t>
      </w:r>
      <w:r>
        <w:rPr>
          <w:noProof/>
        </w:rPr>
        <w:tab/>
      </w:r>
      <w:r>
        <w:rPr>
          <w:noProof/>
        </w:rPr>
        <w:fldChar w:fldCharType="begin"/>
      </w:r>
      <w:r>
        <w:rPr>
          <w:noProof/>
        </w:rPr>
        <w:instrText xml:space="preserve"> PAGEREF _Toc508707319 \h </w:instrText>
      </w:r>
      <w:r>
        <w:rPr>
          <w:noProof/>
        </w:rPr>
      </w:r>
      <w:r>
        <w:rPr>
          <w:noProof/>
        </w:rPr>
        <w:fldChar w:fldCharType="separate"/>
      </w:r>
      <w:r>
        <w:rPr>
          <w:noProof/>
        </w:rPr>
        <w:t>74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A2: Results of inquiries under section 79 of the Mental Health Act held by the Mental Health Review Tribunal, 1 July 2015 to 30 June 2016</w:t>
      </w:r>
      <w:r>
        <w:rPr>
          <w:noProof/>
        </w:rPr>
        <w:tab/>
      </w:r>
      <w:r>
        <w:rPr>
          <w:noProof/>
        </w:rPr>
        <w:fldChar w:fldCharType="begin"/>
      </w:r>
      <w:r>
        <w:rPr>
          <w:noProof/>
        </w:rPr>
        <w:instrText xml:space="preserve"> PAGEREF _Toc508707320 \h </w:instrText>
      </w:r>
      <w:r>
        <w:rPr>
          <w:noProof/>
        </w:rPr>
      </w:r>
      <w:r>
        <w:rPr>
          <w:noProof/>
        </w:rPr>
        <w:fldChar w:fldCharType="separate"/>
      </w:r>
      <w:r>
        <w:rPr>
          <w:noProof/>
        </w:rPr>
        <w:t>74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A3: Ethnicity of people who identified their ethnicity in Mental Health Review Tribunal applications, 1 July 2015 to 30 June 2016</w:t>
      </w:r>
      <w:r>
        <w:rPr>
          <w:noProof/>
        </w:rPr>
        <w:tab/>
      </w:r>
      <w:r>
        <w:rPr>
          <w:noProof/>
        </w:rPr>
        <w:fldChar w:fldCharType="begin"/>
      </w:r>
      <w:r>
        <w:rPr>
          <w:noProof/>
        </w:rPr>
        <w:instrText xml:space="preserve"> PAGEREF _Toc508707321 \h </w:instrText>
      </w:r>
      <w:r>
        <w:rPr>
          <w:noProof/>
        </w:rPr>
      </w:r>
      <w:r>
        <w:rPr>
          <w:noProof/>
        </w:rPr>
        <w:fldChar w:fldCharType="separate"/>
      </w:r>
      <w:r>
        <w:rPr>
          <w:noProof/>
        </w:rPr>
        <w:t>75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Table A4: Gender of people making Mental Health Review Tribunal applications, 1 July 2015 to 30 June 2016</w:t>
      </w:r>
      <w:r>
        <w:rPr>
          <w:noProof/>
        </w:rPr>
        <w:tab/>
      </w:r>
      <w:r>
        <w:rPr>
          <w:noProof/>
        </w:rPr>
        <w:fldChar w:fldCharType="begin"/>
      </w:r>
      <w:r>
        <w:rPr>
          <w:noProof/>
        </w:rPr>
        <w:instrText xml:space="preserve"> PAGEREF _Toc508707322 \h </w:instrText>
      </w:r>
      <w:r>
        <w:rPr>
          <w:noProof/>
        </w:rPr>
      </w:r>
      <w:r>
        <w:rPr>
          <w:noProof/>
        </w:rPr>
        <w:fldChar w:fldCharType="separate"/>
      </w:r>
      <w:r>
        <w:rPr>
          <w:noProof/>
        </w:rPr>
        <w:t>75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A5: Applications for compulsory treatment orders (or extensions), 2004–2016</w:t>
      </w:r>
      <w:r>
        <w:rPr>
          <w:noProof/>
        </w:rPr>
        <w:tab/>
      </w:r>
      <w:r>
        <w:rPr>
          <w:noProof/>
        </w:rPr>
        <w:fldChar w:fldCharType="begin"/>
      </w:r>
      <w:r>
        <w:rPr>
          <w:noProof/>
        </w:rPr>
        <w:instrText xml:space="preserve"> PAGEREF _Toc508707323 \h </w:instrText>
      </w:r>
      <w:r>
        <w:rPr>
          <w:noProof/>
        </w:rPr>
      </w:r>
      <w:r>
        <w:rPr>
          <w:noProof/>
        </w:rPr>
        <w:fldChar w:fldCharType="separate"/>
      </w:r>
      <w:r>
        <w:rPr>
          <w:noProof/>
        </w:rPr>
        <w:t>76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0E11DB">
        <w:rPr>
          <w:rFonts w:eastAsia="Georgia"/>
          <w:noProof/>
        </w:rPr>
        <w:t>Table A6: Types of compulsory treatment orders made on granted applications, 2004–2016</w:t>
      </w:r>
      <w:r>
        <w:rPr>
          <w:noProof/>
        </w:rPr>
        <w:tab/>
      </w:r>
      <w:r>
        <w:rPr>
          <w:noProof/>
        </w:rPr>
        <w:fldChar w:fldCharType="begin"/>
      </w:r>
      <w:r>
        <w:rPr>
          <w:noProof/>
        </w:rPr>
        <w:instrText xml:space="preserve"> PAGEREF _Toc508707324 \h </w:instrText>
      </w:r>
      <w:r>
        <w:rPr>
          <w:noProof/>
        </w:rPr>
      </w:r>
      <w:r>
        <w:rPr>
          <w:noProof/>
        </w:rPr>
        <w:fldChar w:fldCharType="separate"/>
      </w:r>
      <w:r>
        <w:rPr>
          <w:noProof/>
        </w:rPr>
        <w:t>77</w:t>
      </w:r>
      <w:r>
        <w:rPr>
          <w:noProof/>
        </w:rPr>
        <w:fldChar w:fldCharType="end"/>
      </w:r>
    </w:p>
    <w:p w:rsidR="00C86248" w:rsidRPr="00666DF4" w:rsidRDefault="00C86248" w:rsidP="0030382F">
      <w:r w:rsidRPr="00666DF4">
        <w:fldChar w:fldCharType="end"/>
      </w:r>
    </w:p>
    <w:p w:rsidR="003A5FEA" w:rsidRPr="00666DF4" w:rsidRDefault="003A5FEA" w:rsidP="003A5FEA">
      <w:pPr>
        <w:pStyle w:val="TOC1"/>
      </w:pPr>
      <w:r w:rsidRPr="00666DF4">
        <w:t>List of Figures</w:t>
      </w:r>
    </w:p>
    <w:p w:rsidR="006E6276" w:rsidRDefault="003A5FEA">
      <w:pPr>
        <w:pStyle w:val="TOC3"/>
        <w:rPr>
          <w:rFonts w:asciiTheme="minorHAnsi" w:eastAsiaTheme="minorEastAsia" w:hAnsiTheme="minorHAnsi" w:cstheme="minorBidi"/>
          <w:noProof/>
          <w:szCs w:val="22"/>
          <w:lang w:eastAsia="en-NZ"/>
        </w:rPr>
      </w:pPr>
      <w:r w:rsidRPr="00666DF4">
        <w:fldChar w:fldCharType="begin"/>
      </w:r>
      <w:r w:rsidRPr="00666DF4">
        <w:instrText xml:space="preserve"> TOC \t "Figure,3" </w:instrText>
      </w:r>
      <w:r w:rsidRPr="00666DF4">
        <w:fldChar w:fldCharType="separate"/>
      </w:r>
      <w:r w:rsidR="006E6276" w:rsidRPr="00B61EE3">
        <w:rPr>
          <w:rFonts w:eastAsia="Georgia"/>
          <w:noProof/>
        </w:rPr>
        <w:t>Figure 1: Number of people engaging with specialist services each year, 2011–2016</w:t>
      </w:r>
      <w:r w:rsidR="006E6276">
        <w:rPr>
          <w:noProof/>
        </w:rPr>
        <w:tab/>
      </w:r>
      <w:r w:rsidR="006E6276">
        <w:rPr>
          <w:noProof/>
        </w:rPr>
        <w:fldChar w:fldCharType="begin"/>
      </w:r>
      <w:r w:rsidR="006E6276">
        <w:rPr>
          <w:noProof/>
        </w:rPr>
        <w:instrText xml:space="preserve"> PAGEREF _Toc508707325 \h </w:instrText>
      </w:r>
      <w:r w:rsidR="006E6276">
        <w:rPr>
          <w:noProof/>
        </w:rPr>
      </w:r>
      <w:r w:rsidR="006E6276">
        <w:rPr>
          <w:noProof/>
        </w:rPr>
        <w:fldChar w:fldCharType="separate"/>
      </w:r>
      <w:r w:rsidR="006E6276">
        <w:rPr>
          <w:noProof/>
        </w:rPr>
        <w:t>5</w:t>
      </w:r>
      <w:r w:rsidR="006E6276">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 Percentage of service users accessing only community services, 1 January to 31 December 2016</w:t>
      </w:r>
      <w:r>
        <w:rPr>
          <w:noProof/>
        </w:rPr>
        <w:tab/>
      </w:r>
      <w:r>
        <w:rPr>
          <w:noProof/>
        </w:rPr>
        <w:fldChar w:fldCharType="begin"/>
      </w:r>
      <w:r>
        <w:rPr>
          <w:noProof/>
        </w:rPr>
        <w:instrText xml:space="preserve"> PAGEREF _Toc508707326 \h </w:instrText>
      </w:r>
      <w:r>
        <w:rPr>
          <w:noProof/>
        </w:rPr>
      </w:r>
      <w:r>
        <w:rPr>
          <w:noProof/>
        </w:rPr>
        <w:fldChar w:fldCharType="separate"/>
      </w:r>
      <w:r>
        <w:rPr>
          <w:noProof/>
        </w:rPr>
        <w:t>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 Responses to the statement ‘I would recommend this service to friends and family if they needed similar care or treatment’, 1 January to 31 December 2016</w:t>
      </w:r>
      <w:r>
        <w:rPr>
          <w:noProof/>
        </w:rPr>
        <w:tab/>
      </w:r>
      <w:r>
        <w:rPr>
          <w:noProof/>
        </w:rPr>
        <w:fldChar w:fldCharType="begin"/>
      </w:r>
      <w:r>
        <w:rPr>
          <w:noProof/>
        </w:rPr>
        <w:instrText xml:space="preserve"> PAGEREF _Toc508707327 \h </w:instrText>
      </w:r>
      <w:r>
        <w:rPr>
          <w:noProof/>
        </w:rPr>
      </w:r>
      <w:r>
        <w:rPr>
          <w:noProof/>
        </w:rPr>
        <w:fldChar w:fldCharType="separate"/>
      </w:r>
      <w:r>
        <w:rPr>
          <w:noProof/>
        </w:rPr>
        <w:t>19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4: Percentage of people seen by mental health services within three weeks (left) and within eight weeks (right), 1 January to 31 December 2016</w:t>
      </w:r>
      <w:r>
        <w:rPr>
          <w:noProof/>
        </w:rPr>
        <w:tab/>
      </w:r>
      <w:r>
        <w:rPr>
          <w:noProof/>
        </w:rPr>
        <w:fldChar w:fldCharType="begin"/>
      </w:r>
      <w:r>
        <w:rPr>
          <w:noProof/>
        </w:rPr>
        <w:instrText xml:space="preserve"> PAGEREF _Toc508707328 \h </w:instrText>
      </w:r>
      <w:r>
        <w:rPr>
          <w:noProof/>
        </w:rPr>
      </w:r>
      <w:r>
        <w:rPr>
          <w:noProof/>
        </w:rPr>
        <w:fldChar w:fldCharType="separate"/>
      </w:r>
      <w:r>
        <w:rPr>
          <w:noProof/>
        </w:rPr>
        <w:t>20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5: Percentage of people seen by addiction services within three weeks (left) and within eight weeks (right), 1 January to 31 December 2016</w:t>
      </w:r>
      <w:r>
        <w:rPr>
          <w:noProof/>
        </w:rPr>
        <w:tab/>
      </w:r>
      <w:r>
        <w:rPr>
          <w:noProof/>
        </w:rPr>
        <w:fldChar w:fldCharType="begin"/>
      </w:r>
      <w:r>
        <w:rPr>
          <w:noProof/>
        </w:rPr>
        <w:instrText xml:space="preserve"> PAGEREF _Toc508707329 \h </w:instrText>
      </w:r>
      <w:r>
        <w:rPr>
          <w:noProof/>
        </w:rPr>
      </w:r>
      <w:r>
        <w:rPr>
          <w:noProof/>
        </w:rPr>
        <w:fldChar w:fldCharType="separate"/>
      </w:r>
      <w:r>
        <w:rPr>
          <w:noProof/>
        </w:rPr>
        <w:t>20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6: Percentage of service users with a transition plan, by DHB, 1 January to 31 December 2016</w:t>
      </w:r>
      <w:r>
        <w:rPr>
          <w:noProof/>
        </w:rPr>
        <w:tab/>
      </w:r>
      <w:r>
        <w:rPr>
          <w:noProof/>
        </w:rPr>
        <w:fldChar w:fldCharType="begin"/>
      </w:r>
      <w:r>
        <w:rPr>
          <w:noProof/>
        </w:rPr>
        <w:instrText xml:space="preserve"> PAGEREF _Toc508707330 \h </w:instrText>
      </w:r>
      <w:r>
        <w:rPr>
          <w:noProof/>
        </w:rPr>
      </w:r>
      <w:r>
        <w:rPr>
          <w:noProof/>
        </w:rPr>
        <w:fldChar w:fldCharType="separate"/>
      </w:r>
      <w:r>
        <w:rPr>
          <w:noProof/>
        </w:rPr>
        <w:t>21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7: Average number of people per 100,000 on a given day* subject to a community treatment order (section 29 of the Mental Health Act), by DHB, 1 January to 31 December 2016</w:t>
      </w:r>
      <w:r>
        <w:rPr>
          <w:noProof/>
        </w:rPr>
        <w:tab/>
      </w:r>
      <w:r>
        <w:rPr>
          <w:noProof/>
        </w:rPr>
        <w:fldChar w:fldCharType="begin"/>
      </w:r>
      <w:r>
        <w:rPr>
          <w:noProof/>
        </w:rPr>
        <w:instrText xml:space="preserve"> PAGEREF _Toc508707331 \h </w:instrText>
      </w:r>
      <w:r>
        <w:rPr>
          <w:noProof/>
        </w:rPr>
      </w:r>
      <w:r>
        <w:rPr>
          <w:noProof/>
        </w:rPr>
        <w:fldChar w:fldCharType="separate"/>
      </w:r>
      <w:r>
        <w:rPr>
          <w:noProof/>
        </w:rPr>
        <w:t>25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8: Average number of people per 100,000 on a given day* subject to an inpatient treatment order (section 30 of the Mental Health Act), by DHB, 1 January to 31 December 2016</w:t>
      </w:r>
      <w:r>
        <w:rPr>
          <w:noProof/>
        </w:rPr>
        <w:tab/>
      </w:r>
      <w:r>
        <w:rPr>
          <w:noProof/>
        </w:rPr>
        <w:fldChar w:fldCharType="begin"/>
      </w:r>
      <w:r>
        <w:rPr>
          <w:noProof/>
        </w:rPr>
        <w:instrText xml:space="preserve"> PAGEREF _Toc508707332 \h </w:instrText>
      </w:r>
      <w:r>
        <w:rPr>
          <w:noProof/>
        </w:rPr>
      </w:r>
      <w:r>
        <w:rPr>
          <w:noProof/>
        </w:rPr>
        <w:fldChar w:fldCharType="separate"/>
      </w:r>
      <w:r>
        <w:rPr>
          <w:noProof/>
        </w:rPr>
        <w:t>26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9: Rate of people per 100,000 subject to compulsory treatment order applications (including extensions), by age group, 2004–2016</w:t>
      </w:r>
      <w:r>
        <w:rPr>
          <w:noProof/>
        </w:rPr>
        <w:tab/>
      </w:r>
      <w:r>
        <w:rPr>
          <w:noProof/>
        </w:rPr>
        <w:fldChar w:fldCharType="begin"/>
      </w:r>
      <w:r>
        <w:rPr>
          <w:noProof/>
        </w:rPr>
        <w:instrText xml:space="preserve"> PAGEREF _Toc508707333 \h </w:instrText>
      </w:r>
      <w:r>
        <w:rPr>
          <w:noProof/>
        </w:rPr>
      </w:r>
      <w:r>
        <w:rPr>
          <w:noProof/>
        </w:rPr>
        <w:fldChar w:fldCharType="separate"/>
      </w:r>
      <w:r>
        <w:rPr>
          <w:noProof/>
        </w:rPr>
        <w:t>27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10: Rate of people per 100,000 subject to compulsory treatment order applications (including extensions), by gender, 2004–2016</w:t>
      </w:r>
      <w:r>
        <w:rPr>
          <w:noProof/>
        </w:rPr>
        <w:tab/>
      </w:r>
      <w:r>
        <w:rPr>
          <w:noProof/>
        </w:rPr>
        <w:fldChar w:fldCharType="begin"/>
      </w:r>
      <w:r>
        <w:rPr>
          <w:noProof/>
        </w:rPr>
        <w:instrText xml:space="preserve"> PAGEREF _Toc508707334 \h </w:instrText>
      </w:r>
      <w:r>
        <w:rPr>
          <w:noProof/>
        </w:rPr>
      </w:r>
      <w:r>
        <w:rPr>
          <w:noProof/>
        </w:rPr>
        <w:fldChar w:fldCharType="separate"/>
      </w:r>
      <w:r>
        <w:rPr>
          <w:noProof/>
        </w:rPr>
        <w:t>27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11: Rate ratio of Māori to non-Māori subject to a community treatment order (section 29) under the Mental Health Act, by DHB, 1 January to 31 December 2016</w:t>
      </w:r>
      <w:r>
        <w:rPr>
          <w:noProof/>
        </w:rPr>
        <w:tab/>
      </w:r>
      <w:r>
        <w:rPr>
          <w:noProof/>
        </w:rPr>
        <w:fldChar w:fldCharType="begin"/>
      </w:r>
      <w:r>
        <w:rPr>
          <w:noProof/>
        </w:rPr>
        <w:instrText xml:space="preserve"> PAGEREF _Toc508707335 \h </w:instrText>
      </w:r>
      <w:r>
        <w:rPr>
          <w:noProof/>
        </w:rPr>
      </w:r>
      <w:r>
        <w:rPr>
          <w:noProof/>
        </w:rPr>
        <w:fldChar w:fldCharType="separate"/>
      </w:r>
      <w:r>
        <w:rPr>
          <w:noProof/>
        </w:rPr>
        <w:t>30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12: Rate ratio of Māori to non-Māori subject to an inpatient treatment order (section 30) under the Mental Health Act, by DHB, 1 January to 31 December 2016</w:t>
      </w:r>
      <w:r>
        <w:rPr>
          <w:noProof/>
        </w:rPr>
        <w:tab/>
      </w:r>
      <w:r>
        <w:rPr>
          <w:noProof/>
        </w:rPr>
        <w:fldChar w:fldCharType="begin"/>
      </w:r>
      <w:r>
        <w:rPr>
          <w:noProof/>
        </w:rPr>
        <w:instrText xml:space="preserve"> PAGEREF _Toc508707336 \h </w:instrText>
      </w:r>
      <w:r>
        <w:rPr>
          <w:noProof/>
        </w:rPr>
      </w:r>
      <w:r>
        <w:rPr>
          <w:noProof/>
        </w:rPr>
        <w:fldChar w:fldCharType="separate"/>
      </w:r>
      <w:r>
        <w:rPr>
          <w:noProof/>
        </w:rPr>
        <w:t>31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13: Age-standardised rates of Māori and non-Māori subject to community and inpatient treatment orders (sections 29 and 30) under the Mental Health Act, by gender, 1 January to 31 December 2016</w:t>
      </w:r>
      <w:r>
        <w:rPr>
          <w:noProof/>
        </w:rPr>
        <w:tab/>
      </w:r>
      <w:r>
        <w:rPr>
          <w:noProof/>
        </w:rPr>
        <w:fldChar w:fldCharType="begin"/>
      </w:r>
      <w:r>
        <w:rPr>
          <w:noProof/>
        </w:rPr>
        <w:instrText xml:space="preserve"> PAGEREF _Toc508707337 \h </w:instrText>
      </w:r>
      <w:r>
        <w:rPr>
          <w:noProof/>
        </w:rPr>
      </w:r>
      <w:r>
        <w:rPr>
          <w:noProof/>
        </w:rPr>
        <w:fldChar w:fldCharType="separate"/>
      </w:r>
      <w:r>
        <w:rPr>
          <w:noProof/>
        </w:rPr>
        <w:t>32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14: Length of time spent subject to community and inpatient treatment orders (sections 29 and 30) under the Mental Health Act for Māori and non-Māori, 2009–2014</w:t>
      </w:r>
      <w:r>
        <w:rPr>
          <w:noProof/>
        </w:rPr>
        <w:tab/>
      </w:r>
      <w:r>
        <w:rPr>
          <w:noProof/>
        </w:rPr>
        <w:fldChar w:fldCharType="begin"/>
      </w:r>
      <w:r>
        <w:rPr>
          <w:noProof/>
        </w:rPr>
        <w:instrText xml:space="preserve"> PAGEREF _Toc508707338 \h </w:instrText>
      </w:r>
      <w:r>
        <w:rPr>
          <w:noProof/>
        </w:rPr>
      </w:r>
      <w:r>
        <w:rPr>
          <w:noProof/>
        </w:rPr>
        <w:fldChar w:fldCharType="separate"/>
      </w:r>
      <w:r>
        <w:rPr>
          <w:noProof/>
        </w:rPr>
        <w:t>32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15: Average national percentage of family/whānau consultation for particular assessment/ treatment events, 1 January to 31 December 2016</w:t>
      </w:r>
      <w:r>
        <w:rPr>
          <w:noProof/>
        </w:rPr>
        <w:tab/>
      </w:r>
      <w:r>
        <w:rPr>
          <w:noProof/>
        </w:rPr>
        <w:fldChar w:fldCharType="begin"/>
      </w:r>
      <w:r>
        <w:rPr>
          <w:noProof/>
        </w:rPr>
        <w:instrText xml:space="preserve"> PAGEREF _Toc508707339 \h </w:instrText>
      </w:r>
      <w:r>
        <w:rPr>
          <w:noProof/>
        </w:rPr>
      </w:r>
      <w:r>
        <w:rPr>
          <w:noProof/>
        </w:rPr>
        <w:fldChar w:fldCharType="separate"/>
      </w:r>
      <w:r>
        <w:rPr>
          <w:noProof/>
        </w:rPr>
        <w:t>35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16: Average percentage of family/whānau consultation across all assessment/treatment events, by DHB, 1 January to 31 December 2016</w:t>
      </w:r>
      <w:r>
        <w:rPr>
          <w:noProof/>
        </w:rPr>
        <w:tab/>
      </w:r>
      <w:r>
        <w:rPr>
          <w:noProof/>
        </w:rPr>
        <w:fldChar w:fldCharType="begin"/>
      </w:r>
      <w:r>
        <w:rPr>
          <w:noProof/>
        </w:rPr>
        <w:instrText xml:space="preserve"> PAGEREF _Toc508707340 \h </w:instrText>
      </w:r>
      <w:r>
        <w:rPr>
          <w:noProof/>
        </w:rPr>
      </w:r>
      <w:r>
        <w:rPr>
          <w:noProof/>
        </w:rPr>
        <w:fldChar w:fldCharType="separate"/>
      </w:r>
      <w:r>
        <w:rPr>
          <w:noProof/>
        </w:rPr>
        <w:t>35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17: Reasons for not consulting family/whānau, 1 January to 31 December 2016</w:t>
      </w:r>
      <w:r>
        <w:rPr>
          <w:noProof/>
        </w:rPr>
        <w:tab/>
      </w:r>
      <w:r>
        <w:rPr>
          <w:noProof/>
        </w:rPr>
        <w:fldChar w:fldCharType="begin"/>
      </w:r>
      <w:r>
        <w:rPr>
          <w:noProof/>
        </w:rPr>
        <w:instrText xml:space="preserve"> PAGEREF _Toc508707341 \h </w:instrText>
      </w:r>
      <w:r>
        <w:rPr>
          <w:noProof/>
        </w:rPr>
      </w:r>
      <w:r>
        <w:rPr>
          <w:noProof/>
        </w:rPr>
        <w:fldChar w:fldCharType="separate"/>
      </w:r>
      <w:r>
        <w:rPr>
          <w:noProof/>
        </w:rPr>
        <w:t>36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18: Number of people secluded in adult inpatient services nationally, 2007–2016</w:t>
      </w:r>
      <w:r>
        <w:rPr>
          <w:noProof/>
        </w:rPr>
        <w:tab/>
      </w:r>
      <w:r>
        <w:rPr>
          <w:noProof/>
        </w:rPr>
        <w:fldChar w:fldCharType="begin"/>
      </w:r>
      <w:r>
        <w:rPr>
          <w:noProof/>
        </w:rPr>
        <w:instrText xml:space="preserve"> PAGEREF _Toc508707342 \h </w:instrText>
      </w:r>
      <w:r>
        <w:rPr>
          <w:noProof/>
        </w:rPr>
      </w:r>
      <w:r>
        <w:rPr>
          <w:noProof/>
        </w:rPr>
        <w:fldChar w:fldCharType="separate"/>
      </w:r>
      <w:r>
        <w:rPr>
          <w:noProof/>
        </w:rPr>
        <w:t>38</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19: Total number of seclusion hours in adult inpatient services nationally, 2007–2016</w:t>
      </w:r>
      <w:r>
        <w:rPr>
          <w:noProof/>
        </w:rPr>
        <w:tab/>
      </w:r>
      <w:r>
        <w:rPr>
          <w:noProof/>
        </w:rPr>
        <w:fldChar w:fldCharType="begin"/>
      </w:r>
      <w:r>
        <w:rPr>
          <w:noProof/>
        </w:rPr>
        <w:instrText xml:space="preserve"> PAGEREF _Toc508707343 \h </w:instrText>
      </w:r>
      <w:r>
        <w:rPr>
          <w:noProof/>
        </w:rPr>
      </w:r>
      <w:r>
        <w:rPr>
          <w:noProof/>
        </w:rPr>
        <w:fldChar w:fldCharType="separate"/>
      </w:r>
      <w:r>
        <w:rPr>
          <w:noProof/>
        </w:rPr>
        <w:t>38</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20: Number of people secluded across all inpatient services (adult, forensic, intellectual disability, and youth), by age group, 1 January to 31 December 2016</w:t>
      </w:r>
      <w:r>
        <w:rPr>
          <w:noProof/>
        </w:rPr>
        <w:tab/>
      </w:r>
      <w:r>
        <w:rPr>
          <w:noProof/>
        </w:rPr>
        <w:fldChar w:fldCharType="begin"/>
      </w:r>
      <w:r>
        <w:rPr>
          <w:noProof/>
        </w:rPr>
        <w:instrText xml:space="preserve"> PAGEREF _Toc508707344 \h </w:instrText>
      </w:r>
      <w:r>
        <w:rPr>
          <w:noProof/>
        </w:rPr>
      </w:r>
      <w:r>
        <w:rPr>
          <w:noProof/>
        </w:rPr>
        <w:fldChar w:fldCharType="separate"/>
      </w:r>
      <w:r>
        <w:rPr>
          <w:noProof/>
        </w:rPr>
        <w:t>39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21: Number of seclusion events across all inpatient services (adult, forensic, intellectual disability, and youth), by duration of event, 1 January to 31 December 2016</w:t>
      </w:r>
      <w:r>
        <w:rPr>
          <w:noProof/>
        </w:rPr>
        <w:tab/>
      </w:r>
      <w:r>
        <w:rPr>
          <w:noProof/>
        </w:rPr>
        <w:fldChar w:fldCharType="begin"/>
      </w:r>
      <w:r>
        <w:rPr>
          <w:noProof/>
        </w:rPr>
        <w:instrText xml:space="preserve"> PAGEREF _Toc508707345 \h </w:instrText>
      </w:r>
      <w:r>
        <w:rPr>
          <w:noProof/>
        </w:rPr>
      </w:r>
      <w:r>
        <w:rPr>
          <w:noProof/>
        </w:rPr>
        <w:fldChar w:fldCharType="separate"/>
      </w:r>
      <w:r>
        <w:rPr>
          <w:noProof/>
        </w:rPr>
        <w:t>39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22: Number of people secluded in adult inpatient services per 100,000, by DHB, 1 January to 31 December 2016</w:t>
      </w:r>
      <w:r>
        <w:rPr>
          <w:noProof/>
        </w:rPr>
        <w:tab/>
      </w:r>
      <w:r>
        <w:rPr>
          <w:noProof/>
        </w:rPr>
        <w:fldChar w:fldCharType="begin"/>
      </w:r>
      <w:r>
        <w:rPr>
          <w:noProof/>
        </w:rPr>
        <w:instrText xml:space="preserve"> PAGEREF _Toc508707346 \h </w:instrText>
      </w:r>
      <w:r>
        <w:rPr>
          <w:noProof/>
        </w:rPr>
      </w:r>
      <w:r>
        <w:rPr>
          <w:noProof/>
        </w:rPr>
        <w:fldChar w:fldCharType="separate"/>
      </w:r>
      <w:r>
        <w:rPr>
          <w:noProof/>
        </w:rPr>
        <w:t>40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23: Number of seclusion events in adult inpatient services per 100,000, by DHB, 1 January to 31 December 2016</w:t>
      </w:r>
      <w:r>
        <w:rPr>
          <w:noProof/>
        </w:rPr>
        <w:tab/>
      </w:r>
      <w:r>
        <w:rPr>
          <w:noProof/>
        </w:rPr>
        <w:fldChar w:fldCharType="begin"/>
      </w:r>
      <w:r>
        <w:rPr>
          <w:noProof/>
        </w:rPr>
        <w:instrText xml:space="preserve"> PAGEREF _Toc508707347 \h </w:instrText>
      </w:r>
      <w:r>
        <w:rPr>
          <w:noProof/>
        </w:rPr>
      </w:r>
      <w:r>
        <w:rPr>
          <w:noProof/>
        </w:rPr>
        <w:fldChar w:fldCharType="separate"/>
      </w:r>
      <w:r>
        <w:rPr>
          <w:noProof/>
        </w:rPr>
        <w:t>41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24: Seclusion indicators for adult inpatient services, Māori and non-Māori, 1 January to 31 December 2016</w:t>
      </w:r>
      <w:r>
        <w:rPr>
          <w:noProof/>
        </w:rPr>
        <w:tab/>
      </w:r>
      <w:r>
        <w:rPr>
          <w:noProof/>
        </w:rPr>
        <w:fldChar w:fldCharType="begin"/>
      </w:r>
      <w:r>
        <w:rPr>
          <w:noProof/>
        </w:rPr>
        <w:instrText xml:space="preserve"> PAGEREF _Toc508707348 \h </w:instrText>
      </w:r>
      <w:r>
        <w:rPr>
          <w:noProof/>
        </w:rPr>
      </w:r>
      <w:r>
        <w:rPr>
          <w:noProof/>
        </w:rPr>
        <w:fldChar w:fldCharType="separate"/>
      </w:r>
      <w:r>
        <w:rPr>
          <w:noProof/>
        </w:rPr>
        <w:t>42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25: Percentage of people secluded in adult inpatient services, Māori and non-Māori males and females, 1 January to 31 December 2016</w:t>
      </w:r>
      <w:r>
        <w:rPr>
          <w:noProof/>
        </w:rPr>
        <w:tab/>
      </w:r>
      <w:r>
        <w:rPr>
          <w:noProof/>
        </w:rPr>
        <w:fldChar w:fldCharType="begin"/>
      </w:r>
      <w:r>
        <w:rPr>
          <w:noProof/>
        </w:rPr>
        <w:instrText xml:space="preserve"> PAGEREF _Toc508707349 \h </w:instrText>
      </w:r>
      <w:r>
        <w:rPr>
          <w:noProof/>
        </w:rPr>
      </w:r>
      <w:r>
        <w:rPr>
          <w:noProof/>
        </w:rPr>
        <w:fldChar w:fldCharType="separate"/>
      </w:r>
      <w:r>
        <w:rPr>
          <w:noProof/>
        </w:rPr>
        <w:t>42</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26: Number of Māori and non-Māori secluded in adult inpatient services, 2007–2016</w:t>
      </w:r>
      <w:r>
        <w:rPr>
          <w:noProof/>
        </w:rPr>
        <w:tab/>
      </w:r>
      <w:r>
        <w:rPr>
          <w:noProof/>
        </w:rPr>
        <w:fldChar w:fldCharType="begin"/>
      </w:r>
      <w:r>
        <w:rPr>
          <w:noProof/>
        </w:rPr>
        <w:instrText xml:space="preserve"> PAGEREF _Toc508707350 \h </w:instrText>
      </w:r>
      <w:r>
        <w:rPr>
          <w:noProof/>
        </w:rPr>
      </w:r>
      <w:r>
        <w:rPr>
          <w:noProof/>
        </w:rPr>
        <w:fldChar w:fldCharType="separate"/>
      </w:r>
      <w:r>
        <w:rPr>
          <w:noProof/>
        </w:rPr>
        <w:t>43</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27: Total number of special patients, by DHB, 1 January to 31 December 2016</w:t>
      </w:r>
      <w:r>
        <w:rPr>
          <w:noProof/>
        </w:rPr>
        <w:tab/>
      </w:r>
      <w:r>
        <w:rPr>
          <w:noProof/>
        </w:rPr>
        <w:fldChar w:fldCharType="begin"/>
      </w:r>
      <w:r>
        <w:rPr>
          <w:noProof/>
        </w:rPr>
        <w:instrText xml:space="preserve"> PAGEREF _Toc508707351 \h </w:instrText>
      </w:r>
      <w:r>
        <w:rPr>
          <w:noProof/>
        </w:rPr>
      </w:r>
      <w:r>
        <w:rPr>
          <w:noProof/>
        </w:rPr>
        <w:fldChar w:fldCharType="separate"/>
      </w:r>
      <w:r>
        <w:rPr>
          <w:noProof/>
        </w:rPr>
        <w:t>45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28: Percentage of Extended Forensic Care, Short-term Forensic Care and ‘Other’ legal statuses, within each DHB, 1 January to 31 December 2016</w:t>
      </w:r>
      <w:r>
        <w:rPr>
          <w:noProof/>
        </w:rPr>
        <w:tab/>
      </w:r>
      <w:r>
        <w:rPr>
          <w:noProof/>
        </w:rPr>
        <w:fldChar w:fldCharType="begin"/>
      </w:r>
      <w:r>
        <w:rPr>
          <w:noProof/>
        </w:rPr>
        <w:instrText xml:space="preserve"> PAGEREF _Toc508707352 \h </w:instrText>
      </w:r>
      <w:r>
        <w:rPr>
          <w:noProof/>
        </w:rPr>
      </w:r>
      <w:r>
        <w:rPr>
          <w:noProof/>
        </w:rPr>
        <w:fldChar w:fldCharType="separate"/>
      </w:r>
      <w:r>
        <w:rPr>
          <w:noProof/>
        </w:rPr>
        <w:t>47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29: Total number of special patients, by age-group, 1 January to 31 December 2016</w:t>
      </w:r>
      <w:r>
        <w:rPr>
          <w:noProof/>
        </w:rPr>
        <w:tab/>
      </w:r>
      <w:r>
        <w:rPr>
          <w:noProof/>
        </w:rPr>
        <w:fldChar w:fldCharType="begin"/>
      </w:r>
      <w:r>
        <w:rPr>
          <w:noProof/>
        </w:rPr>
        <w:instrText xml:space="preserve"> PAGEREF _Toc508707353 \h </w:instrText>
      </w:r>
      <w:r>
        <w:rPr>
          <w:noProof/>
        </w:rPr>
      </w:r>
      <w:r>
        <w:rPr>
          <w:noProof/>
        </w:rPr>
        <w:fldChar w:fldCharType="separate"/>
      </w:r>
      <w:r>
        <w:rPr>
          <w:noProof/>
        </w:rPr>
        <w:t>47</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30: Total number of special patients, by ethnicity, 1 January to 31 December 2016</w:t>
      </w:r>
      <w:r>
        <w:rPr>
          <w:noProof/>
        </w:rPr>
        <w:tab/>
      </w:r>
      <w:r>
        <w:rPr>
          <w:noProof/>
        </w:rPr>
        <w:fldChar w:fldCharType="begin"/>
      </w:r>
      <w:r>
        <w:rPr>
          <w:noProof/>
        </w:rPr>
        <w:instrText xml:space="preserve"> PAGEREF _Toc508707354 \h </w:instrText>
      </w:r>
      <w:r>
        <w:rPr>
          <w:noProof/>
        </w:rPr>
      </w:r>
      <w:r>
        <w:rPr>
          <w:noProof/>
        </w:rPr>
        <w:fldChar w:fldCharType="separate"/>
      </w:r>
      <w:r>
        <w:rPr>
          <w:noProof/>
        </w:rPr>
        <w:t>48</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31: Total number of special patients, by ethnicity and special patient type, 1 January to 31 December 2016</w:t>
      </w:r>
      <w:r>
        <w:rPr>
          <w:noProof/>
        </w:rPr>
        <w:tab/>
      </w:r>
      <w:r>
        <w:rPr>
          <w:noProof/>
        </w:rPr>
        <w:fldChar w:fldCharType="begin"/>
      </w:r>
      <w:r>
        <w:rPr>
          <w:noProof/>
        </w:rPr>
        <w:instrText xml:space="preserve"> PAGEREF _Toc508707355 \h </w:instrText>
      </w:r>
      <w:r>
        <w:rPr>
          <w:noProof/>
        </w:rPr>
      </w:r>
      <w:r>
        <w:rPr>
          <w:noProof/>
        </w:rPr>
        <w:fldChar w:fldCharType="separate"/>
      </w:r>
      <w:r>
        <w:rPr>
          <w:noProof/>
        </w:rPr>
        <w:t>48</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32: Age-standardised rate of suicide, by service use, people aged 10–64 years, 2001–2014</w:t>
      </w:r>
      <w:r>
        <w:rPr>
          <w:noProof/>
        </w:rPr>
        <w:tab/>
      </w:r>
      <w:r>
        <w:rPr>
          <w:noProof/>
        </w:rPr>
        <w:fldChar w:fldCharType="begin"/>
      </w:r>
      <w:r>
        <w:rPr>
          <w:noProof/>
        </w:rPr>
        <w:instrText xml:space="preserve"> PAGEREF _Toc508707356 \h </w:instrText>
      </w:r>
      <w:r>
        <w:rPr>
          <w:noProof/>
        </w:rPr>
      </w:r>
      <w:r>
        <w:rPr>
          <w:noProof/>
        </w:rPr>
        <w:fldChar w:fldCharType="separate"/>
      </w:r>
      <w:r>
        <w:rPr>
          <w:noProof/>
        </w:rPr>
        <w:t>55</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33: Age-specific rate of suicide, by age group, gender and service use, people aged 10–64 years, 2014</w:t>
      </w:r>
      <w:r>
        <w:rPr>
          <w:noProof/>
        </w:rPr>
        <w:tab/>
      </w:r>
      <w:r>
        <w:rPr>
          <w:noProof/>
        </w:rPr>
        <w:fldChar w:fldCharType="begin"/>
      </w:r>
      <w:r>
        <w:rPr>
          <w:noProof/>
        </w:rPr>
        <w:instrText xml:space="preserve"> PAGEREF _Toc508707357 \h </w:instrText>
      </w:r>
      <w:r>
        <w:rPr>
          <w:noProof/>
        </w:rPr>
      </w:r>
      <w:r>
        <w:rPr>
          <w:noProof/>
        </w:rPr>
        <w:fldChar w:fldCharType="separate"/>
      </w:r>
      <w:r>
        <w:rPr>
          <w:noProof/>
        </w:rPr>
        <w:t>56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34: Number of opioid substitution treatment clients, by age group, 2008–2016</w:t>
      </w:r>
      <w:r>
        <w:rPr>
          <w:noProof/>
        </w:rPr>
        <w:tab/>
      </w:r>
      <w:r>
        <w:rPr>
          <w:noProof/>
        </w:rPr>
        <w:fldChar w:fldCharType="begin"/>
      </w:r>
      <w:r>
        <w:rPr>
          <w:noProof/>
        </w:rPr>
        <w:instrText xml:space="preserve"> PAGEREF _Toc508707358 \h </w:instrText>
      </w:r>
      <w:r>
        <w:rPr>
          <w:noProof/>
        </w:rPr>
      </w:r>
      <w:r>
        <w:rPr>
          <w:noProof/>
        </w:rPr>
        <w:fldChar w:fldCharType="separate"/>
      </w:r>
      <w:r>
        <w:rPr>
          <w:noProof/>
        </w:rPr>
        <w:t>59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35: Number of people receiving opioid substitution treatment from a specialist service, general practice or prison service, 2008–2016</w:t>
      </w:r>
      <w:r>
        <w:rPr>
          <w:noProof/>
        </w:rPr>
        <w:tab/>
      </w:r>
      <w:r>
        <w:rPr>
          <w:noProof/>
        </w:rPr>
        <w:fldChar w:fldCharType="begin"/>
      </w:r>
      <w:r>
        <w:rPr>
          <w:noProof/>
        </w:rPr>
        <w:instrText xml:space="preserve"> PAGEREF _Toc508707359 \h </w:instrText>
      </w:r>
      <w:r>
        <w:rPr>
          <w:noProof/>
        </w:rPr>
      </w:r>
      <w:r>
        <w:rPr>
          <w:noProof/>
        </w:rPr>
        <w:fldChar w:fldCharType="separate"/>
      </w:r>
      <w:r>
        <w:rPr>
          <w:noProof/>
        </w:rPr>
        <w:t>59</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36: Percentage of people receiving opioid substitution treatment from specialist services and general practice, by DHB, 1 January to 31 December 2016</w:t>
      </w:r>
      <w:r>
        <w:rPr>
          <w:noProof/>
        </w:rPr>
        <w:tab/>
      </w:r>
      <w:r>
        <w:rPr>
          <w:noProof/>
        </w:rPr>
        <w:fldChar w:fldCharType="begin"/>
      </w:r>
      <w:r>
        <w:rPr>
          <w:noProof/>
        </w:rPr>
        <w:instrText xml:space="preserve"> PAGEREF _Toc508707360 \h </w:instrText>
      </w:r>
      <w:r>
        <w:rPr>
          <w:noProof/>
        </w:rPr>
      </w:r>
      <w:r>
        <w:rPr>
          <w:noProof/>
        </w:rPr>
        <w:fldChar w:fldCharType="separate"/>
      </w:r>
      <w:r>
        <w:rPr>
          <w:noProof/>
        </w:rPr>
        <w:t>60</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37: Percentage of withdrawals from opioid substitution treatment programmes, by reason (voluntary, involuntary or death), 2008–2016</w:t>
      </w:r>
      <w:r>
        <w:rPr>
          <w:noProof/>
        </w:rPr>
        <w:tab/>
      </w:r>
      <w:r>
        <w:rPr>
          <w:noProof/>
        </w:rPr>
        <w:fldChar w:fldCharType="begin"/>
      </w:r>
      <w:r>
        <w:rPr>
          <w:noProof/>
        </w:rPr>
        <w:instrText xml:space="preserve"> PAGEREF _Toc508707361 \h </w:instrText>
      </w:r>
      <w:r>
        <w:rPr>
          <w:noProof/>
        </w:rPr>
      </w:r>
      <w:r>
        <w:rPr>
          <w:noProof/>
        </w:rPr>
        <w:fldChar w:fldCharType="separate"/>
      </w:r>
      <w:r>
        <w:rPr>
          <w:noProof/>
        </w:rPr>
        <w:t>61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38: Number of people prescribed Suboxone, 2008–2016</w:t>
      </w:r>
      <w:r>
        <w:rPr>
          <w:noProof/>
        </w:rPr>
        <w:tab/>
      </w:r>
      <w:r>
        <w:rPr>
          <w:noProof/>
        </w:rPr>
        <w:fldChar w:fldCharType="begin"/>
      </w:r>
      <w:r>
        <w:rPr>
          <w:noProof/>
        </w:rPr>
        <w:instrText xml:space="preserve"> PAGEREF _Toc508707362 \h </w:instrText>
      </w:r>
      <w:r>
        <w:rPr>
          <w:noProof/>
        </w:rPr>
      </w:r>
      <w:r>
        <w:rPr>
          <w:noProof/>
        </w:rPr>
        <w:fldChar w:fldCharType="separate"/>
      </w:r>
      <w:r>
        <w:rPr>
          <w:noProof/>
        </w:rPr>
        <w:t>61</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sidRPr="00B61EE3">
        <w:rPr>
          <w:rFonts w:eastAsia="Georgia"/>
          <w:noProof/>
        </w:rPr>
        <w:t>Figure 39: Number of people treated with electroconvulsive therapy per 100,000 service user population, 2005–2016</w:t>
      </w:r>
      <w:r>
        <w:rPr>
          <w:noProof/>
        </w:rPr>
        <w:tab/>
      </w:r>
      <w:r>
        <w:rPr>
          <w:noProof/>
        </w:rPr>
        <w:fldChar w:fldCharType="begin"/>
      </w:r>
      <w:r>
        <w:rPr>
          <w:noProof/>
        </w:rPr>
        <w:instrText xml:space="preserve"> PAGEREF _Toc508707363 \h </w:instrText>
      </w:r>
      <w:r>
        <w:rPr>
          <w:noProof/>
        </w:rPr>
      </w:r>
      <w:r>
        <w:rPr>
          <w:noProof/>
        </w:rPr>
        <w:fldChar w:fldCharType="separate"/>
      </w:r>
      <w:r>
        <w:rPr>
          <w:noProof/>
        </w:rPr>
        <w:t>64</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40: Rates of people treated with electroconvulsive therapy, by DHB of domicile, 1 January to 31 December 2016</w:t>
      </w:r>
      <w:r>
        <w:rPr>
          <w:noProof/>
        </w:rPr>
        <w:tab/>
      </w:r>
      <w:r>
        <w:rPr>
          <w:noProof/>
        </w:rPr>
        <w:fldChar w:fldCharType="begin"/>
      </w:r>
      <w:r>
        <w:rPr>
          <w:noProof/>
        </w:rPr>
        <w:instrText xml:space="preserve"> PAGEREF _Toc508707364 \h </w:instrText>
      </w:r>
      <w:r>
        <w:rPr>
          <w:noProof/>
        </w:rPr>
      </w:r>
      <w:r>
        <w:rPr>
          <w:noProof/>
        </w:rPr>
        <w:fldChar w:fldCharType="separate"/>
      </w:r>
      <w:r>
        <w:rPr>
          <w:noProof/>
        </w:rPr>
        <w:t>66</w:t>
      </w:r>
      <w:r>
        <w:rPr>
          <w:noProof/>
        </w:rPr>
        <w:fldChar w:fldCharType="end"/>
      </w:r>
    </w:p>
    <w:p w:rsidR="006E6276" w:rsidRDefault="006E6276">
      <w:pPr>
        <w:pStyle w:val="TOC3"/>
        <w:rPr>
          <w:rFonts w:asciiTheme="minorHAnsi" w:eastAsiaTheme="minorEastAsia" w:hAnsiTheme="minorHAnsi" w:cstheme="minorBidi"/>
          <w:noProof/>
          <w:szCs w:val="22"/>
          <w:lang w:eastAsia="en-NZ"/>
        </w:rPr>
      </w:pPr>
      <w:r>
        <w:rPr>
          <w:noProof/>
        </w:rPr>
        <w:t>Figure 41: Number of people treated with electroconvulsive therapy, by age group and gender, 1 January to 31 December 2016</w:t>
      </w:r>
      <w:r>
        <w:rPr>
          <w:noProof/>
        </w:rPr>
        <w:tab/>
      </w:r>
      <w:r>
        <w:rPr>
          <w:noProof/>
        </w:rPr>
        <w:fldChar w:fldCharType="begin"/>
      </w:r>
      <w:r>
        <w:rPr>
          <w:noProof/>
        </w:rPr>
        <w:instrText xml:space="preserve"> PAGEREF _Toc508707365 \h </w:instrText>
      </w:r>
      <w:r>
        <w:rPr>
          <w:noProof/>
        </w:rPr>
      </w:r>
      <w:r>
        <w:rPr>
          <w:noProof/>
        </w:rPr>
        <w:fldChar w:fldCharType="separate"/>
      </w:r>
      <w:r>
        <w:rPr>
          <w:noProof/>
        </w:rPr>
        <w:t>68</w:t>
      </w:r>
      <w:r>
        <w:rPr>
          <w:noProof/>
        </w:rPr>
        <w:fldChar w:fldCharType="end"/>
      </w:r>
    </w:p>
    <w:p w:rsidR="003A5FEA" w:rsidRPr="00666DF4" w:rsidRDefault="003A5FEA" w:rsidP="003A5FEA">
      <w:r w:rsidRPr="00666DF4">
        <w:fldChar w:fldCharType="end"/>
      </w:r>
    </w:p>
    <w:p w:rsidR="00A47CF6" w:rsidRPr="00666DF4" w:rsidRDefault="00A47CF6" w:rsidP="009E5C48">
      <w:pPr>
        <w:pStyle w:val="Heading1"/>
        <w:rPr>
          <w:rFonts w:eastAsia="Georgia" w:cs="Georgia"/>
          <w:szCs w:val="70"/>
        </w:rPr>
      </w:pPr>
      <w:bookmarkStart w:id="3" w:name="_Toc508707256"/>
      <w:r w:rsidRPr="00666DF4">
        <w:t>Executive</w:t>
      </w:r>
      <w:r w:rsidR="00BF25EC">
        <w:t xml:space="preserve"> </w:t>
      </w:r>
      <w:r w:rsidRPr="00666DF4">
        <w:t>summary</w:t>
      </w:r>
      <w:bookmarkEnd w:id="3"/>
    </w:p>
    <w:p w:rsidR="00A47CF6" w:rsidRPr="00666DF4" w:rsidRDefault="00A47CF6" w:rsidP="009E5C48">
      <w:pPr>
        <w:pStyle w:val="Bullet"/>
        <w:spacing w:before="120"/>
      </w:pPr>
      <w:r w:rsidRPr="00666DF4">
        <w:t>In the 2016 calendar year, a record number of people accessed specialist mental health and addiction services. Most accessed services in the community.</w:t>
      </w:r>
    </w:p>
    <w:p w:rsidR="00A47CF6" w:rsidRPr="00666DF4" w:rsidRDefault="00A47CF6" w:rsidP="009E5C48">
      <w:pPr>
        <w:pStyle w:val="Bullet"/>
        <w:spacing w:before="120"/>
      </w:pPr>
      <w:r w:rsidRPr="00666DF4">
        <w:t>In 2016, consumer satisfaction with mental health and addiction services was rated around 80</w:t>
      </w:r>
      <w:r w:rsidR="009E5C48">
        <w:t> </w:t>
      </w:r>
      <w:r w:rsidRPr="00666DF4">
        <w:t>percent.</w:t>
      </w:r>
    </w:p>
    <w:p w:rsidR="00A47CF6" w:rsidRPr="00666DF4" w:rsidRDefault="00A47CF6" w:rsidP="009E5C48">
      <w:pPr>
        <w:pStyle w:val="Bullet"/>
        <w:spacing w:before="120"/>
      </w:pPr>
      <w:r w:rsidRPr="00666DF4">
        <w:t>In 2016, a small proportion of all service users received compulsory assessment and/or treatment under the Mental Health (Compulsory Assessment and Treatment) Act 1992 (the Mental Health Act).</w:t>
      </w:r>
    </w:p>
    <w:p w:rsidR="00A47CF6" w:rsidRPr="00666DF4" w:rsidRDefault="00A47CF6" w:rsidP="009E5C48">
      <w:pPr>
        <w:pStyle w:val="Bullet"/>
        <w:spacing w:before="120"/>
      </w:pPr>
      <w:r w:rsidRPr="00666DF4">
        <w:t>Māori are over-represented under the Mental Health Act. Reducing the disparity in mental health outcomes for Māori is a priority action for the Ministry of Health and district health boards (DHBs).</w:t>
      </w:r>
    </w:p>
    <w:p w:rsidR="00A47CF6" w:rsidRPr="00666DF4" w:rsidRDefault="00A47CF6" w:rsidP="009E5C48">
      <w:pPr>
        <w:pStyle w:val="Bullet"/>
        <w:spacing w:before="120"/>
      </w:pPr>
      <w:r w:rsidRPr="00666DF4">
        <w:t>In 2016, the use of seclusion in adult inpatient units steadied in the context of a seven-year decline. Most services in New Zealand that use seclusion are now entering a re-planning phase, in which they are refining and refocusing seclusion reduction initiati</w:t>
      </w:r>
      <w:r w:rsidR="00FF32A8">
        <w:t>ves. Māori continue to be over-</w:t>
      </w:r>
      <w:r w:rsidRPr="00666DF4">
        <w:t>represented in the seclusion figures.</w:t>
      </w:r>
    </w:p>
    <w:p w:rsidR="00A47CF6" w:rsidRPr="00666DF4" w:rsidRDefault="00A47CF6" w:rsidP="009E5C48">
      <w:pPr>
        <w:pStyle w:val="Bullet"/>
        <w:spacing w:before="120"/>
      </w:pPr>
      <w:r w:rsidRPr="00666DF4">
        <w:t>In 2016, 251 people received electroconvulsive therapy (ECT) in mental health services. Females were more likely to receive ECT than males, and older people were more likely to receive ECT than younger people.</w:t>
      </w:r>
    </w:p>
    <w:p w:rsidR="00A47CF6" w:rsidRPr="00666DF4" w:rsidRDefault="00A47CF6" w:rsidP="009E5C48">
      <w:pPr>
        <w:pStyle w:val="Bullet"/>
        <w:spacing w:before="120"/>
      </w:pPr>
      <w:r w:rsidRPr="00666DF4">
        <w:t>In 2014,</w:t>
      </w:r>
      <w:r w:rsidR="00FF32A8">
        <w:rPr>
          <w:rStyle w:val="FootnoteReference"/>
        </w:rPr>
        <w:footnoteReference w:id="1"/>
      </w:r>
      <w:r w:rsidR="00FF32A8">
        <w:t xml:space="preserve"> </w:t>
      </w:r>
      <w:r w:rsidRPr="00666DF4">
        <w:t>a total of 510 people died by suicide. Mental disorders are one of the factors that can increase the likelihood of suicidal behaviour.</w:t>
      </w:r>
    </w:p>
    <w:p w:rsidR="001A3F09" w:rsidRDefault="001A3F09" w:rsidP="00FF32A8"/>
    <w:p w:rsidR="00D06281" w:rsidRDefault="00FF32A8" w:rsidP="00D06281">
      <w:pPr>
        <w:pStyle w:val="BoxHeading"/>
        <w:rPr>
          <w:spacing w:val="-68"/>
          <w:sz w:val="28"/>
          <w:szCs w:val="28"/>
        </w:rPr>
      </w:pPr>
      <w:r w:rsidRPr="00FF32A8">
        <w:rPr>
          <w:sz w:val="28"/>
          <w:szCs w:val="28"/>
        </w:rPr>
        <w:t>Furthe</w:t>
      </w:r>
      <w:r w:rsidR="00D06281">
        <w:rPr>
          <w:sz w:val="28"/>
          <w:szCs w:val="28"/>
        </w:rPr>
        <w:t xml:space="preserve">r </w:t>
      </w:r>
      <w:r w:rsidRPr="00FF32A8">
        <w:rPr>
          <w:sz w:val="28"/>
          <w:szCs w:val="28"/>
        </w:rPr>
        <w:t>r</w:t>
      </w:r>
      <w:r w:rsidR="00D06281">
        <w:rPr>
          <w:sz w:val="28"/>
          <w:szCs w:val="28"/>
        </w:rPr>
        <w:t>eading</w:t>
      </w:r>
      <w:r w:rsidR="00D06281">
        <w:rPr>
          <w:spacing w:val="-68"/>
          <w:sz w:val="28"/>
          <w:szCs w:val="28"/>
        </w:rPr>
        <w:t xml:space="preserve">   </w:t>
      </w:r>
    </w:p>
    <w:p w:rsidR="00FF32A8" w:rsidRPr="00FF32A8" w:rsidRDefault="00FF32A8" w:rsidP="00D06281">
      <w:pPr>
        <w:pStyle w:val="BoxHeading"/>
        <w:rPr>
          <w:rFonts w:eastAsia="Georgia" w:cs="Georgia"/>
          <w:b w:val="0"/>
          <w:szCs w:val="28"/>
        </w:rPr>
      </w:pPr>
      <w:r w:rsidRPr="00FF32A8">
        <w:t>The</w:t>
      </w:r>
      <w:r w:rsidRPr="00FF32A8">
        <w:rPr>
          <w:spacing w:val="-20"/>
        </w:rPr>
        <w:t xml:space="preserve"> </w:t>
      </w:r>
      <w:r w:rsidRPr="00FF32A8">
        <w:rPr>
          <w:spacing w:val="-5"/>
        </w:rPr>
        <w:t>Ne</w:t>
      </w:r>
      <w:r w:rsidRPr="00FF32A8">
        <w:rPr>
          <w:spacing w:val="-4"/>
        </w:rPr>
        <w:t>w</w:t>
      </w:r>
      <w:r w:rsidRPr="00FF32A8">
        <w:rPr>
          <w:spacing w:val="-20"/>
        </w:rPr>
        <w:t xml:space="preserve"> </w:t>
      </w:r>
      <w:r w:rsidRPr="00FF32A8">
        <w:t>Zealand</w:t>
      </w:r>
      <w:r w:rsidRPr="00FF32A8">
        <w:rPr>
          <w:spacing w:val="-20"/>
        </w:rPr>
        <w:t xml:space="preserve"> </w:t>
      </w:r>
      <w:r w:rsidRPr="00FF32A8">
        <w:t>Mental</w:t>
      </w:r>
      <w:r w:rsidRPr="00FF32A8">
        <w:rPr>
          <w:spacing w:val="-20"/>
        </w:rPr>
        <w:t xml:space="preserve"> </w:t>
      </w:r>
      <w:r w:rsidRPr="00FF32A8">
        <w:rPr>
          <w:spacing w:val="-2"/>
        </w:rPr>
        <w:t>H</w:t>
      </w:r>
      <w:r w:rsidRPr="00FF32A8">
        <w:rPr>
          <w:spacing w:val="-1"/>
        </w:rPr>
        <w:t>ealth</w:t>
      </w:r>
      <w:r w:rsidRPr="00FF32A8">
        <w:rPr>
          <w:spacing w:val="-20"/>
        </w:rPr>
        <w:t xml:space="preserve"> </w:t>
      </w:r>
      <w:r w:rsidRPr="00FF32A8">
        <w:t>and</w:t>
      </w:r>
      <w:r w:rsidRPr="00FF32A8">
        <w:rPr>
          <w:spacing w:val="-20"/>
        </w:rPr>
        <w:t xml:space="preserve"> </w:t>
      </w:r>
      <w:r w:rsidRPr="00FF32A8">
        <w:rPr>
          <w:spacing w:val="-1"/>
        </w:rPr>
        <w:t>Addictions</w:t>
      </w:r>
      <w:r w:rsidRPr="00FF32A8">
        <w:rPr>
          <w:spacing w:val="-20"/>
        </w:rPr>
        <w:t xml:space="preserve"> </w:t>
      </w:r>
      <w:r w:rsidRPr="00FF32A8">
        <w:t>KPI</w:t>
      </w:r>
      <w:r w:rsidRPr="00FF32A8">
        <w:rPr>
          <w:spacing w:val="34"/>
          <w:w w:val="96"/>
        </w:rPr>
        <w:t xml:space="preserve"> </w:t>
      </w:r>
      <w:r w:rsidRPr="00FF32A8">
        <w:rPr>
          <w:spacing w:val="-2"/>
        </w:rPr>
        <w:t>Pr</w:t>
      </w:r>
      <w:r w:rsidRPr="00FF32A8">
        <w:rPr>
          <w:spacing w:val="-1"/>
        </w:rPr>
        <w:t>ogramme</w:t>
      </w:r>
    </w:p>
    <w:p w:rsidR="00FF32A8" w:rsidRDefault="00FF32A8" w:rsidP="00FF32A8">
      <w:pPr>
        <w:pStyle w:val="Box"/>
        <w:rPr>
          <w:rFonts w:eastAsia="Century" w:hAnsi="Century" w:cs="Century"/>
        </w:rPr>
      </w:pPr>
      <w:r>
        <w:t>The</w:t>
      </w:r>
      <w:r>
        <w:rPr>
          <w:spacing w:val="-4"/>
        </w:rPr>
        <w:t xml:space="preserve"> </w:t>
      </w:r>
      <w:r>
        <w:rPr>
          <w:spacing w:val="-1"/>
        </w:rPr>
        <w:t>New</w:t>
      </w:r>
      <w:r>
        <w:rPr>
          <w:spacing w:val="-4"/>
        </w:rPr>
        <w:t xml:space="preserve"> </w:t>
      </w:r>
      <w:r>
        <w:t>Zealand</w:t>
      </w:r>
      <w:r>
        <w:rPr>
          <w:spacing w:val="-4"/>
        </w:rPr>
        <w:t xml:space="preserve"> </w:t>
      </w:r>
      <w:r>
        <w:t>Mental</w:t>
      </w:r>
      <w:r>
        <w:rPr>
          <w:spacing w:val="-4"/>
        </w:rPr>
        <w:t xml:space="preserve"> </w:t>
      </w:r>
      <w:r>
        <w:t>Health</w:t>
      </w:r>
      <w:r>
        <w:rPr>
          <w:spacing w:val="-4"/>
        </w:rPr>
        <w:t xml:space="preserve"> </w:t>
      </w:r>
      <w:r>
        <w:t>and</w:t>
      </w:r>
      <w:r>
        <w:rPr>
          <w:spacing w:val="-4"/>
        </w:rPr>
        <w:t xml:space="preserve"> </w:t>
      </w:r>
      <w:r>
        <w:t>Addictions</w:t>
      </w:r>
      <w:r>
        <w:rPr>
          <w:spacing w:val="-4"/>
        </w:rPr>
        <w:t xml:space="preserve"> </w:t>
      </w:r>
      <w:r>
        <w:t>KPI</w:t>
      </w:r>
      <w:r>
        <w:rPr>
          <w:spacing w:val="-3"/>
        </w:rPr>
        <w:t xml:space="preserve"> </w:t>
      </w:r>
      <w:r>
        <w:t>Programme</w:t>
      </w:r>
      <w:r>
        <w:rPr>
          <w:spacing w:val="-4"/>
        </w:rPr>
        <w:t xml:space="preserve"> </w:t>
      </w:r>
      <w:r>
        <w:t>is</w:t>
      </w:r>
      <w:r>
        <w:rPr>
          <w:spacing w:val="-4"/>
        </w:rPr>
        <w:t xml:space="preserve"> </w:t>
      </w:r>
      <w:r>
        <w:t>a</w:t>
      </w:r>
      <w:r>
        <w:rPr>
          <w:spacing w:val="-4"/>
        </w:rPr>
        <w:t xml:space="preserve"> </w:t>
      </w:r>
      <w:r>
        <w:rPr>
          <w:spacing w:val="-1"/>
        </w:rPr>
        <w:t>provider-led</w:t>
      </w:r>
      <w:r>
        <w:rPr>
          <w:spacing w:val="34"/>
          <w:w w:val="107"/>
        </w:rPr>
        <w:t xml:space="preserve"> </w:t>
      </w:r>
      <w:r>
        <w:rPr>
          <w:spacing w:val="-1"/>
        </w:rPr>
        <w:t>initiative</w:t>
      </w:r>
      <w:r>
        <w:rPr>
          <w:spacing w:val="9"/>
        </w:rPr>
        <w:t xml:space="preserve"> </w:t>
      </w:r>
      <w:r>
        <w:t>designed</w:t>
      </w:r>
      <w:r>
        <w:rPr>
          <w:spacing w:val="9"/>
        </w:rPr>
        <w:t xml:space="preserve"> </w:t>
      </w:r>
      <w:r>
        <w:rPr>
          <w:spacing w:val="-2"/>
        </w:rPr>
        <w:t>t</w:t>
      </w:r>
      <w:r>
        <w:rPr>
          <w:spacing w:val="-1"/>
        </w:rPr>
        <w:t>o</w:t>
      </w:r>
      <w:r>
        <w:rPr>
          <w:spacing w:val="9"/>
        </w:rPr>
        <w:t xml:space="preserve"> </w:t>
      </w:r>
      <w:r>
        <w:t>support</w:t>
      </w:r>
      <w:r>
        <w:rPr>
          <w:spacing w:val="9"/>
        </w:rPr>
        <w:t xml:space="preserve"> </w:t>
      </w:r>
      <w:r>
        <w:t>quality</w:t>
      </w:r>
      <w:r>
        <w:rPr>
          <w:spacing w:val="9"/>
        </w:rPr>
        <w:t xml:space="preserve"> </w:t>
      </w:r>
      <w:r>
        <w:t>and</w:t>
      </w:r>
      <w:r>
        <w:rPr>
          <w:spacing w:val="9"/>
        </w:rPr>
        <w:t xml:space="preserve"> </w:t>
      </w:r>
      <w:r>
        <w:t>performance</w:t>
      </w:r>
      <w:r>
        <w:rPr>
          <w:spacing w:val="9"/>
        </w:rPr>
        <w:t xml:space="preserve"> </w:t>
      </w:r>
      <w:r>
        <w:rPr>
          <w:spacing w:val="-1"/>
        </w:rPr>
        <w:t>improvement</w:t>
      </w:r>
      <w:r>
        <w:rPr>
          <w:spacing w:val="9"/>
        </w:rPr>
        <w:t xml:space="preserve"> </w:t>
      </w:r>
      <w:r>
        <w:t>across</w:t>
      </w:r>
      <w:r>
        <w:rPr>
          <w:spacing w:val="10"/>
        </w:rPr>
        <w:t xml:space="preserve"> </w:t>
      </w:r>
      <w:r>
        <w:t>the</w:t>
      </w:r>
      <w:r>
        <w:rPr>
          <w:spacing w:val="9"/>
        </w:rPr>
        <w:t xml:space="preserve"> </w:t>
      </w:r>
      <w:r>
        <w:t>mental</w:t>
      </w:r>
      <w:r>
        <w:rPr>
          <w:spacing w:val="44"/>
          <w:w w:val="102"/>
        </w:rPr>
        <w:t xml:space="preserve"> </w:t>
      </w:r>
      <w:r>
        <w:t>health and</w:t>
      </w:r>
      <w:r>
        <w:rPr>
          <w:spacing w:val="1"/>
        </w:rPr>
        <w:t xml:space="preserve"> </w:t>
      </w:r>
      <w:r>
        <w:t>addiction</w:t>
      </w:r>
      <w:r>
        <w:rPr>
          <w:spacing w:val="1"/>
        </w:rPr>
        <w:t xml:space="preserve"> </w:t>
      </w:r>
      <w:r>
        <w:rPr>
          <w:spacing w:val="-2"/>
        </w:rPr>
        <w:t>s</w:t>
      </w:r>
      <w:r>
        <w:rPr>
          <w:spacing w:val="-1"/>
        </w:rPr>
        <w:t>ec</w:t>
      </w:r>
      <w:r>
        <w:rPr>
          <w:spacing w:val="-2"/>
        </w:rPr>
        <w:t>t</w:t>
      </w:r>
      <w:r>
        <w:rPr>
          <w:spacing w:val="-1"/>
        </w:rPr>
        <w:t>or.</w:t>
      </w:r>
      <w:r>
        <w:rPr>
          <w:spacing w:val="1"/>
        </w:rPr>
        <w:t xml:space="preserve"> </w:t>
      </w:r>
      <w:r>
        <w:t>Further</w:t>
      </w:r>
      <w:r>
        <w:rPr>
          <w:spacing w:val="1"/>
        </w:rPr>
        <w:t xml:space="preserve"> </w:t>
      </w:r>
      <w:r>
        <w:t>information</w:t>
      </w:r>
      <w:r>
        <w:rPr>
          <w:spacing w:val="1"/>
        </w:rPr>
        <w:t xml:space="preserve"> </w:t>
      </w:r>
      <w:r>
        <w:t>on</w:t>
      </w:r>
      <w:r>
        <w:rPr>
          <w:spacing w:val="1"/>
        </w:rPr>
        <w:t xml:space="preserve"> </w:t>
      </w:r>
      <w:r>
        <w:t>the</w:t>
      </w:r>
      <w:r>
        <w:rPr>
          <w:spacing w:val="1"/>
        </w:rPr>
        <w:t xml:space="preserve"> </w:t>
      </w:r>
      <w:r>
        <w:t>KPI</w:t>
      </w:r>
      <w:r>
        <w:rPr>
          <w:spacing w:val="1"/>
        </w:rPr>
        <w:t xml:space="preserve"> </w:t>
      </w:r>
      <w:r>
        <w:rPr>
          <w:spacing w:val="-2"/>
        </w:rPr>
        <w:t>Pr</w:t>
      </w:r>
      <w:r>
        <w:rPr>
          <w:spacing w:val="-1"/>
        </w:rPr>
        <w:t>ogramme</w:t>
      </w:r>
      <w:r>
        <w:t xml:space="preserve"> can</w:t>
      </w:r>
      <w:r>
        <w:rPr>
          <w:spacing w:val="1"/>
        </w:rPr>
        <w:t xml:space="preserve"> </w:t>
      </w:r>
      <w:r>
        <w:t>be</w:t>
      </w:r>
      <w:r>
        <w:rPr>
          <w:spacing w:val="1"/>
        </w:rPr>
        <w:t xml:space="preserve"> </w:t>
      </w:r>
      <w:r>
        <w:t>found</w:t>
      </w:r>
      <w:r>
        <w:rPr>
          <w:spacing w:val="1"/>
        </w:rPr>
        <w:t xml:space="preserve"> </w:t>
      </w:r>
      <w:r>
        <w:t>at</w:t>
      </w:r>
      <w:r>
        <w:rPr>
          <w:spacing w:val="30"/>
          <w:w w:val="95"/>
        </w:rPr>
        <w:t xml:space="preserve"> </w:t>
      </w:r>
      <w:hyperlink r:id="rId15">
        <w:r>
          <w:rPr>
            <w:spacing w:val="-1"/>
          </w:rPr>
          <w:t>www.mhakpi.health.nz</w:t>
        </w:r>
      </w:hyperlink>
      <w:r>
        <w:rPr>
          <w:spacing w:val="-1"/>
        </w:rPr>
        <w:t>.</w:t>
      </w:r>
    </w:p>
    <w:p w:rsidR="00FF32A8" w:rsidRPr="00FF32A8" w:rsidRDefault="00FF32A8" w:rsidP="00FF32A8">
      <w:pPr>
        <w:pStyle w:val="Box"/>
        <w:spacing w:before="240"/>
        <w:rPr>
          <w:rFonts w:eastAsia="Georgia" w:cs="Georgia"/>
          <w:b/>
          <w:szCs w:val="28"/>
        </w:rPr>
      </w:pPr>
      <w:r w:rsidRPr="00FF32A8">
        <w:rPr>
          <w:b/>
        </w:rPr>
        <w:t>Other</w:t>
      </w:r>
      <w:r w:rsidRPr="00FF32A8">
        <w:rPr>
          <w:b/>
          <w:spacing w:val="-38"/>
        </w:rPr>
        <w:t xml:space="preserve"> </w:t>
      </w:r>
      <w:r w:rsidRPr="00FF32A8">
        <w:rPr>
          <w:b/>
        </w:rPr>
        <w:t>PRIMHD</w:t>
      </w:r>
      <w:r w:rsidRPr="00FF32A8">
        <w:rPr>
          <w:b/>
          <w:spacing w:val="-38"/>
        </w:rPr>
        <w:t xml:space="preserve"> </w:t>
      </w:r>
      <w:r w:rsidRPr="00FF32A8">
        <w:rPr>
          <w:b/>
        </w:rPr>
        <w:t>publications</w:t>
      </w:r>
    </w:p>
    <w:p w:rsidR="00FF32A8" w:rsidRDefault="00FF32A8" w:rsidP="00FF32A8">
      <w:pPr>
        <w:pStyle w:val="Box"/>
        <w:rPr>
          <w:rFonts w:eastAsia="Century" w:hAnsi="Century" w:cs="Century"/>
        </w:rPr>
      </w:pPr>
      <w:r>
        <w:rPr>
          <w:w w:val="105"/>
        </w:rPr>
        <w:t>The</w:t>
      </w:r>
      <w:r>
        <w:rPr>
          <w:spacing w:val="-31"/>
          <w:w w:val="105"/>
        </w:rPr>
        <w:t xml:space="preserve"> </w:t>
      </w:r>
      <w:r>
        <w:rPr>
          <w:w w:val="105"/>
        </w:rPr>
        <w:t>Ministry</w:t>
      </w:r>
      <w:r>
        <w:rPr>
          <w:spacing w:val="-30"/>
          <w:w w:val="105"/>
        </w:rPr>
        <w:t xml:space="preserve"> </w:t>
      </w:r>
      <w:r>
        <w:rPr>
          <w:w w:val="105"/>
        </w:rPr>
        <w:t>of</w:t>
      </w:r>
      <w:r>
        <w:rPr>
          <w:spacing w:val="-30"/>
          <w:w w:val="105"/>
        </w:rPr>
        <w:t xml:space="preserve"> </w:t>
      </w:r>
      <w:r>
        <w:rPr>
          <w:w w:val="105"/>
        </w:rPr>
        <w:t>Health</w:t>
      </w:r>
      <w:r>
        <w:rPr>
          <w:spacing w:val="-30"/>
          <w:w w:val="105"/>
        </w:rPr>
        <w:t xml:space="preserve"> </w:t>
      </w:r>
      <w:r>
        <w:rPr>
          <w:w w:val="105"/>
        </w:rPr>
        <w:t>publishes</w:t>
      </w:r>
      <w:r>
        <w:rPr>
          <w:spacing w:val="-30"/>
          <w:w w:val="105"/>
        </w:rPr>
        <w:t xml:space="preserve"> </w:t>
      </w:r>
      <w:r>
        <w:rPr>
          <w:w w:val="105"/>
        </w:rPr>
        <w:t>additional</w:t>
      </w:r>
      <w:r>
        <w:rPr>
          <w:spacing w:val="-30"/>
          <w:w w:val="105"/>
        </w:rPr>
        <w:t xml:space="preserve"> </w:t>
      </w:r>
      <w:r>
        <w:rPr>
          <w:w w:val="105"/>
        </w:rPr>
        <w:t>information</w:t>
      </w:r>
      <w:r>
        <w:rPr>
          <w:spacing w:val="-31"/>
          <w:w w:val="105"/>
        </w:rPr>
        <w:t xml:space="preserve"> </w:t>
      </w:r>
      <w:r>
        <w:rPr>
          <w:spacing w:val="-2"/>
          <w:w w:val="105"/>
        </w:rPr>
        <w:t>pr</w:t>
      </w:r>
      <w:r>
        <w:rPr>
          <w:spacing w:val="-1"/>
          <w:w w:val="105"/>
        </w:rPr>
        <w:t>ovided</w:t>
      </w:r>
      <w:r>
        <w:rPr>
          <w:spacing w:val="-30"/>
          <w:w w:val="105"/>
        </w:rPr>
        <w:t xml:space="preserve"> </w:t>
      </w:r>
      <w:r>
        <w:rPr>
          <w:spacing w:val="-2"/>
          <w:w w:val="105"/>
        </w:rPr>
        <w:t>t</w:t>
      </w:r>
      <w:r>
        <w:rPr>
          <w:spacing w:val="-1"/>
          <w:w w:val="105"/>
        </w:rPr>
        <w:t>o</w:t>
      </w:r>
      <w:r>
        <w:rPr>
          <w:spacing w:val="-30"/>
          <w:w w:val="105"/>
        </w:rPr>
        <w:t xml:space="preserve"> </w:t>
      </w:r>
      <w:r>
        <w:rPr>
          <w:w w:val="105"/>
        </w:rPr>
        <w:t>PRIMHD</w:t>
      </w:r>
      <w:r>
        <w:rPr>
          <w:spacing w:val="-30"/>
          <w:w w:val="105"/>
        </w:rPr>
        <w:t xml:space="preserve"> </w:t>
      </w:r>
      <w:r>
        <w:rPr>
          <w:w w:val="105"/>
        </w:rPr>
        <w:t>on</w:t>
      </w:r>
      <w:r>
        <w:rPr>
          <w:spacing w:val="-30"/>
          <w:w w:val="105"/>
        </w:rPr>
        <w:t xml:space="preserve"> </w:t>
      </w:r>
      <w:r>
        <w:rPr>
          <w:w w:val="105"/>
        </w:rPr>
        <w:t>mental</w:t>
      </w:r>
      <w:r>
        <w:rPr>
          <w:spacing w:val="26"/>
          <w:w w:val="102"/>
        </w:rPr>
        <w:t xml:space="preserve"> </w:t>
      </w:r>
      <w:r>
        <w:rPr>
          <w:w w:val="105"/>
        </w:rPr>
        <w:t>health</w:t>
      </w:r>
      <w:r>
        <w:rPr>
          <w:spacing w:val="-26"/>
          <w:w w:val="105"/>
        </w:rPr>
        <w:t xml:space="preserve"> </w:t>
      </w:r>
      <w:r>
        <w:rPr>
          <w:w w:val="105"/>
        </w:rPr>
        <w:t>and</w:t>
      </w:r>
      <w:r>
        <w:rPr>
          <w:spacing w:val="-25"/>
          <w:w w:val="105"/>
        </w:rPr>
        <w:t xml:space="preserve"> </w:t>
      </w:r>
      <w:r>
        <w:rPr>
          <w:w w:val="105"/>
        </w:rPr>
        <w:t>addiction</w:t>
      </w:r>
      <w:r>
        <w:rPr>
          <w:spacing w:val="-26"/>
          <w:w w:val="105"/>
        </w:rPr>
        <w:t xml:space="preserve"> </w:t>
      </w:r>
      <w:r>
        <w:rPr>
          <w:w w:val="105"/>
        </w:rPr>
        <w:t>service</w:t>
      </w:r>
      <w:r>
        <w:rPr>
          <w:spacing w:val="-26"/>
          <w:w w:val="105"/>
        </w:rPr>
        <w:t xml:space="preserve"> </w:t>
      </w:r>
      <w:r>
        <w:rPr>
          <w:spacing w:val="-2"/>
          <w:w w:val="105"/>
        </w:rPr>
        <w:t>us</w:t>
      </w:r>
      <w:r>
        <w:rPr>
          <w:spacing w:val="-1"/>
          <w:w w:val="105"/>
        </w:rPr>
        <w:t>e</w:t>
      </w:r>
      <w:r>
        <w:rPr>
          <w:spacing w:val="-2"/>
          <w:w w:val="105"/>
        </w:rPr>
        <w:t>.</w:t>
      </w:r>
      <w:r>
        <w:rPr>
          <w:spacing w:val="-25"/>
          <w:w w:val="105"/>
        </w:rPr>
        <w:t xml:space="preserve"> </w:t>
      </w:r>
      <w:r>
        <w:rPr>
          <w:w w:val="105"/>
        </w:rPr>
        <w:t>Further</w:t>
      </w:r>
      <w:r>
        <w:rPr>
          <w:spacing w:val="-26"/>
          <w:w w:val="105"/>
        </w:rPr>
        <w:t xml:space="preserve"> </w:t>
      </w:r>
      <w:r>
        <w:rPr>
          <w:w w:val="105"/>
        </w:rPr>
        <w:t>information</w:t>
      </w:r>
      <w:r>
        <w:rPr>
          <w:spacing w:val="-25"/>
          <w:w w:val="105"/>
        </w:rPr>
        <w:t xml:space="preserve"> </w:t>
      </w:r>
      <w:r>
        <w:rPr>
          <w:w w:val="105"/>
        </w:rPr>
        <w:t>on</w:t>
      </w:r>
      <w:r>
        <w:rPr>
          <w:spacing w:val="-26"/>
          <w:w w:val="105"/>
        </w:rPr>
        <w:t xml:space="preserve"> </w:t>
      </w:r>
      <w:r>
        <w:rPr>
          <w:w w:val="105"/>
        </w:rPr>
        <w:t>these</w:t>
      </w:r>
      <w:r>
        <w:rPr>
          <w:spacing w:val="-25"/>
          <w:w w:val="105"/>
        </w:rPr>
        <w:t xml:space="preserve"> </w:t>
      </w:r>
      <w:r>
        <w:rPr>
          <w:w w:val="105"/>
        </w:rPr>
        <w:t>publications</w:t>
      </w:r>
      <w:r>
        <w:rPr>
          <w:spacing w:val="-26"/>
          <w:w w:val="105"/>
        </w:rPr>
        <w:t xml:space="preserve"> </w:t>
      </w:r>
      <w:r>
        <w:rPr>
          <w:w w:val="105"/>
        </w:rPr>
        <w:t>can</w:t>
      </w:r>
      <w:r>
        <w:rPr>
          <w:spacing w:val="-25"/>
          <w:w w:val="105"/>
        </w:rPr>
        <w:t xml:space="preserve"> </w:t>
      </w:r>
      <w:r>
        <w:rPr>
          <w:w w:val="105"/>
        </w:rPr>
        <w:t>be</w:t>
      </w:r>
      <w:r>
        <w:rPr>
          <w:spacing w:val="-26"/>
          <w:w w:val="105"/>
        </w:rPr>
        <w:t xml:space="preserve"> </w:t>
      </w:r>
      <w:r>
        <w:rPr>
          <w:w w:val="105"/>
        </w:rPr>
        <w:t>found</w:t>
      </w:r>
      <w:r>
        <w:rPr>
          <w:spacing w:val="32"/>
          <w:w w:val="107"/>
        </w:rPr>
        <w:t xml:space="preserve"> </w:t>
      </w:r>
      <w:r>
        <w:t xml:space="preserve">at </w:t>
      </w:r>
      <w:hyperlink r:id="rId16">
        <w:r>
          <w:rPr>
            <w:spacing w:val="-1"/>
          </w:rPr>
          <w:t>www.health.govt.nz/publications</w:t>
        </w:r>
      </w:hyperlink>
      <w:r>
        <w:rPr>
          <w:spacing w:val="-1"/>
        </w:rPr>
        <w:t>.</w:t>
      </w:r>
    </w:p>
    <w:p w:rsidR="00A47CF6" w:rsidRPr="00666DF4" w:rsidRDefault="00A47CF6" w:rsidP="00FF32A8">
      <w:pPr>
        <w:rPr>
          <w:rFonts w:eastAsia="Century"/>
        </w:rPr>
      </w:pPr>
    </w:p>
    <w:p w:rsidR="00455CC9" w:rsidRPr="00666DF4" w:rsidRDefault="00455CC9" w:rsidP="00FF32A8"/>
    <w:p w:rsidR="00C86248" w:rsidRPr="00666DF4" w:rsidRDefault="00C86248">
      <w:pPr>
        <w:sectPr w:rsidR="00C86248" w:rsidRPr="00666DF4"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rsidR="00A47CF6" w:rsidRPr="00666DF4" w:rsidRDefault="00A47CF6" w:rsidP="008663FA">
      <w:pPr>
        <w:pStyle w:val="Heading1"/>
        <w:rPr>
          <w:rFonts w:eastAsia="Georgia" w:cs="Georgia"/>
          <w:szCs w:val="70"/>
        </w:rPr>
      </w:pPr>
      <w:bookmarkStart w:id="4" w:name="_Toc508707257"/>
      <w:r w:rsidRPr="00666DF4">
        <w:t>Introduction</w:t>
      </w:r>
      <w:bookmarkEnd w:id="4"/>
    </w:p>
    <w:p w:rsidR="00A47CF6" w:rsidRPr="00666DF4" w:rsidRDefault="00A47CF6" w:rsidP="008663FA">
      <w:pPr>
        <w:pStyle w:val="Heading2"/>
        <w:rPr>
          <w:rFonts w:eastAsia="Georgia" w:cs="Georgia"/>
          <w:szCs w:val="40"/>
        </w:rPr>
      </w:pPr>
      <w:bookmarkStart w:id="5" w:name="_Toc508707258"/>
      <w:r w:rsidRPr="00666DF4">
        <w:t>Objectives</w:t>
      </w:r>
      <w:bookmarkEnd w:id="5"/>
    </w:p>
    <w:p w:rsidR="00A47CF6" w:rsidRPr="00666DF4" w:rsidRDefault="00A47CF6" w:rsidP="008663FA">
      <w:r w:rsidRPr="00666DF4">
        <w:t>The objectives of this report are to:</w:t>
      </w:r>
    </w:p>
    <w:p w:rsidR="00A47CF6" w:rsidRPr="00666DF4" w:rsidRDefault="00A47CF6" w:rsidP="008663FA">
      <w:pPr>
        <w:pStyle w:val="Bullet"/>
      </w:pPr>
      <w:r w:rsidRPr="00666DF4">
        <w:t>provide information about specific clinical activities that must be reported to the Director of Mental Health under the Mental Health Act</w:t>
      </w:r>
    </w:p>
    <w:p w:rsidR="00A47CF6" w:rsidRPr="00666DF4" w:rsidRDefault="00A47CF6" w:rsidP="008663FA">
      <w:pPr>
        <w:pStyle w:val="Bullet"/>
      </w:pPr>
      <w:r w:rsidRPr="00666DF4">
        <w:t>contribute to improving the standards of care and treatment for people with mental illness by actively monitoring services against targets and performance indicators set by the Ministry of Health</w:t>
      </w:r>
    </w:p>
    <w:p w:rsidR="00A47CF6" w:rsidRPr="00666DF4" w:rsidRDefault="00A47CF6" w:rsidP="008663FA">
      <w:pPr>
        <w:pStyle w:val="Bullet"/>
      </w:pPr>
      <w:r w:rsidRPr="00666DF4">
        <w:t>inform mental health service users, their families/</w:t>
      </w:r>
      <w:proofErr w:type="spellStart"/>
      <w:r w:rsidRPr="00666DF4">
        <w:t>whānau</w:t>
      </w:r>
      <w:proofErr w:type="spellEnd"/>
      <w:r w:rsidRPr="00666DF4">
        <w:t>, service providers and members of the public about the role, function and activities of the Office of the Director of Mental Health and the Chief Advisor, Mental Health</w:t>
      </w:r>
    </w:p>
    <w:p w:rsidR="00A47CF6" w:rsidRPr="00666DF4" w:rsidRDefault="00A47CF6" w:rsidP="008663FA">
      <w:pPr>
        <w:pStyle w:val="Bullet"/>
      </w:pPr>
      <w:proofErr w:type="gramStart"/>
      <w:r w:rsidRPr="00666DF4">
        <w:t>report</w:t>
      </w:r>
      <w:proofErr w:type="gramEnd"/>
      <w:r w:rsidRPr="00666DF4">
        <w:t xml:space="preserve"> on the activities of statutory officers under the Mental Health Act (such as district inspectors and the Mental Health Review Tribunal).</w:t>
      </w:r>
    </w:p>
    <w:p w:rsidR="00A47CF6" w:rsidRPr="00666DF4" w:rsidRDefault="00A47CF6" w:rsidP="008663FA">
      <w:pPr>
        <w:rPr>
          <w:rFonts w:eastAsia="Century"/>
        </w:rPr>
      </w:pPr>
    </w:p>
    <w:p w:rsidR="00A47CF6" w:rsidRPr="00666DF4" w:rsidRDefault="00A47CF6" w:rsidP="008663FA">
      <w:pPr>
        <w:pStyle w:val="Heading2"/>
        <w:rPr>
          <w:bCs/>
        </w:rPr>
      </w:pPr>
      <w:bookmarkStart w:id="6" w:name="_Toc508707259"/>
      <w:r w:rsidRPr="00666DF4">
        <w:t>Structure of this report</w:t>
      </w:r>
      <w:bookmarkEnd w:id="6"/>
    </w:p>
    <w:p w:rsidR="00A47CF6" w:rsidRPr="00666DF4" w:rsidRDefault="00A47CF6" w:rsidP="008663FA">
      <w:r w:rsidRPr="00666DF4">
        <w:t>This report is divided into three main sections. The first section (Context) provides an overview of the legislative and service delivery contexts in which the Office operates. The second section (Activities for 2016) describes the work carried out by the Office in 2016. The final section (Ensuring service quality) provides statistical information that covers the use of the Mental Health Act, seclusion, reportable deaths and specialist care regimes (such as electroconvulsive therapy (ECT) and alcohol and drug services) during the reporting period.</w:t>
      </w:r>
    </w:p>
    <w:p w:rsidR="00A47CF6" w:rsidRPr="00666DF4" w:rsidRDefault="00A47CF6" w:rsidP="008663FA"/>
    <w:p w:rsidR="00A47CF6" w:rsidRPr="00666DF4" w:rsidRDefault="00A47CF6" w:rsidP="008663FA">
      <w:pPr>
        <w:pStyle w:val="Heading1"/>
        <w:rPr>
          <w:rFonts w:eastAsia="Georgia" w:cs="Georgia"/>
          <w:szCs w:val="70"/>
        </w:rPr>
      </w:pPr>
      <w:bookmarkStart w:id="7" w:name="Context"/>
      <w:bookmarkStart w:id="8" w:name="The_Ministry_of_Health"/>
      <w:bookmarkStart w:id="9" w:name="Mental_health_care_in_New_Zealand:__A_tr"/>
      <w:bookmarkStart w:id="10" w:name="_bookmark3"/>
      <w:bookmarkStart w:id="11" w:name="_Toc508707260"/>
      <w:bookmarkEnd w:id="7"/>
      <w:bookmarkEnd w:id="8"/>
      <w:bookmarkEnd w:id="9"/>
      <w:bookmarkEnd w:id="10"/>
      <w:r w:rsidRPr="00666DF4">
        <w:t>Context</w:t>
      </w:r>
      <w:bookmarkEnd w:id="11"/>
    </w:p>
    <w:p w:rsidR="00A47CF6" w:rsidRPr="00666DF4" w:rsidRDefault="00A47CF6" w:rsidP="008663FA">
      <w:pPr>
        <w:pStyle w:val="Heading2"/>
        <w:rPr>
          <w:rFonts w:eastAsia="Georgia" w:cs="Georgia"/>
          <w:szCs w:val="40"/>
        </w:rPr>
      </w:pPr>
      <w:bookmarkStart w:id="12" w:name="MOH"/>
      <w:bookmarkStart w:id="13" w:name="_Toc508707261"/>
      <w:bookmarkEnd w:id="12"/>
      <w:r w:rsidRPr="00666DF4">
        <w:t>The Ministry of Health</w:t>
      </w:r>
      <w:bookmarkEnd w:id="13"/>
    </w:p>
    <w:p w:rsidR="00A47CF6" w:rsidRPr="00666DF4" w:rsidRDefault="00A47CF6" w:rsidP="008663FA">
      <w:r w:rsidRPr="00666DF4">
        <w:t>The Ministry of Health (the Ministry) improves, promotes and protects the mental health and independence of New Zealanders by:</w:t>
      </w:r>
    </w:p>
    <w:p w:rsidR="00A47CF6" w:rsidRPr="00666DF4" w:rsidRDefault="00A47CF6" w:rsidP="008663FA">
      <w:pPr>
        <w:pStyle w:val="Bullet"/>
      </w:pPr>
      <w:r w:rsidRPr="00666DF4">
        <w:t>providing whole-of-sector leadership of the New Zealand health and disability system</w:t>
      </w:r>
    </w:p>
    <w:p w:rsidR="00A47CF6" w:rsidRPr="00666DF4" w:rsidRDefault="00A47CF6" w:rsidP="008663FA">
      <w:pPr>
        <w:pStyle w:val="Bullet"/>
      </w:pPr>
      <w:r w:rsidRPr="00666DF4">
        <w:t>advising the Minister of Health and the Government on mental health issues</w:t>
      </w:r>
    </w:p>
    <w:p w:rsidR="00A47CF6" w:rsidRPr="00666DF4" w:rsidRDefault="00A47CF6" w:rsidP="008663FA">
      <w:pPr>
        <w:pStyle w:val="Bullet"/>
      </w:pPr>
      <w:r w:rsidRPr="00666DF4">
        <w:t>directly purchasing a range of important national mental health services</w:t>
      </w:r>
    </w:p>
    <w:p w:rsidR="00A47CF6" w:rsidRPr="00666DF4" w:rsidRDefault="00A47CF6" w:rsidP="008663FA">
      <w:pPr>
        <w:pStyle w:val="Bullet"/>
      </w:pPr>
      <w:proofErr w:type="gramStart"/>
      <w:r w:rsidRPr="00666DF4">
        <w:t>providing</w:t>
      </w:r>
      <w:proofErr w:type="gramEnd"/>
      <w:r w:rsidRPr="00666DF4">
        <w:t xml:space="preserve"> health-sector information and payment services.</w:t>
      </w:r>
    </w:p>
    <w:p w:rsidR="00A47CF6" w:rsidRPr="00666DF4" w:rsidRDefault="00A47CF6" w:rsidP="008663FA"/>
    <w:p w:rsidR="00A47CF6" w:rsidRPr="00666DF4" w:rsidRDefault="00A47CF6" w:rsidP="008663FA">
      <w:r w:rsidRPr="00666DF4">
        <w:t>Ministry groups play a number of roles in leading and</w:t>
      </w:r>
      <w:r w:rsidR="008663FA">
        <w:t xml:space="preserve"> </w:t>
      </w:r>
      <w:r w:rsidRPr="00666DF4">
        <w:t xml:space="preserve">supporting mental health services. The Protection, Regulation and Assurance business unit monitors the quality of mental health and addiction services and the safety of compulsory mental health treatment, through the Office of the Director of Mental Health, Medicines Control and </w:t>
      </w:r>
      <w:proofErr w:type="spellStart"/>
      <w:r w:rsidRPr="00666DF4">
        <w:t>HealthCERT</w:t>
      </w:r>
      <w:proofErr w:type="spellEnd"/>
      <w:r w:rsidRPr="00666DF4">
        <w:t xml:space="preserve"> groups.</w:t>
      </w:r>
    </w:p>
    <w:p w:rsidR="00A47CF6" w:rsidRPr="00666DF4" w:rsidRDefault="00A47CF6" w:rsidP="008663FA"/>
    <w:p w:rsidR="00A47CF6" w:rsidRPr="00666DF4" w:rsidRDefault="00A47CF6" w:rsidP="008663FA">
      <w:r w:rsidRPr="00666DF4">
        <w:t>The Service Commissioning business unit supports the implementation of mental health policy. Clinical and policy leaders collaborate with the Strategy and Policy business unit to advise the Government on and implement mental health policy. The Service Commissioning business unit is also responsible for the funding, monitoring and planning of district health boards (DHBs), including the annual funding and planning rounds.</w:t>
      </w:r>
    </w:p>
    <w:p w:rsidR="00A47CF6" w:rsidRPr="00666DF4" w:rsidRDefault="00A47CF6" w:rsidP="008663FA">
      <w:pPr>
        <w:rPr>
          <w:rFonts w:eastAsia="Century"/>
        </w:rPr>
      </w:pPr>
    </w:p>
    <w:p w:rsidR="00A47CF6" w:rsidRPr="00666DF4" w:rsidRDefault="00A47CF6" w:rsidP="008663FA">
      <w:pPr>
        <w:pStyle w:val="Heading2"/>
        <w:rPr>
          <w:bCs/>
        </w:rPr>
      </w:pPr>
      <w:bookmarkStart w:id="14" w:name="risingtothechallenge"/>
      <w:bookmarkStart w:id="15" w:name="_Toc508707262"/>
      <w:bookmarkEnd w:id="14"/>
      <w:r w:rsidRPr="00666DF4">
        <w:t>Mental health care in New Zealand: A</w:t>
      </w:r>
      <w:r w:rsidR="008663FA">
        <w:t> </w:t>
      </w:r>
      <w:r w:rsidRPr="00666DF4">
        <w:t>transformational journey</w:t>
      </w:r>
      <w:bookmarkEnd w:id="15"/>
    </w:p>
    <w:p w:rsidR="00A47CF6" w:rsidRPr="00666DF4" w:rsidRDefault="00A47CF6" w:rsidP="008663FA">
      <w:r w:rsidRPr="00666DF4">
        <w:t>Over the last 50 years, mental health and addiction services have moved from an institutional model of care to a recovery model of care. Compulsory inpatient treatment has largely given way to voluntary engagement with services in community settings. Mental health care in New Zealand has undergone a transformational journey.</w:t>
      </w:r>
    </w:p>
    <w:p w:rsidR="00A47CF6" w:rsidRPr="00666DF4" w:rsidRDefault="00A47CF6" w:rsidP="008663FA">
      <w:pPr>
        <w:rPr>
          <w:rFonts w:eastAsia="Century"/>
        </w:rPr>
      </w:pPr>
    </w:p>
    <w:p w:rsidR="00A47CF6" w:rsidRPr="008663FA" w:rsidRDefault="00A47CF6" w:rsidP="008663FA">
      <w:r w:rsidRPr="00666DF4">
        <w:t xml:space="preserve">There has been significant investment in mental health, resulting in the establishment of a wide range of community, </w:t>
      </w:r>
      <w:proofErr w:type="spellStart"/>
      <w:r w:rsidRPr="00666DF4">
        <w:t>kaupapa</w:t>
      </w:r>
      <w:proofErr w:type="spellEnd"/>
      <w:r w:rsidRPr="00666DF4">
        <w:t xml:space="preserve"> Māori, specialist and acute services. </w:t>
      </w:r>
      <w:proofErr w:type="spellStart"/>
      <w:r w:rsidRPr="00666DF4">
        <w:t>Ringfenced</w:t>
      </w:r>
      <w:proofErr w:type="spellEnd"/>
      <w:r w:rsidRPr="00666DF4">
        <w:t xml:space="preserve"> funding for mental health services has increased from $1.1 billion in 2008/09 to approximately $1.4 billion in 2015/16. The Ministry has led and contributed </w:t>
      </w:r>
      <w:proofErr w:type="gramStart"/>
      <w:r w:rsidRPr="00666DF4">
        <w:t>to</w:t>
      </w:r>
      <w:proofErr w:type="gramEnd"/>
      <w:r w:rsidRPr="00666DF4">
        <w:t xml:space="preserve"> many cross-agency initiatives that seek to improve</w:t>
      </w:r>
      <w:r w:rsidR="008663FA">
        <w:t xml:space="preserve"> </w:t>
      </w:r>
      <w:r w:rsidRPr="00666DF4">
        <w:t>population-level mental health outcomes.</w:t>
      </w:r>
      <w:r w:rsidR="008663FA">
        <w:rPr>
          <w:rStyle w:val="FootnoteReference"/>
        </w:rPr>
        <w:footnoteReference w:id="2"/>
      </w:r>
    </w:p>
    <w:p w:rsidR="00A47CF6" w:rsidRPr="00666DF4" w:rsidRDefault="00A47CF6" w:rsidP="008663FA">
      <w:pPr>
        <w:rPr>
          <w:rFonts w:eastAsia="Century"/>
        </w:rPr>
      </w:pPr>
    </w:p>
    <w:p w:rsidR="00A47CF6" w:rsidRPr="00666DF4" w:rsidRDefault="00A47CF6" w:rsidP="008663FA">
      <w:r w:rsidRPr="00666DF4">
        <w:t>Despite these achievements, the sector faces new and shifting challenges. In 2016 a record number of people accessed specialist mental health and addiction services. This increase is consistent with international trends and has occurred in the context of population growth, improved non-governmental organisation (NGO) reporting, growing social awareness and increasingly open discussion of mental health issues, as promoted by initiatives such as the Prime Minister</w:t>
      </w:r>
      <w:r w:rsidR="00BF25EC">
        <w:t>’</w:t>
      </w:r>
      <w:r w:rsidRPr="00666DF4">
        <w:t>s Youth Mental Health Project and Like Minds, Like Mine. More New Zealanders are seeking and receiving specialist mental health care, which is positive. But services are experiencing increasing pressure.</w:t>
      </w:r>
    </w:p>
    <w:p w:rsidR="00A47CF6" w:rsidRPr="00666DF4" w:rsidRDefault="00A47CF6" w:rsidP="008663FA">
      <w:pPr>
        <w:spacing w:before="240"/>
      </w:pPr>
      <w:r w:rsidRPr="00666DF4">
        <w:t>We know that mental health outcomes continue to be inequitable in New Zealand. Māori, Pacific peoples, people with disabilities and</w:t>
      </w:r>
      <w:r w:rsidR="008663FA">
        <w:t xml:space="preserve"> </w:t>
      </w:r>
      <w:r w:rsidRPr="00666DF4">
        <w:t>refugees (among others) disproportionately experience mental health challenges.</w:t>
      </w:r>
    </w:p>
    <w:p w:rsidR="00A47CF6" w:rsidRPr="00666DF4" w:rsidRDefault="00A47CF6" w:rsidP="008663FA"/>
    <w:p w:rsidR="00A47CF6" w:rsidRDefault="00A47CF6" w:rsidP="008663FA">
      <w:r w:rsidRPr="00666DF4">
        <w:t>In addition, we know that there is a group of New Zealanders with moderate mental health needs who are not easily managed in primary care but who do not meet the threshold for specialist care. This can result in their needs not being fully met.</w:t>
      </w:r>
    </w:p>
    <w:p w:rsidR="008663FA" w:rsidRPr="00666DF4" w:rsidRDefault="008663FA" w:rsidP="008663FA"/>
    <w:p w:rsidR="00A47CF6" w:rsidRPr="00666DF4" w:rsidRDefault="00A47CF6" w:rsidP="008663FA">
      <w:r w:rsidRPr="00666DF4">
        <w:rPr>
          <w:rFonts w:eastAsia="Georgia" w:cs="Georgia"/>
          <w:i/>
        </w:rPr>
        <w:t>Rising to the Challenge: The Mental Health and Addiction Service Development Plan</w:t>
      </w:r>
      <w:r w:rsidR="008663FA">
        <w:rPr>
          <w:rFonts w:eastAsia="Georgia" w:cs="Georgia"/>
          <w:i/>
        </w:rPr>
        <w:br/>
      </w:r>
      <w:r w:rsidRPr="00666DF4">
        <w:rPr>
          <w:rFonts w:eastAsia="Georgia" w:cs="Georgia"/>
          <w:i/>
        </w:rPr>
        <w:t xml:space="preserve">2012–2017 </w:t>
      </w:r>
      <w:r w:rsidRPr="00666DF4">
        <w:t>(Ministry of Health 2012e) has provided a strategic direction for mental health services. It sets out 100 actions to enhance mental health service delivery, with the aim of improving wellbeing and resilience, expanding access and decreasing waiting times. In 2016, the Plan was on track with significant gains in service delivery. We must build on these gains by continuing to ensure that services are best placed to respond to their communities</w:t>
      </w:r>
      <w:r w:rsidR="00BF25EC">
        <w:t>’</w:t>
      </w:r>
      <w:r w:rsidRPr="00666DF4">
        <w:t xml:space="preserve"> changing needs.</w:t>
      </w:r>
    </w:p>
    <w:p w:rsidR="00A47CF6" w:rsidRPr="00666DF4" w:rsidRDefault="00A47CF6" w:rsidP="008663FA">
      <w:pPr>
        <w:rPr>
          <w:rFonts w:eastAsia="Century"/>
        </w:rPr>
      </w:pPr>
    </w:p>
    <w:p w:rsidR="00A47CF6" w:rsidRPr="00666DF4" w:rsidRDefault="00A47CF6" w:rsidP="008663FA">
      <w:pPr>
        <w:pStyle w:val="Heading3"/>
        <w:rPr>
          <w:rFonts w:eastAsia="Georgia" w:cs="Georgia"/>
          <w:szCs w:val="28"/>
        </w:rPr>
      </w:pPr>
      <w:r w:rsidRPr="00666DF4">
        <w:t>Commissioning Framework for Mental Health and Addiction</w:t>
      </w:r>
    </w:p>
    <w:p w:rsidR="00A47CF6" w:rsidRPr="00666DF4" w:rsidRDefault="00A47CF6" w:rsidP="008663FA">
      <w:pPr>
        <w:rPr>
          <w:rFonts w:eastAsia="Century" w:hAnsi="Century" w:cs="Century"/>
        </w:rPr>
      </w:pPr>
      <w:r w:rsidRPr="00666DF4">
        <w:t xml:space="preserve">The </w:t>
      </w:r>
      <w:r w:rsidRPr="00666DF4">
        <w:rPr>
          <w:i/>
        </w:rPr>
        <w:t xml:space="preserve">Commissioning Framework for Mental Health and Addiction: A New Zealand guide </w:t>
      </w:r>
      <w:r w:rsidRPr="00666DF4">
        <w:t xml:space="preserve">was published in August 2016. The Commissioning Framework was created as part of a specific action in </w:t>
      </w:r>
      <w:r w:rsidRPr="00666DF4">
        <w:rPr>
          <w:i/>
        </w:rPr>
        <w:t xml:space="preserve">Rising to the Challenge </w:t>
      </w:r>
      <w:r w:rsidRPr="00666DF4">
        <w:t>and it provides national guidance to enable us to measure outcomes that make a real difference for people.</w:t>
      </w:r>
    </w:p>
    <w:p w:rsidR="00A47CF6" w:rsidRPr="00666DF4" w:rsidRDefault="00A47CF6" w:rsidP="008663FA">
      <w:pPr>
        <w:rPr>
          <w:rFonts w:eastAsia="Century"/>
        </w:rPr>
      </w:pPr>
    </w:p>
    <w:p w:rsidR="00A47CF6" w:rsidRPr="00666DF4" w:rsidRDefault="00A47CF6" w:rsidP="008663FA">
      <w:r w:rsidRPr="00666DF4">
        <w:t>This Commissioning Framework describes a consistent approach to commissioning responses across New Zealand, using the relevant information to purchase responses to best meet the needs of the local population. It describes the components that are critical to successfully commissioning and</w:t>
      </w:r>
      <w:r w:rsidR="008663FA">
        <w:t xml:space="preserve"> </w:t>
      </w:r>
      <w:r w:rsidRPr="00666DF4">
        <w:t>the process that will be used by those responsible for commissioning mental health and addiction care. This includes planners, funders, contract managers, boards, groups, agencies and/or those in designated commissioning roles.</w:t>
      </w:r>
    </w:p>
    <w:p w:rsidR="00A47CF6" w:rsidRPr="00666DF4" w:rsidRDefault="00A47CF6" w:rsidP="008663FA">
      <w:pPr>
        <w:rPr>
          <w:rFonts w:eastAsia="Century"/>
        </w:rPr>
      </w:pPr>
    </w:p>
    <w:p w:rsidR="00A47CF6" w:rsidRPr="00666DF4" w:rsidRDefault="00A47CF6" w:rsidP="008663FA">
      <w:r w:rsidRPr="00666DF4">
        <w:t xml:space="preserve">Implementing the Commissioning Framework requires a fundamental shift to an increased focus on measurable outcomes as part of evaluating results. Robust measures will need to be adopted that can capture the three parts of the </w:t>
      </w:r>
      <w:r w:rsidR="00BF25EC">
        <w:t>‘</w:t>
      </w:r>
      <w:r w:rsidRPr="00666DF4">
        <w:t>Triple Aim</w:t>
      </w:r>
      <w:r w:rsidR="00BF25EC">
        <w:t>’</w:t>
      </w:r>
      <w:r w:rsidRPr="00666DF4">
        <w:t>:</w:t>
      </w:r>
    </w:p>
    <w:p w:rsidR="00A47CF6" w:rsidRPr="00666DF4" w:rsidRDefault="00A47CF6" w:rsidP="008663FA">
      <w:pPr>
        <w:pStyle w:val="Bullet"/>
      </w:pPr>
      <w:r w:rsidRPr="00666DF4">
        <w:t>improved quality, safety and experience of care</w:t>
      </w:r>
    </w:p>
    <w:p w:rsidR="00A47CF6" w:rsidRPr="00666DF4" w:rsidRDefault="00A47CF6" w:rsidP="008663FA">
      <w:pPr>
        <w:pStyle w:val="Bullet"/>
      </w:pPr>
      <w:r w:rsidRPr="00666DF4">
        <w:t>improved health and equity for all populations</w:t>
      </w:r>
    </w:p>
    <w:p w:rsidR="00A47CF6" w:rsidRPr="00666DF4" w:rsidRDefault="00A47CF6" w:rsidP="008663FA">
      <w:pPr>
        <w:pStyle w:val="Bullet"/>
      </w:pPr>
      <w:proofErr w:type="gramStart"/>
      <w:r w:rsidRPr="00666DF4">
        <w:t>best</w:t>
      </w:r>
      <w:proofErr w:type="gramEnd"/>
      <w:r w:rsidRPr="00666DF4">
        <w:t xml:space="preserve"> value for public health system resources.</w:t>
      </w:r>
    </w:p>
    <w:p w:rsidR="00A47CF6" w:rsidRPr="00666DF4" w:rsidRDefault="00A47CF6" w:rsidP="008663FA">
      <w:pPr>
        <w:rPr>
          <w:rFonts w:eastAsia="Century"/>
        </w:rPr>
      </w:pPr>
    </w:p>
    <w:p w:rsidR="00A47CF6" w:rsidRPr="00666DF4" w:rsidRDefault="00A47CF6" w:rsidP="008663FA">
      <w:r w:rsidRPr="00666DF4">
        <w:t>Current resources will need to be used differently and reinvested into improving outcomes for people with mental health and addiction issues.</w:t>
      </w:r>
    </w:p>
    <w:p w:rsidR="00A47CF6" w:rsidRPr="00666DF4" w:rsidRDefault="00A47CF6" w:rsidP="008663FA">
      <w:pPr>
        <w:rPr>
          <w:rFonts w:eastAsia="Century"/>
        </w:rPr>
      </w:pPr>
    </w:p>
    <w:p w:rsidR="00A47CF6" w:rsidRPr="00666DF4" w:rsidRDefault="00A47CF6" w:rsidP="008663FA">
      <w:pPr>
        <w:pStyle w:val="Heading3"/>
        <w:rPr>
          <w:bCs/>
        </w:rPr>
      </w:pPr>
      <w:bookmarkStart w:id="16" w:name="specialist"/>
      <w:bookmarkEnd w:id="16"/>
      <w:r w:rsidRPr="00666DF4">
        <w:t>Looking forward</w:t>
      </w:r>
    </w:p>
    <w:p w:rsidR="00A47CF6" w:rsidRPr="00666DF4" w:rsidRDefault="00A47CF6" w:rsidP="008663FA">
      <w:r w:rsidRPr="00666DF4">
        <w:t>The Government and Ministry of Health are committed to providing high-quality mental health services to all New Zealanders.</w:t>
      </w:r>
    </w:p>
    <w:p w:rsidR="00A47CF6" w:rsidRPr="00666DF4" w:rsidRDefault="00A47CF6" w:rsidP="008663FA">
      <w:pPr>
        <w:rPr>
          <w:rFonts w:eastAsia="Century"/>
        </w:rPr>
      </w:pPr>
    </w:p>
    <w:p w:rsidR="00A47CF6" w:rsidRDefault="00A47CF6" w:rsidP="008663FA">
      <w:r w:rsidRPr="00666DF4">
        <w:t>Consistent with the people-powered theme of the New Zealand Health Strategy 2016–2026 (Ministry of Health 2016), people are at the heart of this work. The Ministry continues to engage with people throughout the health sector to understand the issues for those whose</w:t>
      </w:r>
      <w:r w:rsidR="008663FA">
        <w:t xml:space="preserve"> </w:t>
      </w:r>
      <w:r w:rsidRPr="00666DF4">
        <w:t>mental health and addiction needs are not currently well supported, the outcomes we hope to see for them and how we can work differently to achieve these outcomes.</w:t>
      </w:r>
    </w:p>
    <w:p w:rsidR="008663FA" w:rsidRPr="00666DF4" w:rsidRDefault="008663FA" w:rsidP="008663FA"/>
    <w:p w:rsidR="00A47CF6" w:rsidRPr="00666DF4" w:rsidRDefault="00A47CF6" w:rsidP="008663FA">
      <w:bookmarkStart w:id="17" w:name="Figure_1:_Number_of_people_engaging_with"/>
      <w:bookmarkStart w:id="18" w:name="Specialist_mental_health_services"/>
      <w:bookmarkStart w:id="19" w:name="_bookmark4"/>
      <w:bookmarkEnd w:id="17"/>
      <w:bookmarkEnd w:id="18"/>
      <w:bookmarkEnd w:id="19"/>
      <w:r w:rsidRPr="00666DF4">
        <w:t>The mental health system of the future will need to focus on prevention and early intervention while meeting increasing demand and maintaining services for individuals who need more immediate support. A coordinated response to mental health and addictions across the health, education, justice and wider social sectors will also be needed.</w:t>
      </w:r>
    </w:p>
    <w:p w:rsidR="008663FA" w:rsidRDefault="008663FA" w:rsidP="008663FA"/>
    <w:p w:rsidR="00A47CF6" w:rsidRPr="00666DF4" w:rsidRDefault="00A47CF6" w:rsidP="008663FA">
      <w:r w:rsidRPr="00666DF4">
        <w:t>Budget 2017 will invest an extra $224 million over four years in mental health services, including</w:t>
      </w:r>
      <w:r w:rsidR="008663FA">
        <w:t xml:space="preserve"> </w:t>
      </w:r>
      <w:r w:rsidRPr="00666DF4">
        <w:t>$124 million on new innovative approaches to transform the mental health and addiction services to help meet increasing demand.</w:t>
      </w:r>
    </w:p>
    <w:p w:rsidR="008663FA" w:rsidRDefault="008663FA" w:rsidP="008663FA"/>
    <w:p w:rsidR="00A47CF6" w:rsidRDefault="00A47CF6" w:rsidP="008663FA">
      <w:r w:rsidRPr="00666DF4">
        <w:t>Agencies across the health, education, justice (including Police and Corrections) and social sectors, alongside the Government</w:t>
      </w:r>
      <w:r w:rsidR="00BF25EC">
        <w:t>’</w:t>
      </w:r>
      <w:r w:rsidRPr="00666DF4">
        <w:t>s Chief Science Advisors, have been investigating how New Zealanders</w:t>
      </w:r>
      <w:r w:rsidR="00BF25EC">
        <w:t>’</w:t>
      </w:r>
      <w:r w:rsidRPr="00666DF4">
        <w:t xml:space="preserve"> mental health and wellbeing can be improved.</w:t>
      </w:r>
    </w:p>
    <w:p w:rsidR="008663FA" w:rsidRPr="00666DF4" w:rsidRDefault="008663FA" w:rsidP="008663FA"/>
    <w:p w:rsidR="00A47CF6" w:rsidRDefault="00A47CF6" w:rsidP="008663FA">
      <w:r w:rsidRPr="00666DF4">
        <w:t>In August 2017, the previous Government announced a range of proposed initiatives to improve access to services and support, as well as initiatives focusing on early intervention for children and young people.</w:t>
      </w:r>
    </w:p>
    <w:p w:rsidR="008663FA" w:rsidRPr="00666DF4" w:rsidRDefault="008663FA" w:rsidP="008663FA"/>
    <w:p w:rsidR="00A47CF6" w:rsidRPr="00666DF4" w:rsidRDefault="00A47CF6" w:rsidP="008663FA">
      <w:pPr>
        <w:rPr>
          <w:rFonts w:eastAsia="Century"/>
        </w:rPr>
      </w:pPr>
      <w:r w:rsidRPr="00666DF4">
        <w:rPr>
          <w:rFonts w:eastAsia="Century"/>
        </w:rPr>
        <w:t>You can read the Science Advisor</w:t>
      </w:r>
      <w:r w:rsidR="00BF25EC">
        <w:rPr>
          <w:rFonts w:eastAsia="Century"/>
        </w:rPr>
        <w:t>’</w:t>
      </w:r>
      <w:r w:rsidRPr="00666DF4">
        <w:rPr>
          <w:rFonts w:eastAsia="Century"/>
        </w:rPr>
        <w:t xml:space="preserve">s advice </w:t>
      </w:r>
      <w:proofErr w:type="gramStart"/>
      <w:r w:rsidRPr="00666DF4">
        <w:rPr>
          <w:rFonts w:eastAsia="Georgia" w:cs="Georgia"/>
          <w:i/>
        </w:rPr>
        <w:t>Toward</w:t>
      </w:r>
      <w:proofErr w:type="gramEnd"/>
      <w:r w:rsidRPr="00666DF4">
        <w:rPr>
          <w:rFonts w:eastAsia="Georgia" w:cs="Georgia"/>
          <w:i/>
        </w:rPr>
        <w:t xml:space="preserve"> a whole of government/whole of nation approach to mental health </w:t>
      </w:r>
      <w:r w:rsidRPr="00666DF4">
        <w:rPr>
          <w:rFonts w:eastAsia="Century"/>
        </w:rPr>
        <w:t>on the Office of the Prime Minister</w:t>
      </w:r>
      <w:r w:rsidR="00BF25EC">
        <w:rPr>
          <w:rFonts w:eastAsia="Century"/>
        </w:rPr>
        <w:t>’</w:t>
      </w:r>
      <w:r w:rsidRPr="00666DF4">
        <w:rPr>
          <w:rFonts w:eastAsia="Century"/>
        </w:rPr>
        <w:t>s Chief Science Advisor</w:t>
      </w:r>
      <w:r w:rsidR="00BF25EC">
        <w:rPr>
          <w:rFonts w:eastAsia="Century"/>
        </w:rPr>
        <w:t>’</w:t>
      </w:r>
      <w:r w:rsidRPr="00666DF4">
        <w:rPr>
          <w:rFonts w:eastAsia="Century"/>
        </w:rPr>
        <w:t>s website (www.pmcsa.org.nz).</w:t>
      </w:r>
    </w:p>
    <w:p w:rsidR="008663FA" w:rsidRDefault="008663FA" w:rsidP="008663FA"/>
    <w:p w:rsidR="00A47CF6" w:rsidRPr="00666DF4" w:rsidRDefault="00A47CF6" w:rsidP="008663FA">
      <w:r w:rsidRPr="00666DF4">
        <w:t>The Mental Health and Addiction Workforce Action Plan 2017 to 2021 was also released in 2017. The Plan identif</w:t>
      </w:r>
      <w:r w:rsidR="00BC380C">
        <w:t>ie</w:t>
      </w:r>
      <w:r w:rsidRPr="00666DF4">
        <w:t>s the priorities for developing a competent and credible workforce for the mental health and addiction sector. The action plan is available on the Ministry of Health</w:t>
      </w:r>
      <w:r w:rsidR="00BF25EC">
        <w:t>’</w:t>
      </w:r>
      <w:r w:rsidRPr="00666DF4">
        <w:t>s website (www.health.govt.nz).</w:t>
      </w:r>
    </w:p>
    <w:p w:rsidR="00A47CF6" w:rsidRPr="00666DF4" w:rsidRDefault="00A47CF6" w:rsidP="008663FA">
      <w:pPr>
        <w:rPr>
          <w:rFonts w:eastAsia="Century"/>
        </w:rPr>
      </w:pPr>
    </w:p>
    <w:p w:rsidR="00A47CF6" w:rsidRPr="00666DF4" w:rsidRDefault="00A47CF6" w:rsidP="008663FA">
      <w:pPr>
        <w:pStyle w:val="Heading2"/>
        <w:rPr>
          <w:bCs/>
        </w:rPr>
      </w:pPr>
      <w:bookmarkStart w:id="20" w:name="_Toc508707263"/>
      <w:r w:rsidRPr="00666DF4">
        <w:t>Specialist mental health services</w:t>
      </w:r>
      <w:bookmarkEnd w:id="20"/>
    </w:p>
    <w:p w:rsidR="00A47CF6" w:rsidRPr="00666DF4" w:rsidRDefault="00A47CF6" w:rsidP="008663FA">
      <w:r w:rsidRPr="00666DF4">
        <w:t>In 2016, specialist mental health or addiction services engaged with 169,454</w:t>
      </w:r>
      <w:r w:rsidR="008663FA">
        <w:rPr>
          <w:rStyle w:val="FootnoteReference"/>
        </w:rPr>
        <w:footnoteReference w:id="3"/>
      </w:r>
      <w:r w:rsidR="008663FA">
        <w:t xml:space="preserve"> </w:t>
      </w:r>
      <w:r w:rsidRPr="00666DF4">
        <w:t>people (3.6</w:t>
      </w:r>
      <w:r w:rsidR="008663FA">
        <w:t> </w:t>
      </w:r>
      <w:r w:rsidRPr="00666DF4">
        <w:t>percent of the New Zealand population).</w:t>
      </w:r>
    </w:p>
    <w:p w:rsidR="00A47CF6" w:rsidRPr="00666DF4" w:rsidRDefault="00A47CF6" w:rsidP="008663FA">
      <w:pPr>
        <w:rPr>
          <w:rFonts w:eastAsia="Century"/>
        </w:rPr>
      </w:pPr>
    </w:p>
    <w:p w:rsidR="00A47CF6" w:rsidRPr="00666DF4" w:rsidRDefault="00A47CF6" w:rsidP="008663FA">
      <w:r w:rsidRPr="00666DF4">
        <w:t>Figure 1 shows that the number of people engaging with specialist services gradually increased from 143,021 people in 2011 to 169,454 people in 2016. The rise could be due to a range of factors, including better data capture, the growing New Zealand population,</w:t>
      </w:r>
      <w:r w:rsidR="008663FA">
        <w:rPr>
          <w:rStyle w:val="FootnoteReference"/>
        </w:rPr>
        <w:footnoteReference w:id="4"/>
      </w:r>
      <w:r w:rsidR="008663FA">
        <w:t xml:space="preserve"> </w:t>
      </w:r>
      <w:r w:rsidRPr="00666DF4">
        <w:t>improved visibility of and access to services, and stronger referral relationships between providers.</w:t>
      </w:r>
    </w:p>
    <w:p w:rsidR="00A47CF6" w:rsidRPr="00666DF4" w:rsidRDefault="00A47CF6" w:rsidP="008663FA"/>
    <w:p w:rsidR="00A47CF6" w:rsidRPr="00666DF4" w:rsidRDefault="00A47CF6" w:rsidP="008663FA">
      <w:pPr>
        <w:pStyle w:val="Figure"/>
        <w:rPr>
          <w:rFonts w:eastAsia="Georgia"/>
        </w:rPr>
      </w:pPr>
      <w:bookmarkStart w:id="21" w:name="_Toc508707325"/>
      <w:r w:rsidRPr="00666DF4">
        <w:rPr>
          <w:rFonts w:eastAsia="Georgia"/>
        </w:rPr>
        <w:t>Figure 1: Number of people engaging with specialist services each year, 2011–2016</w:t>
      </w:r>
      <w:bookmarkEnd w:id="21"/>
    </w:p>
    <w:p w:rsidR="00A47CF6" w:rsidRPr="00666DF4" w:rsidRDefault="008663FA" w:rsidP="008663FA">
      <w:pPr>
        <w:rPr>
          <w:rFonts w:eastAsia="Arial"/>
        </w:rPr>
      </w:pPr>
      <w:r>
        <w:rPr>
          <w:noProof/>
          <w:lang w:eastAsia="en-NZ"/>
        </w:rPr>
        <w:drawing>
          <wp:inline distT="0" distB="0" distL="0" distR="0" wp14:anchorId="33D43AC1" wp14:editId="6FDECA8A">
            <wp:extent cx="4680065" cy="2184030"/>
            <wp:effectExtent l="0" t="0" r="6350" b="6985"/>
            <wp:docPr id="107" name="Picture 107" title="Figure 1: Number of people engaging with specialist services each year, 20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4677636" cy="2182896"/>
                    </a:xfrm>
                    <a:prstGeom prst="rect">
                      <a:avLst/>
                    </a:prstGeom>
                  </pic:spPr>
                </pic:pic>
              </a:graphicData>
            </a:graphic>
          </wp:inline>
        </w:drawing>
      </w:r>
    </w:p>
    <w:p w:rsidR="00A47CF6" w:rsidRPr="00666DF4" w:rsidRDefault="00A47CF6" w:rsidP="008663FA">
      <w:pPr>
        <w:pStyle w:val="Source"/>
        <w:rPr>
          <w:rFonts w:eastAsia="Arial" w:cs="Arial"/>
          <w:szCs w:val="19"/>
        </w:rPr>
      </w:pPr>
      <w:r w:rsidRPr="00666DF4">
        <w:t>Source: Programme for the Integration of Mental Health Data (PRIMHD).</w:t>
      </w:r>
    </w:p>
    <w:p w:rsidR="00A47CF6" w:rsidRPr="00666DF4" w:rsidRDefault="00A47CF6" w:rsidP="008663FA">
      <w:pPr>
        <w:rPr>
          <w:rFonts w:eastAsia="Century"/>
        </w:rPr>
      </w:pPr>
    </w:p>
    <w:p w:rsidR="00A47CF6" w:rsidRPr="00666DF4" w:rsidRDefault="00A47CF6" w:rsidP="008663FA">
      <w:bookmarkStart w:id="22" w:name="Figure_2:_Percentage_of_service_users_ac"/>
      <w:bookmarkStart w:id="23" w:name="The_Mental_Health_Act_"/>
      <w:bookmarkStart w:id="24" w:name="_bookmark5"/>
      <w:bookmarkEnd w:id="22"/>
      <w:bookmarkEnd w:id="23"/>
      <w:bookmarkEnd w:id="24"/>
      <w:r w:rsidRPr="00666DF4">
        <w:t>Most people access mental health services in the community. In 2016:</w:t>
      </w:r>
    </w:p>
    <w:p w:rsidR="00A47CF6" w:rsidRPr="00666DF4" w:rsidRDefault="00A47CF6" w:rsidP="008663FA">
      <w:pPr>
        <w:pStyle w:val="Bullet"/>
      </w:pPr>
      <w:r w:rsidRPr="00666DF4">
        <w:t>91 percent of specialist service users accessed only community mental health services</w:t>
      </w:r>
    </w:p>
    <w:p w:rsidR="00A47CF6" w:rsidRPr="00666DF4" w:rsidRDefault="00A47CF6" w:rsidP="008663FA">
      <w:pPr>
        <w:pStyle w:val="Bullet"/>
      </w:pPr>
      <w:r w:rsidRPr="00666DF4">
        <w:t>less than 1 percent accessed only inpatient services</w:t>
      </w:r>
    </w:p>
    <w:p w:rsidR="00A47CF6" w:rsidRPr="00666DF4" w:rsidRDefault="00A47CF6" w:rsidP="008663FA">
      <w:pPr>
        <w:pStyle w:val="Bullet"/>
      </w:pPr>
      <w:proofErr w:type="gramStart"/>
      <w:r w:rsidRPr="00666DF4">
        <w:t>the</w:t>
      </w:r>
      <w:proofErr w:type="gramEnd"/>
      <w:r w:rsidRPr="00666DF4">
        <w:t xml:space="preserve"> remaining 9 percent accessed a mixture of inpatient and community services (see Figure</w:t>
      </w:r>
      <w:r w:rsidR="008663FA">
        <w:t> </w:t>
      </w:r>
      <w:r w:rsidRPr="00666DF4">
        <w:t>2).</w:t>
      </w:r>
    </w:p>
    <w:p w:rsidR="00A47CF6" w:rsidRPr="00666DF4" w:rsidRDefault="00A47CF6" w:rsidP="008663FA"/>
    <w:p w:rsidR="00A47CF6" w:rsidRPr="00666DF4" w:rsidRDefault="00A47CF6" w:rsidP="008663FA">
      <w:r w:rsidRPr="00666DF4">
        <w:t>The proportion of people who received treatment only in the community increased by 5 percent between 2002 (when it was 86%) and 2016.</w:t>
      </w:r>
    </w:p>
    <w:p w:rsidR="00A47CF6" w:rsidRPr="00666DF4" w:rsidRDefault="00A47CF6" w:rsidP="008663FA">
      <w:pPr>
        <w:rPr>
          <w:rFonts w:eastAsia="Century"/>
        </w:rPr>
      </w:pPr>
    </w:p>
    <w:p w:rsidR="00A47CF6" w:rsidRDefault="00A47CF6" w:rsidP="008663FA">
      <w:pPr>
        <w:pStyle w:val="Figure"/>
      </w:pPr>
      <w:bookmarkStart w:id="25" w:name="_Toc508707326"/>
      <w:r w:rsidRPr="00666DF4">
        <w:t>Figure 2: Percentage of service users accessing only community services, 1 January to 31</w:t>
      </w:r>
      <w:r w:rsidR="008663FA">
        <w:t> </w:t>
      </w:r>
      <w:r w:rsidRPr="00666DF4">
        <w:t>December 2016</w:t>
      </w:r>
      <w:bookmarkEnd w:id="25"/>
    </w:p>
    <w:p w:rsidR="008663FA" w:rsidRPr="008663FA" w:rsidRDefault="008663FA" w:rsidP="008663FA">
      <w:pPr>
        <w:rPr>
          <w:rFonts w:eastAsia="Georgia"/>
        </w:rPr>
      </w:pPr>
      <w:r>
        <w:rPr>
          <w:noProof/>
          <w:lang w:eastAsia="en-NZ"/>
        </w:rPr>
        <w:drawing>
          <wp:inline distT="0" distB="0" distL="0" distR="0" wp14:anchorId="2398D435" wp14:editId="3911AC07">
            <wp:extent cx="2443941" cy="2493817"/>
            <wp:effectExtent l="0" t="0" r="0" b="1905"/>
            <wp:docPr id="108" name="Picture 108" title="Figure 2: Percentage of service users accessing only community services,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tretch>
                      <a:fillRect/>
                    </a:stretch>
                  </pic:blipFill>
                  <pic:spPr>
                    <a:xfrm>
                      <a:off x="0" y="0"/>
                      <a:ext cx="2443035" cy="2492892"/>
                    </a:xfrm>
                    <a:prstGeom prst="rect">
                      <a:avLst/>
                    </a:prstGeom>
                  </pic:spPr>
                </pic:pic>
              </a:graphicData>
            </a:graphic>
          </wp:inline>
        </w:drawing>
      </w:r>
    </w:p>
    <w:p w:rsidR="008663FA" w:rsidRDefault="00A47CF6" w:rsidP="008663FA">
      <w:pPr>
        <w:pStyle w:val="Note"/>
      </w:pPr>
      <w:r w:rsidRPr="00666DF4">
        <w:t>Note: Includes NGOs.</w:t>
      </w:r>
    </w:p>
    <w:p w:rsidR="00A47CF6" w:rsidRPr="00666DF4" w:rsidRDefault="00A47CF6" w:rsidP="008663FA">
      <w:pPr>
        <w:pStyle w:val="Source"/>
        <w:rPr>
          <w:rFonts w:eastAsia="Arial" w:cs="Arial"/>
          <w:szCs w:val="19"/>
        </w:rPr>
      </w:pPr>
      <w:r w:rsidRPr="00666DF4">
        <w:t>Source: PRIMHD data</w:t>
      </w:r>
    </w:p>
    <w:p w:rsidR="00A47CF6" w:rsidRPr="00666DF4" w:rsidRDefault="00A47CF6" w:rsidP="008663FA">
      <w:pPr>
        <w:rPr>
          <w:rFonts w:eastAsia="Arial"/>
        </w:rPr>
      </w:pPr>
    </w:p>
    <w:p w:rsidR="00A47CF6" w:rsidRPr="00666DF4" w:rsidRDefault="00A47CF6" w:rsidP="008663FA">
      <w:pPr>
        <w:pStyle w:val="Heading2"/>
        <w:rPr>
          <w:bCs/>
        </w:rPr>
      </w:pPr>
      <w:bookmarkStart w:id="26" w:name="_Toc508707264"/>
      <w:r w:rsidRPr="00666DF4">
        <w:t>The Mental Health Act</w:t>
      </w:r>
      <w:bookmarkEnd w:id="26"/>
    </w:p>
    <w:p w:rsidR="00A47CF6" w:rsidRPr="00666DF4" w:rsidRDefault="00A47CF6" w:rsidP="008663FA">
      <w:pPr>
        <w:keepNext/>
      </w:pPr>
      <w:r w:rsidRPr="00666DF4">
        <w:t>The Mental Health Act defines the circumstances in which people may be subject to compulsory mental health assessment and treatment. It provides a framework for balancing personal rights with public interest when a person poses a serious danger to themselves or others due to mental illness.</w:t>
      </w:r>
    </w:p>
    <w:p w:rsidR="00A47CF6" w:rsidRPr="00666DF4" w:rsidRDefault="00A47CF6" w:rsidP="008663FA">
      <w:pPr>
        <w:keepNext/>
        <w:rPr>
          <w:rFonts w:eastAsia="Century"/>
        </w:rPr>
      </w:pPr>
    </w:p>
    <w:p w:rsidR="00A47CF6" w:rsidRPr="00666DF4" w:rsidRDefault="00A47CF6" w:rsidP="008663FA">
      <w:r w:rsidRPr="00666DF4">
        <w:t>The long title of the Act states that its purpose is to:</w:t>
      </w:r>
    </w:p>
    <w:p w:rsidR="00A47CF6" w:rsidRPr="00666DF4" w:rsidRDefault="00A47CF6" w:rsidP="008663FA">
      <w:pPr>
        <w:pStyle w:val="Quote"/>
      </w:pPr>
      <w:r w:rsidRPr="00666DF4">
        <w:t>redefine the circumstances in which and the conditions under which persons may be subjected to compulsory psychiatric assessment and treatment, to define the rights of such persons and to</w:t>
      </w:r>
      <w:r w:rsidR="008663FA">
        <w:t xml:space="preserve"> </w:t>
      </w:r>
      <w:r w:rsidRPr="00666DF4">
        <w:t>provide better protection for those rights, and generally to reform and consolidate the law relating to the assessment and treatment of persons suffering from mental disorder.</w:t>
      </w:r>
    </w:p>
    <w:p w:rsidR="008663FA" w:rsidRDefault="008663FA" w:rsidP="008663FA"/>
    <w:p w:rsidR="00A47CF6" w:rsidRPr="00666DF4" w:rsidRDefault="00A47CF6" w:rsidP="008663FA">
      <w:r w:rsidRPr="00666DF4">
        <w:t xml:space="preserve">The </w:t>
      </w:r>
      <w:r w:rsidR="00BF25EC">
        <w:t>‘</w:t>
      </w:r>
      <w:r w:rsidRPr="00666DF4">
        <w:t>Ensuring service quality</w:t>
      </w:r>
      <w:r w:rsidR="00BF25EC">
        <w:t>’</w:t>
      </w:r>
      <w:r w:rsidRPr="00666DF4">
        <w:t xml:space="preserve"> section of this report provides data on the use of the Mental Health Act.</w:t>
      </w:r>
    </w:p>
    <w:p w:rsidR="00A47CF6" w:rsidRPr="00666DF4" w:rsidRDefault="00A47CF6" w:rsidP="008663FA"/>
    <w:p w:rsidR="00A47CF6" w:rsidRPr="00666DF4" w:rsidRDefault="00A47CF6" w:rsidP="008663FA">
      <w:pPr>
        <w:pStyle w:val="Heading3"/>
        <w:rPr>
          <w:bCs/>
        </w:rPr>
      </w:pPr>
      <w:r w:rsidRPr="00666DF4">
        <w:t>Administration of the Mental Health Act</w:t>
      </w:r>
    </w:p>
    <w:p w:rsidR="00A47CF6" w:rsidRPr="00666DF4" w:rsidRDefault="00A47CF6" w:rsidP="008663FA">
      <w:r w:rsidRPr="00666DF4">
        <w:t>The chief statutory officer under the Mental Health Act is the Director of Mental Health, appointed under section 91. The Director is responsible for the general administration of the Mental Health Act under the direction of the Minister of Health and Director-General of Health. The Director is also the Chief Advisor, Mental Health, and is responsible for advising the Minister of Health on mental health issues.</w:t>
      </w:r>
    </w:p>
    <w:p w:rsidR="00A47CF6" w:rsidRPr="00666DF4" w:rsidRDefault="00A47CF6" w:rsidP="008663FA">
      <w:pPr>
        <w:rPr>
          <w:rFonts w:eastAsia="Century"/>
        </w:rPr>
      </w:pPr>
    </w:p>
    <w:p w:rsidR="00A47CF6" w:rsidRPr="00666DF4" w:rsidRDefault="00A47CF6" w:rsidP="008663FA">
      <w:r w:rsidRPr="00666DF4">
        <w:t>The Mental Health Act also allows for the appointment of a Deputy Director of Mental Health.</w:t>
      </w:r>
    </w:p>
    <w:p w:rsidR="00A47CF6" w:rsidRPr="00666DF4" w:rsidRDefault="00A47CF6" w:rsidP="008663FA">
      <w:pPr>
        <w:rPr>
          <w:rFonts w:eastAsia="Century"/>
        </w:rPr>
      </w:pPr>
    </w:p>
    <w:p w:rsidR="00A47CF6" w:rsidRPr="00666DF4" w:rsidRDefault="00A47CF6" w:rsidP="008663FA">
      <w:r w:rsidRPr="00666DF4">
        <w:t>The Director</w:t>
      </w:r>
      <w:r w:rsidR="00BF25EC">
        <w:t>’</w:t>
      </w:r>
      <w:r w:rsidRPr="00666DF4">
        <w:t xml:space="preserve">s functions and powers under the Mental Health Act allow the Ministry to provide guidance to mental health services, supporting the strategic direction of </w:t>
      </w:r>
      <w:r w:rsidRPr="00666DF4">
        <w:rPr>
          <w:rFonts w:eastAsia="Georgia" w:cs="Georgia"/>
          <w:i/>
        </w:rPr>
        <w:t xml:space="preserve">Rising to the Challenge </w:t>
      </w:r>
      <w:r w:rsidRPr="00666DF4">
        <w:t>and a recovery-based approach to mental health.</w:t>
      </w:r>
    </w:p>
    <w:p w:rsidR="00A47CF6" w:rsidRPr="00666DF4" w:rsidRDefault="00A47CF6" w:rsidP="0093477B">
      <w:pPr>
        <w:rPr>
          <w:rFonts w:eastAsia="Century"/>
        </w:rPr>
      </w:pPr>
    </w:p>
    <w:p w:rsidR="00A47CF6" w:rsidRPr="00666DF4" w:rsidRDefault="00A47CF6" w:rsidP="0093477B">
      <w:r w:rsidRPr="00666DF4">
        <w:t>In each DHB, the Director-General of Health appoints a director of area mental health services (DAMHS) under section 92 of the Act. The DAMHS is a senior mental health clinician responsible for administering the Mental Health Act within their DHB area. They must report to the Director of Mental Health every three months regarding the exercise of their powers, duties and functions under the Mental Health Act (Ministry of Health 2012a).</w:t>
      </w:r>
    </w:p>
    <w:p w:rsidR="00A47CF6" w:rsidRPr="00666DF4" w:rsidRDefault="00A47CF6" w:rsidP="0093477B">
      <w:pPr>
        <w:rPr>
          <w:rFonts w:eastAsia="Century"/>
        </w:rPr>
      </w:pPr>
    </w:p>
    <w:p w:rsidR="00A47CF6" w:rsidRPr="00666DF4" w:rsidRDefault="00A47CF6" w:rsidP="0093477B">
      <w:r w:rsidRPr="00666DF4">
        <w:t>In each area, the DAMHS appoints responsible clinicians and assigns them to lead the treatment of every person subject to compulsory assessment or treatment (Ministry of Health 2012a). The</w:t>
      </w:r>
      <w:r w:rsidR="0093477B">
        <w:t xml:space="preserve"> </w:t>
      </w:r>
      <w:r w:rsidRPr="00666DF4">
        <w:t>DAMHS also appoints competent health practitioners as duly authorised officers to respond to people experiencing mental illness in the community who are in need of intervention. Duly authorised officers are required to provide general advice and assistance in response to requests from members of the public and the New Zealand Police. If a duly authorised officer believes that a person may be</w:t>
      </w:r>
      <w:r w:rsidR="0093477B">
        <w:t xml:space="preserve"> </w:t>
      </w:r>
      <w:r w:rsidRPr="00666DF4">
        <w:t>mentally disordered and may benefit from a compulsory assessment, the Mental Health Act grants the officer powers to arrange for a medical examination (Ministry of Health 2012c).</w:t>
      </w:r>
    </w:p>
    <w:p w:rsidR="00A47CF6" w:rsidRPr="00666DF4" w:rsidRDefault="00A47CF6" w:rsidP="0093477B">
      <w:pPr>
        <w:rPr>
          <w:rFonts w:eastAsia="Century"/>
        </w:rPr>
      </w:pPr>
    </w:p>
    <w:p w:rsidR="00A47CF6" w:rsidRPr="00666DF4" w:rsidRDefault="00A47CF6" w:rsidP="0093477B">
      <w:pPr>
        <w:pStyle w:val="Heading3"/>
        <w:rPr>
          <w:bCs/>
        </w:rPr>
      </w:pPr>
      <w:r w:rsidRPr="00666DF4">
        <w:t>Protecting the rights of people subject to compulsory treatment</w:t>
      </w:r>
    </w:p>
    <w:p w:rsidR="00A47CF6" w:rsidRPr="00666DF4" w:rsidRDefault="00A47CF6" w:rsidP="0093477B">
      <w:pPr>
        <w:keepLines/>
      </w:pPr>
      <w:r w:rsidRPr="00666DF4">
        <w:t>Although the Ministry of Health expects each DAMHS to protect the rights of people under the Mental Health Act in their area, the Mental Health Act also provides for independent monitoring mechanisms. The Minister of Health appoints qualified lawyers as district inspectors under section 94 of the Mental Health Act to protect the rights of people under the Mental Health Act, investigate alleged breaches of those rights and monitor service compliance with the Mental Health Act process.</w:t>
      </w:r>
    </w:p>
    <w:p w:rsidR="00A47CF6" w:rsidRPr="00666DF4" w:rsidRDefault="00A47CF6" w:rsidP="0093477B">
      <w:pPr>
        <w:rPr>
          <w:rFonts w:eastAsia="Century"/>
        </w:rPr>
      </w:pPr>
    </w:p>
    <w:p w:rsidR="00A47CF6" w:rsidRPr="00666DF4" w:rsidRDefault="00A47CF6" w:rsidP="0093477B">
      <w:r w:rsidRPr="00666DF4">
        <w:t>The Mental Health Act requires district inspectors to inspect services regularly and report on their activities monthly to the Director of Mental Health. From time to time, the Director can initiate an investigation under section 95 of the Mental Health Act, in which case the Act grants a district inspector powers to conduct an inquiry into a suspected failing in a person</w:t>
      </w:r>
      <w:r w:rsidR="00BF25EC">
        <w:t>’</w:t>
      </w:r>
      <w:r w:rsidRPr="00666DF4">
        <w:t>s treatment under the Mental Health Act or in the management of services (Ministry of Health 2012b).</w:t>
      </w:r>
    </w:p>
    <w:p w:rsidR="00A47CF6" w:rsidRPr="00666DF4" w:rsidRDefault="00A47CF6" w:rsidP="0093477B">
      <w:pPr>
        <w:rPr>
          <w:rFonts w:eastAsia="Century"/>
        </w:rPr>
      </w:pPr>
    </w:p>
    <w:p w:rsidR="00A47CF6" w:rsidRPr="00666DF4" w:rsidRDefault="00A47CF6" w:rsidP="0093477B">
      <w:r w:rsidRPr="00666DF4">
        <w:t>The Mental Health Act also provides for the appointment of the Mental Health Review Tribunal, a specialist independent tribunal comprising a lawyer, a psychiatrist and a community member. If a person disagrees with their treatment under the Mental Health Act, they can apply to the Tribunal for an examination of their condition and of whether it is necessary to continue compulsory treatment. Where the Tribunal considers it appropriate, it may release the person from compulsory status.</w:t>
      </w:r>
    </w:p>
    <w:p w:rsidR="00A47CF6" w:rsidRPr="00666DF4" w:rsidRDefault="00A47CF6" w:rsidP="0093477B"/>
    <w:p w:rsidR="00A47CF6" w:rsidRPr="00666DF4" w:rsidRDefault="00A47CF6" w:rsidP="0093477B">
      <w:pPr>
        <w:pStyle w:val="Heading3"/>
        <w:rPr>
          <w:bCs/>
        </w:rPr>
      </w:pPr>
      <w:bookmarkStart w:id="27" w:name="Table_1:_Number_of_completed_section_95_"/>
      <w:bookmarkStart w:id="28" w:name="_bookmark6"/>
      <w:bookmarkEnd w:id="27"/>
      <w:bookmarkEnd w:id="28"/>
      <w:r w:rsidRPr="00666DF4">
        <w:t>Statutory safeguards</w:t>
      </w:r>
    </w:p>
    <w:p w:rsidR="00A47CF6" w:rsidRPr="00BF25EC" w:rsidRDefault="00A47CF6" w:rsidP="0093477B">
      <w:pPr>
        <w:pStyle w:val="Heading4"/>
        <w:rPr>
          <w:bCs/>
        </w:rPr>
      </w:pPr>
      <w:r w:rsidRPr="00BF25EC">
        <w:t>District</w:t>
      </w:r>
      <w:r w:rsidR="00BF25EC" w:rsidRPr="00BF25EC">
        <w:t xml:space="preserve"> </w:t>
      </w:r>
      <w:r w:rsidRPr="00BF25EC">
        <w:t>inspectors</w:t>
      </w:r>
    </w:p>
    <w:p w:rsidR="00A47CF6" w:rsidRPr="00666DF4" w:rsidRDefault="00A47CF6" w:rsidP="0093477B">
      <w:r w:rsidRPr="00666DF4">
        <w:t>The Minister of Health appoints lawyers as district inspectors under section 94 of the Mental Health Act to ensure people</w:t>
      </w:r>
      <w:r w:rsidR="00BF25EC">
        <w:t>’</w:t>
      </w:r>
      <w:r w:rsidRPr="00666DF4">
        <w:t>s rights are upheld during the compulsory assessment and treatment process.</w:t>
      </w:r>
    </w:p>
    <w:p w:rsidR="00A47CF6" w:rsidRPr="00666DF4" w:rsidRDefault="00A47CF6" w:rsidP="0093477B">
      <w:pPr>
        <w:rPr>
          <w:rFonts w:eastAsia="Century"/>
        </w:rPr>
      </w:pPr>
    </w:p>
    <w:p w:rsidR="00A47CF6" w:rsidRPr="00666DF4" w:rsidRDefault="00A47CF6" w:rsidP="0093477B">
      <w:r w:rsidRPr="00666DF4">
        <w:t xml:space="preserve">District </w:t>
      </w:r>
      <w:proofErr w:type="gramStart"/>
      <w:r w:rsidRPr="00666DF4">
        <w:t>inspectors</w:t>
      </w:r>
      <w:proofErr w:type="gramEnd"/>
      <w:r w:rsidRPr="00666DF4">
        <w:t xml:space="preserve"> work to protect specific rights provided to people under the Mental Health Act, address concerns of family/ </w:t>
      </w:r>
      <w:proofErr w:type="spellStart"/>
      <w:r w:rsidRPr="00666DF4">
        <w:t>whānau</w:t>
      </w:r>
      <w:proofErr w:type="spellEnd"/>
      <w:r w:rsidRPr="00666DF4">
        <w:t>, and investigate alleged breaches of rights, as set out in the Act.</w:t>
      </w:r>
    </w:p>
    <w:p w:rsidR="00A47CF6" w:rsidRPr="00666DF4" w:rsidRDefault="00A47CF6" w:rsidP="0093477B"/>
    <w:p w:rsidR="00A47CF6" w:rsidRPr="00666DF4" w:rsidRDefault="00A47CF6" w:rsidP="0093477B">
      <w:r w:rsidRPr="00666DF4">
        <w:t>The Office of the Director of Mental Health</w:t>
      </w:r>
      <w:r w:rsidR="00BF25EC">
        <w:t>’</w:t>
      </w:r>
      <w:r w:rsidRPr="00666DF4">
        <w:t>s responsibilities in relation to district inspectors include:</w:t>
      </w:r>
    </w:p>
    <w:p w:rsidR="00A47CF6" w:rsidRPr="00666DF4" w:rsidRDefault="00A47CF6" w:rsidP="0093477B">
      <w:pPr>
        <w:pStyle w:val="Bullet"/>
      </w:pPr>
      <w:r w:rsidRPr="00666DF4">
        <w:t>coordinating the appointment and reappointment of district inspectors</w:t>
      </w:r>
    </w:p>
    <w:p w:rsidR="00A47CF6" w:rsidRPr="00666DF4" w:rsidRDefault="00A47CF6" w:rsidP="0093477B">
      <w:pPr>
        <w:pStyle w:val="Bullet"/>
      </w:pPr>
      <w:r w:rsidRPr="00666DF4">
        <w:t>managing district inspector remuneration</w:t>
      </w:r>
    </w:p>
    <w:p w:rsidR="00A47CF6" w:rsidRPr="00666DF4" w:rsidRDefault="00A47CF6" w:rsidP="0093477B">
      <w:pPr>
        <w:pStyle w:val="Bullet"/>
      </w:pPr>
      <w:r w:rsidRPr="00666DF4">
        <w:t>receiving and responding to monthly reports from district inspectors</w:t>
      </w:r>
    </w:p>
    <w:p w:rsidR="00A47CF6" w:rsidRPr="00666DF4" w:rsidRDefault="00A47CF6" w:rsidP="0093477B">
      <w:pPr>
        <w:pStyle w:val="Bullet"/>
      </w:pPr>
      <w:r w:rsidRPr="00666DF4">
        <w:t>organising twice-yearly national meetings of district inspectors</w:t>
      </w:r>
    </w:p>
    <w:p w:rsidR="00A47CF6" w:rsidRPr="00666DF4" w:rsidRDefault="00A47CF6" w:rsidP="0093477B">
      <w:pPr>
        <w:pStyle w:val="Bullet"/>
      </w:pPr>
      <w:r w:rsidRPr="00666DF4">
        <w:t>facilitating inquiries under section 95 of the Mental Health Act</w:t>
      </w:r>
    </w:p>
    <w:p w:rsidR="00A47CF6" w:rsidRPr="00666DF4" w:rsidRDefault="00A47CF6" w:rsidP="0093477B">
      <w:pPr>
        <w:pStyle w:val="Bullet"/>
      </w:pPr>
      <w:proofErr w:type="gramStart"/>
      <w:r w:rsidRPr="00666DF4">
        <w:t>implementing</w:t>
      </w:r>
      <w:proofErr w:type="gramEnd"/>
      <w:r w:rsidRPr="00666DF4">
        <w:t xml:space="preserve"> the findings of section 95 inquiries.</w:t>
      </w:r>
    </w:p>
    <w:p w:rsidR="00A47CF6" w:rsidRPr="00666DF4" w:rsidRDefault="00A47CF6" w:rsidP="0093477B">
      <w:pPr>
        <w:rPr>
          <w:rFonts w:eastAsia="Century"/>
        </w:rPr>
      </w:pPr>
    </w:p>
    <w:p w:rsidR="00A47CF6" w:rsidRPr="00BF25EC" w:rsidRDefault="00A47CF6" w:rsidP="0093477B">
      <w:pPr>
        <w:pStyle w:val="Heading4"/>
        <w:rPr>
          <w:bCs/>
        </w:rPr>
      </w:pPr>
      <w:r w:rsidRPr="00BF25EC">
        <w:t>The role of district inspectors</w:t>
      </w:r>
    </w:p>
    <w:p w:rsidR="00A47CF6" w:rsidRPr="00666DF4" w:rsidRDefault="00A47CF6" w:rsidP="0093477B">
      <w:r w:rsidRPr="00666DF4">
        <w:t>The Act requires district inspectors to report to the DAMHS in their area within 14 days of inspecting mental health services. It also requires them to report monthly to the Director of Mental Health (the Director) on the exercise of their powers, duties and functions. These reports provide the Director with an overview of mental health services and any arising problems.</w:t>
      </w:r>
    </w:p>
    <w:p w:rsidR="00A47CF6" w:rsidRPr="00666DF4" w:rsidRDefault="00A47CF6" w:rsidP="0093477B">
      <w:pPr>
        <w:rPr>
          <w:rFonts w:eastAsia="Century"/>
        </w:rPr>
      </w:pPr>
    </w:p>
    <w:p w:rsidR="00A47CF6" w:rsidRPr="00BF25EC" w:rsidRDefault="00A47CF6" w:rsidP="0093477B">
      <w:pPr>
        <w:pStyle w:val="Heading4"/>
        <w:rPr>
          <w:bCs/>
        </w:rPr>
      </w:pPr>
      <w:r w:rsidRPr="00BF25EC">
        <w:t>Section 95 inquiries</w:t>
      </w:r>
    </w:p>
    <w:p w:rsidR="00A47CF6" w:rsidRPr="00666DF4" w:rsidRDefault="00A47CF6" w:rsidP="0093477B">
      <w:r w:rsidRPr="00666DF4">
        <w:t>The Director will occasionally require a district inspector to carry out an inquiry under</w:t>
      </w:r>
      <w:r w:rsidR="0093477B">
        <w:t xml:space="preserve"> </w:t>
      </w:r>
      <w:r w:rsidRPr="00666DF4">
        <w:t>section</w:t>
      </w:r>
      <w:r w:rsidR="0093477B">
        <w:t> </w:t>
      </w:r>
      <w:r w:rsidRPr="00666DF4">
        <w:t>95 of the Mental Health Act. Such inquiries are generally focused on systemic issues across one or more mental health services. These inquiries typically result in the district inspector making specific recommendations. The Director considers the recommendations and later audits the DHB</w:t>
      </w:r>
      <w:r w:rsidR="00BF25EC">
        <w:t>’</w:t>
      </w:r>
      <w:r w:rsidRPr="00666DF4">
        <w:t>s implementation of them.</w:t>
      </w:r>
    </w:p>
    <w:p w:rsidR="00A47CF6" w:rsidRPr="00666DF4" w:rsidRDefault="00A47CF6" w:rsidP="0093477B">
      <w:pPr>
        <w:rPr>
          <w:rFonts w:eastAsia="Century"/>
        </w:rPr>
      </w:pPr>
    </w:p>
    <w:p w:rsidR="00A47CF6" w:rsidRPr="00666DF4" w:rsidRDefault="00A47CF6" w:rsidP="0093477B">
      <w:r w:rsidRPr="00666DF4">
        <w:t>The Director also acts on any recommendations that have implications for the Ministry of Health or the mental health sector.</w:t>
      </w:r>
    </w:p>
    <w:p w:rsidR="00A47CF6" w:rsidRPr="00666DF4" w:rsidRDefault="00A47CF6" w:rsidP="0093477B">
      <w:pPr>
        <w:rPr>
          <w:rFonts w:eastAsia="Century"/>
        </w:rPr>
      </w:pPr>
    </w:p>
    <w:p w:rsidR="00A47CF6" w:rsidRPr="00666DF4" w:rsidRDefault="00A47CF6" w:rsidP="0093477B">
      <w:r w:rsidRPr="00666DF4">
        <w:t>The inquiry process is not completed until the Director considers that the DHB concerned and, if appropriate, the Ministry and all other DHBs, have satisfactorily implemented the recommendations. Two section 95 inquiries were completed during 2016. Table 1 shows the number of completed section 95 inquiry reports received by the Director of Mental Health between 2003 and 2016.</w:t>
      </w:r>
    </w:p>
    <w:p w:rsidR="00A47CF6" w:rsidRPr="00666DF4" w:rsidRDefault="00A47CF6" w:rsidP="0093477B">
      <w:pPr>
        <w:rPr>
          <w:rFonts w:eastAsia="Century"/>
        </w:rPr>
      </w:pPr>
    </w:p>
    <w:p w:rsidR="00A47CF6" w:rsidRPr="00666DF4" w:rsidRDefault="00A47CF6" w:rsidP="0093477B">
      <w:pPr>
        <w:pStyle w:val="Table"/>
        <w:rPr>
          <w:rFonts w:eastAsia="Georgia"/>
        </w:rPr>
      </w:pPr>
      <w:bookmarkStart w:id="29" w:name="_Toc508707299"/>
      <w:r w:rsidRPr="00666DF4">
        <w:rPr>
          <w:rFonts w:eastAsia="Georgia"/>
        </w:rPr>
        <w:t>Table 1: Number of completed section 95 inquiry reports received by the Director of Mental Health, 2003–2016</w:t>
      </w:r>
      <w:bookmarkEnd w:id="29"/>
    </w:p>
    <w:tbl>
      <w:tblPr>
        <w:tblW w:w="9356" w:type="dxa"/>
        <w:tblInd w:w="57" w:type="dxa"/>
        <w:tblLayout w:type="fixed"/>
        <w:tblCellMar>
          <w:left w:w="57" w:type="dxa"/>
          <w:right w:w="57" w:type="dxa"/>
        </w:tblCellMar>
        <w:tblLook w:val="01E0" w:firstRow="1" w:lastRow="1" w:firstColumn="1" w:lastColumn="1" w:noHBand="0" w:noVBand="0"/>
      </w:tblPr>
      <w:tblGrid>
        <w:gridCol w:w="668"/>
        <w:gridCol w:w="668"/>
        <w:gridCol w:w="668"/>
        <w:gridCol w:w="669"/>
        <w:gridCol w:w="668"/>
        <w:gridCol w:w="668"/>
        <w:gridCol w:w="669"/>
        <w:gridCol w:w="668"/>
        <w:gridCol w:w="668"/>
        <w:gridCol w:w="668"/>
        <w:gridCol w:w="669"/>
        <w:gridCol w:w="668"/>
        <w:gridCol w:w="668"/>
        <w:gridCol w:w="669"/>
      </w:tblGrid>
      <w:tr w:rsidR="00A47CF6" w:rsidRPr="0093477B" w:rsidTr="0093477B">
        <w:trPr>
          <w:cantSplit/>
        </w:trPr>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2003</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2004</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2005</w:t>
            </w:r>
          </w:p>
        </w:tc>
        <w:tc>
          <w:tcPr>
            <w:tcW w:w="669"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2006</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2007</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2008</w:t>
            </w:r>
          </w:p>
        </w:tc>
        <w:tc>
          <w:tcPr>
            <w:tcW w:w="669"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2009</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9"/>
              </w:rPr>
            </w:pPr>
            <w:r w:rsidRPr="0093477B">
              <w:rPr>
                <w:b/>
              </w:rPr>
              <w:t>2010</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2011</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2012</w:t>
            </w:r>
          </w:p>
        </w:tc>
        <w:tc>
          <w:tcPr>
            <w:tcW w:w="669"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2013</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2014</w:t>
            </w:r>
          </w:p>
        </w:tc>
        <w:tc>
          <w:tcPr>
            <w:tcW w:w="668"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2015</w:t>
            </w:r>
          </w:p>
        </w:tc>
        <w:tc>
          <w:tcPr>
            <w:tcW w:w="669" w:type="dxa"/>
            <w:tcBorders>
              <w:top w:val="single" w:sz="4" w:space="0" w:color="000000"/>
              <w:left w:val="nil"/>
              <w:bottom w:val="single" w:sz="4" w:space="0" w:color="000000"/>
              <w:right w:val="nil"/>
            </w:tcBorders>
          </w:tcPr>
          <w:p w:rsidR="00A47CF6" w:rsidRPr="0093477B" w:rsidRDefault="00A47CF6" w:rsidP="0093477B">
            <w:pPr>
              <w:pStyle w:val="TableText"/>
              <w:jc w:val="center"/>
              <w:rPr>
                <w:rFonts w:eastAsia="Arial" w:cs="Arial"/>
                <w:b/>
                <w:szCs w:val="18"/>
              </w:rPr>
            </w:pPr>
            <w:r w:rsidRPr="0093477B">
              <w:rPr>
                <w:b/>
              </w:rPr>
              <w:t>2016</w:t>
            </w:r>
          </w:p>
        </w:tc>
      </w:tr>
      <w:tr w:rsidR="00A47CF6" w:rsidRPr="00666DF4" w:rsidTr="0093477B">
        <w:trPr>
          <w:cantSplit/>
        </w:trPr>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2</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9"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4</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9"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3</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2</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9"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0</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0</w:t>
            </w:r>
          </w:p>
        </w:tc>
        <w:tc>
          <w:tcPr>
            <w:tcW w:w="668"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1</w:t>
            </w:r>
          </w:p>
        </w:tc>
        <w:tc>
          <w:tcPr>
            <w:tcW w:w="669" w:type="dxa"/>
            <w:tcBorders>
              <w:top w:val="single" w:sz="4" w:space="0" w:color="000000"/>
              <w:left w:val="nil"/>
              <w:bottom w:val="single" w:sz="4" w:space="0" w:color="000000"/>
              <w:right w:val="nil"/>
            </w:tcBorders>
          </w:tcPr>
          <w:p w:rsidR="00A47CF6" w:rsidRPr="00666DF4" w:rsidRDefault="00A47CF6" w:rsidP="0093477B">
            <w:pPr>
              <w:pStyle w:val="TableText"/>
              <w:jc w:val="center"/>
              <w:rPr>
                <w:rFonts w:eastAsia="Arial" w:cs="Arial"/>
                <w:szCs w:val="18"/>
              </w:rPr>
            </w:pPr>
            <w:r w:rsidRPr="00666DF4">
              <w:t>2</w:t>
            </w:r>
          </w:p>
        </w:tc>
      </w:tr>
    </w:tbl>
    <w:p w:rsidR="00A47CF6" w:rsidRPr="00666DF4" w:rsidRDefault="00A47CF6" w:rsidP="0093477B">
      <w:pPr>
        <w:pStyle w:val="Source"/>
        <w:rPr>
          <w:rFonts w:eastAsia="Arial" w:cs="Arial"/>
          <w:szCs w:val="18"/>
        </w:rPr>
      </w:pPr>
      <w:r w:rsidRPr="00666DF4">
        <w:t>Source: Office of the Director of Mental Health records</w:t>
      </w:r>
    </w:p>
    <w:p w:rsidR="00A47CF6" w:rsidRPr="00666DF4" w:rsidRDefault="00A47CF6" w:rsidP="0093477B">
      <w:pPr>
        <w:rPr>
          <w:rFonts w:eastAsia="Arial"/>
        </w:rPr>
      </w:pPr>
    </w:p>
    <w:p w:rsidR="00A47CF6" w:rsidRPr="00BF25EC" w:rsidRDefault="00A47CF6" w:rsidP="0093477B">
      <w:pPr>
        <w:pStyle w:val="Heading4"/>
        <w:rPr>
          <w:bCs/>
        </w:rPr>
      </w:pPr>
      <w:r w:rsidRPr="00BF25EC">
        <w:t>Number of district inspectors</w:t>
      </w:r>
    </w:p>
    <w:p w:rsidR="00A47CF6" w:rsidRPr="00666DF4" w:rsidRDefault="00A47CF6" w:rsidP="0093477B">
      <w:r w:rsidRPr="00666DF4">
        <w:t>As at 31 December 2016, there were 33 district inspectors throughout New Zealand. A list of current district inspectors is available on the Ministry of Health</w:t>
      </w:r>
      <w:r w:rsidR="00BF25EC">
        <w:t>’</w:t>
      </w:r>
      <w:r w:rsidRPr="00666DF4">
        <w:t>s website (</w:t>
      </w:r>
      <w:hyperlink r:id="rId23">
        <w:r w:rsidRPr="00666DF4">
          <w:t>www.health.govt.nz</w:t>
        </w:r>
      </w:hyperlink>
      <w:r w:rsidRPr="00666DF4">
        <w:t>).</w:t>
      </w:r>
    </w:p>
    <w:p w:rsidR="00A47CF6" w:rsidRPr="00666DF4" w:rsidRDefault="00A47CF6" w:rsidP="0093477B"/>
    <w:p w:rsidR="00A47CF6" w:rsidRPr="00BF25EC" w:rsidRDefault="00A47CF6" w:rsidP="0093477B">
      <w:pPr>
        <w:pStyle w:val="Heading4"/>
        <w:rPr>
          <w:bCs/>
        </w:rPr>
      </w:pPr>
      <w:bookmarkStart w:id="30" w:name="reviewtribunal"/>
      <w:bookmarkEnd w:id="30"/>
      <w:r w:rsidRPr="00BF25EC">
        <w:t>The Mental Health Review Tribunal</w:t>
      </w:r>
    </w:p>
    <w:p w:rsidR="00A47CF6" w:rsidRPr="00666DF4" w:rsidRDefault="00A47CF6" w:rsidP="0093477B">
      <w:r w:rsidRPr="00666DF4">
        <w:t>The Mental Health Review Tribunal is an independent tribunal empowered by law to review compulsory treatment orders, special patient orders and restricted patient orders. If a person disagrees with their legal status or treatment under the Mental Health Act, they can apply to the Tribunal for an independent review of their condition.</w:t>
      </w:r>
    </w:p>
    <w:p w:rsidR="00A47CF6" w:rsidRPr="00666DF4" w:rsidRDefault="00A47CF6" w:rsidP="0093477B">
      <w:pPr>
        <w:rPr>
          <w:rFonts w:eastAsia="Century"/>
        </w:rPr>
      </w:pPr>
    </w:p>
    <w:p w:rsidR="00A47CF6" w:rsidRPr="00666DF4" w:rsidRDefault="00A47CF6" w:rsidP="0093477B">
      <w:r w:rsidRPr="00666DF4">
        <w:t>The Tribunal comprises three members, one of whom must be a lawyer, one a psychiatrist and one a community</w:t>
      </w:r>
      <w:r w:rsidR="00BF25EC">
        <w:t xml:space="preserve"> </w:t>
      </w:r>
      <w:r w:rsidRPr="00666DF4">
        <w:t>member.</w:t>
      </w:r>
    </w:p>
    <w:p w:rsidR="00A47CF6" w:rsidRPr="00666DF4" w:rsidRDefault="00A47CF6" w:rsidP="0093477B">
      <w:pPr>
        <w:rPr>
          <w:rFonts w:eastAsia="Century"/>
        </w:rPr>
      </w:pPr>
    </w:p>
    <w:p w:rsidR="00A47CF6" w:rsidRPr="00666DF4" w:rsidRDefault="00A47CF6" w:rsidP="0093477B">
      <w:r w:rsidRPr="00666DF4">
        <w:t>A selection of the Tribunal</w:t>
      </w:r>
      <w:r w:rsidR="00BF25EC">
        <w:t>’</w:t>
      </w:r>
      <w:r w:rsidRPr="00666DF4">
        <w:t xml:space="preserve">s published cases is available online (see </w:t>
      </w:r>
      <w:hyperlink r:id="rId24">
        <w:r w:rsidRPr="00666DF4">
          <w:t>www.nzlii.org/nz/cases/NZMHRT</w:t>
        </w:r>
      </w:hyperlink>
      <w:r w:rsidRPr="00666DF4">
        <w:t xml:space="preserve">). The Tribunal has carefully anonymised these cases to respect the privacy of the individuals and family/ </w:t>
      </w:r>
      <w:proofErr w:type="spellStart"/>
      <w:r w:rsidRPr="00666DF4">
        <w:t>whānau</w:t>
      </w:r>
      <w:proofErr w:type="spellEnd"/>
      <w:r w:rsidRPr="00666DF4">
        <w:t xml:space="preserve"> involved. The intention of publication is to improve public understanding of the Tribunal</w:t>
      </w:r>
      <w:r w:rsidR="00BF25EC">
        <w:t>’</w:t>
      </w:r>
      <w:r w:rsidRPr="00666DF4">
        <w:t>s work and of mental health law and practice.</w:t>
      </w:r>
    </w:p>
    <w:p w:rsidR="00A47CF6" w:rsidRPr="00666DF4" w:rsidRDefault="00A47CF6" w:rsidP="0093477B">
      <w:pPr>
        <w:rPr>
          <w:rFonts w:eastAsia="Century"/>
        </w:rPr>
      </w:pPr>
    </w:p>
    <w:p w:rsidR="00A47CF6" w:rsidRPr="00666DF4" w:rsidRDefault="00A47CF6" w:rsidP="0093477B">
      <w:r w:rsidRPr="00666DF4">
        <w:t>The main function of the Tribunal is to review the condition of people in accordance with</w:t>
      </w:r>
      <w:r w:rsidR="0093477B">
        <w:t xml:space="preserve"> </w:t>
      </w:r>
      <w:r w:rsidRPr="00666DF4">
        <w:t>sections 79 and 80 of the Mental Health Act. Section 79 relates to people who are subject to ordinary compulsory treatment orders, and section 80 relates to the status of special patients. During the year ending 30 June 2016, the Tribunal heard 62 cases of contested treatment orders. In six cases</w:t>
      </w:r>
      <w:r w:rsidR="0093477B">
        <w:t xml:space="preserve"> </w:t>
      </w:r>
      <w:r w:rsidRPr="00666DF4">
        <w:t>(10 percent), a person was deemed fit to be released from compulsory status.</w:t>
      </w:r>
    </w:p>
    <w:p w:rsidR="00A47CF6" w:rsidRPr="00666DF4" w:rsidRDefault="00A47CF6" w:rsidP="0093477B">
      <w:pPr>
        <w:rPr>
          <w:rFonts w:eastAsia="Century"/>
        </w:rPr>
      </w:pPr>
    </w:p>
    <w:p w:rsidR="00A47CF6" w:rsidRPr="00666DF4" w:rsidRDefault="00A47CF6" w:rsidP="0093477B">
      <w:pPr>
        <w:keepLines/>
        <w:rPr>
          <w:rFonts w:eastAsia="Garamond"/>
        </w:rPr>
      </w:pPr>
      <w:r w:rsidRPr="00666DF4">
        <w:rPr>
          <w:rFonts w:eastAsia="Garamond"/>
        </w:rPr>
        <w:t>The Tribunal has a number of other functions under the Mental Health Act, including reviewing the condition of restricted patients (section 81), considering complaints when people are dissatisfied with the outcome of a district inspector</w:t>
      </w:r>
      <w:r w:rsidR="00BF25EC">
        <w:rPr>
          <w:rFonts w:eastAsia="Garamond"/>
        </w:rPr>
        <w:t>’</w:t>
      </w:r>
      <w:r w:rsidRPr="00666DF4">
        <w:rPr>
          <w:rFonts w:eastAsia="Garamond"/>
        </w:rPr>
        <w:t>s investigation (section 75) and appointing psychiatrists authorised to carry out second opinions under the Mental Health Act (sections</w:t>
      </w:r>
      <w:r w:rsidR="0093477B">
        <w:rPr>
          <w:rFonts w:eastAsia="Garamond"/>
        </w:rPr>
        <w:br/>
      </w:r>
      <w:r w:rsidRPr="00666DF4">
        <w:rPr>
          <w:rFonts w:eastAsia="Garamond"/>
        </w:rPr>
        <w:t>59–61).</w:t>
      </w:r>
    </w:p>
    <w:p w:rsidR="00A47CF6" w:rsidRPr="00666DF4" w:rsidRDefault="00A47CF6" w:rsidP="0093477B">
      <w:pPr>
        <w:rPr>
          <w:rFonts w:eastAsia="Garamond"/>
        </w:rPr>
      </w:pPr>
    </w:p>
    <w:p w:rsidR="00A47CF6" w:rsidRPr="00666DF4" w:rsidRDefault="00A47CF6" w:rsidP="0093477B">
      <w:r w:rsidRPr="00666DF4">
        <w:t>Under section 80 of the Mental Health Act, the Tribunal makes</w:t>
      </w:r>
      <w:r w:rsidR="0093477B">
        <w:t xml:space="preserve"> </w:t>
      </w:r>
      <w:r w:rsidRPr="00666DF4">
        <w:t>recommendations relating to special patients to the Minister of Health or the Attorney-General, who determine whether there should be a change to the patients</w:t>
      </w:r>
      <w:r w:rsidR="00BF25EC">
        <w:t>’</w:t>
      </w:r>
      <w:r w:rsidRPr="00666DF4">
        <w:t xml:space="preserve"> legal status.</w:t>
      </w:r>
    </w:p>
    <w:p w:rsidR="00A47CF6" w:rsidRPr="00666DF4" w:rsidRDefault="00A47CF6" w:rsidP="0093477B">
      <w:pPr>
        <w:rPr>
          <w:rFonts w:eastAsia="Century"/>
        </w:rPr>
      </w:pPr>
    </w:p>
    <w:p w:rsidR="00A47CF6" w:rsidRPr="00666DF4" w:rsidRDefault="00A47CF6" w:rsidP="0093477B">
      <w:r w:rsidRPr="00666DF4">
        <w:t>The Tribunal may also investigate a complaint if the complainant is dissatisfied with a district inspector</w:t>
      </w:r>
      <w:r w:rsidR="00BF25EC">
        <w:t>’</w:t>
      </w:r>
      <w:r w:rsidRPr="00666DF4">
        <w:t>s investigation. If the Tribunal decides a complaint has substance, it must report the matter to the relevant DAMHS, with appropriate recommendations. The DAMHS must then take all necessary steps to remedy the matter.</w:t>
      </w:r>
    </w:p>
    <w:p w:rsidR="00A47CF6" w:rsidRPr="00666DF4" w:rsidRDefault="00A47CF6" w:rsidP="0093477B">
      <w:pPr>
        <w:rPr>
          <w:rFonts w:eastAsia="Century"/>
        </w:rPr>
      </w:pPr>
    </w:p>
    <w:p w:rsidR="00A47CF6" w:rsidRPr="00666DF4" w:rsidRDefault="00A47CF6" w:rsidP="0093477B">
      <w:r w:rsidRPr="00666DF4">
        <w:t>For more information about the Tribunal</w:t>
      </w:r>
      <w:r w:rsidR="00BF25EC">
        <w:t>’</w:t>
      </w:r>
      <w:r w:rsidRPr="00666DF4">
        <w:t>s activities for the year ending 30 June 2016, see Appendix 3.</w:t>
      </w:r>
    </w:p>
    <w:p w:rsidR="00A47CF6" w:rsidRPr="00666DF4" w:rsidRDefault="00A47CF6" w:rsidP="0093477B"/>
    <w:p w:rsidR="00A47CF6" w:rsidRPr="00666DF4" w:rsidRDefault="00A47CF6" w:rsidP="0093477B">
      <w:pPr>
        <w:pStyle w:val="Heading1"/>
        <w:rPr>
          <w:bCs/>
        </w:rPr>
      </w:pPr>
      <w:bookmarkStart w:id="31" w:name="Activities_for_2016"/>
      <w:bookmarkStart w:id="32" w:name="Mental_health_sector_relationships"/>
      <w:bookmarkStart w:id="33" w:name="Cross-government_relationships"/>
      <w:bookmarkStart w:id="34" w:name="_bookmark7"/>
      <w:bookmarkStart w:id="35" w:name="_Toc508707265"/>
      <w:bookmarkEnd w:id="31"/>
      <w:bookmarkEnd w:id="32"/>
      <w:bookmarkEnd w:id="33"/>
      <w:bookmarkEnd w:id="34"/>
      <w:r w:rsidRPr="00666DF4">
        <w:t>Activities for 2016</w:t>
      </w:r>
      <w:bookmarkEnd w:id="35"/>
    </w:p>
    <w:p w:rsidR="00A47CF6" w:rsidRPr="00666DF4" w:rsidRDefault="00A47CF6" w:rsidP="0093477B">
      <w:pPr>
        <w:pStyle w:val="Heading2"/>
        <w:rPr>
          <w:bCs/>
        </w:rPr>
      </w:pPr>
      <w:bookmarkStart w:id="36" w:name="districtinspectors"/>
      <w:bookmarkStart w:id="37" w:name="_Toc508707266"/>
      <w:bookmarkEnd w:id="36"/>
      <w:r w:rsidRPr="00666DF4">
        <w:t>Mental health sector relationships</w:t>
      </w:r>
      <w:bookmarkEnd w:id="37"/>
    </w:p>
    <w:p w:rsidR="00A47CF6" w:rsidRPr="00666DF4" w:rsidRDefault="00A47CF6" w:rsidP="0093477B">
      <w:r w:rsidRPr="00666DF4">
        <w:t>The Director of Mental Health visited most DHB mental health services at least once during the reporting year. These visits give the Director an opportunity to meet with the services and understand the particular types of challenges that local mental health services are facing, while offering Ministry support and oversight.</w:t>
      </w:r>
    </w:p>
    <w:p w:rsidR="00A47CF6" w:rsidRPr="00666DF4" w:rsidRDefault="00A47CF6" w:rsidP="0093477B">
      <w:pPr>
        <w:rPr>
          <w:rFonts w:eastAsia="Century"/>
        </w:rPr>
      </w:pPr>
    </w:p>
    <w:p w:rsidR="00A47CF6" w:rsidRPr="00666DF4" w:rsidRDefault="00A47CF6" w:rsidP="0093477B">
      <w:r w:rsidRPr="00666DF4">
        <w:t>The Office of the Director of Mental Health also maintains relationships with many parts of the mental health sector, attending and presenting at a large number of mental health sector meetings each year.</w:t>
      </w:r>
    </w:p>
    <w:p w:rsidR="00A47CF6" w:rsidRPr="00666DF4" w:rsidRDefault="00A47CF6" w:rsidP="0093477B">
      <w:pPr>
        <w:rPr>
          <w:rFonts w:eastAsia="Century"/>
        </w:rPr>
      </w:pPr>
    </w:p>
    <w:p w:rsidR="00A47CF6" w:rsidRPr="00666DF4" w:rsidRDefault="00A47CF6" w:rsidP="0093477B">
      <w:pPr>
        <w:pStyle w:val="Heading2"/>
        <w:rPr>
          <w:bCs/>
        </w:rPr>
      </w:pPr>
      <w:bookmarkStart w:id="38" w:name="_Toc508707267"/>
      <w:r w:rsidRPr="00666DF4">
        <w:t>Cross-government relationships</w:t>
      </w:r>
      <w:bookmarkEnd w:id="38"/>
    </w:p>
    <w:p w:rsidR="00A47CF6" w:rsidRPr="00666DF4" w:rsidRDefault="00A47CF6" w:rsidP="0093477B">
      <w:r w:rsidRPr="00666DF4">
        <w:t>The Office of the Director of Mental Health maintains strong relationships with other government</w:t>
      </w:r>
      <w:r w:rsidR="0093477B">
        <w:t xml:space="preserve"> </w:t>
      </w:r>
      <w:r w:rsidRPr="00666DF4">
        <w:t>agencies, working to support good clinical practice and person-centred services for people with mental health and addiction problems.</w:t>
      </w:r>
    </w:p>
    <w:p w:rsidR="00A47CF6" w:rsidRPr="00666DF4" w:rsidRDefault="00A47CF6" w:rsidP="0093477B">
      <w:pPr>
        <w:rPr>
          <w:rFonts w:eastAsia="Century"/>
        </w:rPr>
      </w:pPr>
    </w:p>
    <w:p w:rsidR="00A47CF6" w:rsidRPr="00666DF4" w:rsidRDefault="00A47CF6" w:rsidP="0093477B">
      <w:r w:rsidRPr="00666DF4">
        <w:t>In 2016, the Office of the Director of Mental Health worked with a number of agencies on a wide range of projects, including:</w:t>
      </w:r>
    </w:p>
    <w:p w:rsidR="00A47CF6" w:rsidRPr="00666DF4" w:rsidRDefault="00A47CF6" w:rsidP="0093477B">
      <w:pPr>
        <w:pStyle w:val="Bullet"/>
      </w:pPr>
      <w:r w:rsidRPr="00666DF4">
        <w:t>the Youth Crime Action Plan</w:t>
      </w:r>
    </w:p>
    <w:p w:rsidR="00A47CF6" w:rsidRPr="00666DF4" w:rsidRDefault="00A47CF6" w:rsidP="0093477B">
      <w:pPr>
        <w:pStyle w:val="Bullet"/>
      </w:pPr>
      <w:r w:rsidRPr="00666DF4">
        <w:t>the Vulnerable Children</w:t>
      </w:r>
      <w:r w:rsidR="00BF25EC">
        <w:t>’</w:t>
      </w:r>
      <w:r w:rsidRPr="00666DF4">
        <w:t>s Action Plan</w:t>
      </w:r>
    </w:p>
    <w:p w:rsidR="00A47CF6" w:rsidRPr="00666DF4" w:rsidRDefault="00A47CF6" w:rsidP="0093477B">
      <w:pPr>
        <w:pStyle w:val="Bullet"/>
      </w:pPr>
      <w:r w:rsidRPr="00666DF4">
        <w:t xml:space="preserve">the Ministry for Vulnerable Children </w:t>
      </w:r>
      <w:proofErr w:type="spellStart"/>
      <w:r w:rsidRPr="00666DF4">
        <w:t>Oranga</w:t>
      </w:r>
      <w:proofErr w:type="spellEnd"/>
      <w:r w:rsidRPr="00666DF4">
        <w:t xml:space="preserve"> </w:t>
      </w:r>
      <w:proofErr w:type="spellStart"/>
      <w:r w:rsidRPr="00666DF4">
        <w:t>Tamariki</w:t>
      </w:r>
      <w:proofErr w:type="spellEnd"/>
      <w:r w:rsidRPr="00666DF4">
        <w:t xml:space="preserve"> (</w:t>
      </w:r>
      <w:proofErr w:type="spellStart"/>
      <w:r w:rsidRPr="00666DF4">
        <w:t>Oranga</w:t>
      </w:r>
      <w:proofErr w:type="spellEnd"/>
      <w:r w:rsidRPr="00666DF4">
        <w:t xml:space="preserve"> </w:t>
      </w:r>
      <w:proofErr w:type="spellStart"/>
      <w:r w:rsidRPr="00666DF4">
        <w:t>Tamariki</w:t>
      </w:r>
      <w:proofErr w:type="spellEnd"/>
      <w:r w:rsidRPr="00666DF4">
        <w:t>) model of care</w:t>
      </w:r>
    </w:p>
    <w:p w:rsidR="00A47CF6" w:rsidRPr="00666DF4" w:rsidRDefault="00A47CF6" w:rsidP="0093477B">
      <w:pPr>
        <w:pStyle w:val="Bullet"/>
      </w:pPr>
      <w:r w:rsidRPr="00666DF4">
        <w:t>the Interagency High and Complex Needs Unit</w:t>
      </w:r>
    </w:p>
    <w:p w:rsidR="00A47CF6" w:rsidRPr="00666DF4" w:rsidRDefault="00A47CF6" w:rsidP="0093477B">
      <w:pPr>
        <w:pStyle w:val="Bullet"/>
      </w:pPr>
      <w:r w:rsidRPr="00666DF4">
        <w:t>implementing the Autism Spectrum Guidelines and resolving mental health/disability support service interface issues</w:t>
      </w:r>
    </w:p>
    <w:p w:rsidR="00A47CF6" w:rsidRPr="00666DF4" w:rsidRDefault="00A47CF6" w:rsidP="0093477B">
      <w:pPr>
        <w:pStyle w:val="Bullet"/>
      </w:pPr>
      <w:r w:rsidRPr="00666DF4">
        <w:t>the cross-agency response for children with conduct problems</w:t>
      </w:r>
    </w:p>
    <w:p w:rsidR="00A47CF6" w:rsidRPr="00666DF4" w:rsidRDefault="00A47CF6" w:rsidP="0093477B">
      <w:pPr>
        <w:pStyle w:val="Bullet"/>
      </w:pPr>
      <w:r w:rsidRPr="00666DF4">
        <w:t xml:space="preserve">the </w:t>
      </w:r>
      <w:proofErr w:type="spellStart"/>
      <w:r w:rsidRPr="00666DF4">
        <w:t>Oranga</w:t>
      </w:r>
      <w:proofErr w:type="spellEnd"/>
      <w:r w:rsidRPr="00666DF4">
        <w:t xml:space="preserve"> </w:t>
      </w:r>
      <w:proofErr w:type="spellStart"/>
      <w:r w:rsidRPr="00666DF4">
        <w:t>Tamariki</w:t>
      </w:r>
      <w:proofErr w:type="spellEnd"/>
      <w:r w:rsidRPr="00666DF4">
        <w:t xml:space="preserve"> Gateway Assessment project and Direct Purchasing Trial</w:t>
      </w:r>
    </w:p>
    <w:p w:rsidR="00A47CF6" w:rsidRPr="00666DF4" w:rsidRDefault="00A47CF6" w:rsidP="0093477B">
      <w:pPr>
        <w:pStyle w:val="Bullet"/>
      </w:pPr>
      <w:r w:rsidRPr="00666DF4">
        <w:t xml:space="preserve">the </w:t>
      </w:r>
      <w:proofErr w:type="spellStart"/>
      <w:r w:rsidRPr="00666DF4">
        <w:t>Fetal</w:t>
      </w:r>
      <w:proofErr w:type="spellEnd"/>
      <w:r w:rsidRPr="00666DF4">
        <w:t xml:space="preserve"> Alcohol Spectrum Disorder Action Plan</w:t>
      </w:r>
    </w:p>
    <w:p w:rsidR="00A47CF6" w:rsidRPr="00666DF4" w:rsidRDefault="00A47CF6" w:rsidP="0093477B">
      <w:pPr>
        <w:pStyle w:val="Bullet"/>
      </w:pPr>
      <w:r w:rsidRPr="00666DF4">
        <w:t>achieving compliance with United Nations conventions such as the United Nations Convention on the Rights of the Child (UNCROC)</w:t>
      </w:r>
    </w:p>
    <w:p w:rsidR="00A47CF6" w:rsidRPr="00666DF4" w:rsidRDefault="00A47CF6" w:rsidP="0093477B">
      <w:pPr>
        <w:pStyle w:val="Bullet"/>
      </w:pPr>
      <w:r w:rsidRPr="00666DF4">
        <w:t>improving Cross-Sector Responses for Children and Youth in Crisis project</w:t>
      </w:r>
    </w:p>
    <w:p w:rsidR="00A47CF6" w:rsidRPr="00666DF4" w:rsidRDefault="00A47CF6" w:rsidP="0093477B">
      <w:pPr>
        <w:pStyle w:val="Bullet"/>
      </w:pPr>
      <w:r w:rsidRPr="00666DF4">
        <w:t>the Police-led Gap Analysis Project</w:t>
      </w:r>
    </w:p>
    <w:p w:rsidR="00A47CF6" w:rsidRPr="00666DF4" w:rsidRDefault="00A47CF6" w:rsidP="0093477B">
      <w:pPr>
        <w:pStyle w:val="Bullet"/>
      </w:pPr>
      <w:r w:rsidRPr="00666DF4">
        <w:t>the Prime Minister</w:t>
      </w:r>
      <w:r w:rsidR="00BF25EC">
        <w:t>’</w:t>
      </w:r>
      <w:r w:rsidRPr="00666DF4">
        <w:t>s Youth Mental Health Project</w:t>
      </w:r>
    </w:p>
    <w:p w:rsidR="00A47CF6" w:rsidRPr="00666DF4" w:rsidRDefault="00A47CF6" w:rsidP="0093477B">
      <w:pPr>
        <w:pStyle w:val="Bullet"/>
      </w:pPr>
      <w:r w:rsidRPr="00666DF4">
        <w:t>the Suicide Prevention Action Plan 2013–2016</w:t>
      </w:r>
    </w:p>
    <w:p w:rsidR="00A47CF6" w:rsidRPr="00666DF4" w:rsidRDefault="00A47CF6" w:rsidP="0093477B">
      <w:pPr>
        <w:pStyle w:val="Bullet"/>
      </w:pPr>
      <w:r w:rsidRPr="00666DF4">
        <w:t>the transfer of responsibilities for psychosocial welfare in emergencies from the Ministry of Social Development to the Ministry of Health and DHBs</w:t>
      </w:r>
    </w:p>
    <w:p w:rsidR="00A47CF6" w:rsidRPr="00666DF4" w:rsidRDefault="00A47CF6" w:rsidP="0093477B">
      <w:pPr>
        <w:pStyle w:val="Bullet"/>
      </w:pPr>
      <w:r w:rsidRPr="00666DF4">
        <w:t>transferring accountabilities for psychosocial recovery in Canterbury from the Canterbury Earthquake Recovery Authority to the Ministry of Health and Canterbury DHB</w:t>
      </w:r>
    </w:p>
    <w:p w:rsidR="00A47CF6" w:rsidRPr="00666DF4" w:rsidRDefault="00A47CF6" w:rsidP="0093477B">
      <w:pPr>
        <w:pStyle w:val="Bullet"/>
      </w:pPr>
      <w:proofErr w:type="gramStart"/>
      <w:r w:rsidRPr="00666DF4">
        <w:t>improving</w:t>
      </w:r>
      <w:proofErr w:type="gramEnd"/>
      <w:r w:rsidRPr="00666DF4">
        <w:t xml:space="preserve"> the interface between the youth justice system and mental health and addiction services.</w:t>
      </w:r>
    </w:p>
    <w:p w:rsidR="00A47CF6" w:rsidRPr="00666DF4" w:rsidRDefault="00A47CF6" w:rsidP="0093477B"/>
    <w:p w:rsidR="00A47CF6" w:rsidRPr="00666DF4" w:rsidRDefault="00A47CF6" w:rsidP="0093477B">
      <w:pPr>
        <w:pStyle w:val="Heading3"/>
        <w:rPr>
          <w:rFonts w:eastAsia="Georgia" w:cs="Georgia"/>
          <w:szCs w:val="28"/>
        </w:rPr>
      </w:pPr>
      <w:bookmarkStart w:id="39" w:name="Child_and_adolescent_mental_health_servi"/>
      <w:bookmarkStart w:id="40" w:name="Statutory_changes_to_health_practitioner"/>
      <w:bookmarkStart w:id="41" w:name="_bookmark8"/>
      <w:bookmarkEnd w:id="39"/>
      <w:bookmarkEnd w:id="40"/>
      <w:bookmarkEnd w:id="41"/>
      <w:r w:rsidRPr="00666DF4">
        <w:t>Relationship with the Department of Corrections</w:t>
      </w:r>
    </w:p>
    <w:p w:rsidR="00A47CF6" w:rsidRPr="00666DF4" w:rsidRDefault="00A47CF6" w:rsidP="0093477B">
      <w:r w:rsidRPr="00666DF4">
        <w:t>The Ministry works closely with the Department of Corrections to improve health services for people detained in prisons. Prisoners often have complex mental health needs that may require more intensive support than Corrections health services can give as providers of primary health care.</w:t>
      </w:r>
    </w:p>
    <w:p w:rsidR="00A47CF6" w:rsidRPr="00666DF4" w:rsidRDefault="00A47CF6" w:rsidP="0093477B">
      <w:pPr>
        <w:rPr>
          <w:rFonts w:eastAsia="Century"/>
        </w:rPr>
      </w:pPr>
    </w:p>
    <w:p w:rsidR="00A47CF6" w:rsidRPr="00666DF4" w:rsidRDefault="00A47CF6" w:rsidP="0093477B">
      <w:r w:rsidRPr="00666DF4">
        <w:t>Regional forensic psychiatry services support Corrections to access and treat prisoners with complex mental health needs. Prisoners may be transferred to a secure forensic mental health facility for treatment in a therapeutic environment.</w:t>
      </w:r>
    </w:p>
    <w:p w:rsidR="00A47CF6" w:rsidRPr="00666DF4" w:rsidRDefault="00A47CF6" w:rsidP="0093477B">
      <w:pPr>
        <w:rPr>
          <w:rFonts w:eastAsia="Century"/>
        </w:rPr>
      </w:pPr>
    </w:p>
    <w:p w:rsidR="00A47CF6" w:rsidRPr="00666DF4" w:rsidRDefault="00A47CF6" w:rsidP="0093477B">
      <w:pPr>
        <w:pStyle w:val="Heading3"/>
        <w:rPr>
          <w:rFonts w:eastAsia="Georgia" w:cs="Georgia"/>
          <w:szCs w:val="28"/>
        </w:rPr>
      </w:pPr>
      <w:r w:rsidRPr="00666DF4">
        <w:t>Relationship with the New Zealand Police</w:t>
      </w:r>
    </w:p>
    <w:p w:rsidR="00A47CF6" w:rsidRPr="00666DF4" w:rsidRDefault="00A47CF6" w:rsidP="0093477B">
      <w:r w:rsidRPr="00666DF4">
        <w:t>Mental health services need to promptly see people who come to the attention of police because of possible mental health problems. Police often provide the initial response to events involving people whose mental illness may render them a danger to themselves or others. It is therefore important for Police and mental health services to maintain collaborative relationships. During 2016, the Office of the Director of Mental Health continued to work with New Zealand Police to ensure that police responded appropriately to people with mental illness and their families/</w:t>
      </w:r>
      <w:proofErr w:type="spellStart"/>
      <w:r w:rsidRPr="00666DF4">
        <w:t>whānau</w:t>
      </w:r>
      <w:proofErr w:type="spellEnd"/>
      <w:r w:rsidRPr="00666DF4">
        <w:t>.</w:t>
      </w:r>
    </w:p>
    <w:p w:rsidR="00A47CF6" w:rsidRPr="00666DF4" w:rsidRDefault="00A47CF6" w:rsidP="0093477B">
      <w:pPr>
        <w:rPr>
          <w:rFonts w:eastAsia="Century"/>
        </w:rPr>
      </w:pPr>
    </w:p>
    <w:p w:rsidR="00A47CF6" w:rsidRPr="00666DF4" w:rsidRDefault="00A47CF6" w:rsidP="0093477B">
      <w:pPr>
        <w:pStyle w:val="Heading3"/>
        <w:rPr>
          <w:bCs/>
        </w:rPr>
      </w:pPr>
      <w:r w:rsidRPr="00666DF4">
        <w:t>Victims of Crime interagency working group</w:t>
      </w:r>
    </w:p>
    <w:p w:rsidR="00A47CF6" w:rsidRPr="00666DF4" w:rsidRDefault="00A47CF6" w:rsidP="0093477B">
      <w:r w:rsidRPr="00666DF4">
        <w:t>Forensic mental health services have a dual role to both facilitate special patients</w:t>
      </w:r>
      <w:r w:rsidR="00BF25EC">
        <w:t>’</w:t>
      </w:r>
      <w:r w:rsidRPr="00666DF4">
        <w:t xml:space="preserve"> rehabilitative journeys and protect members of the public, including registered victims of the special patients</w:t>
      </w:r>
      <w:r w:rsidR="00BF25EC">
        <w:t>’</w:t>
      </w:r>
      <w:r w:rsidRPr="00666DF4">
        <w:t xml:space="preserve"> offending. The Ministry of Health works with the Ministry of Justice, New Zealand Police, </w:t>
      </w:r>
      <w:proofErr w:type="spellStart"/>
      <w:r w:rsidRPr="00666DF4">
        <w:t>Oranga</w:t>
      </w:r>
      <w:proofErr w:type="spellEnd"/>
      <w:r w:rsidRPr="00666DF4">
        <w:t xml:space="preserve"> </w:t>
      </w:r>
      <w:proofErr w:type="spellStart"/>
      <w:r w:rsidRPr="00666DF4">
        <w:t>Tamariki</w:t>
      </w:r>
      <w:proofErr w:type="spellEnd"/>
      <w:r w:rsidRPr="00666DF4">
        <w:t xml:space="preserve">, Department of Corrections, Ministry of Business, Innovation and Employment, Ministry of Social Development, Accident Compensation Corporation and </w:t>
      </w:r>
      <w:proofErr w:type="spellStart"/>
      <w:r w:rsidRPr="00666DF4">
        <w:t>WorkSafe</w:t>
      </w:r>
      <w:proofErr w:type="spellEnd"/>
      <w:r w:rsidRPr="00666DF4">
        <w:t xml:space="preserve"> New Zealand on the Victims of Crime interagency working group.</w:t>
      </w:r>
    </w:p>
    <w:p w:rsidR="00A47CF6" w:rsidRPr="00666DF4" w:rsidRDefault="00A47CF6" w:rsidP="0093477B">
      <w:pPr>
        <w:rPr>
          <w:rFonts w:eastAsia="Century"/>
        </w:rPr>
      </w:pPr>
    </w:p>
    <w:p w:rsidR="00A47CF6" w:rsidRPr="00666DF4" w:rsidRDefault="00A47CF6" w:rsidP="0093477B">
      <w:pPr>
        <w:pStyle w:val="Heading2"/>
        <w:rPr>
          <w:bCs/>
        </w:rPr>
      </w:pPr>
      <w:bookmarkStart w:id="42" w:name="_Toc508707268"/>
      <w:r w:rsidRPr="00666DF4">
        <w:t>Child and adolescent mental health services</w:t>
      </w:r>
      <w:bookmarkEnd w:id="42"/>
    </w:p>
    <w:p w:rsidR="00A47CF6" w:rsidRPr="00666DF4" w:rsidRDefault="00A47CF6" w:rsidP="0093477B">
      <w:r w:rsidRPr="00666DF4">
        <w:t xml:space="preserve">In April 2016, </w:t>
      </w:r>
      <w:proofErr w:type="spellStart"/>
      <w:r w:rsidRPr="00666DF4">
        <w:t>Nga</w:t>
      </w:r>
      <w:proofErr w:type="spellEnd"/>
      <w:r w:rsidRPr="00666DF4">
        <w:t xml:space="preserve"> </w:t>
      </w:r>
      <w:proofErr w:type="spellStart"/>
      <w:r w:rsidRPr="00666DF4">
        <w:t>Taiohi</w:t>
      </w:r>
      <w:proofErr w:type="spellEnd"/>
      <w:r w:rsidRPr="00666DF4">
        <w:t xml:space="preserve">, the national youth forensic inpatient unit, was opened at </w:t>
      </w:r>
      <w:proofErr w:type="spellStart"/>
      <w:r w:rsidRPr="00666DF4">
        <w:t>Kenepuru</w:t>
      </w:r>
      <w:proofErr w:type="spellEnd"/>
      <w:r w:rsidRPr="00666DF4">
        <w:t xml:space="preserve"> Community Hospital near Wellington. This 10-bed secure unit is the first dedicated youth forensic inpatient unit in New Zealand, providing specialist assessment and treatment for youth who are involved with the justice system</w:t>
      </w:r>
      <w:r w:rsidR="00BF25EC">
        <w:t xml:space="preserve"> </w:t>
      </w:r>
      <w:r w:rsidRPr="00666DF4">
        <w:t xml:space="preserve">and have mental health, alcohol and other drug problems. </w:t>
      </w:r>
      <w:proofErr w:type="spellStart"/>
      <w:r w:rsidRPr="00666DF4">
        <w:t>Nga</w:t>
      </w:r>
      <w:proofErr w:type="spellEnd"/>
      <w:r w:rsidRPr="00666DF4">
        <w:t xml:space="preserve"> </w:t>
      </w:r>
      <w:proofErr w:type="spellStart"/>
      <w:r w:rsidRPr="00666DF4">
        <w:t>Taiohi</w:t>
      </w:r>
      <w:proofErr w:type="spellEnd"/>
      <w:r w:rsidRPr="00666DF4">
        <w:t xml:space="preserve"> works closely with the regional youth forensic services and the </w:t>
      </w:r>
      <w:proofErr w:type="spellStart"/>
      <w:r w:rsidRPr="00666DF4">
        <w:t>Oranga</w:t>
      </w:r>
      <w:proofErr w:type="spellEnd"/>
      <w:r w:rsidRPr="00666DF4">
        <w:t xml:space="preserve"> </w:t>
      </w:r>
      <w:proofErr w:type="spellStart"/>
      <w:r w:rsidRPr="00666DF4">
        <w:t>Tamariki</w:t>
      </w:r>
      <w:proofErr w:type="spellEnd"/>
      <w:r w:rsidRPr="00666DF4">
        <w:t xml:space="preserve"> youth justice residences around the country.</w:t>
      </w:r>
    </w:p>
    <w:p w:rsidR="00A47CF6" w:rsidRPr="00666DF4" w:rsidRDefault="00A47CF6" w:rsidP="0093477B">
      <w:pPr>
        <w:rPr>
          <w:rFonts w:eastAsia="Century"/>
        </w:rPr>
      </w:pPr>
    </w:p>
    <w:p w:rsidR="00A47CF6" w:rsidRPr="00666DF4" w:rsidRDefault="00A47CF6" w:rsidP="0093477B">
      <w:pPr>
        <w:pStyle w:val="Heading2"/>
        <w:rPr>
          <w:bCs/>
        </w:rPr>
      </w:pPr>
      <w:bookmarkStart w:id="43" w:name="_Toc508707269"/>
      <w:r w:rsidRPr="00666DF4">
        <w:t>Statutory changes to health practitioner status</w:t>
      </w:r>
      <w:bookmarkEnd w:id="43"/>
    </w:p>
    <w:p w:rsidR="00A47CF6" w:rsidRPr="00666DF4" w:rsidRDefault="00A47CF6" w:rsidP="0093477B">
      <w:r w:rsidRPr="00666DF4">
        <w:t>Important legislative changes have been made to enable suitably qualified health practitioners to carry out some activities that could previously only be performed by doctors. The aim of the changes is to make health services more flexible and available. These changes also acknowledge and make better use of the skills of qualified health practitioners.</w:t>
      </w:r>
    </w:p>
    <w:p w:rsidR="00A47CF6" w:rsidRPr="00666DF4" w:rsidRDefault="00A47CF6" w:rsidP="0093477B">
      <w:pPr>
        <w:rPr>
          <w:rFonts w:eastAsia="Century"/>
        </w:rPr>
      </w:pPr>
    </w:p>
    <w:p w:rsidR="00A47CF6" w:rsidRPr="00666DF4" w:rsidRDefault="00A47CF6" w:rsidP="0093477B">
      <w:pPr>
        <w:keepLines/>
      </w:pPr>
      <w:r w:rsidRPr="00666DF4">
        <w:t xml:space="preserve">Eight separate Acts will be amended to recognise new terminology, replacing the term </w:t>
      </w:r>
      <w:r w:rsidR="00BF25EC">
        <w:t>‘</w:t>
      </w:r>
      <w:r w:rsidRPr="00666DF4">
        <w:t>medical practitioner</w:t>
      </w:r>
      <w:r w:rsidR="00BF25EC">
        <w:t>’</w:t>
      </w:r>
      <w:r w:rsidRPr="00666DF4">
        <w:t xml:space="preserve"> with </w:t>
      </w:r>
      <w:r w:rsidR="00BF25EC">
        <w:t>‘</w:t>
      </w:r>
      <w:r w:rsidRPr="00666DF4">
        <w:t>health practitioner</w:t>
      </w:r>
      <w:r w:rsidR="00BF25EC">
        <w:t>’</w:t>
      </w:r>
      <w:r w:rsidRPr="00666DF4">
        <w:t>, as defined by the Health Practitioners Competence Assurance Act.</w:t>
      </w:r>
      <w:r w:rsidR="0093477B">
        <w:rPr>
          <w:rStyle w:val="FootnoteReference"/>
        </w:rPr>
        <w:footnoteReference w:id="5"/>
      </w:r>
      <w:r w:rsidR="0093477B">
        <w:t xml:space="preserve"> </w:t>
      </w:r>
      <w:r w:rsidRPr="00666DF4">
        <w:t>The Mental Health (Compulsory Assessment and Treatment) Act 1992 and the Misuse of Drugs Act 1975 are among the eight Acts that are being amended.</w:t>
      </w:r>
    </w:p>
    <w:p w:rsidR="00A47CF6" w:rsidRPr="00666DF4" w:rsidRDefault="00A47CF6" w:rsidP="0093477B">
      <w:pPr>
        <w:rPr>
          <w:rFonts w:eastAsia="Century"/>
        </w:rPr>
      </w:pPr>
    </w:p>
    <w:p w:rsidR="00A47CF6" w:rsidRPr="00666DF4" w:rsidRDefault="00A47CF6" w:rsidP="0093477B">
      <w:bookmarkStart w:id="44" w:name="Towards_restraint-free_mental_health_pra"/>
      <w:bookmarkStart w:id="45" w:name="A_strategic_approach_to_rural_mental_hea"/>
      <w:bookmarkStart w:id="46" w:name="_bookmark9"/>
      <w:bookmarkEnd w:id="44"/>
      <w:bookmarkEnd w:id="45"/>
      <w:bookmarkEnd w:id="46"/>
      <w:r w:rsidRPr="00666DF4">
        <w:t>The changes include:</w:t>
      </w:r>
    </w:p>
    <w:p w:rsidR="00A47CF6" w:rsidRPr="00666DF4" w:rsidRDefault="00A47CF6" w:rsidP="0093477B">
      <w:pPr>
        <w:pStyle w:val="Bullet"/>
      </w:pPr>
      <w:r w:rsidRPr="00666DF4">
        <w:t>the Mental Health (Compulsory Assessment and Treatment) Act 1992 will allow nurse practitioners and registered nurses working in mental health to complete a health practitioner certificate for applications under that Act (section 8b)</w:t>
      </w:r>
    </w:p>
    <w:p w:rsidR="00A47CF6" w:rsidRPr="00666DF4" w:rsidRDefault="00A47CF6" w:rsidP="0093477B">
      <w:pPr>
        <w:pStyle w:val="Bullet"/>
      </w:pPr>
      <w:proofErr w:type="gramStart"/>
      <w:r w:rsidRPr="00666DF4">
        <w:t>in</w:t>
      </w:r>
      <w:proofErr w:type="gramEnd"/>
      <w:r w:rsidRPr="00666DF4">
        <w:t xml:space="preserve"> some instances, a nurse practitioner will be able to conduct an assessment examination if approved by the Director of Mental Health. The Director can delegate this approval to the Director of Area Mental Health Services</w:t>
      </w:r>
    </w:p>
    <w:p w:rsidR="00A47CF6" w:rsidRPr="00666DF4" w:rsidRDefault="00A47CF6" w:rsidP="0093477B">
      <w:pPr>
        <w:pStyle w:val="Bullet"/>
      </w:pPr>
      <w:proofErr w:type="gramStart"/>
      <w:r w:rsidRPr="00666DF4">
        <w:t>changes</w:t>
      </w:r>
      <w:proofErr w:type="gramEnd"/>
      <w:r w:rsidRPr="00666DF4">
        <w:t xml:space="preserve"> to section 24 of the Misuse of Drugs Act 1975 will allow nurse practitioners, registered nurse prescribers and pharmacist prescribers working in specialist addiction services to prescribe controlled drugs for the treatment of addiction.</w:t>
      </w:r>
    </w:p>
    <w:p w:rsidR="0093477B" w:rsidRDefault="0093477B" w:rsidP="0093477B"/>
    <w:p w:rsidR="00A47CF6" w:rsidRPr="00666DF4" w:rsidRDefault="00A47CF6" w:rsidP="0093477B">
      <w:r w:rsidRPr="00666DF4">
        <w:t xml:space="preserve">Changes to these two Acts come into force on 31 January 2018. The </w:t>
      </w:r>
      <w:r w:rsidRPr="00666DF4">
        <w:rPr>
          <w:i/>
        </w:rPr>
        <w:t xml:space="preserve">Guidelines to the Mental Health (Compulsory Assessment and Treatment) Act 1992 </w:t>
      </w:r>
      <w:r w:rsidRPr="00666DF4">
        <w:t>and other related guidance will be updated accordingly. The Ministry is also working with the sector to implement the changes to section 24 of the Misuse of Drugs Act. Informing the sector is important. There are many people who need to be aware of the changes, including service users themselves.</w:t>
      </w:r>
    </w:p>
    <w:p w:rsidR="00A47CF6" w:rsidRPr="00666DF4" w:rsidRDefault="00A47CF6" w:rsidP="0093477B">
      <w:pPr>
        <w:rPr>
          <w:rFonts w:eastAsia="Century"/>
        </w:rPr>
      </w:pPr>
    </w:p>
    <w:p w:rsidR="00A47CF6" w:rsidRPr="00666DF4" w:rsidRDefault="00A47CF6" w:rsidP="0093477B">
      <w:r w:rsidRPr="00666DF4">
        <w:t>For more information, visit the Ministry of Health</w:t>
      </w:r>
      <w:r w:rsidR="00BF25EC">
        <w:t>’</w:t>
      </w:r>
      <w:r w:rsidRPr="00666DF4">
        <w:t xml:space="preserve">s website and search </w:t>
      </w:r>
      <w:r w:rsidR="00BF25EC">
        <w:t>‘</w:t>
      </w:r>
      <w:r w:rsidRPr="00666DF4">
        <w:t xml:space="preserve">changes to health practitioner </w:t>
      </w:r>
      <w:proofErr w:type="gramStart"/>
      <w:r w:rsidRPr="00666DF4">
        <w:t>status</w:t>
      </w:r>
      <w:r w:rsidR="00BF25EC">
        <w:t>’</w:t>
      </w:r>
      <w:proofErr w:type="gramEnd"/>
      <w:r w:rsidRPr="00666DF4">
        <w:t>.</w:t>
      </w:r>
    </w:p>
    <w:p w:rsidR="00A47CF6" w:rsidRPr="00666DF4" w:rsidRDefault="00A47CF6" w:rsidP="0093477B">
      <w:pPr>
        <w:rPr>
          <w:rFonts w:eastAsia="Century"/>
        </w:rPr>
      </w:pPr>
    </w:p>
    <w:p w:rsidR="00A47CF6" w:rsidRPr="00666DF4" w:rsidRDefault="00A47CF6" w:rsidP="0093477B">
      <w:pPr>
        <w:pStyle w:val="Heading2"/>
        <w:rPr>
          <w:bCs/>
        </w:rPr>
      </w:pPr>
      <w:bookmarkStart w:id="47" w:name="_Toc508707270"/>
      <w:r w:rsidRPr="00666DF4">
        <w:t>Towards restraint-free mental health practice</w:t>
      </w:r>
      <w:bookmarkEnd w:id="47"/>
    </w:p>
    <w:p w:rsidR="00A47CF6" w:rsidRPr="00666DF4" w:rsidRDefault="00A47CF6" w:rsidP="0093477B">
      <w:r w:rsidRPr="00666DF4">
        <w:rPr>
          <w:i/>
        </w:rPr>
        <w:t xml:space="preserve">Rising to the Challenge </w:t>
      </w:r>
      <w:r w:rsidRPr="00666DF4">
        <w:t xml:space="preserve">prioritises the aim to reduce and eliminate seclusion and restraint (Ministry of Health 2012e). The Ministry has funded </w:t>
      </w:r>
      <w:proofErr w:type="spellStart"/>
      <w:r w:rsidRPr="00666DF4">
        <w:t>Te</w:t>
      </w:r>
      <w:proofErr w:type="spellEnd"/>
      <w:r w:rsidRPr="00666DF4">
        <w:t xml:space="preserve"> </w:t>
      </w:r>
      <w:proofErr w:type="spellStart"/>
      <w:r w:rsidRPr="00666DF4">
        <w:t>Pou</w:t>
      </w:r>
      <w:proofErr w:type="spellEnd"/>
      <w:r w:rsidRPr="00666DF4">
        <w:t xml:space="preserve"> o </w:t>
      </w:r>
      <w:proofErr w:type="spellStart"/>
      <w:r w:rsidRPr="00666DF4">
        <w:t>Te</w:t>
      </w:r>
      <w:proofErr w:type="spellEnd"/>
      <w:r w:rsidRPr="00666DF4">
        <w:t xml:space="preserve"> </w:t>
      </w:r>
      <w:proofErr w:type="spellStart"/>
      <w:r w:rsidRPr="00666DF4">
        <w:t>Whakaaro</w:t>
      </w:r>
      <w:proofErr w:type="spellEnd"/>
      <w:r w:rsidRPr="00666DF4">
        <w:t xml:space="preserve"> Nui (</w:t>
      </w:r>
      <w:proofErr w:type="spellStart"/>
      <w:r w:rsidRPr="00666DF4">
        <w:t>Te</w:t>
      </w:r>
      <w:proofErr w:type="spellEnd"/>
      <w:r w:rsidRPr="00666DF4">
        <w:t xml:space="preserve"> </w:t>
      </w:r>
      <w:proofErr w:type="spellStart"/>
      <w:r w:rsidRPr="00666DF4">
        <w:t>Pou</w:t>
      </w:r>
      <w:proofErr w:type="spellEnd"/>
      <w:r w:rsidRPr="00666DF4">
        <w:t>) to develop information, guidance and training on ways to reduce and prevent the use of personal restraint, which includes:</w:t>
      </w:r>
    </w:p>
    <w:p w:rsidR="00A47CF6" w:rsidRPr="00666DF4" w:rsidRDefault="00A47CF6" w:rsidP="0093477B">
      <w:pPr>
        <w:pStyle w:val="Bullet"/>
      </w:pPr>
      <w:r w:rsidRPr="00666DF4">
        <w:t>a restraint prevention framework, including a rationale for, and frequency of, such events</w:t>
      </w:r>
    </w:p>
    <w:p w:rsidR="00A47CF6" w:rsidRPr="00666DF4" w:rsidRDefault="00A47CF6" w:rsidP="0093477B">
      <w:pPr>
        <w:pStyle w:val="Bullet"/>
      </w:pPr>
      <w:proofErr w:type="gramStart"/>
      <w:r w:rsidRPr="00666DF4">
        <w:t>principles</w:t>
      </w:r>
      <w:proofErr w:type="gramEnd"/>
      <w:r w:rsidRPr="00666DF4">
        <w:t xml:space="preserve"> and objectives that will help services to plan for reducing and preventing the use of personal restraint.</w:t>
      </w:r>
    </w:p>
    <w:p w:rsidR="00A47CF6" w:rsidRPr="00666DF4" w:rsidRDefault="00A47CF6" w:rsidP="0093477B">
      <w:pPr>
        <w:rPr>
          <w:rFonts w:eastAsia="Century"/>
        </w:rPr>
      </w:pPr>
    </w:p>
    <w:p w:rsidR="00A47CF6" w:rsidRPr="00666DF4" w:rsidRDefault="00A47CF6" w:rsidP="0093477B">
      <w:r w:rsidRPr="00666DF4">
        <w:t>See page 33 of this report for more information on seclusion and restraint in New Zealand</w:t>
      </w:r>
      <w:r w:rsidR="00BF25EC">
        <w:t>’</w:t>
      </w:r>
      <w:r w:rsidRPr="00666DF4">
        <w:t>s mental health services.</w:t>
      </w:r>
    </w:p>
    <w:p w:rsidR="00A47CF6" w:rsidRPr="00666DF4" w:rsidRDefault="00A47CF6" w:rsidP="0093477B">
      <w:pPr>
        <w:rPr>
          <w:rFonts w:eastAsia="Century"/>
        </w:rPr>
      </w:pPr>
    </w:p>
    <w:p w:rsidR="00A47CF6" w:rsidRPr="00666DF4" w:rsidRDefault="00A47CF6" w:rsidP="0093477B">
      <w:pPr>
        <w:pStyle w:val="Heading3"/>
        <w:rPr>
          <w:bCs/>
        </w:rPr>
      </w:pPr>
      <w:r w:rsidRPr="00666DF4">
        <w:t>Safe Practice Effective Communication training programme</w:t>
      </w:r>
    </w:p>
    <w:p w:rsidR="00A47CF6" w:rsidRPr="00666DF4" w:rsidRDefault="00A47CF6" w:rsidP="0093477B">
      <w:r w:rsidRPr="00666DF4">
        <w:t xml:space="preserve">The Safe Practice Effective Communication (SPEC) training programme was launched in November 2016. Under the leadership of the National Directors of Mental Health Nursing (DOMHN), SPEC is a collaboration between all district health boards and key stakeholders, including service user groups, Māori, and </w:t>
      </w:r>
      <w:proofErr w:type="spellStart"/>
      <w:r w:rsidRPr="00666DF4">
        <w:t>Te</w:t>
      </w:r>
      <w:proofErr w:type="spellEnd"/>
      <w:r w:rsidRPr="00666DF4">
        <w:t xml:space="preserve"> </w:t>
      </w:r>
      <w:proofErr w:type="spellStart"/>
      <w:r w:rsidRPr="00666DF4">
        <w:t>Pou</w:t>
      </w:r>
      <w:proofErr w:type="spellEnd"/>
      <w:r w:rsidRPr="00666DF4">
        <w:t>.</w:t>
      </w:r>
    </w:p>
    <w:p w:rsidR="00A47CF6" w:rsidRPr="00666DF4" w:rsidRDefault="00A47CF6" w:rsidP="0093477B">
      <w:pPr>
        <w:rPr>
          <w:rFonts w:eastAsia="Century"/>
        </w:rPr>
      </w:pPr>
    </w:p>
    <w:p w:rsidR="00A47CF6" w:rsidRPr="00666DF4" w:rsidRDefault="00A47CF6" w:rsidP="0093477B">
      <w:r w:rsidRPr="00666DF4">
        <w:t>SPEC has been designed with service user input and has service users as trainers and members of the programme</w:t>
      </w:r>
      <w:r w:rsidR="00BF25EC">
        <w:t>’</w:t>
      </w:r>
      <w:r w:rsidRPr="00666DF4">
        <w:t>s governing body. The new initiative aims to provide national consistency and best</w:t>
      </w:r>
      <w:r w:rsidR="0093477B">
        <w:t xml:space="preserve"> </w:t>
      </w:r>
      <w:r w:rsidRPr="00666DF4">
        <w:t>quality, evidence-based therapeutic interventions for effectively reducing restraint and seclusion. It is a quality improvement mechanism.</w:t>
      </w:r>
    </w:p>
    <w:p w:rsidR="00A47CF6" w:rsidRPr="00666DF4" w:rsidRDefault="00A47CF6" w:rsidP="0093477B">
      <w:pPr>
        <w:rPr>
          <w:rFonts w:eastAsia="Century"/>
        </w:rPr>
      </w:pPr>
    </w:p>
    <w:p w:rsidR="00A47CF6" w:rsidRPr="00666DF4" w:rsidRDefault="00A47CF6" w:rsidP="0093477B">
      <w:pPr>
        <w:pStyle w:val="Heading2"/>
        <w:rPr>
          <w:bCs/>
        </w:rPr>
      </w:pPr>
      <w:bookmarkStart w:id="48" w:name="_Toc508707271"/>
      <w:r w:rsidRPr="00666DF4">
        <w:t>A strategic approach to rural mental health and addiction</w:t>
      </w:r>
      <w:bookmarkEnd w:id="48"/>
    </w:p>
    <w:p w:rsidR="00A47CF6" w:rsidRPr="00666DF4" w:rsidRDefault="00A47CF6" w:rsidP="0093477B">
      <w:r w:rsidRPr="00666DF4">
        <w:t xml:space="preserve">During 2016, the Rural Health Alliance </w:t>
      </w:r>
      <w:proofErr w:type="spellStart"/>
      <w:r w:rsidRPr="00666DF4">
        <w:t>Aotearoa</w:t>
      </w:r>
      <w:proofErr w:type="spellEnd"/>
      <w:r w:rsidRPr="00666DF4">
        <w:t xml:space="preserve"> New Zealand (RHĀNZ) developed a framework to provide strategic guidance to organisations working to improve mental health and addiction outcomes in rural New Zealand (the Framework). The Framework contains independent advice from RHĀNZ on key mental health issues identified by rural communities and recommends future areas of support to improve rural mental health outcomes.</w:t>
      </w:r>
    </w:p>
    <w:p w:rsidR="00A47CF6" w:rsidRPr="00666DF4" w:rsidRDefault="00A47CF6" w:rsidP="0093477B"/>
    <w:p w:rsidR="00A47CF6" w:rsidRPr="00666DF4" w:rsidRDefault="00A47CF6" w:rsidP="0093477B">
      <w:bookmarkStart w:id="49" w:name="Office_of_the_Auditor-General_performanc"/>
      <w:bookmarkStart w:id="50" w:name="_bookmark10"/>
      <w:bookmarkEnd w:id="49"/>
      <w:bookmarkEnd w:id="50"/>
      <w:r w:rsidRPr="00666DF4">
        <w:t>The Ministry of Health and the Ministry for Primary Industries were asked to consider the advice provided by the Framework and provide a joint briefing on next steps to Ministers in May 2017.</w:t>
      </w:r>
    </w:p>
    <w:p w:rsidR="00A47CF6" w:rsidRPr="00666DF4" w:rsidRDefault="00A47CF6" w:rsidP="0093477B">
      <w:pPr>
        <w:rPr>
          <w:rFonts w:eastAsia="Century"/>
        </w:rPr>
      </w:pPr>
    </w:p>
    <w:p w:rsidR="00A47CF6" w:rsidRPr="00666DF4" w:rsidRDefault="00A47CF6" w:rsidP="0093477B">
      <w:r w:rsidRPr="00666DF4">
        <w:t>Actions put in place through the Rural Mental Health Funding Initiative were consistent with the Framework and are expected to continue. The Ministry of Health is revising its strategies for mental health and addiction and suicide prevention. The Framework will provide timely input into policy development for rural mental health services.</w:t>
      </w:r>
    </w:p>
    <w:p w:rsidR="00A47CF6" w:rsidRPr="00666DF4" w:rsidRDefault="00A47CF6" w:rsidP="0093477B">
      <w:pPr>
        <w:rPr>
          <w:rFonts w:eastAsia="Century"/>
        </w:rPr>
      </w:pPr>
    </w:p>
    <w:p w:rsidR="00A47CF6" w:rsidRPr="00666DF4" w:rsidRDefault="00A47CF6" w:rsidP="0093477B">
      <w:pPr>
        <w:pStyle w:val="Heading2"/>
        <w:rPr>
          <w:bCs/>
        </w:rPr>
      </w:pPr>
      <w:bookmarkStart w:id="51" w:name="_Toc508707272"/>
      <w:r w:rsidRPr="00666DF4">
        <w:t>Office of the Auditor-General performance audit</w:t>
      </w:r>
      <w:bookmarkEnd w:id="51"/>
    </w:p>
    <w:p w:rsidR="00A47CF6" w:rsidRPr="00666DF4" w:rsidRDefault="00A47CF6" w:rsidP="0093477B">
      <w:pPr>
        <w:rPr>
          <w:rFonts w:eastAsia="Century" w:hAnsi="Century" w:cs="Century"/>
        </w:rPr>
      </w:pPr>
      <w:r w:rsidRPr="00666DF4">
        <w:t xml:space="preserve">During 2016, the Office of the Auditor-General (the OAG) carried out a performance audit, the results of which contributed to their report </w:t>
      </w:r>
      <w:r w:rsidRPr="00666DF4">
        <w:rPr>
          <w:i/>
        </w:rPr>
        <w:t>Mental Health: Effectiveness of the planning to discharge people from hospital</w:t>
      </w:r>
      <w:r w:rsidRPr="00666DF4">
        <w:t>,</w:t>
      </w:r>
      <w:r w:rsidR="0093477B">
        <w:rPr>
          <w:rStyle w:val="FootnoteReference"/>
        </w:rPr>
        <w:footnoteReference w:id="6"/>
      </w:r>
      <w:r w:rsidR="0093477B">
        <w:t xml:space="preserve"> </w:t>
      </w:r>
      <w:r w:rsidRPr="00666DF4">
        <w:t>which was published in May 2017.</w:t>
      </w:r>
    </w:p>
    <w:p w:rsidR="0093477B" w:rsidRDefault="0093477B" w:rsidP="0093477B"/>
    <w:p w:rsidR="00A47CF6" w:rsidRPr="00666DF4" w:rsidRDefault="00A47CF6" w:rsidP="0093477B">
      <w:r w:rsidRPr="00666DF4">
        <w:t>The performance audit focused on the relatively few people who are most unwell with mental health problems and require a high level of care, including care in an inpatient unit. The audit considered whether:</w:t>
      </w:r>
    </w:p>
    <w:p w:rsidR="00A47CF6" w:rsidRPr="00666DF4" w:rsidRDefault="00A47CF6" w:rsidP="0093477B">
      <w:pPr>
        <w:pStyle w:val="Bullet"/>
      </w:pPr>
      <w:r w:rsidRPr="00666DF4">
        <w:t>planning for these people</w:t>
      </w:r>
      <w:r w:rsidR="00BF25EC">
        <w:t>’</w:t>
      </w:r>
      <w:r w:rsidRPr="00666DF4">
        <w:t>s discharge from an inpatient unit to community care was completed as intended</w:t>
      </w:r>
    </w:p>
    <w:p w:rsidR="00A47CF6" w:rsidRPr="00666DF4" w:rsidRDefault="00A47CF6" w:rsidP="0093477B">
      <w:pPr>
        <w:pStyle w:val="Bullet"/>
      </w:pPr>
      <w:r w:rsidRPr="00666DF4">
        <w:t>the needs identified by discharge planning were followed up after discharge</w:t>
      </w:r>
    </w:p>
    <w:p w:rsidR="00A47CF6" w:rsidRPr="00666DF4" w:rsidRDefault="00A47CF6" w:rsidP="0093477B">
      <w:pPr>
        <w:pStyle w:val="Bullet"/>
      </w:pPr>
      <w:proofErr w:type="gramStart"/>
      <w:r w:rsidRPr="00666DF4">
        <w:t>discharge</w:t>
      </w:r>
      <w:proofErr w:type="gramEnd"/>
      <w:r w:rsidRPr="00666DF4">
        <w:t xml:space="preserve"> planning was helping to improve outcomes for people with acute mental health problems.</w:t>
      </w:r>
    </w:p>
    <w:p w:rsidR="00A47CF6" w:rsidRPr="00666DF4" w:rsidRDefault="00A47CF6" w:rsidP="0093477B">
      <w:pPr>
        <w:rPr>
          <w:rFonts w:eastAsia="Century"/>
        </w:rPr>
      </w:pPr>
    </w:p>
    <w:p w:rsidR="00A47CF6" w:rsidRPr="00666DF4" w:rsidRDefault="00A47CF6" w:rsidP="0093477B">
      <w:r w:rsidRPr="00666DF4">
        <w:t>The audit covered a cohort of 20,000 people aged 20–64 years who had at least one acute mental health admission to a hospital during the four years from 2011/12 to 2014/15. The audit did not include primary mental health services; services for children, youth and older people; forensic mental health services; or those who only accessed addiction services or community mental health services. Various techniques were used, including data analysis, 110 case file reviews, 150 interviews, a survey of DHB staff and a workshop with Canterbury DHB staff. The final report also drew on stories submitted to the People</w:t>
      </w:r>
      <w:r w:rsidR="00BF25EC">
        <w:t>’</w:t>
      </w:r>
      <w:r w:rsidRPr="00666DF4">
        <w:t>s Mental Health Review (</w:t>
      </w:r>
      <w:proofErr w:type="spellStart"/>
      <w:r w:rsidRPr="00666DF4">
        <w:t>ActionStation</w:t>
      </w:r>
      <w:proofErr w:type="spellEnd"/>
      <w:r w:rsidRPr="00666DF4">
        <w:t xml:space="preserve"> 2017).</w:t>
      </w:r>
    </w:p>
    <w:p w:rsidR="00A47CF6" w:rsidRPr="00666DF4" w:rsidRDefault="00A47CF6" w:rsidP="0093477B">
      <w:pPr>
        <w:rPr>
          <w:rFonts w:eastAsia="Century"/>
        </w:rPr>
      </w:pPr>
    </w:p>
    <w:p w:rsidR="00A47CF6" w:rsidRPr="00666DF4" w:rsidRDefault="00A47CF6" w:rsidP="0093477B">
      <w:r w:rsidRPr="00666DF4">
        <w:t>The OAG report recognised that there are pressures on parts of the mental health system and support services that demand urgent attention and, potentially, innovative solutions. The report made a set of recommendations regarding discharge planning.</w:t>
      </w:r>
    </w:p>
    <w:p w:rsidR="00A47CF6" w:rsidRPr="00666DF4" w:rsidRDefault="00A47CF6" w:rsidP="0093477B">
      <w:pPr>
        <w:rPr>
          <w:rFonts w:eastAsia="Century"/>
        </w:rPr>
      </w:pPr>
    </w:p>
    <w:p w:rsidR="00A47CF6" w:rsidRPr="00666DF4" w:rsidRDefault="00A47CF6" w:rsidP="0093477B">
      <w:r w:rsidRPr="00666DF4">
        <w:t>The report recommended that district health boards:</w:t>
      </w:r>
    </w:p>
    <w:p w:rsidR="00A47CF6" w:rsidRPr="00666DF4" w:rsidRDefault="00B64CC8" w:rsidP="00B64CC8">
      <w:pPr>
        <w:spacing w:before="120"/>
        <w:ind w:left="567" w:hanging="567"/>
      </w:pPr>
      <w:r>
        <w:t>1.</w:t>
      </w:r>
      <w:r>
        <w:tab/>
      </w:r>
      <w:proofErr w:type="gramStart"/>
      <w:r w:rsidR="00A47CF6" w:rsidRPr="00666DF4">
        <w:t>urgently</w:t>
      </w:r>
      <w:proofErr w:type="gramEnd"/>
      <w:r w:rsidR="00A47CF6" w:rsidRPr="00666DF4">
        <w:t xml:space="preserve"> find ways for inpatient and community mental health teams to work together more effectively to prepare and implement discharge plans, ensuring that all relevant people (the person to be discharged, family, other carers, and all service providers) are appropriately involved and informed</w:t>
      </w:r>
    </w:p>
    <w:p w:rsidR="00A47CF6" w:rsidRPr="00666DF4" w:rsidRDefault="00B64CC8" w:rsidP="00B64CC8">
      <w:pPr>
        <w:spacing w:before="120"/>
        <w:ind w:left="567" w:hanging="567"/>
      </w:pPr>
      <w:r>
        <w:t>2.</w:t>
      </w:r>
      <w:r>
        <w:tab/>
      </w:r>
      <w:proofErr w:type="gramStart"/>
      <w:r w:rsidR="00A47CF6" w:rsidRPr="00666DF4">
        <w:t>help</w:t>
      </w:r>
      <w:proofErr w:type="gramEnd"/>
      <w:r w:rsidR="00A47CF6" w:rsidRPr="00666DF4">
        <w:t xml:space="preserve"> staff by improving the guidance and tools to support discharge planning (including information systems) so that the necessary information can be accessed and compiled efficiently</w:t>
      </w:r>
    </w:p>
    <w:p w:rsidR="00A47CF6" w:rsidRPr="00666DF4" w:rsidRDefault="00B64CC8" w:rsidP="00B64CC8">
      <w:pPr>
        <w:spacing w:before="120"/>
        <w:ind w:left="567" w:hanging="567"/>
      </w:pPr>
      <w:r>
        <w:t>3.</w:t>
      </w:r>
      <w:r>
        <w:tab/>
      </w:r>
      <w:proofErr w:type="gramStart"/>
      <w:r w:rsidR="00A47CF6" w:rsidRPr="00666DF4">
        <w:t>regularly</w:t>
      </w:r>
      <w:proofErr w:type="gramEnd"/>
      <w:r w:rsidR="00A47CF6" w:rsidRPr="00666DF4">
        <w:t xml:space="preserve"> review the standard of discharge planning and follow-up work to identify issues and make improvements.</w:t>
      </w:r>
    </w:p>
    <w:p w:rsidR="0093477B" w:rsidRDefault="0093477B" w:rsidP="0093477B"/>
    <w:p w:rsidR="00A47CF6" w:rsidRPr="00666DF4" w:rsidRDefault="00A47CF6" w:rsidP="0093477B">
      <w:r w:rsidRPr="00666DF4">
        <w:t>The report further recommended that the Ministry of Health and district health boards:</w:t>
      </w:r>
    </w:p>
    <w:p w:rsidR="00A47CF6" w:rsidRPr="00666DF4" w:rsidRDefault="00B64CC8" w:rsidP="00B64CC8">
      <w:pPr>
        <w:spacing w:before="120"/>
        <w:ind w:left="567" w:hanging="567"/>
      </w:pPr>
      <w:r>
        <w:t>1.</w:t>
      </w:r>
      <w:r>
        <w:tab/>
      </w:r>
      <w:proofErr w:type="gramStart"/>
      <w:r w:rsidR="00A47CF6" w:rsidRPr="00666DF4">
        <w:t>quickly</w:t>
      </w:r>
      <w:proofErr w:type="gramEnd"/>
      <w:r w:rsidR="00A47CF6" w:rsidRPr="00666DF4">
        <w:t xml:space="preserve"> make improvements to how they use information to monitor and report on outcomes for mental health service users</w:t>
      </w:r>
    </w:p>
    <w:p w:rsidR="00A47CF6" w:rsidRPr="00666DF4" w:rsidRDefault="00B64CC8" w:rsidP="00B64CC8">
      <w:pPr>
        <w:spacing w:before="120"/>
        <w:ind w:left="567" w:hanging="567"/>
      </w:pPr>
      <w:r>
        <w:t>2.</w:t>
      </w:r>
      <w:r>
        <w:tab/>
      </w:r>
      <w:proofErr w:type="gramStart"/>
      <w:r w:rsidR="00A47CF6" w:rsidRPr="00666DF4">
        <w:t>use</w:t>
      </w:r>
      <w:proofErr w:type="gramEnd"/>
      <w:r w:rsidR="00A47CF6" w:rsidRPr="00666DF4">
        <w:t xml:space="preserve"> the information from this monitoring to identify issues and make service improvements.</w:t>
      </w:r>
    </w:p>
    <w:p w:rsidR="00A47CF6" w:rsidRPr="00666DF4" w:rsidRDefault="00A47CF6" w:rsidP="0093477B">
      <w:pPr>
        <w:rPr>
          <w:rFonts w:eastAsia="Century"/>
        </w:rPr>
      </w:pPr>
    </w:p>
    <w:p w:rsidR="00A47CF6" w:rsidRPr="00666DF4" w:rsidRDefault="00A47CF6" w:rsidP="0093477B">
      <w:pPr>
        <w:pStyle w:val="Heading2"/>
        <w:rPr>
          <w:bCs/>
        </w:rPr>
      </w:pPr>
      <w:bookmarkStart w:id="52" w:name="Mental_Health_and_Addiction_Workforce_Ac"/>
      <w:bookmarkStart w:id="53" w:name="New_Zealanders_returning_from_Australia"/>
      <w:bookmarkStart w:id="54" w:name="_bookmark11"/>
      <w:bookmarkStart w:id="55" w:name="_Toc508707273"/>
      <w:bookmarkEnd w:id="52"/>
      <w:bookmarkEnd w:id="53"/>
      <w:bookmarkEnd w:id="54"/>
      <w:r w:rsidRPr="00666DF4">
        <w:t>Mental Health and Addiction Workforce Action Plan</w:t>
      </w:r>
      <w:bookmarkEnd w:id="55"/>
    </w:p>
    <w:p w:rsidR="00A47CF6" w:rsidRPr="00666DF4" w:rsidRDefault="00A47CF6" w:rsidP="0093477B">
      <w:r w:rsidRPr="00666DF4">
        <w:t xml:space="preserve">During 2016, the Mental Health and Addiction Workforce Action Plan (the Action Plan) was developed to implement a specific action in </w:t>
      </w:r>
      <w:r w:rsidRPr="00666DF4">
        <w:rPr>
          <w:i/>
        </w:rPr>
        <w:t>Rising to the Challenge</w:t>
      </w:r>
      <w:r w:rsidRPr="00666DF4">
        <w:t>. It was released in February 2017.</w:t>
      </w:r>
    </w:p>
    <w:p w:rsidR="00A47CF6" w:rsidRPr="00666DF4" w:rsidRDefault="00A47CF6" w:rsidP="0093477B">
      <w:pPr>
        <w:rPr>
          <w:rFonts w:eastAsia="Century"/>
        </w:rPr>
      </w:pPr>
    </w:p>
    <w:p w:rsidR="00A47CF6" w:rsidRPr="00666DF4" w:rsidRDefault="00A47CF6" w:rsidP="0093477B">
      <w:r w:rsidRPr="00666DF4">
        <w:t xml:space="preserve">The Action Plan uses an outcomes approach that contributes to achieving the vision of the </w:t>
      </w:r>
      <w:r w:rsidRPr="00666DF4">
        <w:rPr>
          <w:i/>
        </w:rPr>
        <w:t xml:space="preserve">New Zealand Health Strategy </w:t>
      </w:r>
      <w:r w:rsidRPr="00666DF4">
        <w:t>(Ministry of Health 2016). For the mental health and addiction sector, this means enabling people to thrive and experience wellbeing wherever they live and regardless of their circumstances.</w:t>
      </w:r>
    </w:p>
    <w:p w:rsidR="00A47CF6" w:rsidRPr="00666DF4" w:rsidRDefault="00A47CF6" w:rsidP="0093477B">
      <w:pPr>
        <w:rPr>
          <w:rFonts w:eastAsia="Century"/>
        </w:rPr>
      </w:pPr>
    </w:p>
    <w:p w:rsidR="00A47CF6" w:rsidRPr="00666DF4" w:rsidRDefault="00A47CF6" w:rsidP="0093477B">
      <w:r w:rsidRPr="00666DF4">
        <w:t>Together with the Mental Health and Wellbeing Outcome Framework and the Commissioning Framework, it will help us reshape our system to focus on people and what matters to them.</w:t>
      </w:r>
    </w:p>
    <w:p w:rsidR="00A47CF6" w:rsidRPr="00666DF4" w:rsidRDefault="00A47CF6" w:rsidP="0093477B">
      <w:pPr>
        <w:rPr>
          <w:rFonts w:eastAsia="Century"/>
        </w:rPr>
      </w:pPr>
    </w:p>
    <w:p w:rsidR="00A47CF6" w:rsidRPr="00666DF4" w:rsidRDefault="00A47CF6" w:rsidP="0093477B">
      <w:r w:rsidRPr="00666DF4">
        <w:t xml:space="preserve">Our workforce is our most valuable resource, and achieving our vision depends on a capable and motivated workforce that supports people and their families and </w:t>
      </w:r>
      <w:proofErr w:type="spellStart"/>
      <w:r w:rsidRPr="00666DF4">
        <w:t>whānau</w:t>
      </w:r>
      <w:proofErr w:type="spellEnd"/>
      <w:r w:rsidRPr="00666DF4">
        <w:t xml:space="preserve"> to get the best outcomes.</w:t>
      </w:r>
    </w:p>
    <w:p w:rsidR="00A47CF6" w:rsidRPr="00666DF4" w:rsidRDefault="00A47CF6" w:rsidP="0093477B">
      <w:pPr>
        <w:rPr>
          <w:rFonts w:eastAsia="Century"/>
        </w:rPr>
      </w:pPr>
    </w:p>
    <w:p w:rsidR="00A47CF6" w:rsidRPr="00666DF4" w:rsidRDefault="00A47CF6" w:rsidP="0093477B">
      <w:r w:rsidRPr="00666DF4">
        <w:t>The Action Plan recognises the importance of a combined effort in addressing the social determinants of health. It proposes working across health, justice and social sectors to ensure equitable and positive outcomes for all New Zealanders. It includes actions to develop a workforce with the skills, knowledge, competencies and attitudes needed to design and deliver integrated and innovative responses.</w:t>
      </w:r>
    </w:p>
    <w:p w:rsidR="00A47CF6" w:rsidRPr="00666DF4" w:rsidRDefault="00A47CF6" w:rsidP="0093477B">
      <w:pPr>
        <w:rPr>
          <w:rFonts w:eastAsia="Century"/>
        </w:rPr>
      </w:pPr>
    </w:p>
    <w:p w:rsidR="00A47CF6" w:rsidRPr="00666DF4" w:rsidRDefault="00A47CF6" w:rsidP="0093477B">
      <w:pPr>
        <w:keepLines/>
      </w:pPr>
      <w:r w:rsidRPr="00666DF4">
        <w:t>The actions outlined in this Plan will support the primary health care, community and specialist workforce to be well equipped, integrated, competent and capable to focus on improving health and wellbeing. It will guide decisions about investment and resourcing for the next five years and is</w:t>
      </w:r>
      <w:r w:rsidR="0093477B">
        <w:t xml:space="preserve"> </w:t>
      </w:r>
      <w:r w:rsidRPr="00666DF4">
        <w:t>relevant to all people working to improve outcomes for those with mental health and addiction issues.</w:t>
      </w:r>
    </w:p>
    <w:p w:rsidR="00A47CF6" w:rsidRPr="00666DF4" w:rsidRDefault="00A47CF6" w:rsidP="0093477B">
      <w:pPr>
        <w:rPr>
          <w:rFonts w:eastAsia="Century"/>
        </w:rPr>
      </w:pPr>
    </w:p>
    <w:p w:rsidR="00A47CF6" w:rsidRPr="00666DF4" w:rsidRDefault="00A47CF6" w:rsidP="0093477B">
      <w:pPr>
        <w:pStyle w:val="Heading2"/>
        <w:rPr>
          <w:bCs/>
        </w:rPr>
      </w:pPr>
      <w:bookmarkStart w:id="56" w:name="_Toc508707274"/>
      <w:r w:rsidRPr="00666DF4">
        <w:t>New Zealanders returning from Australia</w:t>
      </w:r>
      <w:bookmarkEnd w:id="56"/>
    </w:p>
    <w:p w:rsidR="00A47CF6" w:rsidRPr="00666DF4" w:rsidRDefault="00A47CF6" w:rsidP="00A36CDC">
      <w:r w:rsidRPr="00666DF4">
        <w:t>In December 2014, the Australian Government passed legislative changes that set a lower threshold for mandatory cancellation of visas for non-citizens. The new threshold includes non-citizens who have a substantial criminal record, who have been found unfit to stand trial and/or who have been acquitted of a crime on grounds of insanity.</w:t>
      </w:r>
    </w:p>
    <w:p w:rsidR="00A47CF6" w:rsidRPr="00666DF4" w:rsidRDefault="00A47CF6" w:rsidP="00A36CDC">
      <w:pPr>
        <w:rPr>
          <w:rFonts w:eastAsia="Century"/>
        </w:rPr>
      </w:pPr>
    </w:p>
    <w:p w:rsidR="00A47CF6" w:rsidRPr="00666DF4" w:rsidRDefault="00A47CF6" w:rsidP="00A36CDC">
      <w:r w:rsidRPr="00666DF4">
        <w:t xml:space="preserve">During 2016, the New Zealand Government and the Australian Government conducted their first annual review of the information-sharing arrangement with the Australian Government around removals and deportations between Australia and New Zealand. The Ministry of Health is an </w:t>
      </w:r>
      <w:r w:rsidR="00BF25EC">
        <w:t>‘</w:t>
      </w:r>
      <w:r w:rsidRPr="00666DF4">
        <w:t>approved agency</w:t>
      </w:r>
      <w:r w:rsidR="00BF25EC">
        <w:t>’</w:t>
      </w:r>
      <w:r w:rsidRPr="00666DF4">
        <w:t xml:space="preserve"> under this arrangement: it may receive advance notice of New Zealanders being deported, including their health information, to identify significant mental or physical health needs that will require a health response on their return.</w:t>
      </w:r>
    </w:p>
    <w:p w:rsidR="00A47CF6" w:rsidRPr="00666DF4" w:rsidRDefault="00A47CF6" w:rsidP="00A36CDC">
      <w:pPr>
        <w:rPr>
          <w:rFonts w:eastAsia="Century"/>
        </w:rPr>
      </w:pPr>
    </w:p>
    <w:p w:rsidR="00A47CF6" w:rsidRPr="00666DF4" w:rsidRDefault="00A47CF6" w:rsidP="00A36CDC">
      <w:r w:rsidRPr="00666DF4">
        <w:t xml:space="preserve">The Ministry of Health contracted Counties </w:t>
      </w:r>
      <w:proofErr w:type="spellStart"/>
      <w:r w:rsidRPr="00666DF4">
        <w:t>Manukau</w:t>
      </w:r>
      <w:proofErr w:type="spellEnd"/>
      <w:r w:rsidRPr="00666DF4">
        <w:t xml:space="preserve"> DHB, as the Ministry</w:t>
      </w:r>
      <w:r w:rsidR="00BF25EC">
        <w:t>’</w:t>
      </w:r>
      <w:r w:rsidRPr="00666DF4">
        <w:t>s agent, to provide clinical review and triage of health information on deported New Zealanders to ensure that those with significant health issues would receive follow-up and referral to health services on their return.</w:t>
      </w:r>
    </w:p>
    <w:p w:rsidR="00A47CF6" w:rsidRPr="00666DF4" w:rsidRDefault="00A47CF6" w:rsidP="00A36CDC"/>
    <w:p w:rsidR="00A47CF6" w:rsidRPr="00666DF4" w:rsidRDefault="00A47CF6" w:rsidP="00A36CDC">
      <w:pPr>
        <w:pStyle w:val="Heading2"/>
        <w:rPr>
          <w:bCs/>
        </w:rPr>
      </w:pPr>
      <w:bookmarkStart w:id="57" w:name="Substance_Addiction_(Compulsory_Assessme"/>
      <w:bookmarkStart w:id="58" w:name="Action_9(d)_of_the_Disability_Action_Pla"/>
      <w:bookmarkStart w:id="59" w:name="Other_investigations_"/>
      <w:bookmarkStart w:id="60" w:name="_bookmark12"/>
      <w:bookmarkStart w:id="61" w:name="_Toc508707275"/>
      <w:bookmarkEnd w:id="57"/>
      <w:bookmarkEnd w:id="58"/>
      <w:bookmarkEnd w:id="59"/>
      <w:bookmarkEnd w:id="60"/>
      <w:r w:rsidRPr="00666DF4">
        <w:t>Substance Addiction (Compulsory Assessment and Treatment) Bill</w:t>
      </w:r>
      <w:bookmarkEnd w:id="61"/>
    </w:p>
    <w:p w:rsidR="00A47CF6" w:rsidRPr="00666DF4" w:rsidRDefault="00A47CF6" w:rsidP="00A36CDC">
      <w:r w:rsidRPr="00666DF4">
        <w:t>The Substance Addiction (Compulsory Assessment and Treatment) Bill was introduced to Parliament in December 2015, and subsequently referred to the Health Select Committee. In 2016, the Bill progressed through two readings and was presented to the Committee of the whole House in November 2016.</w:t>
      </w:r>
    </w:p>
    <w:p w:rsidR="00A47CF6" w:rsidRPr="00666DF4" w:rsidRDefault="00A47CF6" w:rsidP="00A36CDC">
      <w:pPr>
        <w:rPr>
          <w:rFonts w:eastAsia="Century"/>
        </w:rPr>
      </w:pPr>
    </w:p>
    <w:p w:rsidR="00A47CF6" w:rsidRPr="00666DF4" w:rsidRDefault="00A47CF6" w:rsidP="00A36CDC">
      <w:r w:rsidRPr="00666DF4">
        <w:t>The Substance Addiction (Compulsory Assessment and Treatment) Act (</w:t>
      </w:r>
      <w:r w:rsidR="00BF25EC">
        <w:t>‘</w:t>
      </w:r>
      <w:r w:rsidRPr="00666DF4">
        <w:t>the Act</w:t>
      </w:r>
      <w:r w:rsidR="00BF25EC">
        <w:t>’</w:t>
      </w:r>
      <w:r w:rsidRPr="00666DF4">
        <w:t>) was enacted by Parliament in February 2017 and will come into effect on 21 February 2018. The Act replaces the Alcoholism and Drug Addiction Act 1966.</w:t>
      </w:r>
    </w:p>
    <w:p w:rsidR="00A47CF6" w:rsidRPr="00666DF4" w:rsidRDefault="00A47CF6" w:rsidP="00A36CDC">
      <w:pPr>
        <w:rPr>
          <w:rFonts w:eastAsia="Century"/>
        </w:rPr>
      </w:pPr>
    </w:p>
    <w:p w:rsidR="00A47CF6" w:rsidRPr="00666DF4" w:rsidRDefault="00A47CF6" w:rsidP="00A36CDC">
      <w:r w:rsidRPr="00666DF4">
        <w:t xml:space="preserve">The Act will provide a mechanism for the compulsory treatment of people with a severe substance addiction and with severely impaired capacity to make decisions about treatment for that addiction. The intention of the Act is to protect such people from serious harm, stabilise their health, protect and enhance their </w:t>
      </w:r>
      <w:proofErr w:type="spellStart"/>
      <w:r w:rsidRPr="00666DF4">
        <w:t>mana</w:t>
      </w:r>
      <w:proofErr w:type="spellEnd"/>
      <w:r w:rsidRPr="00666DF4">
        <w:t xml:space="preserve"> and dignity and restore their capacity to make informed decisions about further treatment and substance use. Most of these people are likely to be known to health services already.</w:t>
      </w:r>
      <w:r w:rsidR="00A36CDC">
        <w:t xml:space="preserve"> </w:t>
      </w:r>
      <w:r w:rsidRPr="00666DF4">
        <w:t>The Act provides for compulsory treatment as an option of last resort.</w:t>
      </w:r>
    </w:p>
    <w:p w:rsidR="00A47CF6" w:rsidRPr="00666DF4" w:rsidRDefault="00A47CF6" w:rsidP="00A36CDC">
      <w:pPr>
        <w:rPr>
          <w:rFonts w:eastAsia="Century"/>
        </w:rPr>
      </w:pPr>
    </w:p>
    <w:p w:rsidR="00A47CF6" w:rsidRPr="00666DF4" w:rsidRDefault="00A47CF6" w:rsidP="00A36CDC">
      <w:r w:rsidRPr="00666DF4">
        <w:t>The Ministry is currently working with the sector to prepare for implementing the Act.</w:t>
      </w:r>
    </w:p>
    <w:p w:rsidR="00A47CF6" w:rsidRPr="00666DF4" w:rsidRDefault="00A47CF6" w:rsidP="00A36CDC">
      <w:pPr>
        <w:rPr>
          <w:rFonts w:eastAsia="Century"/>
        </w:rPr>
      </w:pPr>
    </w:p>
    <w:p w:rsidR="00A47CF6" w:rsidRPr="00666DF4" w:rsidRDefault="00A47CF6" w:rsidP="00A36CDC">
      <w:pPr>
        <w:pStyle w:val="Heading2"/>
        <w:rPr>
          <w:bCs/>
        </w:rPr>
      </w:pPr>
      <w:bookmarkStart w:id="62" w:name="_Toc508707276"/>
      <w:r w:rsidRPr="00666DF4">
        <w:t>Action 9(d) of the Disability Action Plan 2014–2018</w:t>
      </w:r>
      <w:bookmarkEnd w:id="62"/>
    </w:p>
    <w:p w:rsidR="00A47CF6" w:rsidRPr="00666DF4" w:rsidRDefault="00A47CF6" w:rsidP="00A36CDC">
      <w:r w:rsidRPr="00666DF4">
        <w:t xml:space="preserve">In 2016, the Office of the Director of Mental Health, in partnership with Balance </w:t>
      </w:r>
      <w:proofErr w:type="spellStart"/>
      <w:r w:rsidRPr="00666DF4">
        <w:t>Aotearoa</w:t>
      </w:r>
      <w:proofErr w:type="spellEnd"/>
      <w:r w:rsidRPr="00666DF4">
        <w:t xml:space="preserve">, led Action 9(d) of the Disability Action Plan 2014–2018, to </w:t>
      </w:r>
      <w:r w:rsidR="00BF25EC">
        <w:t>‘</w:t>
      </w:r>
      <w:r w:rsidRPr="00666DF4">
        <w:t>explore how the Mental Health Act relates to the NZ Bill of Rights Act and the Convention on the Rights of People with Disabilities</w:t>
      </w:r>
      <w:r w:rsidR="00BF25EC">
        <w:t>’</w:t>
      </w:r>
      <w:r w:rsidRPr="00666DF4">
        <w:t>. Action 9(d) was completed, with reporting back to Ministers on the findings in July 2017.</w:t>
      </w:r>
    </w:p>
    <w:p w:rsidR="00A47CF6" w:rsidRPr="00666DF4" w:rsidRDefault="00A47CF6" w:rsidP="00A36CDC">
      <w:pPr>
        <w:rPr>
          <w:rFonts w:eastAsia="Century"/>
        </w:rPr>
      </w:pPr>
    </w:p>
    <w:p w:rsidR="00A47CF6" w:rsidRPr="00666DF4" w:rsidRDefault="00A47CF6" w:rsidP="00A36CDC">
      <w:r w:rsidRPr="00666DF4">
        <w:t xml:space="preserve">The work was informed by an external reference group representing diverse perspectives, feedback from a targeted consultation process and analysis of the legal and rights issues. The Office of the Director of Mental Health and Balance </w:t>
      </w:r>
      <w:proofErr w:type="spellStart"/>
      <w:r w:rsidRPr="00666DF4">
        <w:t>Aotearoa</w:t>
      </w:r>
      <w:proofErr w:type="spellEnd"/>
      <w:r w:rsidRPr="00666DF4">
        <w:t xml:space="preserve"> were particularly interested in getting a </w:t>
      </w:r>
      <w:proofErr w:type="spellStart"/>
      <w:r w:rsidRPr="00666DF4">
        <w:t>tangata</w:t>
      </w:r>
      <w:proofErr w:type="spellEnd"/>
      <w:r w:rsidRPr="00666DF4">
        <w:t xml:space="preserve"> </w:t>
      </w:r>
      <w:proofErr w:type="spellStart"/>
      <w:r w:rsidRPr="00666DF4">
        <w:t>whaiora</w:t>
      </w:r>
      <w:proofErr w:type="spellEnd"/>
      <w:r w:rsidRPr="00666DF4">
        <w:t>/service user perspective to better understand the impacts of the Mental Health Act on those who are subject to it.</w:t>
      </w:r>
    </w:p>
    <w:p w:rsidR="00A47CF6" w:rsidRPr="00666DF4" w:rsidRDefault="00A47CF6" w:rsidP="00A36CDC">
      <w:pPr>
        <w:rPr>
          <w:rFonts w:eastAsia="Century"/>
        </w:rPr>
      </w:pPr>
    </w:p>
    <w:p w:rsidR="00A47CF6" w:rsidRPr="00666DF4" w:rsidRDefault="00A47CF6" w:rsidP="00A36CDC">
      <w:r w:rsidRPr="00666DF4">
        <w:t>Across the range of perspectives represented, some key issues and concerns were consistently raised, and priorities for action were identified. The feedback will inform existing work programmes as well</w:t>
      </w:r>
      <w:r w:rsidR="00BF25EC">
        <w:t xml:space="preserve"> </w:t>
      </w:r>
      <w:r w:rsidRPr="00666DF4">
        <w:t>as new work to ensure the rights of service users/</w:t>
      </w:r>
      <w:proofErr w:type="spellStart"/>
      <w:r w:rsidRPr="00666DF4">
        <w:t>tāngata</w:t>
      </w:r>
      <w:proofErr w:type="spellEnd"/>
      <w:r w:rsidRPr="00666DF4">
        <w:t xml:space="preserve"> </w:t>
      </w:r>
      <w:proofErr w:type="spellStart"/>
      <w:r w:rsidRPr="00666DF4">
        <w:t>whaiora</w:t>
      </w:r>
      <w:proofErr w:type="spellEnd"/>
      <w:r w:rsidRPr="00666DF4">
        <w:t xml:space="preserve"> are promoted. The work will involve ongoing engagement with </w:t>
      </w:r>
      <w:proofErr w:type="spellStart"/>
      <w:r w:rsidRPr="00666DF4">
        <w:t>t</w:t>
      </w:r>
      <w:r w:rsidRPr="00666DF4">
        <w:rPr>
          <w:rFonts w:ascii="Arial" w:hAnsi="Arial"/>
        </w:rPr>
        <w:t>ā</w:t>
      </w:r>
      <w:r w:rsidRPr="00666DF4">
        <w:t>ngata</w:t>
      </w:r>
      <w:proofErr w:type="spellEnd"/>
      <w:r w:rsidRPr="00666DF4">
        <w:t xml:space="preserve"> </w:t>
      </w:r>
      <w:proofErr w:type="spellStart"/>
      <w:r w:rsidRPr="00666DF4">
        <w:t>whaiora</w:t>
      </w:r>
      <w:proofErr w:type="spellEnd"/>
      <w:r w:rsidRPr="00666DF4">
        <w:t>/service users, the sector, independent monitoring agencies and other agencies.</w:t>
      </w:r>
    </w:p>
    <w:p w:rsidR="00A47CF6" w:rsidRPr="00666DF4" w:rsidRDefault="00A47CF6" w:rsidP="00A36CDC">
      <w:pPr>
        <w:rPr>
          <w:rFonts w:eastAsia="Century"/>
        </w:rPr>
      </w:pPr>
    </w:p>
    <w:p w:rsidR="00A47CF6" w:rsidRPr="00666DF4" w:rsidRDefault="00A47CF6" w:rsidP="00A36CDC">
      <w:pPr>
        <w:pStyle w:val="Heading2"/>
        <w:rPr>
          <w:bCs/>
        </w:rPr>
      </w:pPr>
      <w:bookmarkStart w:id="63" w:name="_Toc508707277"/>
      <w:r w:rsidRPr="00666DF4">
        <w:t>Other investigations</w:t>
      </w:r>
      <w:bookmarkEnd w:id="63"/>
    </w:p>
    <w:p w:rsidR="00A47CF6" w:rsidRPr="00666DF4" w:rsidRDefault="00A47CF6" w:rsidP="00A36CDC">
      <w:pPr>
        <w:pStyle w:val="Heading3"/>
        <w:rPr>
          <w:bCs/>
        </w:rPr>
      </w:pPr>
      <w:r w:rsidRPr="00666DF4">
        <w:t>Report on Waikato District Health Board Mental Health and Addiction Services</w:t>
      </w:r>
    </w:p>
    <w:p w:rsidR="00A47CF6" w:rsidRPr="00666DF4" w:rsidRDefault="00A47CF6" w:rsidP="00A36CDC">
      <w:bookmarkStart w:id="64" w:name="ensuringservicequality"/>
      <w:bookmarkEnd w:id="64"/>
      <w:r w:rsidRPr="00666DF4">
        <w:t>In April 2016, the Director of Mental Health released a report on the formal inspection of Waikato mental health services under section 99 of the Mental Health (Compulsory Assessment and Treatment) Act 1992.</w:t>
      </w:r>
    </w:p>
    <w:p w:rsidR="00A47CF6" w:rsidRPr="00666DF4" w:rsidRDefault="00A47CF6" w:rsidP="00A36CDC">
      <w:pPr>
        <w:rPr>
          <w:rFonts w:eastAsia="Century"/>
        </w:rPr>
      </w:pPr>
    </w:p>
    <w:p w:rsidR="00A47CF6" w:rsidRPr="00666DF4" w:rsidRDefault="00A47CF6" w:rsidP="00A36CDC">
      <w:r w:rsidRPr="00666DF4">
        <w:t>The investigation was prompted by public concern following a series of serious events affecting the service in 2015: the suicide of one patient, the unplanned departures of three mental health patients in</w:t>
      </w:r>
      <w:r w:rsidR="00A36CDC">
        <w:t xml:space="preserve"> </w:t>
      </w:r>
      <w:r w:rsidRPr="00666DF4">
        <w:t>two incidents over two months, and the employment of an overseas doctor as a psychiatrist who now faces Court charges related to identity fraud.</w:t>
      </w:r>
    </w:p>
    <w:p w:rsidR="00A47CF6" w:rsidRPr="00666DF4" w:rsidRDefault="00A47CF6" w:rsidP="00A36CDC">
      <w:pPr>
        <w:rPr>
          <w:rFonts w:eastAsia="Century"/>
        </w:rPr>
      </w:pPr>
    </w:p>
    <w:p w:rsidR="00A47CF6" w:rsidRPr="00666DF4" w:rsidRDefault="00A47CF6" w:rsidP="00A36CDC">
      <w:r w:rsidRPr="00666DF4">
        <w:t>Apart from the employment of the overseas doctor, the inspection did not report specifically on those incidents that were being investigated separately. However, it did consider the overall organisation, governance and delivery of mental health services in the Waikato DHB area and examine whether there were any systemic issues impacting the service.</w:t>
      </w:r>
    </w:p>
    <w:p w:rsidR="00A47CF6" w:rsidRPr="00666DF4" w:rsidRDefault="00A47CF6" w:rsidP="00A36CDC">
      <w:pPr>
        <w:rPr>
          <w:rFonts w:eastAsia="Century"/>
        </w:rPr>
      </w:pPr>
    </w:p>
    <w:p w:rsidR="00A47CF6" w:rsidRPr="00666DF4" w:rsidRDefault="00A47CF6" w:rsidP="00A36CDC">
      <w:r w:rsidRPr="00666DF4">
        <w:t>The inspection team acknowledged that there were families who had been distressed by these incidents and subsequent publicity. The inspection report found that, although the organisation, governance and delivery was generally sound, it had a number of recommendations for Waikato mental health services.</w:t>
      </w:r>
    </w:p>
    <w:p w:rsidR="00A47CF6" w:rsidRPr="00666DF4" w:rsidRDefault="00A47CF6" w:rsidP="00A36CDC">
      <w:pPr>
        <w:rPr>
          <w:rFonts w:eastAsia="Century"/>
        </w:rPr>
      </w:pPr>
    </w:p>
    <w:p w:rsidR="00A47CF6" w:rsidRPr="00666DF4" w:rsidRDefault="00A47CF6" w:rsidP="00A36CDC">
      <w:pPr>
        <w:pStyle w:val="Heading3"/>
        <w:rPr>
          <w:bCs/>
        </w:rPr>
      </w:pPr>
      <w:r w:rsidRPr="00666DF4">
        <w:t xml:space="preserve">Mental health inquiry into care of special patient </w:t>
      </w:r>
      <w:proofErr w:type="spellStart"/>
      <w:r w:rsidRPr="00666DF4">
        <w:t>Manjit</w:t>
      </w:r>
      <w:proofErr w:type="spellEnd"/>
      <w:r w:rsidRPr="00666DF4">
        <w:t xml:space="preserve"> Singh</w:t>
      </w:r>
    </w:p>
    <w:p w:rsidR="00A47CF6" w:rsidRPr="00666DF4" w:rsidRDefault="00A47CF6" w:rsidP="00A36CDC">
      <w:pPr>
        <w:keepNext/>
      </w:pPr>
      <w:r w:rsidRPr="00666DF4">
        <w:t xml:space="preserve">An external review into the treatment and management of a forensic mental health patient, </w:t>
      </w:r>
      <w:proofErr w:type="spellStart"/>
      <w:r w:rsidRPr="00666DF4">
        <w:t>Manjit</w:t>
      </w:r>
      <w:proofErr w:type="spellEnd"/>
      <w:r w:rsidRPr="00666DF4">
        <w:t xml:space="preserve"> Singh, by Auckland</w:t>
      </w:r>
      <w:r w:rsidR="00BF25EC">
        <w:t>’</w:t>
      </w:r>
      <w:r w:rsidRPr="00666DF4">
        <w:t>s Mason Clinic was carried out in 2016.</w:t>
      </w:r>
    </w:p>
    <w:p w:rsidR="00A47CF6" w:rsidRPr="00666DF4" w:rsidRDefault="00A47CF6" w:rsidP="00A36CDC">
      <w:pPr>
        <w:keepNext/>
        <w:rPr>
          <w:rFonts w:eastAsia="Century"/>
        </w:rPr>
      </w:pPr>
    </w:p>
    <w:p w:rsidR="00A47CF6" w:rsidRPr="00666DF4" w:rsidRDefault="00A47CF6" w:rsidP="00A36CDC">
      <w:r w:rsidRPr="00666DF4">
        <w:t>Mr Singh was a special patient under the Mental Health Act after being found not guilty by reason of insanity of serious charges relating to a 2008 attack on his partner, when he breached the conditions of his leave and again attacked his former partner in November last year.</w:t>
      </w:r>
    </w:p>
    <w:p w:rsidR="00A47CF6" w:rsidRPr="00666DF4" w:rsidRDefault="00A47CF6" w:rsidP="00A36CDC">
      <w:pPr>
        <w:rPr>
          <w:rFonts w:eastAsia="Century"/>
        </w:rPr>
      </w:pPr>
    </w:p>
    <w:p w:rsidR="00A47CF6" w:rsidRPr="00666DF4" w:rsidRDefault="00A47CF6" w:rsidP="00A36CDC">
      <w:r w:rsidRPr="00666DF4">
        <w:t>A summary of the inquiry report and its full recommendations have been released – other parts of the inquiry report, relating to the detailed clinical treatment of Mr Singh, have not been made publicly available, as they were assessed and deemed not to be in the public interest.</w:t>
      </w:r>
    </w:p>
    <w:p w:rsidR="00A47CF6" w:rsidRPr="00666DF4" w:rsidRDefault="00A47CF6" w:rsidP="00A36CDC">
      <w:pPr>
        <w:rPr>
          <w:rFonts w:eastAsia="Century"/>
        </w:rPr>
      </w:pPr>
    </w:p>
    <w:p w:rsidR="00A47CF6" w:rsidRPr="00666DF4" w:rsidRDefault="00A47CF6" w:rsidP="00A36CDC">
      <w:r w:rsidRPr="00666DF4">
        <w:t>In July 2016, Mr Singh was sentenced to jail for seven years, and was to be detained in hospital as a special patient under the Mental Health Act while mentally unwell. The time spent in a secure mental health service counts towards his sentence.</w:t>
      </w:r>
    </w:p>
    <w:p w:rsidR="00A47CF6" w:rsidRPr="00666DF4" w:rsidRDefault="00A47CF6" w:rsidP="00A36CDC">
      <w:pPr>
        <w:rPr>
          <w:rFonts w:eastAsia="Century"/>
        </w:rPr>
      </w:pPr>
    </w:p>
    <w:p w:rsidR="00A47CF6" w:rsidRPr="00666DF4" w:rsidRDefault="00A47CF6" w:rsidP="00A36CDC">
      <w:r w:rsidRPr="00666DF4">
        <w:t>More information regarding these investigations can be found on the Ministry of Health</w:t>
      </w:r>
      <w:r w:rsidR="00BF25EC">
        <w:t>’</w:t>
      </w:r>
      <w:r w:rsidRPr="00666DF4">
        <w:t xml:space="preserve">s website </w:t>
      </w:r>
      <w:hyperlink r:id="rId25">
        <w:r w:rsidRPr="00666DF4">
          <w:t>www.health.govt.nz/news-media/media-releases/all-recommendations-accepted-mental-health-</w:t>
        </w:r>
      </w:hyperlink>
      <w:r w:rsidRPr="00666DF4">
        <w:t xml:space="preserve"> inquiry</w:t>
      </w:r>
    </w:p>
    <w:p w:rsidR="00A47CF6" w:rsidRPr="00666DF4" w:rsidRDefault="00A47CF6" w:rsidP="00A36CDC"/>
    <w:p w:rsidR="00A47CF6" w:rsidRPr="00666DF4" w:rsidRDefault="00A47CF6" w:rsidP="00A36CDC">
      <w:pPr>
        <w:pStyle w:val="Heading1"/>
        <w:rPr>
          <w:bCs/>
        </w:rPr>
      </w:pPr>
      <w:bookmarkStart w:id="65" w:name="Ensuring_service_quality"/>
      <w:bookmarkStart w:id="66" w:name="Specialist_mental_health_services_"/>
      <w:bookmarkStart w:id="67" w:name="_bookmark13"/>
      <w:bookmarkStart w:id="68" w:name="_Toc508707278"/>
      <w:bookmarkEnd w:id="65"/>
      <w:bookmarkEnd w:id="66"/>
      <w:bookmarkEnd w:id="67"/>
      <w:r w:rsidRPr="00666DF4">
        <w:t>Ensuring service quality</w:t>
      </w:r>
      <w:bookmarkEnd w:id="68"/>
    </w:p>
    <w:p w:rsidR="00A47CF6" w:rsidRPr="00666DF4" w:rsidRDefault="00A47CF6" w:rsidP="00A36CDC">
      <w:r w:rsidRPr="00666DF4">
        <w:t>As a sector, we are working together to get better mental health care to more people sooner. Central government, DHBs, NGOs, international bodies (such as the United Nations and the World Health Organization (WHO)) and independent watchdogs (such the Office of the Ombudsman and district inspectors) all work in collaboration to achieve this goal.</w:t>
      </w:r>
    </w:p>
    <w:p w:rsidR="00A47CF6" w:rsidRPr="00666DF4" w:rsidRDefault="00A47CF6" w:rsidP="00A36CDC">
      <w:pPr>
        <w:rPr>
          <w:rFonts w:eastAsia="Century"/>
        </w:rPr>
      </w:pPr>
    </w:p>
    <w:p w:rsidR="00A47CF6" w:rsidRPr="00666DF4" w:rsidRDefault="00A47CF6" w:rsidP="00A36CDC">
      <w:r w:rsidRPr="00666DF4">
        <w:t>Actively monitoring the performance of DHBs and NGOs is vital to ensuring service quality and safety. The Ministry of Health – and the wider government – set goals and targets for the sector that are aimed at improving outcomes for the people who use mental health services. Reporting from the sector is integral to this process, as it allows the Ministry to measure progress against these goals.</w:t>
      </w:r>
    </w:p>
    <w:p w:rsidR="00A47CF6" w:rsidRPr="00666DF4" w:rsidRDefault="00A47CF6" w:rsidP="00A36CDC">
      <w:pPr>
        <w:rPr>
          <w:rFonts w:eastAsia="Century"/>
        </w:rPr>
      </w:pPr>
    </w:p>
    <w:p w:rsidR="00A47CF6" w:rsidRPr="00666DF4" w:rsidRDefault="00A47CF6" w:rsidP="00A36CDC">
      <w:r w:rsidRPr="00666DF4">
        <w:t>This section presents statistics on a number of mental health indicators concerned with general mental health service use, as well as compulsory care under the Mental Health Act.</w:t>
      </w:r>
    </w:p>
    <w:p w:rsidR="00A47CF6" w:rsidRPr="00666DF4" w:rsidRDefault="00A47CF6" w:rsidP="00A36CDC">
      <w:pPr>
        <w:rPr>
          <w:rFonts w:eastAsia="Century"/>
        </w:rPr>
      </w:pPr>
    </w:p>
    <w:p w:rsidR="00A47CF6" w:rsidRPr="00666DF4" w:rsidRDefault="00A47CF6" w:rsidP="00A36CDC">
      <w:r w:rsidRPr="00666DF4">
        <w:t>Statistics cover consumer satisfaction, waiting times, transition plans, the Mental Health Act, Māori and the Mental Health Act, family/</w:t>
      </w:r>
      <w:proofErr w:type="spellStart"/>
      <w:r w:rsidRPr="00666DF4">
        <w:t>whānau</w:t>
      </w:r>
      <w:proofErr w:type="spellEnd"/>
      <w:r w:rsidRPr="00666DF4">
        <w:t xml:space="preserve"> consultation and the Mental Health Act, seclusion in inpatient units, special patients, serious adverse events, electroconvulsive therapy (ECT) and opioid </w:t>
      </w:r>
      <w:bookmarkStart w:id="69" w:name="consumerss"/>
      <w:bookmarkEnd w:id="69"/>
      <w:r w:rsidRPr="00666DF4">
        <w:t>substitution treatment (OST).</w:t>
      </w:r>
    </w:p>
    <w:p w:rsidR="00A47CF6" w:rsidRPr="00666DF4" w:rsidRDefault="00A47CF6" w:rsidP="00A36CDC">
      <w:pPr>
        <w:rPr>
          <w:rFonts w:eastAsia="Century"/>
        </w:rPr>
      </w:pPr>
    </w:p>
    <w:p w:rsidR="00A47CF6" w:rsidRPr="00666DF4" w:rsidRDefault="00A47CF6" w:rsidP="00A36CDC">
      <w:pPr>
        <w:pStyle w:val="Heading2"/>
        <w:rPr>
          <w:rFonts w:eastAsia="Georgia" w:cs="Georgia"/>
          <w:szCs w:val="40"/>
        </w:rPr>
      </w:pPr>
      <w:bookmarkStart w:id="70" w:name="_Toc508707279"/>
      <w:r w:rsidRPr="00666DF4">
        <w:t>Specialist mental health services</w:t>
      </w:r>
      <w:bookmarkEnd w:id="70"/>
    </w:p>
    <w:p w:rsidR="00A47CF6" w:rsidRPr="00666DF4" w:rsidRDefault="00A47CF6" w:rsidP="00A36CDC">
      <w:pPr>
        <w:pStyle w:val="Heading3"/>
        <w:rPr>
          <w:bCs/>
        </w:rPr>
      </w:pPr>
      <w:r w:rsidRPr="00666DF4">
        <w:t>Consumer experience</w:t>
      </w:r>
    </w:p>
    <w:p w:rsidR="00A47CF6" w:rsidRPr="00666DF4" w:rsidRDefault="00A47CF6" w:rsidP="00A36CDC">
      <w:r w:rsidRPr="00666DF4">
        <w:t>Since 2006, the Ministry has conducted national mental health consumer satisfaction surveys as one measurement of DHB service quality and consumer outcomes. Survey participants have received treatment from specialist mental health community services in DHBs around New Zealand.</w:t>
      </w:r>
    </w:p>
    <w:p w:rsidR="00A47CF6" w:rsidRPr="00666DF4" w:rsidRDefault="00A47CF6" w:rsidP="00A36CDC">
      <w:pPr>
        <w:rPr>
          <w:rFonts w:eastAsia="Century"/>
        </w:rPr>
      </w:pPr>
    </w:p>
    <w:p w:rsidR="00A47CF6" w:rsidRPr="00A36CDC" w:rsidRDefault="00A47CF6" w:rsidP="00A36CDC">
      <w:r w:rsidRPr="00666DF4">
        <w:t>In 2006, half of the DHBs in New Zealand participated in the survey, which gathered a total of 596 respondents. In 2015, there was a shift in method from paper-based survey to the MARAMA electronic real-time survey developed by the Health and Disability Commission. In the 2015/16</w:t>
      </w:r>
      <w:r w:rsidR="00A36CDC">
        <w:t xml:space="preserve"> </w:t>
      </w:r>
      <w:r w:rsidRPr="00666DF4">
        <w:t>financial year, 10 DHBs participated in the paper-based survey, with 1317 valid responses. MARAMA, which is collated on a calendar-year basis, had 15 DHBs participating in real-time surveys with</w:t>
      </w:r>
      <w:r w:rsidR="00A36CDC">
        <w:t xml:space="preserve"> </w:t>
      </w:r>
      <w:r w:rsidRPr="00666DF4">
        <w:t>6610 responses in the 2016 calendar year.</w:t>
      </w:r>
      <w:r w:rsidR="00A36CDC">
        <w:rPr>
          <w:rStyle w:val="FootnoteReference"/>
        </w:rPr>
        <w:footnoteReference w:id="7"/>
      </w:r>
    </w:p>
    <w:p w:rsidR="00A47CF6" w:rsidRPr="00666DF4" w:rsidRDefault="00A47CF6" w:rsidP="00A36CDC">
      <w:pPr>
        <w:rPr>
          <w:rFonts w:eastAsia="Century"/>
        </w:rPr>
      </w:pPr>
    </w:p>
    <w:p w:rsidR="00A47CF6" w:rsidRPr="00BF25EC" w:rsidRDefault="00A47CF6" w:rsidP="00A36CDC">
      <w:pPr>
        <w:pStyle w:val="Heading4"/>
        <w:rPr>
          <w:bCs/>
        </w:rPr>
      </w:pPr>
      <w:r w:rsidRPr="00BF25EC">
        <w:t>Survey results</w:t>
      </w:r>
    </w:p>
    <w:p w:rsidR="00A47CF6" w:rsidRPr="00A36CDC" w:rsidRDefault="00A47CF6" w:rsidP="00A36CDC">
      <w:pPr>
        <w:keepNext/>
      </w:pPr>
      <w:r w:rsidRPr="00666DF4">
        <w:t xml:space="preserve">In the 2016 </w:t>
      </w:r>
      <w:r w:rsidR="00BC380C" w:rsidRPr="00666DF4">
        <w:t>calendar</w:t>
      </w:r>
      <w:r w:rsidRPr="00666DF4">
        <w:t xml:space="preserve"> year, 79 percent agreed or strongly agreed that they </w:t>
      </w:r>
      <w:r w:rsidR="00BF25EC">
        <w:t>‘</w:t>
      </w:r>
      <w:r w:rsidRPr="00666DF4">
        <w:t xml:space="preserve">would recommend the service to friends and family if they needed similar care or </w:t>
      </w:r>
      <w:proofErr w:type="gramStart"/>
      <w:r w:rsidRPr="00666DF4">
        <w:t>treatment</w:t>
      </w:r>
      <w:r w:rsidR="00BF25EC">
        <w:t>’</w:t>
      </w:r>
      <w:r w:rsidRPr="00666DF4">
        <w:t>(</w:t>
      </w:r>
      <w:proofErr w:type="gramEnd"/>
      <w:r w:rsidRPr="00666DF4">
        <w:t>see Figure 3).</w:t>
      </w:r>
      <w:r w:rsidR="00A36CDC">
        <w:rPr>
          <w:rStyle w:val="FootnoteReference"/>
        </w:rPr>
        <w:footnoteReference w:id="8"/>
      </w:r>
    </w:p>
    <w:p w:rsidR="00A47CF6" w:rsidRPr="00666DF4" w:rsidRDefault="00A47CF6" w:rsidP="00A36CDC">
      <w:pPr>
        <w:keepNext/>
        <w:rPr>
          <w:rFonts w:eastAsia="Century"/>
        </w:rPr>
      </w:pPr>
    </w:p>
    <w:p w:rsidR="00A47CF6" w:rsidRPr="00666DF4" w:rsidRDefault="00A47CF6" w:rsidP="00A36CDC">
      <w:pPr>
        <w:pStyle w:val="Figure"/>
        <w:rPr>
          <w:rFonts w:eastAsia="Georgia"/>
        </w:rPr>
      </w:pPr>
      <w:bookmarkStart w:id="71" w:name="Figure_3:_Responses_to_the_statement_‘I_"/>
      <w:bookmarkStart w:id="72" w:name="_bookmark14"/>
      <w:bookmarkStart w:id="73" w:name="_Toc508707327"/>
      <w:bookmarkEnd w:id="71"/>
      <w:bookmarkEnd w:id="72"/>
      <w:r w:rsidRPr="00666DF4">
        <w:rPr>
          <w:rFonts w:eastAsia="Georgia"/>
        </w:rPr>
        <w:t xml:space="preserve">Figure 3: Responses to the statement </w:t>
      </w:r>
      <w:r w:rsidR="00BF25EC">
        <w:rPr>
          <w:rFonts w:eastAsia="Georgia"/>
        </w:rPr>
        <w:t>‘</w:t>
      </w:r>
      <w:r w:rsidRPr="00666DF4">
        <w:rPr>
          <w:rFonts w:eastAsia="Georgia"/>
        </w:rPr>
        <w:t>I would recommend this service to friends and family if they needed similar care or treatment</w:t>
      </w:r>
      <w:r w:rsidR="00BF25EC">
        <w:rPr>
          <w:rFonts w:eastAsia="Georgia"/>
        </w:rPr>
        <w:t>’</w:t>
      </w:r>
      <w:r w:rsidRPr="00666DF4">
        <w:rPr>
          <w:rFonts w:eastAsia="Georgia"/>
        </w:rPr>
        <w:t>, 1 January to 31 December 2016</w:t>
      </w:r>
      <w:bookmarkEnd w:id="73"/>
    </w:p>
    <w:p w:rsidR="00A47CF6" w:rsidRPr="00666DF4" w:rsidRDefault="00A36CDC" w:rsidP="00A36CDC">
      <w:pPr>
        <w:rPr>
          <w:rFonts w:eastAsia="Georgia"/>
        </w:rPr>
      </w:pPr>
      <w:r>
        <w:rPr>
          <w:noProof/>
          <w:lang w:eastAsia="en-NZ"/>
        </w:rPr>
        <w:drawing>
          <wp:inline distT="0" distB="0" distL="0" distR="0" wp14:anchorId="126AC346" wp14:editId="24D22069">
            <wp:extent cx="2234342" cy="2427317"/>
            <wp:effectExtent l="0" t="0" r="0" b="0"/>
            <wp:docPr id="109" name="Picture 109" title="Figure 3: Responses to the statement ‘I would recommend this service to friends and family if they needed similar care or treatment’,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grayscl/>
                    </a:blip>
                    <a:srcRect l="2454" t="2260"/>
                    <a:stretch/>
                  </pic:blipFill>
                  <pic:spPr bwMode="auto">
                    <a:xfrm>
                      <a:off x="0" y="0"/>
                      <a:ext cx="2242430" cy="2436103"/>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A36CDC">
      <w:pPr>
        <w:pStyle w:val="Source"/>
        <w:rPr>
          <w:rFonts w:eastAsia="Arial" w:cs="Arial"/>
          <w:szCs w:val="19"/>
        </w:rPr>
      </w:pPr>
      <w:r w:rsidRPr="00666DF4">
        <w:t>Source: MARAMA real-time feedback system, 2016 calendar year</w:t>
      </w:r>
    </w:p>
    <w:p w:rsidR="00A47CF6" w:rsidRPr="00666DF4" w:rsidRDefault="00A47CF6" w:rsidP="00A36CDC">
      <w:pPr>
        <w:rPr>
          <w:rFonts w:eastAsia="Arial"/>
        </w:rPr>
      </w:pPr>
    </w:p>
    <w:p w:rsidR="00A47CF6" w:rsidRPr="00666DF4" w:rsidRDefault="00A47CF6" w:rsidP="00A36CDC">
      <w:r w:rsidRPr="00666DF4">
        <w:t>Other results from the paper-based survey included the following:</w:t>
      </w:r>
    </w:p>
    <w:p w:rsidR="00A47CF6" w:rsidRPr="00666DF4" w:rsidRDefault="00A47CF6" w:rsidP="00A36CDC">
      <w:pPr>
        <w:pStyle w:val="Bullet"/>
      </w:pPr>
      <w:r w:rsidRPr="00666DF4">
        <w:t xml:space="preserve">80 percent of respondents either agreed or strongly agreed with the statement </w:t>
      </w:r>
      <w:r w:rsidR="00BF25EC">
        <w:t>‘</w:t>
      </w:r>
      <w:r w:rsidRPr="00666DF4">
        <w:t>overall I am satisfied with the services I received</w:t>
      </w:r>
      <w:r w:rsidR="00BF25EC">
        <w:t>’</w:t>
      </w:r>
    </w:p>
    <w:p w:rsidR="00A47CF6" w:rsidRPr="00666DF4" w:rsidRDefault="00A47CF6" w:rsidP="00A36CDC">
      <w:pPr>
        <w:pStyle w:val="Bullet"/>
      </w:pPr>
      <w:r w:rsidRPr="00666DF4">
        <w:t xml:space="preserve">64 percent of respondents agreed or strongly agreed with the statement </w:t>
      </w:r>
      <w:r w:rsidR="00BF25EC">
        <w:t>‘</w:t>
      </w:r>
      <w:r w:rsidRPr="00666DF4">
        <w:t>as a result of the services I have received, I feel that I do better in my personal relationships</w:t>
      </w:r>
      <w:r w:rsidR="00BF25EC">
        <w:t>’</w:t>
      </w:r>
    </w:p>
    <w:p w:rsidR="00A47CF6" w:rsidRPr="00666DF4" w:rsidRDefault="00A47CF6" w:rsidP="00A36CDC">
      <w:pPr>
        <w:pStyle w:val="Bullet"/>
      </w:pPr>
      <w:r w:rsidRPr="00666DF4">
        <w:t xml:space="preserve">82 percent agreed or strongly agreed that </w:t>
      </w:r>
      <w:r w:rsidR="00BF25EC">
        <w:t>‘</w:t>
      </w:r>
      <w:r w:rsidRPr="00666DF4">
        <w:t>I feel comfortable asking questions about my medication and treatment</w:t>
      </w:r>
      <w:r w:rsidR="00BF25EC">
        <w:t>’</w:t>
      </w:r>
    </w:p>
    <w:p w:rsidR="00A47CF6" w:rsidRPr="00666DF4" w:rsidRDefault="00A47CF6" w:rsidP="00A36CDC">
      <w:pPr>
        <w:pStyle w:val="Bullet"/>
      </w:pPr>
      <w:r w:rsidRPr="00666DF4">
        <w:t xml:space="preserve">81 percent agreed or strongly agreed that </w:t>
      </w:r>
      <w:r w:rsidR="00BF25EC">
        <w:t>‘</w:t>
      </w:r>
      <w:r w:rsidRPr="00666DF4">
        <w:t>staff have helped me to remain living in the community</w:t>
      </w:r>
      <w:r w:rsidR="00BF25EC">
        <w:t>’</w:t>
      </w:r>
    </w:p>
    <w:p w:rsidR="00A47CF6" w:rsidRPr="00666DF4" w:rsidRDefault="00A47CF6" w:rsidP="00A36CDC">
      <w:pPr>
        <w:pStyle w:val="Bullet"/>
      </w:pPr>
      <w:r w:rsidRPr="00666DF4">
        <w:t xml:space="preserve">85 percent agreed or strongly agreed that </w:t>
      </w:r>
      <w:r w:rsidR="00BF25EC">
        <w:t>‘</w:t>
      </w:r>
      <w:r w:rsidRPr="00666DF4">
        <w:t>there is at least one member of staff who believes in me</w:t>
      </w:r>
      <w:r w:rsidR="00BF25EC">
        <w:t>’</w:t>
      </w:r>
      <w:r w:rsidRPr="00666DF4">
        <w:t>.</w:t>
      </w:r>
    </w:p>
    <w:p w:rsidR="00A47CF6" w:rsidRPr="00666DF4" w:rsidRDefault="00A47CF6" w:rsidP="00A36CDC">
      <w:pPr>
        <w:rPr>
          <w:rFonts w:eastAsia="Century"/>
        </w:rPr>
      </w:pPr>
    </w:p>
    <w:p w:rsidR="00A47CF6" w:rsidRPr="00666DF4" w:rsidRDefault="00A47CF6" w:rsidP="00A36CDC">
      <w:pPr>
        <w:pStyle w:val="Heading3"/>
        <w:rPr>
          <w:bCs/>
        </w:rPr>
      </w:pPr>
      <w:bookmarkStart w:id="74" w:name="waitingtimes"/>
      <w:bookmarkEnd w:id="74"/>
      <w:r w:rsidRPr="00666DF4">
        <w:t>Waiting times</w:t>
      </w:r>
    </w:p>
    <w:p w:rsidR="00A47CF6" w:rsidRPr="00666DF4" w:rsidRDefault="00A47CF6" w:rsidP="00A36CDC">
      <w:r w:rsidRPr="00666DF4">
        <w:t>The Ministry collects data on how long new clients wait to be seen by mental health and addiction services. New clients are defined as people who have not accessed mental health or addiction services in the past year.</w:t>
      </w:r>
    </w:p>
    <w:p w:rsidR="00A47CF6" w:rsidRPr="00666DF4" w:rsidRDefault="00A47CF6" w:rsidP="00A36CDC">
      <w:pPr>
        <w:rPr>
          <w:rFonts w:eastAsia="Century"/>
        </w:rPr>
      </w:pPr>
    </w:p>
    <w:p w:rsidR="00A47CF6" w:rsidRPr="00666DF4" w:rsidRDefault="00A47CF6" w:rsidP="00A36CDC">
      <w:r w:rsidRPr="00666DF4">
        <w:t xml:space="preserve">The Ministry defines </w:t>
      </w:r>
      <w:r w:rsidR="00BF25EC">
        <w:t>‘</w:t>
      </w:r>
      <w:r w:rsidRPr="00666DF4">
        <w:t>waiting time</w:t>
      </w:r>
      <w:r w:rsidR="00BF25EC">
        <w:t>’</w:t>
      </w:r>
      <w:r w:rsidRPr="00666DF4">
        <w:t xml:space="preserve"> as the length of time between the day when a person is referred to a mental health or addiction service and the day when the person is first seen by the service.</w:t>
      </w:r>
    </w:p>
    <w:p w:rsidR="00A47CF6" w:rsidRPr="00666DF4" w:rsidRDefault="00A47CF6" w:rsidP="00A36CDC">
      <w:pPr>
        <w:rPr>
          <w:rFonts w:eastAsia="Century"/>
        </w:rPr>
      </w:pPr>
    </w:p>
    <w:p w:rsidR="00A47CF6" w:rsidRPr="00666DF4" w:rsidRDefault="00A47CF6" w:rsidP="00A36CDC">
      <w:pPr>
        <w:keepNext/>
      </w:pPr>
      <w:r w:rsidRPr="00666DF4">
        <w:t>A sector-wide target for DHBs to achieve by 30 June 2016 specified that mental health or addiction services should see 80 percent of people referred for non-urgent services within three weeks, and</w:t>
      </w:r>
      <w:r w:rsidR="00A36CDC">
        <w:t xml:space="preserve"> </w:t>
      </w:r>
      <w:r w:rsidRPr="00666DF4">
        <w:t>95 percent within eight weeks. Urgent referrals should be seen within 48 hours. In 2016, 45% of people new to mental health services were seen within 48 hours.</w:t>
      </w:r>
    </w:p>
    <w:p w:rsidR="00A47CF6" w:rsidRPr="00666DF4" w:rsidRDefault="00A47CF6" w:rsidP="00A36CDC">
      <w:pPr>
        <w:rPr>
          <w:rFonts w:eastAsia="Century"/>
        </w:rPr>
      </w:pPr>
    </w:p>
    <w:p w:rsidR="00A47CF6" w:rsidRPr="00666DF4" w:rsidRDefault="00A47CF6" w:rsidP="00A36CDC">
      <w:r w:rsidRPr="00666DF4">
        <w:t>In the 2016 calendar year, DHB-provided services saw 78 percent of all mental health service clients within three weeks, and 93 percent within eight weeks (see Figure 4). In addiction services (both DHB services and NGOs), services saw 83 percent of clients within three weeks, and 94 percent within eight weeks (see Figure 5).</w:t>
      </w:r>
    </w:p>
    <w:p w:rsidR="00A47CF6" w:rsidRPr="00666DF4" w:rsidRDefault="00A47CF6" w:rsidP="00A36CDC"/>
    <w:p w:rsidR="00A47CF6" w:rsidRPr="00666DF4" w:rsidRDefault="00A47CF6" w:rsidP="00A36CDC">
      <w:pPr>
        <w:pStyle w:val="Figure"/>
        <w:rPr>
          <w:rFonts w:eastAsia="Georgia" w:cs="Georgia"/>
          <w:szCs w:val="19"/>
        </w:rPr>
      </w:pPr>
      <w:bookmarkStart w:id="75" w:name="Figure_4:_Percentage_of_people_seen_by_m"/>
      <w:bookmarkStart w:id="76" w:name="Figure_5:_Percentage_of_people_seen_by_a"/>
      <w:bookmarkStart w:id="77" w:name="_bookmark15"/>
      <w:bookmarkStart w:id="78" w:name="_Toc508707328"/>
      <w:bookmarkEnd w:id="75"/>
      <w:bookmarkEnd w:id="76"/>
      <w:bookmarkEnd w:id="77"/>
      <w:r w:rsidRPr="00666DF4">
        <w:t>Figure 4: Percentage of people seen by mental health services within three weeks (left) and within eight weeks (right), 1 January to 31 December 2016</w:t>
      </w:r>
      <w:bookmarkEnd w:id="78"/>
    </w:p>
    <w:p w:rsidR="00A47CF6" w:rsidRPr="00666DF4" w:rsidRDefault="00A36CDC" w:rsidP="00A36CDC">
      <w:pPr>
        <w:rPr>
          <w:rFonts w:eastAsia="Georgia"/>
        </w:rPr>
      </w:pPr>
      <w:r>
        <w:rPr>
          <w:noProof/>
          <w:lang w:eastAsia="en-NZ"/>
        </w:rPr>
        <w:drawing>
          <wp:inline distT="0" distB="0" distL="0" distR="0" wp14:anchorId="5F60320A" wp14:editId="46D700CD">
            <wp:extent cx="3940233" cy="1736652"/>
            <wp:effectExtent l="0" t="0" r="3175" b="0"/>
            <wp:docPr id="110" name="Picture 110" title="Figure 4: Percentage of people seen by mental health services within three weeks (left) and within eight weeks (right),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grayscl/>
                    </a:blip>
                    <a:stretch>
                      <a:fillRect/>
                    </a:stretch>
                  </pic:blipFill>
                  <pic:spPr>
                    <a:xfrm>
                      <a:off x="0" y="0"/>
                      <a:ext cx="3967273" cy="1748570"/>
                    </a:xfrm>
                    <a:prstGeom prst="rect">
                      <a:avLst/>
                    </a:prstGeom>
                  </pic:spPr>
                </pic:pic>
              </a:graphicData>
            </a:graphic>
          </wp:inline>
        </w:drawing>
      </w:r>
    </w:p>
    <w:p w:rsidR="00A47CF6" w:rsidRPr="00666DF4" w:rsidRDefault="00A47CF6" w:rsidP="00436D8F">
      <w:pPr>
        <w:pStyle w:val="Source"/>
        <w:rPr>
          <w:rFonts w:eastAsia="Arial" w:cs="Arial"/>
          <w:szCs w:val="19"/>
        </w:rPr>
      </w:pPr>
      <w:r w:rsidRPr="00666DF4">
        <w:t>Source: PRIMHD data</w:t>
      </w:r>
    </w:p>
    <w:p w:rsidR="00A47CF6" w:rsidRPr="00666DF4" w:rsidRDefault="00A47CF6" w:rsidP="00436D8F">
      <w:pPr>
        <w:rPr>
          <w:rFonts w:eastAsia="Arial"/>
        </w:rPr>
      </w:pPr>
    </w:p>
    <w:p w:rsidR="00A47CF6" w:rsidRPr="00666DF4" w:rsidRDefault="00A47CF6" w:rsidP="00436D8F">
      <w:pPr>
        <w:pStyle w:val="Figure"/>
        <w:rPr>
          <w:rFonts w:eastAsia="Georgia" w:cs="Georgia"/>
          <w:szCs w:val="19"/>
        </w:rPr>
      </w:pPr>
      <w:bookmarkStart w:id="79" w:name="_Toc508707329"/>
      <w:r w:rsidRPr="00666DF4">
        <w:t>Figure 5: Percentage of people seen by addiction services within three weeks (left) and within eight weeks (right), 1 January to 31 December 2016</w:t>
      </w:r>
      <w:bookmarkEnd w:id="79"/>
    </w:p>
    <w:p w:rsidR="00A47CF6" w:rsidRPr="00666DF4" w:rsidRDefault="00436D8F" w:rsidP="00436D8F">
      <w:pPr>
        <w:rPr>
          <w:rFonts w:eastAsia="Georgia"/>
        </w:rPr>
      </w:pPr>
      <w:r>
        <w:rPr>
          <w:noProof/>
          <w:lang w:eastAsia="en-NZ"/>
        </w:rPr>
        <w:drawing>
          <wp:inline distT="0" distB="0" distL="0" distR="0" wp14:anchorId="587E9310" wp14:editId="0ADCB7D0">
            <wp:extent cx="3940233" cy="1690951"/>
            <wp:effectExtent l="0" t="0" r="3175" b="5080"/>
            <wp:docPr id="111" name="Picture 111" title="Figure 5: Percentage of people seen by addiction services within three weeks (left) and within eight weeks (right),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grayscl/>
                    </a:blip>
                    <a:stretch>
                      <a:fillRect/>
                    </a:stretch>
                  </pic:blipFill>
                  <pic:spPr>
                    <a:xfrm>
                      <a:off x="0" y="0"/>
                      <a:ext cx="3940523" cy="1691075"/>
                    </a:xfrm>
                    <a:prstGeom prst="rect">
                      <a:avLst/>
                    </a:prstGeom>
                  </pic:spPr>
                </pic:pic>
              </a:graphicData>
            </a:graphic>
          </wp:inline>
        </w:drawing>
      </w:r>
    </w:p>
    <w:p w:rsidR="00A47CF6" w:rsidRPr="00666DF4" w:rsidRDefault="00A47CF6" w:rsidP="00436D8F">
      <w:pPr>
        <w:pStyle w:val="Source"/>
        <w:rPr>
          <w:rFonts w:eastAsia="Arial" w:cs="Arial"/>
          <w:szCs w:val="19"/>
        </w:rPr>
      </w:pPr>
      <w:r w:rsidRPr="00666DF4">
        <w:t>Source: PRIMHD data</w:t>
      </w:r>
    </w:p>
    <w:p w:rsidR="00A47CF6" w:rsidRPr="00666DF4" w:rsidRDefault="00A47CF6" w:rsidP="00436D8F">
      <w:pPr>
        <w:rPr>
          <w:rFonts w:eastAsia="Arial"/>
        </w:rPr>
      </w:pPr>
    </w:p>
    <w:p w:rsidR="00A47CF6" w:rsidRPr="00666DF4" w:rsidRDefault="00A47CF6" w:rsidP="00436D8F">
      <w:pPr>
        <w:pStyle w:val="Heading3"/>
        <w:rPr>
          <w:bCs/>
        </w:rPr>
      </w:pPr>
      <w:r w:rsidRPr="00666DF4">
        <w:t>Transition (discharge) plans</w:t>
      </w:r>
    </w:p>
    <w:p w:rsidR="00A47CF6" w:rsidRPr="00666DF4" w:rsidRDefault="00A47CF6" w:rsidP="00436D8F">
      <w:r w:rsidRPr="00666DF4">
        <w:t>In 2014, the Ministry introduced a target that at least 95 percent of young people who have used mental health and addiction services have a transition (discharge) plan.</w:t>
      </w:r>
    </w:p>
    <w:p w:rsidR="00A47CF6" w:rsidRPr="00666DF4" w:rsidRDefault="00A47CF6" w:rsidP="00436D8F">
      <w:pPr>
        <w:rPr>
          <w:rFonts w:eastAsia="Century"/>
        </w:rPr>
      </w:pPr>
    </w:p>
    <w:p w:rsidR="00A47CF6" w:rsidRPr="00666DF4" w:rsidRDefault="00A47CF6" w:rsidP="00436D8F">
      <w:r w:rsidRPr="00666DF4">
        <w:t>Transition planning means that:</w:t>
      </w:r>
    </w:p>
    <w:p w:rsidR="00A47CF6" w:rsidRPr="00666DF4" w:rsidRDefault="00A47CF6" w:rsidP="00436D8F">
      <w:pPr>
        <w:pStyle w:val="Bullet"/>
      </w:pPr>
      <w:r w:rsidRPr="00666DF4">
        <w:t>service provision is matched as closely as possible to the needs of young people and is delivered by the most appropriate services</w:t>
      </w:r>
    </w:p>
    <w:p w:rsidR="00A47CF6" w:rsidRPr="00666DF4" w:rsidRDefault="00A47CF6" w:rsidP="00436D8F">
      <w:pPr>
        <w:pStyle w:val="Bullet"/>
      </w:pPr>
      <w:r w:rsidRPr="00666DF4">
        <w:t>young people and their families/</w:t>
      </w:r>
      <w:proofErr w:type="spellStart"/>
      <w:r w:rsidRPr="00666DF4">
        <w:t>whānau</w:t>
      </w:r>
      <w:proofErr w:type="spellEnd"/>
      <w:r w:rsidRPr="00666DF4">
        <w:t xml:space="preserve"> are the key decision-makers regarding the services they receive</w:t>
      </w:r>
    </w:p>
    <w:p w:rsidR="00A47CF6" w:rsidRPr="00666DF4" w:rsidRDefault="00A47CF6" w:rsidP="00436D8F">
      <w:pPr>
        <w:pStyle w:val="Bullet"/>
      </w:pPr>
      <w:r w:rsidRPr="00666DF4">
        <w:t>care is delivered across a dynamic continuum of specialist- and primary-level services, and decisions are based on the needs and wishes of young people and their families/</w:t>
      </w:r>
      <w:proofErr w:type="spellStart"/>
      <w:r w:rsidRPr="00666DF4">
        <w:t>whānau</w:t>
      </w:r>
      <w:proofErr w:type="spellEnd"/>
      <w:r w:rsidRPr="00666DF4">
        <w:t xml:space="preserve"> (not service boundaries)</w:t>
      </w:r>
    </w:p>
    <w:p w:rsidR="00A47CF6" w:rsidRPr="00666DF4" w:rsidRDefault="00A47CF6" w:rsidP="00436D8F">
      <w:pPr>
        <w:pStyle w:val="Bullet"/>
      </w:pPr>
      <w:proofErr w:type="gramStart"/>
      <w:r w:rsidRPr="00666DF4">
        <w:t>processes</w:t>
      </w:r>
      <w:proofErr w:type="gramEnd"/>
      <w:r w:rsidRPr="00666DF4">
        <w:t xml:space="preserve"> are in place to identify and respond early, should young people experience a re</w:t>
      </w:r>
      <w:r w:rsidR="00BC380C">
        <w:noBreakHyphen/>
      </w:r>
      <w:r w:rsidRPr="00666DF4">
        <w:t>emergence of a mental health or alcohol and other drugs (AOD) concern.</w:t>
      </w:r>
    </w:p>
    <w:p w:rsidR="00A47CF6" w:rsidRPr="00666DF4" w:rsidRDefault="00A47CF6" w:rsidP="00436D8F"/>
    <w:p w:rsidR="00A47CF6" w:rsidRPr="00666DF4" w:rsidRDefault="00A47CF6" w:rsidP="00436D8F">
      <w:bookmarkStart w:id="80" w:name="Figure_6:_Percentage_of_service_users_wi"/>
      <w:bookmarkStart w:id="81" w:name="Use_of_the_Mental_Health_Act"/>
      <w:bookmarkStart w:id="82" w:name="_bookmark16"/>
      <w:bookmarkEnd w:id="80"/>
      <w:bookmarkEnd w:id="81"/>
      <w:bookmarkEnd w:id="82"/>
      <w:r w:rsidRPr="00666DF4">
        <w:t>Figure 6 shows the percentage of all service users with a transition plan as at 31 December 2016.</w:t>
      </w:r>
    </w:p>
    <w:p w:rsidR="00A47CF6" w:rsidRPr="00666DF4" w:rsidRDefault="00A47CF6" w:rsidP="00436D8F">
      <w:pPr>
        <w:rPr>
          <w:rFonts w:eastAsia="Century"/>
        </w:rPr>
      </w:pPr>
    </w:p>
    <w:p w:rsidR="00A47CF6" w:rsidRDefault="00A47CF6" w:rsidP="00436D8F">
      <w:pPr>
        <w:pStyle w:val="Figure"/>
      </w:pPr>
      <w:bookmarkStart w:id="83" w:name="_Toc508707330"/>
      <w:r w:rsidRPr="00666DF4">
        <w:t>Figure 6: Percentage of service users with a transition plan, by DHB, 1 January to 31</w:t>
      </w:r>
      <w:r w:rsidR="00436D8F">
        <w:t> </w:t>
      </w:r>
      <w:r w:rsidRPr="00666DF4">
        <w:t>December 2016</w:t>
      </w:r>
      <w:bookmarkEnd w:id="83"/>
    </w:p>
    <w:p w:rsidR="00436D8F" w:rsidRPr="00436D8F" w:rsidRDefault="00436D8F" w:rsidP="00436D8F">
      <w:pPr>
        <w:rPr>
          <w:rFonts w:eastAsia="Georgia"/>
        </w:rPr>
      </w:pPr>
      <w:r>
        <w:rPr>
          <w:noProof/>
          <w:lang w:eastAsia="en-NZ"/>
        </w:rPr>
        <w:drawing>
          <wp:inline distT="0" distB="0" distL="0" distR="0" wp14:anchorId="3974A216" wp14:editId="68DB40E6">
            <wp:extent cx="4688378" cy="2490871"/>
            <wp:effectExtent l="0" t="0" r="0" b="5080"/>
            <wp:docPr id="112" name="Picture 112" title="Figure 6: Percentage of service users with a transition plan,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grayscl/>
                    </a:blip>
                    <a:srcRect l="980" t="2338"/>
                    <a:stretch/>
                  </pic:blipFill>
                  <pic:spPr bwMode="auto">
                    <a:xfrm>
                      <a:off x="0" y="0"/>
                      <a:ext cx="4687732" cy="2490528"/>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436D8F">
      <w:pPr>
        <w:pStyle w:val="Note"/>
        <w:rPr>
          <w:rFonts w:eastAsia="Arial" w:cs="Arial"/>
          <w:szCs w:val="19"/>
        </w:rPr>
      </w:pPr>
      <w:r w:rsidRPr="00666DF4">
        <w:t>Note: Lakes DHB data is based on Q2 data. Nelson Marlborough DHB did not report on transition plans for 2016.</w:t>
      </w:r>
    </w:p>
    <w:p w:rsidR="00A47CF6" w:rsidRPr="00666DF4" w:rsidRDefault="00A47CF6" w:rsidP="00436D8F">
      <w:pPr>
        <w:pStyle w:val="Source"/>
        <w:rPr>
          <w:rFonts w:eastAsia="Arial" w:cs="Arial"/>
          <w:szCs w:val="19"/>
        </w:rPr>
      </w:pPr>
      <w:r w:rsidRPr="00666DF4">
        <w:t>Source: DHB quarterly reporting data</w:t>
      </w:r>
    </w:p>
    <w:p w:rsidR="00A47CF6" w:rsidRPr="00666DF4" w:rsidRDefault="00A47CF6" w:rsidP="00436D8F">
      <w:pPr>
        <w:rPr>
          <w:rFonts w:eastAsia="Arial"/>
        </w:rPr>
      </w:pPr>
    </w:p>
    <w:p w:rsidR="00A47CF6" w:rsidRPr="00666DF4" w:rsidRDefault="00A47CF6" w:rsidP="00436D8F">
      <w:pPr>
        <w:pStyle w:val="Heading2"/>
        <w:rPr>
          <w:bCs/>
        </w:rPr>
      </w:pPr>
      <w:bookmarkStart w:id="84" w:name="_Toc508707280"/>
      <w:r w:rsidRPr="00666DF4">
        <w:t>Use of the Mental Health Act</w:t>
      </w:r>
      <w:bookmarkEnd w:id="84"/>
    </w:p>
    <w:p w:rsidR="00A47CF6" w:rsidRPr="00666DF4" w:rsidRDefault="00A47CF6" w:rsidP="00436D8F">
      <w:r w:rsidRPr="00666DF4">
        <w:t>The Mental Health Act defines the circumstances under which people may be subject to compulsory mental health assessment and treatment. In 2016:</w:t>
      </w:r>
    </w:p>
    <w:p w:rsidR="00A47CF6" w:rsidRPr="00666DF4" w:rsidRDefault="00A47CF6" w:rsidP="00436D8F">
      <w:pPr>
        <w:pStyle w:val="Bullet"/>
      </w:pPr>
      <w:r w:rsidRPr="00666DF4">
        <w:t>10,311 people (approximately 6.1 percent of specialist mental health and addiction service users) were subject to the Mental Health Act</w:t>
      </w:r>
      <w:r w:rsidR="00436D8F">
        <w:rPr>
          <w:rStyle w:val="FootnoteReference"/>
        </w:rPr>
        <w:footnoteReference w:id="9"/>
      </w:r>
      <w:r w:rsidR="00436D8F">
        <w:t xml:space="preserve"> </w:t>
      </w:r>
      <w:r w:rsidRPr="00666DF4">
        <w:t>on the last day of 2016, approximately 5,163 people were subject to either compulsory assessment or compulsory treatment under the Mental Health Act</w:t>
      </w:r>
    </w:p>
    <w:p w:rsidR="00A47CF6" w:rsidRPr="00666DF4" w:rsidRDefault="00A47CF6" w:rsidP="00436D8F">
      <w:pPr>
        <w:pStyle w:val="Bullet"/>
      </w:pPr>
      <w:r w:rsidRPr="00666DF4">
        <w:t>use of the Mental Health Act varied across DHBs</w:t>
      </w:r>
    </w:p>
    <w:p w:rsidR="00A47CF6" w:rsidRPr="00666DF4" w:rsidRDefault="00A47CF6" w:rsidP="00436D8F">
      <w:pPr>
        <w:pStyle w:val="Bullet"/>
      </w:pPr>
      <w:r w:rsidRPr="00666DF4">
        <w:t>males were more likely to be subject to the Mental Health Act than females</w:t>
      </w:r>
    </w:p>
    <w:p w:rsidR="00A47CF6" w:rsidRPr="00666DF4" w:rsidRDefault="00A47CF6" w:rsidP="00436D8F">
      <w:pPr>
        <w:pStyle w:val="Bullet"/>
      </w:pPr>
      <w:r w:rsidRPr="00666DF4">
        <w:t>people aged 25–34 years were the most likely to be subject to compulsory treatment, and people over 65 years of age were the least likely</w:t>
      </w:r>
    </w:p>
    <w:p w:rsidR="00A47CF6" w:rsidRPr="00666DF4" w:rsidRDefault="00A47CF6" w:rsidP="00436D8F">
      <w:pPr>
        <w:pStyle w:val="Bullet"/>
      </w:pPr>
      <w:r w:rsidRPr="00666DF4">
        <w:t>Māori were more likely to be assessed or treated under the Mental Health Act than non-Māori.</w:t>
      </w:r>
    </w:p>
    <w:p w:rsidR="00A47CF6" w:rsidRPr="00666DF4" w:rsidRDefault="00A47CF6" w:rsidP="00436D8F">
      <w:pPr>
        <w:rPr>
          <w:rFonts w:eastAsia="Century"/>
        </w:rPr>
      </w:pPr>
    </w:p>
    <w:p w:rsidR="00A47CF6" w:rsidRPr="00666DF4" w:rsidRDefault="00A47CF6" w:rsidP="00436D8F">
      <w:pPr>
        <w:pStyle w:val="Heading3"/>
        <w:rPr>
          <w:rFonts w:eastAsia="Georgia" w:cs="Georgia"/>
          <w:szCs w:val="28"/>
        </w:rPr>
      </w:pPr>
      <w:r w:rsidRPr="00666DF4">
        <w:t>The Mental Health Act process</w:t>
      </w:r>
    </w:p>
    <w:p w:rsidR="00A47CF6" w:rsidRPr="00666DF4" w:rsidRDefault="00A47CF6" w:rsidP="00436D8F">
      <w:r w:rsidRPr="00666DF4">
        <w:t>The compulsory assessment and treatment process begins with a referral and an initial assessment by a psychiatrist. If the psychiatrist believes a person fits the statutory criteria, the person will become subject to the Act and will receive further assessment accordingly.</w:t>
      </w:r>
    </w:p>
    <w:p w:rsidR="00A47CF6" w:rsidRPr="00666DF4" w:rsidRDefault="00A47CF6" w:rsidP="00436D8F">
      <w:pPr>
        <w:rPr>
          <w:rFonts w:eastAsia="Century"/>
        </w:rPr>
      </w:pPr>
    </w:p>
    <w:p w:rsidR="00A47CF6" w:rsidRPr="00666DF4" w:rsidRDefault="00A47CF6" w:rsidP="00436D8F">
      <w:pPr>
        <w:pStyle w:val="Heading4"/>
        <w:rPr>
          <w:rFonts w:eastAsia="Georgia" w:cs="Georgia"/>
        </w:rPr>
      </w:pPr>
      <w:r w:rsidRPr="00666DF4">
        <w:t>Compulsory</w:t>
      </w:r>
      <w:r w:rsidR="00BF25EC">
        <w:t xml:space="preserve"> </w:t>
      </w:r>
      <w:r w:rsidRPr="00666DF4">
        <w:t>assessment</w:t>
      </w:r>
    </w:p>
    <w:p w:rsidR="00A47CF6" w:rsidRPr="00666DF4" w:rsidRDefault="00A47CF6" w:rsidP="00436D8F">
      <w:r w:rsidRPr="00666DF4">
        <w:t>Compulsory assessment can take place in either the community or hospital. There are two periods of compulsory assessment, during which a person</w:t>
      </w:r>
      <w:r w:rsidR="00BF25EC">
        <w:t>’</w:t>
      </w:r>
      <w:r w:rsidRPr="00666DF4">
        <w:t>s clinician may release them from assessment at any time.</w:t>
      </w:r>
    </w:p>
    <w:p w:rsidR="00A47CF6" w:rsidRPr="00666DF4" w:rsidRDefault="00A47CF6" w:rsidP="00436D8F">
      <w:pPr>
        <w:rPr>
          <w:rFonts w:eastAsia="Century"/>
        </w:rPr>
      </w:pPr>
    </w:p>
    <w:p w:rsidR="00A47CF6" w:rsidRPr="00666DF4" w:rsidRDefault="00A47CF6" w:rsidP="00436D8F">
      <w:r w:rsidRPr="00666DF4">
        <w:t>During the assessment period, a person is obliged to receive treatment as prescribed by their responsible clinician.</w:t>
      </w:r>
    </w:p>
    <w:p w:rsidR="00A47CF6" w:rsidRPr="00666DF4" w:rsidRDefault="00A47CF6" w:rsidP="00436D8F">
      <w:pPr>
        <w:rPr>
          <w:rFonts w:eastAsia="Century"/>
        </w:rPr>
      </w:pPr>
    </w:p>
    <w:p w:rsidR="00A47CF6" w:rsidRPr="00666DF4" w:rsidRDefault="00A47CF6" w:rsidP="00436D8F">
      <w:r w:rsidRPr="00666DF4">
        <w:t>The first period (section 11 of the Mental Health Act) is for up to five days. The second period (section 13) can last up to 14 days.</w:t>
      </w:r>
    </w:p>
    <w:p w:rsidR="00A47CF6" w:rsidRPr="00666DF4" w:rsidRDefault="00A47CF6" w:rsidP="00436D8F">
      <w:pPr>
        <w:rPr>
          <w:rFonts w:eastAsia="Century"/>
        </w:rPr>
      </w:pPr>
    </w:p>
    <w:p w:rsidR="00A47CF6" w:rsidRPr="00666DF4" w:rsidRDefault="00A47CF6" w:rsidP="00436D8F">
      <w:r w:rsidRPr="00666DF4">
        <w:t>Following the first two assessment periods, a person</w:t>
      </w:r>
      <w:r w:rsidR="00BF25EC">
        <w:t>’</w:t>
      </w:r>
      <w:r w:rsidRPr="00666DF4">
        <w:t>s responsible clinician can make an application to the Family or District</w:t>
      </w:r>
      <w:r w:rsidR="00BF25EC">
        <w:t xml:space="preserve"> </w:t>
      </w:r>
      <w:r w:rsidRPr="00666DF4">
        <w:t>Court (section 14(4)) to place the person on a compulsory treatment order.</w:t>
      </w:r>
    </w:p>
    <w:p w:rsidR="00A47CF6" w:rsidRPr="00666DF4" w:rsidRDefault="00A47CF6" w:rsidP="00436D8F">
      <w:pPr>
        <w:rPr>
          <w:rFonts w:eastAsia="Century"/>
        </w:rPr>
      </w:pPr>
    </w:p>
    <w:p w:rsidR="00A47CF6" w:rsidRPr="00666DF4" w:rsidRDefault="00A47CF6" w:rsidP="00436D8F">
      <w:r w:rsidRPr="00666DF4">
        <w:t>At any time during the compulsory assessment process, the person (or someone acting on their behalf) can request a judicial review of their condition to determine whether it is appropriate that they continue to receive assessment</w:t>
      </w:r>
      <w:r w:rsidR="00436D8F">
        <w:t xml:space="preserve"> </w:t>
      </w:r>
      <w:r w:rsidRPr="00666DF4">
        <w:t>under the Mental Health Act. A judicial review consists of a hearing in the District Court. Based on information provided by clinicians, a judge</w:t>
      </w:r>
      <w:r w:rsidR="00436D8F">
        <w:t xml:space="preserve"> </w:t>
      </w:r>
      <w:r w:rsidRPr="00666DF4">
        <w:t>will decide whether the person should continue to be compulsorily assessed.</w:t>
      </w:r>
    </w:p>
    <w:p w:rsidR="00A47CF6" w:rsidRPr="00666DF4" w:rsidRDefault="00A47CF6" w:rsidP="00436D8F">
      <w:pPr>
        <w:rPr>
          <w:rFonts w:eastAsia="Century"/>
        </w:rPr>
      </w:pPr>
    </w:p>
    <w:p w:rsidR="00A47CF6" w:rsidRPr="00436D8F" w:rsidRDefault="00A47CF6" w:rsidP="00436D8F">
      <w:r w:rsidRPr="00666DF4">
        <w:t>During 2016, approximately 1,252 applications for compulsory treatment orders were considered under section 16 of the Mental Health Act. Of this total, an order for release of the person from compulsory status was issued in 36 cases (5 percent of the applications that proceeded to hearings).</w:t>
      </w:r>
      <w:r w:rsidR="00436D8F">
        <w:rPr>
          <w:rStyle w:val="FootnoteReference"/>
        </w:rPr>
        <w:footnoteReference w:id="10"/>
      </w:r>
    </w:p>
    <w:p w:rsidR="00A47CF6" w:rsidRPr="00666DF4" w:rsidRDefault="00A47CF6" w:rsidP="00436D8F">
      <w:pPr>
        <w:rPr>
          <w:rFonts w:eastAsia="Century"/>
        </w:rPr>
      </w:pPr>
    </w:p>
    <w:p w:rsidR="00A47CF6" w:rsidRPr="00BF25EC" w:rsidRDefault="00A47CF6" w:rsidP="00436D8F">
      <w:pPr>
        <w:pStyle w:val="Heading4"/>
        <w:rPr>
          <w:bCs/>
        </w:rPr>
      </w:pPr>
      <w:r w:rsidRPr="00BF25EC">
        <w:t>Compulsory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793"/>
      </w:tblGrid>
      <w:tr w:rsidR="00436D8F" w:rsidTr="00436D8F">
        <w:trPr>
          <w:cantSplit/>
        </w:trPr>
        <w:tc>
          <w:tcPr>
            <w:tcW w:w="5778" w:type="dxa"/>
          </w:tcPr>
          <w:p w:rsidR="00436D8F" w:rsidRPr="00666DF4" w:rsidRDefault="00436D8F" w:rsidP="00436D8F">
            <w:r w:rsidRPr="00666DF4">
              <w:t>There are two types of compulsory treatment orders. One is for treatment in the community (a section 29 order) and the other is for treatment in an inpatient unit (a section 30 order). A person</w:t>
            </w:r>
            <w:r>
              <w:t>’</w:t>
            </w:r>
            <w:r w:rsidRPr="00666DF4">
              <w:t>s responsible clinician can convert an</w:t>
            </w:r>
            <w:r>
              <w:t xml:space="preserve"> </w:t>
            </w:r>
            <w:r w:rsidRPr="00666DF4">
              <w:t>inpatient treatment order into a community treatment order at any time. A responsible clinician may also grant a person</w:t>
            </w:r>
            <w:r>
              <w:t xml:space="preserve"> </w:t>
            </w:r>
            <w:r w:rsidRPr="00666DF4">
              <w:t>leave from the inpatient unit for treatment in the community for up to three months (section</w:t>
            </w:r>
            <w:r>
              <w:t> </w:t>
            </w:r>
            <w:r w:rsidRPr="00666DF4">
              <w:t>31).</w:t>
            </w:r>
          </w:p>
          <w:p w:rsidR="00436D8F" w:rsidRPr="00666DF4" w:rsidRDefault="00436D8F" w:rsidP="00436D8F">
            <w:pPr>
              <w:rPr>
                <w:rFonts w:eastAsia="Century"/>
              </w:rPr>
            </w:pPr>
          </w:p>
          <w:p w:rsidR="00436D8F" w:rsidRDefault="00436D8F" w:rsidP="00436D8F">
            <w:r w:rsidRPr="00666DF4">
              <w:t>Most people subject to compulsory treatment access it in the community (approximately 88</w:t>
            </w:r>
            <w:r>
              <w:t> </w:t>
            </w:r>
            <w:r w:rsidRPr="00666DF4">
              <w:t>percent in 2016).</w:t>
            </w:r>
          </w:p>
          <w:p w:rsidR="00436D8F" w:rsidRDefault="00436D8F" w:rsidP="00436D8F"/>
          <w:p w:rsidR="00436D8F" w:rsidRPr="00666DF4" w:rsidRDefault="00436D8F" w:rsidP="00436D8F">
            <w:pPr>
              <w:pStyle w:val="Heading3"/>
              <w:outlineLvl w:val="2"/>
              <w:rPr>
                <w:bCs/>
              </w:rPr>
            </w:pPr>
            <w:r w:rsidRPr="00666DF4">
              <w:t>2016 statistics</w:t>
            </w:r>
          </w:p>
          <w:p w:rsidR="00436D8F" w:rsidRPr="00436D8F" w:rsidRDefault="00436D8F" w:rsidP="00436D8F">
            <w:pPr>
              <w:keepNext/>
            </w:pPr>
            <w:r w:rsidRPr="00666DF4">
              <w:t>On the last day of 2016, 5,163 people were subject to either compulsory assessment or compulsory treatment.</w:t>
            </w:r>
            <w:r>
              <w:rPr>
                <w:rStyle w:val="FootnoteReference"/>
              </w:rPr>
              <w:footnoteReference w:id="11"/>
            </w:r>
          </w:p>
          <w:p w:rsidR="00436D8F" w:rsidRDefault="00436D8F" w:rsidP="00436D8F"/>
        </w:tc>
        <w:tc>
          <w:tcPr>
            <w:tcW w:w="3793" w:type="dxa"/>
          </w:tcPr>
          <w:p w:rsidR="00436D8F" w:rsidRDefault="00436D8F" w:rsidP="00436D8F">
            <w:pPr>
              <w:jc w:val="right"/>
            </w:pPr>
            <w:r>
              <w:rPr>
                <w:noProof/>
                <w:lang w:eastAsia="en-NZ"/>
              </w:rPr>
              <w:drawing>
                <wp:inline distT="0" distB="0" distL="0" distR="0" wp14:anchorId="60C83CA8" wp14:editId="7CCBF39C">
                  <wp:extent cx="2300457" cy="3341716"/>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blip>
                          <a:stretch>
                            <a:fillRect/>
                          </a:stretch>
                        </pic:blipFill>
                        <pic:spPr>
                          <a:xfrm>
                            <a:off x="0" y="0"/>
                            <a:ext cx="2305187" cy="3348587"/>
                          </a:xfrm>
                          <a:prstGeom prst="rect">
                            <a:avLst/>
                          </a:prstGeom>
                        </pic:spPr>
                      </pic:pic>
                    </a:graphicData>
                  </a:graphic>
                </wp:inline>
              </w:drawing>
            </w:r>
          </w:p>
        </w:tc>
      </w:tr>
    </w:tbl>
    <w:p w:rsidR="00A47CF6" w:rsidRPr="00436D8F" w:rsidRDefault="00A47CF6" w:rsidP="00436D8F">
      <w:r w:rsidRPr="00666DF4">
        <w:t>In New Zealand in each month of 2016, on average, the assessment provisions of the Mental Health Act were applied as follows.</w:t>
      </w:r>
      <w:r w:rsidR="00436D8F">
        <w:rPr>
          <w:rStyle w:val="FootnoteReference"/>
        </w:rPr>
        <w:footnoteReference w:id="12"/>
      </w:r>
    </w:p>
    <w:p w:rsidR="00A47CF6" w:rsidRPr="00666DF4" w:rsidRDefault="00A47CF6" w:rsidP="00A47CF6">
      <w:pPr>
        <w:spacing w:before="2"/>
        <w:rPr>
          <w:rFonts w:ascii="Century" w:eastAsia="Century" w:hAnsi="Century" w:cs="Century"/>
          <w:sz w:val="14"/>
          <w:szCs w:val="14"/>
        </w:rPr>
      </w:pPr>
    </w:p>
    <w:tbl>
      <w:tblPr>
        <w:tblW w:w="0" w:type="auto"/>
        <w:tblInd w:w="170" w:type="dxa"/>
        <w:tblBorders>
          <w:insideH w:val="single" w:sz="36" w:space="0" w:color="FFFFFF"/>
        </w:tblBorders>
        <w:tblLayout w:type="fixed"/>
        <w:tblCellMar>
          <w:left w:w="170" w:type="dxa"/>
          <w:right w:w="170" w:type="dxa"/>
        </w:tblCellMar>
        <w:tblLook w:val="01E0" w:firstRow="1" w:lastRow="1" w:firstColumn="1" w:lastColumn="1" w:noHBand="0" w:noVBand="0"/>
      </w:tblPr>
      <w:tblGrid>
        <w:gridCol w:w="1985"/>
        <w:gridCol w:w="4536"/>
        <w:gridCol w:w="2835"/>
      </w:tblGrid>
      <w:tr w:rsidR="00A47CF6" w:rsidRPr="00666DF4" w:rsidTr="00A42F3A">
        <w:trPr>
          <w:cantSplit/>
        </w:trPr>
        <w:tc>
          <w:tcPr>
            <w:tcW w:w="1985" w:type="dxa"/>
            <w:tcBorders>
              <w:top w:val="nil"/>
              <w:bottom w:val="single" w:sz="36" w:space="0" w:color="FFFFFF"/>
            </w:tcBorders>
            <w:shd w:val="clear" w:color="auto" w:fill="7F7F7F" w:themeFill="text1" w:themeFillTint="80"/>
            <w:vAlign w:val="center"/>
          </w:tcPr>
          <w:p w:rsidR="00A47CF6" w:rsidRPr="00A42F3A" w:rsidRDefault="00A47CF6" w:rsidP="00A42F3A">
            <w:pPr>
              <w:jc w:val="center"/>
              <w:rPr>
                <w:rFonts w:eastAsia="Georgia" w:cs="Georgia"/>
                <w:color w:val="FFFFFF" w:themeColor="background1"/>
              </w:rPr>
            </w:pPr>
            <w:r w:rsidRPr="00A42F3A">
              <w:rPr>
                <w:b/>
                <w:color w:val="FFFFFF" w:themeColor="background1"/>
              </w:rPr>
              <w:t>Section 11</w:t>
            </w:r>
          </w:p>
        </w:tc>
        <w:tc>
          <w:tcPr>
            <w:tcW w:w="4536" w:type="dxa"/>
            <w:tcBorders>
              <w:top w:val="nil"/>
              <w:bottom w:val="single" w:sz="36" w:space="0" w:color="FFFFFF"/>
            </w:tcBorders>
            <w:shd w:val="clear" w:color="auto" w:fill="A6A6A6" w:themeFill="background1" w:themeFillShade="A6"/>
          </w:tcPr>
          <w:p w:rsidR="00A47CF6" w:rsidRPr="00666DF4" w:rsidRDefault="00A47CF6" w:rsidP="00A42F3A">
            <w:pPr>
              <w:spacing w:before="120"/>
              <w:jc w:val="center"/>
              <w:rPr>
                <w:rFonts w:eastAsia="Georgia" w:cs="Georgia"/>
                <w:sz w:val="26"/>
                <w:szCs w:val="26"/>
              </w:rPr>
            </w:pPr>
            <w:r w:rsidRPr="00666DF4">
              <w:rPr>
                <w:b/>
                <w:sz w:val="26"/>
              </w:rPr>
              <w:t>557</w:t>
            </w:r>
          </w:p>
          <w:p w:rsidR="00A47CF6" w:rsidRPr="00666DF4" w:rsidRDefault="00A47CF6" w:rsidP="00A42F3A">
            <w:pPr>
              <w:spacing w:after="120"/>
              <w:jc w:val="center"/>
              <w:rPr>
                <w:rFonts w:eastAsia="Century"/>
              </w:rPr>
            </w:pPr>
            <w:r w:rsidRPr="00666DF4">
              <w:t>people were subject to an initial assessment</w:t>
            </w:r>
          </w:p>
        </w:tc>
        <w:tc>
          <w:tcPr>
            <w:tcW w:w="2835" w:type="dxa"/>
            <w:tcBorders>
              <w:top w:val="nil"/>
              <w:bottom w:val="single" w:sz="36" w:space="0" w:color="FFFFFF"/>
            </w:tcBorders>
            <w:shd w:val="clear" w:color="auto" w:fill="D9D9D9" w:themeFill="background1" w:themeFillShade="D9"/>
          </w:tcPr>
          <w:p w:rsidR="00A47CF6" w:rsidRPr="00666DF4" w:rsidRDefault="00A42F3A" w:rsidP="00A42F3A">
            <w:pPr>
              <w:jc w:val="center"/>
              <w:rPr>
                <w:rFonts w:eastAsia="Century"/>
              </w:rPr>
            </w:pPr>
            <w:r>
              <w:br/>
            </w:r>
            <w:r w:rsidR="00A47CF6" w:rsidRPr="00666DF4">
              <w:t>12 people</w:t>
            </w:r>
            <w:r>
              <w:t xml:space="preserve"> </w:t>
            </w:r>
            <w:r w:rsidR="00A47CF6" w:rsidRPr="00666DF4">
              <w:t>per 100,000 population</w:t>
            </w:r>
          </w:p>
        </w:tc>
      </w:tr>
      <w:tr w:rsidR="00A47CF6" w:rsidRPr="00666DF4" w:rsidTr="00A42F3A">
        <w:trPr>
          <w:cantSplit/>
        </w:trPr>
        <w:tc>
          <w:tcPr>
            <w:tcW w:w="1985" w:type="dxa"/>
            <w:tcBorders>
              <w:top w:val="single" w:sz="36" w:space="0" w:color="FFFFFF"/>
              <w:bottom w:val="single" w:sz="36" w:space="0" w:color="FFFFFF"/>
            </w:tcBorders>
            <w:shd w:val="clear" w:color="auto" w:fill="7F7F7F" w:themeFill="text1" w:themeFillTint="80"/>
            <w:vAlign w:val="center"/>
          </w:tcPr>
          <w:p w:rsidR="00A47CF6" w:rsidRPr="00A42F3A" w:rsidRDefault="00A47CF6" w:rsidP="00A42F3A">
            <w:pPr>
              <w:jc w:val="center"/>
              <w:rPr>
                <w:rFonts w:eastAsia="Georgia" w:cs="Georgia"/>
                <w:color w:val="FFFFFF" w:themeColor="background1"/>
              </w:rPr>
            </w:pPr>
            <w:r w:rsidRPr="00A42F3A">
              <w:rPr>
                <w:b/>
                <w:color w:val="FFFFFF" w:themeColor="background1"/>
              </w:rPr>
              <w:t>Section 13</w:t>
            </w:r>
          </w:p>
        </w:tc>
        <w:tc>
          <w:tcPr>
            <w:tcW w:w="4536" w:type="dxa"/>
            <w:tcBorders>
              <w:top w:val="single" w:sz="36" w:space="0" w:color="FFFFFF"/>
              <w:bottom w:val="single" w:sz="36" w:space="0" w:color="FFFFFF"/>
            </w:tcBorders>
            <w:shd w:val="clear" w:color="auto" w:fill="A6A6A6" w:themeFill="background1" w:themeFillShade="A6"/>
          </w:tcPr>
          <w:p w:rsidR="00A47CF6" w:rsidRPr="00666DF4" w:rsidRDefault="00A47CF6" w:rsidP="00A42F3A">
            <w:pPr>
              <w:spacing w:before="120"/>
              <w:jc w:val="center"/>
              <w:rPr>
                <w:rFonts w:eastAsia="Georgia" w:cs="Georgia"/>
                <w:sz w:val="26"/>
                <w:szCs w:val="26"/>
              </w:rPr>
            </w:pPr>
            <w:r w:rsidRPr="00666DF4">
              <w:rPr>
                <w:b/>
                <w:sz w:val="26"/>
              </w:rPr>
              <w:t>572</w:t>
            </w:r>
          </w:p>
          <w:p w:rsidR="00A47CF6" w:rsidRPr="00666DF4" w:rsidRDefault="00A47CF6" w:rsidP="00A42F3A">
            <w:pPr>
              <w:spacing w:after="120"/>
              <w:jc w:val="center"/>
              <w:rPr>
                <w:rFonts w:eastAsia="Century"/>
              </w:rPr>
            </w:pPr>
            <w:r w:rsidRPr="00666DF4">
              <w:t>people were subject to a second period of assessment</w:t>
            </w:r>
          </w:p>
        </w:tc>
        <w:tc>
          <w:tcPr>
            <w:tcW w:w="2835" w:type="dxa"/>
            <w:tcBorders>
              <w:top w:val="single" w:sz="36" w:space="0" w:color="FFFFFF"/>
              <w:bottom w:val="single" w:sz="36" w:space="0" w:color="FFFFFF"/>
            </w:tcBorders>
            <w:shd w:val="clear" w:color="auto" w:fill="D9D9D9" w:themeFill="background1" w:themeFillShade="D9"/>
          </w:tcPr>
          <w:p w:rsidR="00A47CF6" w:rsidRPr="00666DF4" w:rsidRDefault="00A42F3A" w:rsidP="00A42F3A">
            <w:pPr>
              <w:jc w:val="center"/>
              <w:rPr>
                <w:rFonts w:eastAsia="Century"/>
              </w:rPr>
            </w:pPr>
            <w:r>
              <w:br/>
            </w:r>
            <w:r w:rsidR="00A47CF6" w:rsidRPr="00666DF4">
              <w:t>12 people</w:t>
            </w:r>
            <w:r>
              <w:t xml:space="preserve"> </w:t>
            </w:r>
            <w:r w:rsidR="00A47CF6" w:rsidRPr="00666DF4">
              <w:t>per 100,000 population</w:t>
            </w:r>
          </w:p>
        </w:tc>
      </w:tr>
      <w:tr w:rsidR="00A47CF6" w:rsidRPr="00666DF4" w:rsidTr="00A42F3A">
        <w:trPr>
          <w:cantSplit/>
        </w:trPr>
        <w:tc>
          <w:tcPr>
            <w:tcW w:w="1985" w:type="dxa"/>
            <w:tcBorders>
              <w:top w:val="single" w:sz="36" w:space="0" w:color="FFFFFF"/>
              <w:bottom w:val="nil"/>
            </w:tcBorders>
            <w:shd w:val="clear" w:color="auto" w:fill="7F7F7F" w:themeFill="text1" w:themeFillTint="80"/>
            <w:vAlign w:val="center"/>
          </w:tcPr>
          <w:p w:rsidR="00A47CF6" w:rsidRPr="00A42F3A" w:rsidRDefault="00A47CF6" w:rsidP="00A42F3A">
            <w:pPr>
              <w:jc w:val="center"/>
              <w:rPr>
                <w:rFonts w:eastAsia="Georgia" w:cs="Georgia"/>
                <w:color w:val="FFFFFF" w:themeColor="background1"/>
              </w:rPr>
            </w:pPr>
            <w:r w:rsidRPr="00A42F3A">
              <w:rPr>
                <w:b/>
                <w:color w:val="FFFFFF" w:themeColor="background1"/>
              </w:rPr>
              <w:t>Section 14(4)</w:t>
            </w:r>
          </w:p>
        </w:tc>
        <w:tc>
          <w:tcPr>
            <w:tcW w:w="4536" w:type="dxa"/>
            <w:tcBorders>
              <w:top w:val="single" w:sz="36" w:space="0" w:color="FFFFFF"/>
              <w:bottom w:val="nil"/>
            </w:tcBorders>
            <w:shd w:val="clear" w:color="auto" w:fill="A6A6A6" w:themeFill="background1" w:themeFillShade="A6"/>
          </w:tcPr>
          <w:p w:rsidR="00A47CF6" w:rsidRPr="00666DF4" w:rsidRDefault="00A47CF6" w:rsidP="00A42F3A">
            <w:pPr>
              <w:spacing w:before="120"/>
              <w:jc w:val="center"/>
              <w:rPr>
                <w:rFonts w:eastAsia="Georgia" w:cs="Georgia"/>
                <w:sz w:val="26"/>
                <w:szCs w:val="26"/>
              </w:rPr>
            </w:pPr>
            <w:r w:rsidRPr="00666DF4">
              <w:rPr>
                <w:b/>
                <w:sz w:val="26"/>
              </w:rPr>
              <w:t>402</w:t>
            </w:r>
          </w:p>
          <w:p w:rsidR="00A47CF6" w:rsidRPr="00666DF4" w:rsidRDefault="00A47CF6" w:rsidP="00A42F3A">
            <w:pPr>
              <w:spacing w:after="120"/>
              <w:jc w:val="center"/>
              <w:rPr>
                <w:rFonts w:eastAsia="Century"/>
              </w:rPr>
            </w:pPr>
            <w:r w:rsidRPr="00666DF4">
              <w:t>people were subject to an application for a compulsory treatment order</w:t>
            </w:r>
          </w:p>
        </w:tc>
        <w:tc>
          <w:tcPr>
            <w:tcW w:w="2835" w:type="dxa"/>
            <w:tcBorders>
              <w:top w:val="single" w:sz="36" w:space="0" w:color="FFFFFF"/>
              <w:bottom w:val="nil"/>
            </w:tcBorders>
            <w:shd w:val="clear" w:color="auto" w:fill="D9D9D9" w:themeFill="background1" w:themeFillShade="D9"/>
          </w:tcPr>
          <w:p w:rsidR="00A47CF6" w:rsidRPr="00666DF4" w:rsidRDefault="00A42F3A" w:rsidP="00A42F3A">
            <w:pPr>
              <w:jc w:val="center"/>
              <w:rPr>
                <w:rFonts w:eastAsia="Century"/>
              </w:rPr>
            </w:pPr>
            <w:r>
              <w:br/>
            </w:r>
            <w:r w:rsidR="00A47CF6" w:rsidRPr="00666DF4">
              <w:t>9 people</w:t>
            </w:r>
            <w:r>
              <w:t xml:space="preserve"> </w:t>
            </w:r>
            <w:r w:rsidR="00A47CF6" w:rsidRPr="00666DF4">
              <w:t>per 100,000 population</w:t>
            </w:r>
          </w:p>
        </w:tc>
      </w:tr>
    </w:tbl>
    <w:p w:rsidR="00A47CF6" w:rsidRPr="00666DF4" w:rsidRDefault="00A47CF6" w:rsidP="00A42F3A">
      <w:pPr>
        <w:rPr>
          <w:rFonts w:eastAsia="Century"/>
        </w:rPr>
      </w:pPr>
    </w:p>
    <w:p w:rsidR="00A47CF6" w:rsidRPr="00A42F3A" w:rsidRDefault="00A47CF6" w:rsidP="00A42F3A">
      <w:pPr>
        <w:keepNext/>
      </w:pPr>
      <w:r w:rsidRPr="00666DF4">
        <w:t>In New Zealand on a given day in 2016, on average, the treatment provisions of the Mental Health Act were applied as follows.</w:t>
      </w:r>
      <w:r w:rsidR="00A42F3A">
        <w:rPr>
          <w:rStyle w:val="FootnoteReference"/>
        </w:rPr>
        <w:footnoteReference w:id="13"/>
      </w:r>
    </w:p>
    <w:p w:rsidR="00A47CF6" w:rsidRPr="00666DF4" w:rsidRDefault="00A47CF6" w:rsidP="00A42F3A">
      <w:pPr>
        <w:keepNext/>
        <w:rPr>
          <w:rFonts w:eastAsia="Century"/>
        </w:rPr>
      </w:pPr>
    </w:p>
    <w:tbl>
      <w:tblPr>
        <w:tblW w:w="0" w:type="auto"/>
        <w:tblInd w:w="170" w:type="dxa"/>
        <w:tblBorders>
          <w:insideH w:val="single" w:sz="36" w:space="0" w:color="FFFFFF"/>
        </w:tblBorders>
        <w:tblLayout w:type="fixed"/>
        <w:tblCellMar>
          <w:left w:w="170" w:type="dxa"/>
          <w:right w:w="170" w:type="dxa"/>
        </w:tblCellMar>
        <w:tblLook w:val="01E0" w:firstRow="1" w:lastRow="1" w:firstColumn="1" w:lastColumn="1" w:noHBand="0" w:noVBand="0"/>
      </w:tblPr>
      <w:tblGrid>
        <w:gridCol w:w="1985"/>
        <w:gridCol w:w="4536"/>
        <w:gridCol w:w="2835"/>
      </w:tblGrid>
      <w:tr w:rsidR="00A47CF6" w:rsidRPr="00666DF4" w:rsidTr="00A42F3A">
        <w:trPr>
          <w:cantSplit/>
        </w:trPr>
        <w:tc>
          <w:tcPr>
            <w:tcW w:w="1985" w:type="dxa"/>
            <w:tcBorders>
              <w:top w:val="nil"/>
              <w:bottom w:val="single" w:sz="36" w:space="0" w:color="FFFFFF"/>
            </w:tcBorders>
            <w:shd w:val="clear" w:color="auto" w:fill="7F7F7F" w:themeFill="text1" w:themeFillTint="80"/>
            <w:vAlign w:val="center"/>
          </w:tcPr>
          <w:p w:rsidR="00A47CF6" w:rsidRPr="00A42F3A" w:rsidRDefault="00A47CF6" w:rsidP="00A42F3A">
            <w:pPr>
              <w:keepNext/>
              <w:jc w:val="center"/>
              <w:rPr>
                <w:rFonts w:eastAsia="Georgia" w:cs="Georgia"/>
                <w:color w:val="FFFFFF" w:themeColor="background1"/>
                <w:szCs w:val="22"/>
              </w:rPr>
            </w:pPr>
            <w:r w:rsidRPr="00A42F3A">
              <w:rPr>
                <w:b/>
                <w:color w:val="FFFFFF" w:themeColor="background1"/>
                <w:szCs w:val="22"/>
              </w:rPr>
              <w:t>Section 29</w:t>
            </w:r>
          </w:p>
        </w:tc>
        <w:tc>
          <w:tcPr>
            <w:tcW w:w="4536" w:type="dxa"/>
            <w:tcBorders>
              <w:top w:val="nil"/>
              <w:bottom w:val="single" w:sz="36" w:space="0" w:color="FFFFFF"/>
            </w:tcBorders>
            <w:shd w:val="clear" w:color="auto" w:fill="A6A6A6" w:themeFill="background1" w:themeFillShade="A6"/>
          </w:tcPr>
          <w:p w:rsidR="00A47CF6" w:rsidRPr="00A42F3A" w:rsidRDefault="00A47CF6" w:rsidP="00A42F3A">
            <w:pPr>
              <w:keepNext/>
              <w:spacing w:before="120"/>
              <w:jc w:val="center"/>
              <w:rPr>
                <w:rFonts w:eastAsia="Georgia" w:cs="Georgia"/>
                <w:b/>
                <w:sz w:val="26"/>
                <w:szCs w:val="26"/>
              </w:rPr>
            </w:pPr>
            <w:r w:rsidRPr="00A42F3A">
              <w:rPr>
                <w:b/>
                <w:sz w:val="26"/>
                <w:szCs w:val="26"/>
              </w:rPr>
              <w:t>4,085</w:t>
            </w:r>
          </w:p>
          <w:p w:rsidR="00A47CF6" w:rsidRPr="00666DF4" w:rsidRDefault="00A47CF6" w:rsidP="00A42F3A">
            <w:pPr>
              <w:keepNext/>
              <w:spacing w:after="120"/>
              <w:jc w:val="center"/>
              <w:rPr>
                <w:rFonts w:ascii="Century" w:eastAsia="Century" w:hAnsi="Century" w:cs="Century"/>
                <w:sz w:val="20"/>
              </w:rPr>
            </w:pPr>
            <w:r w:rsidRPr="00666DF4">
              <w:rPr>
                <w:rFonts w:ascii="Century"/>
                <w:sz w:val="20"/>
              </w:rPr>
              <w:t>people were subject to a community treatment order</w:t>
            </w:r>
          </w:p>
        </w:tc>
        <w:tc>
          <w:tcPr>
            <w:tcW w:w="2835" w:type="dxa"/>
            <w:tcBorders>
              <w:top w:val="nil"/>
              <w:bottom w:val="single" w:sz="36" w:space="0" w:color="FFFFFF"/>
            </w:tcBorders>
            <w:shd w:val="clear" w:color="auto" w:fill="D9D9D9" w:themeFill="background1" w:themeFillShade="D9"/>
          </w:tcPr>
          <w:p w:rsidR="00A47CF6" w:rsidRPr="00666DF4" w:rsidRDefault="00A42F3A" w:rsidP="00A42F3A">
            <w:pPr>
              <w:keepNext/>
              <w:jc w:val="center"/>
              <w:rPr>
                <w:rFonts w:eastAsia="Century" w:hAnsi="Century" w:cs="Century"/>
              </w:rPr>
            </w:pPr>
            <w:r>
              <w:br/>
            </w:r>
            <w:r w:rsidR="00A47CF6" w:rsidRPr="00666DF4">
              <w:t>87 people</w:t>
            </w:r>
            <w:r>
              <w:t xml:space="preserve"> </w:t>
            </w:r>
            <w:r w:rsidR="00A47CF6" w:rsidRPr="00666DF4">
              <w:t>per 100,000 population</w:t>
            </w:r>
          </w:p>
        </w:tc>
      </w:tr>
      <w:tr w:rsidR="00A47CF6" w:rsidRPr="00666DF4" w:rsidTr="00A42F3A">
        <w:trPr>
          <w:cantSplit/>
        </w:trPr>
        <w:tc>
          <w:tcPr>
            <w:tcW w:w="1985" w:type="dxa"/>
            <w:tcBorders>
              <w:top w:val="single" w:sz="36" w:space="0" w:color="FFFFFF"/>
              <w:bottom w:val="single" w:sz="36" w:space="0" w:color="FFFFFF"/>
            </w:tcBorders>
            <w:shd w:val="clear" w:color="auto" w:fill="7F7F7F" w:themeFill="text1" w:themeFillTint="80"/>
            <w:vAlign w:val="center"/>
          </w:tcPr>
          <w:p w:rsidR="00A47CF6" w:rsidRPr="00A42F3A" w:rsidRDefault="00A47CF6" w:rsidP="00A42F3A">
            <w:pPr>
              <w:jc w:val="center"/>
              <w:rPr>
                <w:rFonts w:eastAsia="Georgia" w:cs="Georgia"/>
                <w:color w:val="FFFFFF" w:themeColor="background1"/>
                <w:szCs w:val="22"/>
              </w:rPr>
            </w:pPr>
            <w:r w:rsidRPr="00A42F3A">
              <w:rPr>
                <w:b/>
                <w:color w:val="FFFFFF" w:themeColor="background1"/>
                <w:szCs w:val="22"/>
              </w:rPr>
              <w:t>Section 30</w:t>
            </w:r>
          </w:p>
        </w:tc>
        <w:tc>
          <w:tcPr>
            <w:tcW w:w="4536" w:type="dxa"/>
            <w:tcBorders>
              <w:top w:val="single" w:sz="36" w:space="0" w:color="FFFFFF"/>
              <w:bottom w:val="single" w:sz="36" w:space="0" w:color="FFFFFF"/>
            </w:tcBorders>
            <w:shd w:val="clear" w:color="auto" w:fill="A6A6A6" w:themeFill="background1" w:themeFillShade="A6"/>
          </w:tcPr>
          <w:p w:rsidR="00A47CF6" w:rsidRPr="00A42F3A" w:rsidRDefault="00A47CF6" w:rsidP="00A42F3A">
            <w:pPr>
              <w:spacing w:before="120"/>
              <w:jc w:val="center"/>
              <w:rPr>
                <w:rFonts w:eastAsia="Georgia" w:cs="Georgia"/>
                <w:b/>
                <w:sz w:val="26"/>
                <w:szCs w:val="26"/>
              </w:rPr>
            </w:pPr>
            <w:r w:rsidRPr="00A42F3A">
              <w:rPr>
                <w:b/>
                <w:sz w:val="26"/>
                <w:szCs w:val="26"/>
              </w:rPr>
              <w:t>589</w:t>
            </w:r>
          </w:p>
          <w:p w:rsidR="00A47CF6" w:rsidRPr="00666DF4" w:rsidRDefault="00A47CF6" w:rsidP="00A42F3A">
            <w:pPr>
              <w:spacing w:after="120"/>
              <w:jc w:val="center"/>
              <w:rPr>
                <w:rFonts w:ascii="Century" w:eastAsia="Century" w:hAnsi="Century" w:cs="Century"/>
                <w:sz w:val="20"/>
              </w:rPr>
            </w:pPr>
            <w:r w:rsidRPr="00666DF4">
              <w:rPr>
                <w:rFonts w:ascii="Century"/>
                <w:sz w:val="20"/>
              </w:rPr>
              <w:t>people were subject to an inpatient treatment order</w:t>
            </w:r>
          </w:p>
        </w:tc>
        <w:tc>
          <w:tcPr>
            <w:tcW w:w="2835" w:type="dxa"/>
            <w:tcBorders>
              <w:top w:val="single" w:sz="36" w:space="0" w:color="FFFFFF"/>
              <w:bottom w:val="single" w:sz="36" w:space="0" w:color="FFFFFF"/>
            </w:tcBorders>
            <w:shd w:val="clear" w:color="auto" w:fill="D9D9D9" w:themeFill="background1" w:themeFillShade="D9"/>
          </w:tcPr>
          <w:p w:rsidR="00A47CF6" w:rsidRPr="00666DF4" w:rsidRDefault="00A42F3A" w:rsidP="00A42F3A">
            <w:pPr>
              <w:jc w:val="center"/>
              <w:rPr>
                <w:rFonts w:eastAsia="Century" w:hAnsi="Century" w:cs="Century"/>
              </w:rPr>
            </w:pPr>
            <w:r>
              <w:br/>
            </w:r>
            <w:r w:rsidR="00A47CF6" w:rsidRPr="00666DF4">
              <w:t>12 people</w:t>
            </w:r>
            <w:r>
              <w:t xml:space="preserve"> </w:t>
            </w:r>
            <w:r w:rsidR="00A47CF6" w:rsidRPr="00666DF4">
              <w:t>per 100,000 population</w:t>
            </w:r>
          </w:p>
        </w:tc>
      </w:tr>
      <w:tr w:rsidR="00A47CF6" w:rsidRPr="00666DF4" w:rsidTr="00A42F3A">
        <w:trPr>
          <w:cantSplit/>
        </w:trPr>
        <w:tc>
          <w:tcPr>
            <w:tcW w:w="1985" w:type="dxa"/>
            <w:tcBorders>
              <w:top w:val="single" w:sz="36" w:space="0" w:color="FFFFFF"/>
              <w:bottom w:val="nil"/>
            </w:tcBorders>
            <w:shd w:val="clear" w:color="auto" w:fill="7F7F7F" w:themeFill="text1" w:themeFillTint="80"/>
            <w:vAlign w:val="center"/>
          </w:tcPr>
          <w:p w:rsidR="00A47CF6" w:rsidRPr="00A42F3A" w:rsidRDefault="00A47CF6" w:rsidP="00A42F3A">
            <w:pPr>
              <w:jc w:val="center"/>
              <w:rPr>
                <w:rFonts w:eastAsia="Georgia" w:cs="Georgia"/>
                <w:color w:val="FFFFFF" w:themeColor="background1"/>
                <w:szCs w:val="22"/>
              </w:rPr>
            </w:pPr>
            <w:r w:rsidRPr="00A42F3A">
              <w:rPr>
                <w:b/>
                <w:color w:val="FFFFFF" w:themeColor="background1"/>
                <w:szCs w:val="22"/>
              </w:rPr>
              <w:t>Section 31</w:t>
            </w:r>
          </w:p>
        </w:tc>
        <w:tc>
          <w:tcPr>
            <w:tcW w:w="4536" w:type="dxa"/>
            <w:tcBorders>
              <w:top w:val="single" w:sz="36" w:space="0" w:color="FFFFFF"/>
              <w:bottom w:val="nil"/>
            </w:tcBorders>
            <w:shd w:val="clear" w:color="auto" w:fill="A6A6A6" w:themeFill="background1" w:themeFillShade="A6"/>
          </w:tcPr>
          <w:p w:rsidR="00A47CF6" w:rsidRPr="00A42F3A" w:rsidRDefault="00A47CF6" w:rsidP="00A42F3A">
            <w:pPr>
              <w:spacing w:before="120"/>
              <w:jc w:val="center"/>
              <w:rPr>
                <w:rFonts w:eastAsia="Georgia" w:cs="Georgia"/>
                <w:b/>
                <w:sz w:val="26"/>
                <w:szCs w:val="26"/>
              </w:rPr>
            </w:pPr>
            <w:r w:rsidRPr="00A42F3A">
              <w:rPr>
                <w:b/>
                <w:sz w:val="26"/>
                <w:szCs w:val="26"/>
              </w:rPr>
              <w:t>157</w:t>
            </w:r>
          </w:p>
          <w:p w:rsidR="00A47CF6" w:rsidRPr="00666DF4" w:rsidRDefault="00A47CF6" w:rsidP="00A42F3A">
            <w:pPr>
              <w:spacing w:after="120"/>
              <w:jc w:val="center"/>
              <w:rPr>
                <w:rFonts w:ascii="Century" w:eastAsia="Century" w:hAnsi="Century" w:cs="Century"/>
                <w:sz w:val="20"/>
              </w:rPr>
            </w:pPr>
            <w:r w:rsidRPr="00666DF4">
              <w:rPr>
                <w:rFonts w:ascii="Century"/>
                <w:sz w:val="20"/>
              </w:rPr>
              <w:t>people were on temporary leave from an inpatient unit</w:t>
            </w:r>
          </w:p>
        </w:tc>
        <w:tc>
          <w:tcPr>
            <w:tcW w:w="2835" w:type="dxa"/>
            <w:tcBorders>
              <w:top w:val="single" w:sz="36" w:space="0" w:color="FFFFFF"/>
              <w:bottom w:val="nil"/>
            </w:tcBorders>
            <w:shd w:val="clear" w:color="auto" w:fill="D9D9D9" w:themeFill="background1" w:themeFillShade="D9"/>
          </w:tcPr>
          <w:p w:rsidR="00A47CF6" w:rsidRPr="00666DF4" w:rsidRDefault="00A42F3A" w:rsidP="00A42F3A">
            <w:pPr>
              <w:jc w:val="center"/>
              <w:rPr>
                <w:rFonts w:eastAsia="Century" w:hAnsi="Century" w:cs="Century"/>
              </w:rPr>
            </w:pPr>
            <w:r>
              <w:br/>
            </w:r>
            <w:r w:rsidR="00A47CF6" w:rsidRPr="00666DF4">
              <w:t>3 people</w:t>
            </w:r>
            <w:r>
              <w:t xml:space="preserve"> </w:t>
            </w:r>
            <w:r w:rsidR="00A47CF6" w:rsidRPr="00666DF4">
              <w:t>per 100,000 population</w:t>
            </w:r>
          </w:p>
        </w:tc>
      </w:tr>
    </w:tbl>
    <w:p w:rsidR="00A47CF6" w:rsidRPr="00666DF4" w:rsidRDefault="00A47CF6" w:rsidP="00A42F3A">
      <w:pPr>
        <w:rPr>
          <w:rFonts w:eastAsia="Century"/>
        </w:rPr>
      </w:pPr>
    </w:p>
    <w:p w:rsidR="00A47CF6" w:rsidRPr="00BF25EC" w:rsidRDefault="00A47CF6" w:rsidP="00A42F3A">
      <w:pPr>
        <w:pStyle w:val="Heading4"/>
        <w:rPr>
          <w:bCs/>
        </w:rPr>
      </w:pPr>
      <w:r w:rsidRPr="00BF25EC">
        <w:t>Compulsory assessment and treatment by district health board</w:t>
      </w:r>
    </w:p>
    <w:p w:rsidR="00A47CF6" w:rsidRPr="00666DF4" w:rsidRDefault="00A47CF6" w:rsidP="00A42F3A">
      <w:r w:rsidRPr="00666DF4">
        <w:t>Table 2 shows the average number of people per month in 2016 who were required to undergo assessment under the Mental Health Act, by DHB. Table 3 shows the average number of people subject to a compulsory treatment order on a given day in 2016, again by DHB. The figures that follow also present the average number of people subject to a compulsory treatment order on a given day, but focus specifically on community treatment orders (Figure 7) and inpatient treatment orders (Figure 8) respectively.</w:t>
      </w:r>
    </w:p>
    <w:p w:rsidR="00A47CF6" w:rsidRPr="00666DF4" w:rsidRDefault="00A47CF6" w:rsidP="00A42F3A">
      <w:pPr>
        <w:rPr>
          <w:rFonts w:eastAsia="Century"/>
        </w:rPr>
      </w:pPr>
    </w:p>
    <w:p w:rsidR="00A47CF6" w:rsidRDefault="00A47CF6" w:rsidP="00A42F3A">
      <w:pPr>
        <w:pStyle w:val="Table"/>
      </w:pPr>
      <w:bookmarkStart w:id="85" w:name="Table_2:_Average_number_of_people_per_10"/>
      <w:bookmarkStart w:id="86" w:name="Table_3:_Average_number_of_people_per_10"/>
      <w:bookmarkStart w:id="87" w:name="_bookmark17"/>
      <w:bookmarkStart w:id="88" w:name="_Toc508707300"/>
      <w:bookmarkEnd w:id="85"/>
      <w:bookmarkEnd w:id="86"/>
      <w:bookmarkEnd w:id="87"/>
      <w:r w:rsidRPr="00666DF4">
        <w:t>Table 2: Average number of people per 100,000 per month required to undergo assessment under sections 11, 13 and 14(4) of the Mental Health Act, by DHB, 1 January to 31</w:t>
      </w:r>
      <w:r w:rsidR="00A42F3A">
        <w:t> </w:t>
      </w:r>
      <w:r w:rsidRPr="00666DF4">
        <w:t>December 2016</w:t>
      </w:r>
      <w:bookmarkEnd w:id="88"/>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43"/>
        <w:gridCol w:w="897"/>
        <w:gridCol w:w="898"/>
        <w:gridCol w:w="898"/>
        <w:gridCol w:w="426"/>
        <w:gridCol w:w="1701"/>
        <w:gridCol w:w="897"/>
        <w:gridCol w:w="898"/>
        <w:gridCol w:w="898"/>
      </w:tblGrid>
      <w:tr w:rsidR="00F316DE" w:rsidRPr="00A42F3A" w:rsidTr="00F316DE">
        <w:trPr>
          <w:cantSplit/>
          <w:trHeight w:val="327"/>
        </w:trPr>
        <w:tc>
          <w:tcPr>
            <w:tcW w:w="1843" w:type="dxa"/>
            <w:tcBorders>
              <w:top w:val="single" w:sz="4" w:space="0" w:color="auto"/>
              <w:bottom w:val="single" w:sz="4" w:space="0" w:color="auto"/>
            </w:tcBorders>
          </w:tcPr>
          <w:p w:rsidR="00F316DE" w:rsidRPr="00A42F3A" w:rsidRDefault="00F316DE" w:rsidP="00A42F3A">
            <w:pPr>
              <w:pStyle w:val="TableText"/>
              <w:rPr>
                <w:b/>
                <w:szCs w:val="18"/>
              </w:rPr>
            </w:pPr>
            <w:r w:rsidRPr="00A42F3A">
              <w:rPr>
                <w:b/>
                <w:szCs w:val="18"/>
              </w:rPr>
              <w:t>DHB</w:t>
            </w:r>
          </w:p>
        </w:tc>
        <w:tc>
          <w:tcPr>
            <w:tcW w:w="897" w:type="dxa"/>
            <w:tcBorders>
              <w:top w:val="single" w:sz="4" w:space="0" w:color="auto"/>
              <w:bottom w:val="single" w:sz="4" w:space="0" w:color="auto"/>
            </w:tcBorders>
          </w:tcPr>
          <w:p w:rsidR="00F316DE" w:rsidRPr="00A42F3A" w:rsidRDefault="00F316DE" w:rsidP="00F316DE">
            <w:pPr>
              <w:pStyle w:val="TableText"/>
              <w:tabs>
                <w:tab w:val="left" w:pos="772"/>
              </w:tabs>
              <w:jc w:val="center"/>
              <w:rPr>
                <w:b/>
                <w:szCs w:val="18"/>
              </w:rPr>
            </w:pPr>
            <w:r w:rsidRPr="00A42F3A">
              <w:rPr>
                <w:b/>
                <w:szCs w:val="18"/>
              </w:rPr>
              <w:t>s 11</w:t>
            </w:r>
          </w:p>
        </w:tc>
        <w:tc>
          <w:tcPr>
            <w:tcW w:w="898" w:type="dxa"/>
            <w:tcBorders>
              <w:top w:val="single" w:sz="4" w:space="0" w:color="auto"/>
              <w:bottom w:val="single" w:sz="4" w:space="0" w:color="auto"/>
            </w:tcBorders>
          </w:tcPr>
          <w:p w:rsidR="00F316DE" w:rsidRPr="00A42F3A" w:rsidRDefault="00F316DE" w:rsidP="00F316DE">
            <w:pPr>
              <w:pStyle w:val="TableText"/>
              <w:jc w:val="center"/>
              <w:rPr>
                <w:rFonts w:eastAsia="Arial" w:cs="Arial"/>
                <w:b/>
                <w:szCs w:val="18"/>
              </w:rPr>
            </w:pPr>
            <w:r>
              <w:rPr>
                <w:b/>
                <w:szCs w:val="18"/>
              </w:rPr>
              <w:t>s 13</w:t>
            </w:r>
          </w:p>
        </w:tc>
        <w:tc>
          <w:tcPr>
            <w:tcW w:w="898" w:type="dxa"/>
            <w:tcBorders>
              <w:top w:val="single" w:sz="4" w:space="0" w:color="auto"/>
              <w:bottom w:val="single" w:sz="4" w:space="0" w:color="auto"/>
            </w:tcBorders>
          </w:tcPr>
          <w:p w:rsidR="00F316DE" w:rsidRPr="00A42F3A" w:rsidRDefault="00F316DE" w:rsidP="00F316DE">
            <w:pPr>
              <w:pStyle w:val="TableText"/>
              <w:jc w:val="center"/>
              <w:rPr>
                <w:rFonts w:eastAsia="Arial" w:cs="Arial"/>
                <w:b/>
                <w:szCs w:val="18"/>
              </w:rPr>
            </w:pPr>
            <w:r w:rsidRPr="00A42F3A">
              <w:rPr>
                <w:b/>
                <w:szCs w:val="18"/>
              </w:rPr>
              <w:t>s 14(4)</w:t>
            </w:r>
          </w:p>
        </w:tc>
        <w:tc>
          <w:tcPr>
            <w:tcW w:w="426" w:type="dxa"/>
            <w:tcBorders>
              <w:top w:val="nil"/>
              <w:bottom w:val="nil"/>
            </w:tcBorders>
          </w:tcPr>
          <w:p w:rsidR="00F316DE" w:rsidRPr="00A42F3A" w:rsidRDefault="00F316DE" w:rsidP="00A42F3A">
            <w:pPr>
              <w:pStyle w:val="TableText"/>
              <w:rPr>
                <w:rFonts w:eastAsia="Arial" w:cs="Arial"/>
                <w:b/>
                <w:szCs w:val="19"/>
              </w:rPr>
            </w:pPr>
          </w:p>
        </w:tc>
        <w:tc>
          <w:tcPr>
            <w:tcW w:w="1701" w:type="dxa"/>
            <w:tcBorders>
              <w:top w:val="single" w:sz="4" w:space="0" w:color="auto"/>
              <w:bottom w:val="single" w:sz="4" w:space="0" w:color="auto"/>
            </w:tcBorders>
          </w:tcPr>
          <w:p w:rsidR="00F316DE" w:rsidRPr="00A42F3A" w:rsidRDefault="00F316DE" w:rsidP="00A42F3A">
            <w:pPr>
              <w:pStyle w:val="TableText"/>
              <w:rPr>
                <w:b/>
              </w:rPr>
            </w:pPr>
            <w:r>
              <w:rPr>
                <w:b/>
              </w:rPr>
              <w:t>DHB</w:t>
            </w:r>
          </w:p>
        </w:tc>
        <w:tc>
          <w:tcPr>
            <w:tcW w:w="897" w:type="dxa"/>
            <w:tcBorders>
              <w:top w:val="single" w:sz="4" w:space="0" w:color="auto"/>
              <w:bottom w:val="single" w:sz="4" w:space="0" w:color="auto"/>
            </w:tcBorders>
          </w:tcPr>
          <w:p w:rsidR="00F316DE" w:rsidRPr="00A42F3A" w:rsidRDefault="00F316DE" w:rsidP="00F316DE">
            <w:pPr>
              <w:pStyle w:val="TableText"/>
              <w:jc w:val="center"/>
              <w:rPr>
                <w:b/>
              </w:rPr>
            </w:pPr>
            <w:r w:rsidRPr="00A42F3A">
              <w:rPr>
                <w:rFonts w:eastAsia="Arial" w:cs="Arial"/>
                <w:b/>
                <w:szCs w:val="19"/>
              </w:rPr>
              <w:t>s</w:t>
            </w:r>
            <w:r w:rsidRPr="00A42F3A">
              <w:rPr>
                <w:b/>
              </w:rPr>
              <w:t xml:space="preserve"> 11</w:t>
            </w:r>
          </w:p>
        </w:tc>
        <w:tc>
          <w:tcPr>
            <w:tcW w:w="898" w:type="dxa"/>
            <w:tcBorders>
              <w:top w:val="single" w:sz="4" w:space="0" w:color="auto"/>
              <w:bottom w:val="single" w:sz="4" w:space="0" w:color="auto"/>
            </w:tcBorders>
          </w:tcPr>
          <w:p w:rsidR="00F316DE" w:rsidRPr="00A42F3A" w:rsidRDefault="00F316DE" w:rsidP="00F316DE">
            <w:pPr>
              <w:pStyle w:val="TableText"/>
              <w:jc w:val="center"/>
              <w:rPr>
                <w:rFonts w:eastAsia="Arial" w:cs="Arial"/>
                <w:b/>
                <w:szCs w:val="19"/>
              </w:rPr>
            </w:pPr>
            <w:r w:rsidRPr="00A42F3A">
              <w:rPr>
                <w:b/>
              </w:rPr>
              <w:t>s 13</w:t>
            </w:r>
          </w:p>
        </w:tc>
        <w:tc>
          <w:tcPr>
            <w:tcW w:w="898" w:type="dxa"/>
            <w:tcBorders>
              <w:top w:val="single" w:sz="4" w:space="0" w:color="auto"/>
              <w:bottom w:val="single" w:sz="4" w:space="0" w:color="auto"/>
            </w:tcBorders>
          </w:tcPr>
          <w:p w:rsidR="00F316DE" w:rsidRPr="00A42F3A" w:rsidRDefault="00F316DE" w:rsidP="00F316DE">
            <w:pPr>
              <w:pStyle w:val="TableText"/>
              <w:jc w:val="center"/>
              <w:rPr>
                <w:rFonts w:eastAsia="Arial" w:cs="Arial"/>
                <w:b/>
                <w:szCs w:val="19"/>
              </w:rPr>
            </w:pPr>
            <w:r w:rsidRPr="00A42F3A">
              <w:rPr>
                <w:b/>
              </w:rPr>
              <w:t>s 14(4)</w:t>
            </w:r>
          </w:p>
        </w:tc>
      </w:tr>
      <w:tr w:rsidR="00F316DE" w:rsidRPr="00A42F3A" w:rsidTr="00F316DE">
        <w:trPr>
          <w:cantSplit/>
          <w:trHeight w:val="327"/>
        </w:trPr>
        <w:tc>
          <w:tcPr>
            <w:tcW w:w="1843" w:type="dxa"/>
            <w:tcBorders>
              <w:top w:val="single" w:sz="4" w:space="0" w:color="auto"/>
            </w:tcBorders>
          </w:tcPr>
          <w:p w:rsidR="00F316DE" w:rsidRPr="00A42F3A" w:rsidRDefault="00F316DE" w:rsidP="00A42F3A">
            <w:pPr>
              <w:pStyle w:val="TableText"/>
              <w:rPr>
                <w:szCs w:val="18"/>
              </w:rPr>
            </w:pPr>
            <w:r w:rsidRPr="00A42F3A">
              <w:rPr>
                <w:szCs w:val="18"/>
              </w:rPr>
              <w:t>Auckland</w:t>
            </w:r>
          </w:p>
        </w:tc>
        <w:tc>
          <w:tcPr>
            <w:tcW w:w="897" w:type="dxa"/>
            <w:tcBorders>
              <w:top w:val="single" w:sz="4" w:space="0" w:color="auto"/>
            </w:tcBorders>
          </w:tcPr>
          <w:p w:rsidR="00F316DE" w:rsidRPr="00A42F3A" w:rsidRDefault="00F316DE" w:rsidP="00F316DE">
            <w:pPr>
              <w:pStyle w:val="TableText"/>
              <w:tabs>
                <w:tab w:val="decimal" w:pos="496"/>
              </w:tabs>
              <w:rPr>
                <w:szCs w:val="18"/>
              </w:rPr>
            </w:pPr>
            <w:r w:rsidRPr="00A42F3A">
              <w:rPr>
                <w:szCs w:val="18"/>
              </w:rPr>
              <w:t>14</w:t>
            </w:r>
          </w:p>
        </w:tc>
        <w:tc>
          <w:tcPr>
            <w:tcW w:w="898" w:type="dxa"/>
            <w:tcBorders>
              <w:top w:val="single" w:sz="4" w:space="0" w:color="auto"/>
            </w:tcBorders>
          </w:tcPr>
          <w:p w:rsidR="00F316DE" w:rsidRPr="00A42F3A" w:rsidRDefault="00F316DE" w:rsidP="00F316DE">
            <w:pPr>
              <w:pStyle w:val="TableText"/>
              <w:tabs>
                <w:tab w:val="decimal" w:pos="496"/>
              </w:tabs>
              <w:rPr>
                <w:szCs w:val="18"/>
              </w:rPr>
            </w:pPr>
            <w:r w:rsidRPr="00A42F3A">
              <w:rPr>
                <w:szCs w:val="18"/>
              </w:rPr>
              <w:t>17</w:t>
            </w:r>
          </w:p>
        </w:tc>
        <w:tc>
          <w:tcPr>
            <w:tcW w:w="898" w:type="dxa"/>
            <w:tcBorders>
              <w:top w:val="single" w:sz="4" w:space="0" w:color="auto"/>
            </w:tcBorders>
          </w:tcPr>
          <w:p w:rsidR="00F316DE" w:rsidRPr="00A42F3A" w:rsidRDefault="00F316DE" w:rsidP="00F316DE">
            <w:pPr>
              <w:pStyle w:val="TableText"/>
              <w:tabs>
                <w:tab w:val="decimal" w:pos="496"/>
              </w:tabs>
              <w:rPr>
                <w:rFonts w:eastAsia="Arial" w:cs="Arial"/>
                <w:szCs w:val="18"/>
              </w:rPr>
            </w:pPr>
            <w:r w:rsidRPr="00A42F3A">
              <w:rPr>
                <w:szCs w:val="18"/>
              </w:rPr>
              <w:t>13</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Borders>
              <w:top w:val="single" w:sz="4" w:space="0" w:color="auto"/>
            </w:tcBorders>
          </w:tcPr>
          <w:p w:rsidR="00F316DE" w:rsidRPr="00A42F3A" w:rsidRDefault="00F316DE" w:rsidP="00A42F3A">
            <w:pPr>
              <w:pStyle w:val="TableText"/>
              <w:rPr>
                <w:rFonts w:eastAsia="Arial" w:cs="Arial"/>
                <w:szCs w:val="19"/>
              </w:rPr>
            </w:pPr>
            <w:r w:rsidRPr="00A42F3A">
              <w:t>Northland</w:t>
            </w:r>
          </w:p>
        </w:tc>
        <w:tc>
          <w:tcPr>
            <w:tcW w:w="897" w:type="dxa"/>
            <w:tcBorders>
              <w:top w:val="single" w:sz="4" w:space="0" w:color="auto"/>
            </w:tcBorders>
          </w:tcPr>
          <w:p w:rsidR="00F316DE" w:rsidRPr="00A42F3A" w:rsidRDefault="00F316DE" w:rsidP="00F316DE">
            <w:pPr>
              <w:pStyle w:val="TableText"/>
              <w:tabs>
                <w:tab w:val="decimal" w:pos="480"/>
              </w:tabs>
            </w:pPr>
            <w:r w:rsidRPr="00A42F3A">
              <w:t>14</w:t>
            </w:r>
          </w:p>
        </w:tc>
        <w:tc>
          <w:tcPr>
            <w:tcW w:w="898" w:type="dxa"/>
            <w:tcBorders>
              <w:top w:val="single" w:sz="4" w:space="0" w:color="auto"/>
            </w:tcBorders>
          </w:tcPr>
          <w:p w:rsidR="00F316DE" w:rsidRPr="00A42F3A" w:rsidRDefault="00F316DE" w:rsidP="00F316DE">
            <w:pPr>
              <w:pStyle w:val="TableText"/>
              <w:tabs>
                <w:tab w:val="decimal" w:pos="480"/>
              </w:tabs>
            </w:pPr>
            <w:r w:rsidRPr="00A42F3A">
              <w:t>18</w:t>
            </w:r>
          </w:p>
        </w:tc>
        <w:tc>
          <w:tcPr>
            <w:tcW w:w="898" w:type="dxa"/>
            <w:tcBorders>
              <w:top w:val="single" w:sz="4" w:space="0" w:color="auto"/>
            </w:tcBorders>
          </w:tcPr>
          <w:p w:rsidR="00F316DE" w:rsidRPr="00A42F3A" w:rsidRDefault="00F316DE" w:rsidP="00F316DE">
            <w:pPr>
              <w:pStyle w:val="TableText"/>
              <w:tabs>
                <w:tab w:val="decimal" w:pos="480"/>
              </w:tabs>
              <w:rPr>
                <w:rFonts w:eastAsia="Arial" w:cs="Arial"/>
                <w:szCs w:val="19"/>
              </w:rPr>
            </w:pPr>
            <w:r w:rsidRPr="00A42F3A">
              <w:t>14</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Bay of Plenty</w:t>
            </w:r>
          </w:p>
        </w:tc>
        <w:tc>
          <w:tcPr>
            <w:tcW w:w="897" w:type="dxa"/>
          </w:tcPr>
          <w:p w:rsidR="00F316DE" w:rsidRPr="00A42F3A" w:rsidRDefault="00F316DE" w:rsidP="00F316DE">
            <w:pPr>
              <w:pStyle w:val="TableText"/>
              <w:tabs>
                <w:tab w:val="decimal" w:pos="496"/>
              </w:tabs>
              <w:rPr>
                <w:szCs w:val="18"/>
              </w:rPr>
            </w:pPr>
            <w:r w:rsidRPr="00A42F3A">
              <w:rPr>
                <w:szCs w:val="18"/>
              </w:rPr>
              <w:t>14</w:t>
            </w:r>
          </w:p>
        </w:tc>
        <w:tc>
          <w:tcPr>
            <w:tcW w:w="898" w:type="dxa"/>
          </w:tcPr>
          <w:p w:rsidR="00F316DE" w:rsidRPr="00A42F3A" w:rsidRDefault="00F316DE" w:rsidP="00F316DE">
            <w:pPr>
              <w:pStyle w:val="TableText"/>
              <w:tabs>
                <w:tab w:val="decimal" w:pos="496"/>
              </w:tabs>
              <w:rPr>
                <w:szCs w:val="18"/>
              </w:rPr>
            </w:pPr>
            <w:r w:rsidRPr="00A42F3A">
              <w:rPr>
                <w:szCs w:val="18"/>
              </w:rPr>
              <w:t>11</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4</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pPr>
            <w:r w:rsidRPr="00A42F3A">
              <w:t>South Canterbury</w:t>
            </w:r>
          </w:p>
        </w:tc>
        <w:tc>
          <w:tcPr>
            <w:tcW w:w="897" w:type="dxa"/>
          </w:tcPr>
          <w:p w:rsidR="00F316DE" w:rsidRPr="00A42F3A" w:rsidRDefault="00F316DE" w:rsidP="00F316DE">
            <w:pPr>
              <w:pStyle w:val="TableText"/>
              <w:tabs>
                <w:tab w:val="decimal" w:pos="480"/>
              </w:tabs>
            </w:pPr>
            <w:r w:rsidRPr="00A42F3A">
              <w:t>6</w:t>
            </w:r>
          </w:p>
        </w:tc>
        <w:tc>
          <w:tcPr>
            <w:tcW w:w="898" w:type="dxa"/>
          </w:tcPr>
          <w:p w:rsidR="00F316DE" w:rsidRPr="00A42F3A" w:rsidRDefault="00F316DE" w:rsidP="00F316DE">
            <w:pPr>
              <w:pStyle w:val="TableText"/>
              <w:tabs>
                <w:tab w:val="decimal" w:pos="480"/>
              </w:tabs>
            </w:pPr>
            <w:r w:rsidRPr="00A42F3A">
              <w:t>6</w:t>
            </w:r>
          </w:p>
        </w:tc>
        <w:tc>
          <w:tcPr>
            <w:tcW w:w="898" w:type="dxa"/>
          </w:tcPr>
          <w:p w:rsidR="00F316DE" w:rsidRPr="00A42F3A" w:rsidRDefault="00F316DE" w:rsidP="00F316DE">
            <w:pPr>
              <w:pStyle w:val="TableText"/>
              <w:tabs>
                <w:tab w:val="decimal" w:pos="480"/>
              </w:tabs>
              <w:rPr>
                <w:rFonts w:eastAsia="Arial" w:cs="Arial"/>
                <w:szCs w:val="19"/>
              </w:rPr>
            </w:pPr>
            <w:r w:rsidRPr="00A42F3A">
              <w:t>4</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Canterbury</w:t>
            </w:r>
          </w:p>
        </w:tc>
        <w:tc>
          <w:tcPr>
            <w:tcW w:w="897" w:type="dxa"/>
          </w:tcPr>
          <w:p w:rsidR="00F316DE" w:rsidRPr="00A42F3A" w:rsidRDefault="00F316DE" w:rsidP="00F316DE">
            <w:pPr>
              <w:pStyle w:val="TableText"/>
              <w:tabs>
                <w:tab w:val="decimal" w:pos="496"/>
              </w:tabs>
              <w:rPr>
                <w:szCs w:val="18"/>
              </w:rPr>
            </w:pPr>
            <w:r w:rsidRPr="00A42F3A">
              <w:rPr>
                <w:szCs w:val="18"/>
              </w:rPr>
              <w:t>11</w:t>
            </w:r>
          </w:p>
        </w:tc>
        <w:tc>
          <w:tcPr>
            <w:tcW w:w="898" w:type="dxa"/>
          </w:tcPr>
          <w:p w:rsidR="00F316DE" w:rsidRPr="00A42F3A" w:rsidRDefault="00F316DE" w:rsidP="00F316DE">
            <w:pPr>
              <w:pStyle w:val="TableText"/>
              <w:tabs>
                <w:tab w:val="decimal" w:pos="496"/>
              </w:tabs>
              <w:rPr>
                <w:szCs w:val="18"/>
              </w:rPr>
            </w:pPr>
            <w:r w:rsidRPr="00A42F3A">
              <w:rPr>
                <w:szCs w:val="18"/>
              </w:rPr>
              <w:t>11</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7</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pPr>
            <w:r w:rsidRPr="00A42F3A">
              <w:t>Southern</w:t>
            </w:r>
          </w:p>
        </w:tc>
        <w:tc>
          <w:tcPr>
            <w:tcW w:w="897" w:type="dxa"/>
          </w:tcPr>
          <w:p w:rsidR="00F316DE" w:rsidRPr="00A42F3A" w:rsidRDefault="00F316DE" w:rsidP="00F316DE">
            <w:pPr>
              <w:pStyle w:val="TableText"/>
              <w:tabs>
                <w:tab w:val="decimal" w:pos="480"/>
              </w:tabs>
            </w:pPr>
            <w:r w:rsidRPr="00A42F3A">
              <w:t>11</w:t>
            </w:r>
          </w:p>
        </w:tc>
        <w:tc>
          <w:tcPr>
            <w:tcW w:w="898" w:type="dxa"/>
          </w:tcPr>
          <w:p w:rsidR="00F316DE" w:rsidRPr="00A42F3A" w:rsidRDefault="00F316DE" w:rsidP="00F316DE">
            <w:pPr>
              <w:pStyle w:val="TableText"/>
              <w:tabs>
                <w:tab w:val="decimal" w:pos="480"/>
              </w:tabs>
            </w:pPr>
            <w:r w:rsidRPr="00A42F3A">
              <w:t>9</w:t>
            </w:r>
          </w:p>
        </w:tc>
        <w:tc>
          <w:tcPr>
            <w:tcW w:w="898" w:type="dxa"/>
          </w:tcPr>
          <w:p w:rsidR="00F316DE" w:rsidRPr="00A42F3A" w:rsidRDefault="00F316DE" w:rsidP="00F316DE">
            <w:pPr>
              <w:pStyle w:val="TableText"/>
              <w:tabs>
                <w:tab w:val="decimal" w:pos="480"/>
              </w:tabs>
              <w:rPr>
                <w:rFonts w:eastAsia="Arial" w:cs="Arial"/>
                <w:szCs w:val="19"/>
              </w:rPr>
            </w:pPr>
            <w:r w:rsidRPr="00A42F3A">
              <w:t>5</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Capital &amp; Coast</w:t>
            </w:r>
          </w:p>
        </w:tc>
        <w:tc>
          <w:tcPr>
            <w:tcW w:w="897" w:type="dxa"/>
          </w:tcPr>
          <w:p w:rsidR="00F316DE" w:rsidRPr="00A42F3A" w:rsidRDefault="00F316DE" w:rsidP="00F316DE">
            <w:pPr>
              <w:pStyle w:val="TableText"/>
              <w:tabs>
                <w:tab w:val="decimal" w:pos="496"/>
              </w:tabs>
              <w:rPr>
                <w:szCs w:val="18"/>
              </w:rPr>
            </w:pPr>
            <w:r w:rsidRPr="00A42F3A">
              <w:rPr>
                <w:szCs w:val="18"/>
              </w:rPr>
              <w:t>13</w:t>
            </w:r>
          </w:p>
        </w:tc>
        <w:tc>
          <w:tcPr>
            <w:tcW w:w="898" w:type="dxa"/>
          </w:tcPr>
          <w:p w:rsidR="00F316DE" w:rsidRPr="00A42F3A" w:rsidRDefault="00F316DE" w:rsidP="00F316DE">
            <w:pPr>
              <w:pStyle w:val="TableText"/>
              <w:tabs>
                <w:tab w:val="decimal" w:pos="496"/>
              </w:tabs>
              <w:rPr>
                <w:szCs w:val="18"/>
              </w:rPr>
            </w:pPr>
            <w:r w:rsidRPr="00A42F3A">
              <w:rPr>
                <w:szCs w:val="18"/>
              </w:rPr>
              <w:t>14</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9</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F316DE" w:rsidRDefault="00F316DE" w:rsidP="00A42F3A">
            <w:pPr>
              <w:pStyle w:val="TableText"/>
              <w:rPr>
                <w:szCs w:val="18"/>
              </w:rPr>
            </w:pPr>
            <w:proofErr w:type="spellStart"/>
            <w:r w:rsidRPr="00F316DE">
              <w:rPr>
                <w:szCs w:val="18"/>
              </w:rPr>
              <w:t>Tairāwhiti</w:t>
            </w:r>
            <w:proofErr w:type="spellEnd"/>
          </w:p>
        </w:tc>
        <w:tc>
          <w:tcPr>
            <w:tcW w:w="897" w:type="dxa"/>
          </w:tcPr>
          <w:p w:rsidR="00F316DE" w:rsidRPr="00A42F3A" w:rsidRDefault="00F316DE" w:rsidP="00F316DE">
            <w:pPr>
              <w:pStyle w:val="TableText"/>
              <w:tabs>
                <w:tab w:val="decimal" w:pos="480"/>
              </w:tabs>
            </w:pPr>
            <w:r w:rsidRPr="00A42F3A">
              <w:t>12</w:t>
            </w:r>
          </w:p>
        </w:tc>
        <w:tc>
          <w:tcPr>
            <w:tcW w:w="898" w:type="dxa"/>
          </w:tcPr>
          <w:p w:rsidR="00F316DE" w:rsidRPr="00A42F3A" w:rsidRDefault="00F316DE" w:rsidP="00F316DE">
            <w:pPr>
              <w:pStyle w:val="TableText"/>
              <w:tabs>
                <w:tab w:val="decimal" w:pos="480"/>
              </w:tabs>
            </w:pPr>
            <w:r w:rsidRPr="00A42F3A">
              <w:t>14</w:t>
            </w:r>
          </w:p>
        </w:tc>
        <w:tc>
          <w:tcPr>
            <w:tcW w:w="898" w:type="dxa"/>
          </w:tcPr>
          <w:p w:rsidR="00F316DE" w:rsidRPr="00A42F3A" w:rsidRDefault="00F316DE" w:rsidP="00F316DE">
            <w:pPr>
              <w:pStyle w:val="TableText"/>
              <w:tabs>
                <w:tab w:val="decimal" w:pos="480"/>
              </w:tabs>
              <w:rPr>
                <w:rFonts w:eastAsia="Arial"/>
              </w:rPr>
            </w:pPr>
            <w:r w:rsidRPr="00A42F3A">
              <w:t>14</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 xml:space="preserve">Counties </w:t>
            </w:r>
            <w:proofErr w:type="spellStart"/>
            <w:r w:rsidRPr="00A42F3A">
              <w:rPr>
                <w:szCs w:val="18"/>
              </w:rPr>
              <w:t>Manukau</w:t>
            </w:r>
            <w:proofErr w:type="spellEnd"/>
          </w:p>
        </w:tc>
        <w:tc>
          <w:tcPr>
            <w:tcW w:w="897" w:type="dxa"/>
          </w:tcPr>
          <w:p w:rsidR="00F316DE" w:rsidRPr="00A42F3A" w:rsidRDefault="00F316DE" w:rsidP="00F316DE">
            <w:pPr>
              <w:pStyle w:val="TableText"/>
              <w:tabs>
                <w:tab w:val="decimal" w:pos="496"/>
              </w:tabs>
              <w:rPr>
                <w:szCs w:val="18"/>
              </w:rPr>
            </w:pPr>
            <w:r w:rsidRPr="00A42F3A">
              <w:rPr>
                <w:szCs w:val="18"/>
              </w:rPr>
              <w:t>11</w:t>
            </w:r>
          </w:p>
        </w:tc>
        <w:tc>
          <w:tcPr>
            <w:tcW w:w="898" w:type="dxa"/>
          </w:tcPr>
          <w:p w:rsidR="00F316DE" w:rsidRPr="00A42F3A" w:rsidRDefault="00F316DE" w:rsidP="00F316DE">
            <w:pPr>
              <w:pStyle w:val="TableText"/>
              <w:tabs>
                <w:tab w:val="decimal" w:pos="496"/>
              </w:tabs>
              <w:rPr>
                <w:szCs w:val="18"/>
              </w:rPr>
            </w:pPr>
            <w:r w:rsidRPr="00A42F3A">
              <w:rPr>
                <w:szCs w:val="18"/>
              </w:rPr>
              <w:t>13</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9</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rPr>
                <w:rFonts w:eastAsia="Arial" w:cs="Arial"/>
                <w:szCs w:val="19"/>
              </w:rPr>
            </w:pPr>
            <w:proofErr w:type="spellStart"/>
            <w:r w:rsidRPr="00A42F3A">
              <w:t>Taranaki</w:t>
            </w:r>
            <w:proofErr w:type="spellEnd"/>
          </w:p>
        </w:tc>
        <w:tc>
          <w:tcPr>
            <w:tcW w:w="897" w:type="dxa"/>
          </w:tcPr>
          <w:p w:rsidR="00F316DE" w:rsidRPr="00A42F3A" w:rsidRDefault="00F316DE" w:rsidP="00F316DE">
            <w:pPr>
              <w:pStyle w:val="TableText"/>
              <w:tabs>
                <w:tab w:val="decimal" w:pos="480"/>
              </w:tabs>
            </w:pPr>
            <w:r w:rsidRPr="00A42F3A">
              <w:t>14</w:t>
            </w:r>
          </w:p>
        </w:tc>
        <w:tc>
          <w:tcPr>
            <w:tcW w:w="898" w:type="dxa"/>
          </w:tcPr>
          <w:p w:rsidR="00F316DE" w:rsidRPr="00A42F3A" w:rsidRDefault="00F316DE" w:rsidP="00F316DE">
            <w:pPr>
              <w:pStyle w:val="TableText"/>
              <w:tabs>
                <w:tab w:val="decimal" w:pos="480"/>
              </w:tabs>
            </w:pPr>
            <w:r w:rsidRPr="00A42F3A">
              <w:t>10</w:t>
            </w:r>
          </w:p>
        </w:tc>
        <w:tc>
          <w:tcPr>
            <w:tcW w:w="898" w:type="dxa"/>
          </w:tcPr>
          <w:p w:rsidR="00F316DE" w:rsidRPr="00A42F3A" w:rsidRDefault="00F316DE" w:rsidP="00F316DE">
            <w:pPr>
              <w:pStyle w:val="TableText"/>
              <w:tabs>
                <w:tab w:val="decimal" w:pos="480"/>
              </w:tabs>
              <w:rPr>
                <w:rFonts w:eastAsia="Arial" w:cs="Arial"/>
                <w:szCs w:val="19"/>
              </w:rPr>
            </w:pPr>
            <w:r w:rsidRPr="00A42F3A">
              <w:t>4</w:t>
            </w:r>
          </w:p>
        </w:tc>
      </w:tr>
      <w:tr w:rsidR="00F316DE" w:rsidRPr="00A42F3A" w:rsidTr="00F316DE">
        <w:trPr>
          <w:cantSplit/>
          <w:trHeight w:val="327"/>
        </w:trPr>
        <w:tc>
          <w:tcPr>
            <w:tcW w:w="1843" w:type="dxa"/>
          </w:tcPr>
          <w:p w:rsidR="00F316DE" w:rsidRPr="00A42F3A" w:rsidRDefault="00F316DE" w:rsidP="00A42F3A">
            <w:pPr>
              <w:pStyle w:val="TableText"/>
              <w:rPr>
                <w:rFonts w:eastAsia="Arial" w:cs="Arial"/>
                <w:szCs w:val="18"/>
              </w:rPr>
            </w:pPr>
            <w:r w:rsidRPr="00A42F3A">
              <w:rPr>
                <w:rFonts w:eastAsia="Arial" w:cs="Arial"/>
                <w:szCs w:val="18"/>
              </w:rPr>
              <w:t>Hawke’s Bay</w:t>
            </w:r>
          </w:p>
        </w:tc>
        <w:tc>
          <w:tcPr>
            <w:tcW w:w="897" w:type="dxa"/>
          </w:tcPr>
          <w:p w:rsidR="00F316DE" w:rsidRPr="00A42F3A" w:rsidRDefault="00F316DE" w:rsidP="00F316DE">
            <w:pPr>
              <w:pStyle w:val="TableText"/>
              <w:tabs>
                <w:tab w:val="decimal" w:pos="496"/>
              </w:tabs>
              <w:rPr>
                <w:rFonts w:eastAsia="Arial" w:cs="Arial"/>
                <w:szCs w:val="18"/>
              </w:rPr>
            </w:pPr>
            <w:r w:rsidRPr="00A42F3A">
              <w:rPr>
                <w:rFonts w:eastAsia="Arial" w:cs="Arial"/>
                <w:szCs w:val="18"/>
              </w:rPr>
              <w:t>12</w:t>
            </w:r>
          </w:p>
        </w:tc>
        <w:tc>
          <w:tcPr>
            <w:tcW w:w="898" w:type="dxa"/>
          </w:tcPr>
          <w:p w:rsidR="00F316DE" w:rsidRPr="00A42F3A" w:rsidRDefault="00F316DE" w:rsidP="00F316DE">
            <w:pPr>
              <w:pStyle w:val="TableText"/>
              <w:tabs>
                <w:tab w:val="decimal" w:pos="496"/>
              </w:tabs>
              <w:rPr>
                <w:rFonts w:eastAsia="Arial" w:cs="Arial"/>
                <w:szCs w:val="18"/>
              </w:rPr>
            </w:pPr>
            <w:r w:rsidRPr="00A42F3A">
              <w:rPr>
                <w:rFonts w:eastAsia="Arial" w:cs="Arial"/>
                <w:szCs w:val="18"/>
              </w:rPr>
              <w:t>11</w:t>
            </w:r>
          </w:p>
        </w:tc>
        <w:tc>
          <w:tcPr>
            <w:tcW w:w="898" w:type="dxa"/>
          </w:tcPr>
          <w:p w:rsidR="00F316DE" w:rsidRPr="00A42F3A" w:rsidRDefault="00F316DE" w:rsidP="00F316DE">
            <w:pPr>
              <w:pStyle w:val="TableText"/>
              <w:tabs>
                <w:tab w:val="decimal" w:pos="496"/>
              </w:tabs>
              <w:rPr>
                <w:rFonts w:eastAsia="Arial" w:cs="Arial"/>
                <w:szCs w:val="18"/>
              </w:rPr>
            </w:pPr>
            <w:r w:rsidRPr="00A42F3A">
              <w:rPr>
                <w:rFonts w:eastAsia="Arial" w:cs="Arial"/>
                <w:szCs w:val="18"/>
              </w:rPr>
              <w:t>7</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rPr>
                <w:rFonts w:eastAsia="Arial" w:cs="Arial"/>
                <w:szCs w:val="19"/>
              </w:rPr>
            </w:pPr>
            <w:r w:rsidRPr="00A42F3A">
              <w:t>Waikato</w:t>
            </w:r>
          </w:p>
        </w:tc>
        <w:tc>
          <w:tcPr>
            <w:tcW w:w="897" w:type="dxa"/>
          </w:tcPr>
          <w:p w:rsidR="00F316DE" w:rsidRPr="00A42F3A" w:rsidRDefault="00F316DE" w:rsidP="00F316DE">
            <w:pPr>
              <w:pStyle w:val="TableText"/>
              <w:tabs>
                <w:tab w:val="decimal" w:pos="480"/>
              </w:tabs>
            </w:pPr>
            <w:r w:rsidRPr="00A42F3A">
              <w:t>19</w:t>
            </w:r>
          </w:p>
        </w:tc>
        <w:tc>
          <w:tcPr>
            <w:tcW w:w="898" w:type="dxa"/>
          </w:tcPr>
          <w:p w:rsidR="00F316DE" w:rsidRPr="00A42F3A" w:rsidRDefault="00F316DE" w:rsidP="00F316DE">
            <w:pPr>
              <w:pStyle w:val="TableText"/>
              <w:tabs>
                <w:tab w:val="decimal" w:pos="480"/>
              </w:tabs>
            </w:pPr>
            <w:r w:rsidRPr="00A42F3A">
              <w:t>17</w:t>
            </w:r>
          </w:p>
        </w:tc>
        <w:tc>
          <w:tcPr>
            <w:tcW w:w="898" w:type="dxa"/>
          </w:tcPr>
          <w:p w:rsidR="00F316DE" w:rsidRPr="00A42F3A" w:rsidRDefault="00F316DE" w:rsidP="00F316DE">
            <w:pPr>
              <w:pStyle w:val="TableText"/>
              <w:tabs>
                <w:tab w:val="decimal" w:pos="480"/>
              </w:tabs>
              <w:rPr>
                <w:rFonts w:eastAsia="Arial" w:cs="Arial"/>
                <w:szCs w:val="19"/>
              </w:rPr>
            </w:pPr>
            <w:r w:rsidRPr="00A42F3A">
              <w:t>10</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Hutt Valley</w:t>
            </w:r>
          </w:p>
        </w:tc>
        <w:tc>
          <w:tcPr>
            <w:tcW w:w="897" w:type="dxa"/>
          </w:tcPr>
          <w:p w:rsidR="00F316DE" w:rsidRPr="00A42F3A" w:rsidRDefault="00F316DE" w:rsidP="00F316DE">
            <w:pPr>
              <w:pStyle w:val="TableText"/>
              <w:tabs>
                <w:tab w:val="decimal" w:pos="496"/>
              </w:tabs>
              <w:rPr>
                <w:szCs w:val="18"/>
              </w:rPr>
            </w:pPr>
            <w:r w:rsidRPr="00A42F3A">
              <w:rPr>
                <w:szCs w:val="18"/>
              </w:rPr>
              <w:t>16</w:t>
            </w:r>
          </w:p>
        </w:tc>
        <w:tc>
          <w:tcPr>
            <w:tcW w:w="898" w:type="dxa"/>
          </w:tcPr>
          <w:p w:rsidR="00F316DE" w:rsidRPr="00A42F3A" w:rsidRDefault="00F316DE" w:rsidP="00F316DE">
            <w:pPr>
              <w:pStyle w:val="TableText"/>
              <w:tabs>
                <w:tab w:val="decimal" w:pos="496"/>
              </w:tabs>
              <w:rPr>
                <w:szCs w:val="18"/>
              </w:rPr>
            </w:pPr>
            <w:r w:rsidRPr="00A42F3A">
              <w:rPr>
                <w:szCs w:val="18"/>
              </w:rPr>
              <w:t>15</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8</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pPr>
            <w:proofErr w:type="spellStart"/>
            <w:r w:rsidRPr="00A42F3A">
              <w:t>Wairarapa</w:t>
            </w:r>
            <w:proofErr w:type="spellEnd"/>
          </w:p>
        </w:tc>
        <w:tc>
          <w:tcPr>
            <w:tcW w:w="897" w:type="dxa"/>
          </w:tcPr>
          <w:p w:rsidR="00F316DE" w:rsidRPr="00A42F3A" w:rsidRDefault="00F316DE" w:rsidP="00F316DE">
            <w:pPr>
              <w:pStyle w:val="TableText"/>
              <w:tabs>
                <w:tab w:val="decimal" w:pos="480"/>
              </w:tabs>
            </w:pPr>
            <w:r w:rsidRPr="00A42F3A">
              <w:t>7</w:t>
            </w:r>
          </w:p>
        </w:tc>
        <w:tc>
          <w:tcPr>
            <w:tcW w:w="898" w:type="dxa"/>
          </w:tcPr>
          <w:p w:rsidR="00F316DE" w:rsidRPr="00A42F3A" w:rsidRDefault="00F316DE" w:rsidP="00F316DE">
            <w:pPr>
              <w:pStyle w:val="TableText"/>
              <w:tabs>
                <w:tab w:val="decimal" w:pos="480"/>
              </w:tabs>
            </w:pPr>
            <w:r w:rsidRPr="00A42F3A">
              <w:t>4</w:t>
            </w:r>
          </w:p>
        </w:tc>
        <w:tc>
          <w:tcPr>
            <w:tcW w:w="898" w:type="dxa"/>
          </w:tcPr>
          <w:p w:rsidR="00F316DE" w:rsidRPr="00A42F3A" w:rsidRDefault="00F316DE" w:rsidP="00F316DE">
            <w:pPr>
              <w:pStyle w:val="TableText"/>
              <w:tabs>
                <w:tab w:val="decimal" w:pos="480"/>
              </w:tabs>
              <w:rPr>
                <w:rFonts w:eastAsia="Arial" w:cs="Arial"/>
                <w:szCs w:val="19"/>
              </w:rPr>
            </w:pPr>
            <w:r w:rsidRPr="00A42F3A">
              <w:t>4</w:t>
            </w:r>
          </w:p>
        </w:tc>
      </w:tr>
      <w:tr w:rsidR="00F316DE" w:rsidRPr="00A42F3A" w:rsidTr="00F316DE">
        <w:trPr>
          <w:cantSplit/>
          <w:trHeight w:val="327"/>
        </w:trPr>
        <w:tc>
          <w:tcPr>
            <w:tcW w:w="1843" w:type="dxa"/>
          </w:tcPr>
          <w:p w:rsidR="00F316DE" w:rsidRPr="00A42F3A" w:rsidRDefault="00F316DE" w:rsidP="00A42F3A">
            <w:pPr>
              <w:pStyle w:val="TableText"/>
              <w:rPr>
                <w:szCs w:val="18"/>
              </w:rPr>
            </w:pPr>
            <w:r w:rsidRPr="00A42F3A">
              <w:rPr>
                <w:szCs w:val="18"/>
              </w:rPr>
              <w:t>Lakes</w:t>
            </w:r>
          </w:p>
        </w:tc>
        <w:tc>
          <w:tcPr>
            <w:tcW w:w="897" w:type="dxa"/>
          </w:tcPr>
          <w:p w:rsidR="00F316DE" w:rsidRPr="00A42F3A" w:rsidRDefault="00F316DE" w:rsidP="00F316DE">
            <w:pPr>
              <w:pStyle w:val="TableText"/>
              <w:tabs>
                <w:tab w:val="decimal" w:pos="496"/>
              </w:tabs>
              <w:rPr>
                <w:szCs w:val="18"/>
              </w:rPr>
            </w:pPr>
            <w:r w:rsidRPr="00A42F3A">
              <w:rPr>
                <w:szCs w:val="18"/>
              </w:rPr>
              <w:t>12</w:t>
            </w:r>
          </w:p>
        </w:tc>
        <w:tc>
          <w:tcPr>
            <w:tcW w:w="898" w:type="dxa"/>
          </w:tcPr>
          <w:p w:rsidR="00F316DE" w:rsidRPr="00A42F3A" w:rsidRDefault="00F316DE" w:rsidP="00F316DE">
            <w:pPr>
              <w:pStyle w:val="TableText"/>
              <w:tabs>
                <w:tab w:val="decimal" w:pos="496"/>
              </w:tabs>
              <w:rPr>
                <w:szCs w:val="18"/>
              </w:rPr>
            </w:pPr>
            <w:r w:rsidRPr="00A42F3A">
              <w:rPr>
                <w:szCs w:val="18"/>
              </w:rPr>
              <w:t>11</w:t>
            </w:r>
          </w:p>
        </w:tc>
        <w:tc>
          <w:tcPr>
            <w:tcW w:w="898" w:type="dxa"/>
          </w:tcPr>
          <w:p w:rsidR="00F316DE" w:rsidRPr="00A42F3A" w:rsidRDefault="00F316DE" w:rsidP="00F316DE">
            <w:pPr>
              <w:pStyle w:val="TableText"/>
              <w:tabs>
                <w:tab w:val="decimal" w:pos="496"/>
              </w:tabs>
              <w:rPr>
                <w:rFonts w:eastAsia="Arial" w:cs="Arial"/>
                <w:szCs w:val="18"/>
              </w:rPr>
            </w:pPr>
            <w:r w:rsidRPr="00A42F3A">
              <w:rPr>
                <w:szCs w:val="18"/>
              </w:rPr>
              <w:t>7</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pPr>
            <w:proofErr w:type="spellStart"/>
            <w:r w:rsidRPr="00A42F3A">
              <w:t>Waitemata</w:t>
            </w:r>
            <w:proofErr w:type="spellEnd"/>
          </w:p>
        </w:tc>
        <w:tc>
          <w:tcPr>
            <w:tcW w:w="897" w:type="dxa"/>
          </w:tcPr>
          <w:p w:rsidR="00F316DE" w:rsidRPr="00A42F3A" w:rsidRDefault="00F316DE" w:rsidP="00F316DE">
            <w:pPr>
              <w:pStyle w:val="TableText"/>
              <w:tabs>
                <w:tab w:val="decimal" w:pos="480"/>
              </w:tabs>
            </w:pPr>
            <w:r w:rsidRPr="00A42F3A">
              <w:t>9</w:t>
            </w:r>
          </w:p>
        </w:tc>
        <w:tc>
          <w:tcPr>
            <w:tcW w:w="898" w:type="dxa"/>
          </w:tcPr>
          <w:p w:rsidR="00F316DE" w:rsidRPr="00A42F3A" w:rsidRDefault="00F316DE" w:rsidP="00F316DE">
            <w:pPr>
              <w:pStyle w:val="TableText"/>
              <w:tabs>
                <w:tab w:val="decimal" w:pos="480"/>
              </w:tabs>
            </w:pPr>
            <w:r w:rsidRPr="00A42F3A">
              <w:t>10</w:t>
            </w:r>
          </w:p>
        </w:tc>
        <w:tc>
          <w:tcPr>
            <w:tcW w:w="898" w:type="dxa"/>
          </w:tcPr>
          <w:p w:rsidR="00F316DE" w:rsidRPr="00A42F3A" w:rsidRDefault="00F316DE" w:rsidP="00F316DE">
            <w:pPr>
              <w:pStyle w:val="TableText"/>
              <w:tabs>
                <w:tab w:val="decimal" w:pos="480"/>
              </w:tabs>
              <w:rPr>
                <w:rFonts w:eastAsia="Arial" w:cs="Arial"/>
                <w:szCs w:val="19"/>
              </w:rPr>
            </w:pPr>
            <w:r w:rsidRPr="00A42F3A">
              <w:t>8</w:t>
            </w:r>
          </w:p>
        </w:tc>
      </w:tr>
      <w:tr w:rsidR="00F316DE" w:rsidRPr="00A42F3A" w:rsidTr="00F316DE">
        <w:trPr>
          <w:cantSplit/>
          <w:trHeight w:val="327"/>
        </w:trPr>
        <w:tc>
          <w:tcPr>
            <w:tcW w:w="1843" w:type="dxa"/>
            <w:tcBorders>
              <w:bottom w:val="nil"/>
            </w:tcBorders>
          </w:tcPr>
          <w:p w:rsidR="00F316DE" w:rsidRPr="00A42F3A" w:rsidRDefault="00F316DE" w:rsidP="00A42F3A">
            <w:pPr>
              <w:pStyle w:val="TableText"/>
              <w:rPr>
                <w:szCs w:val="18"/>
              </w:rPr>
            </w:pPr>
            <w:proofErr w:type="spellStart"/>
            <w:r w:rsidRPr="00A42F3A">
              <w:rPr>
                <w:szCs w:val="18"/>
              </w:rPr>
              <w:t>MidCentral</w:t>
            </w:r>
            <w:proofErr w:type="spellEnd"/>
          </w:p>
        </w:tc>
        <w:tc>
          <w:tcPr>
            <w:tcW w:w="897" w:type="dxa"/>
            <w:tcBorders>
              <w:bottom w:val="nil"/>
            </w:tcBorders>
          </w:tcPr>
          <w:p w:rsidR="00F316DE" w:rsidRPr="00A42F3A" w:rsidRDefault="00F316DE" w:rsidP="00F316DE">
            <w:pPr>
              <w:pStyle w:val="TableText"/>
              <w:tabs>
                <w:tab w:val="decimal" w:pos="496"/>
              </w:tabs>
              <w:rPr>
                <w:szCs w:val="18"/>
              </w:rPr>
            </w:pPr>
            <w:r w:rsidRPr="00A42F3A">
              <w:rPr>
                <w:szCs w:val="18"/>
              </w:rPr>
              <w:t>14</w:t>
            </w:r>
          </w:p>
        </w:tc>
        <w:tc>
          <w:tcPr>
            <w:tcW w:w="898" w:type="dxa"/>
            <w:tcBorders>
              <w:bottom w:val="nil"/>
            </w:tcBorders>
          </w:tcPr>
          <w:p w:rsidR="00F316DE" w:rsidRPr="00A42F3A" w:rsidRDefault="00F316DE" w:rsidP="00F316DE">
            <w:pPr>
              <w:pStyle w:val="TableText"/>
              <w:tabs>
                <w:tab w:val="decimal" w:pos="496"/>
              </w:tabs>
              <w:rPr>
                <w:szCs w:val="18"/>
              </w:rPr>
            </w:pPr>
            <w:r w:rsidRPr="00A42F3A">
              <w:rPr>
                <w:szCs w:val="18"/>
              </w:rPr>
              <w:t>12</w:t>
            </w:r>
          </w:p>
        </w:tc>
        <w:tc>
          <w:tcPr>
            <w:tcW w:w="898" w:type="dxa"/>
            <w:tcBorders>
              <w:bottom w:val="nil"/>
            </w:tcBorders>
          </w:tcPr>
          <w:p w:rsidR="00F316DE" w:rsidRPr="00A42F3A" w:rsidRDefault="00F316DE" w:rsidP="00F316DE">
            <w:pPr>
              <w:pStyle w:val="TableText"/>
              <w:tabs>
                <w:tab w:val="decimal" w:pos="496"/>
              </w:tabs>
              <w:rPr>
                <w:rFonts w:eastAsia="Arial" w:cs="Arial"/>
                <w:szCs w:val="18"/>
              </w:rPr>
            </w:pPr>
            <w:r w:rsidRPr="00A42F3A">
              <w:rPr>
                <w:szCs w:val="18"/>
              </w:rPr>
              <w:t>14</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pPr>
            <w:r w:rsidRPr="00A42F3A">
              <w:t>West Coast</w:t>
            </w:r>
          </w:p>
        </w:tc>
        <w:tc>
          <w:tcPr>
            <w:tcW w:w="897" w:type="dxa"/>
          </w:tcPr>
          <w:p w:rsidR="00F316DE" w:rsidRPr="00A42F3A" w:rsidRDefault="00F316DE" w:rsidP="00F316DE">
            <w:pPr>
              <w:pStyle w:val="TableText"/>
              <w:tabs>
                <w:tab w:val="decimal" w:pos="480"/>
              </w:tabs>
            </w:pPr>
            <w:r w:rsidRPr="00A42F3A">
              <w:t>14</w:t>
            </w:r>
          </w:p>
        </w:tc>
        <w:tc>
          <w:tcPr>
            <w:tcW w:w="898" w:type="dxa"/>
          </w:tcPr>
          <w:p w:rsidR="00F316DE" w:rsidRPr="00A42F3A" w:rsidRDefault="00F316DE" w:rsidP="00F316DE">
            <w:pPr>
              <w:pStyle w:val="TableText"/>
              <w:tabs>
                <w:tab w:val="decimal" w:pos="480"/>
              </w:tabs>
            </w:pPr>
            <w:r w:rsidRPr="00A42F3A">
              <w:t>14</w:t>
            </w:r>
          </w:p>
        </w:tc>
        <w:tc>
          <w:tcPr>
            <w:tcW w:w="898" w:type="dxa"/>
          </w:tcPr>
          <w:p w:rsidR="00F316DE" w:rsidRPr="00A42F3A" w:rsidRDefault="00F316DE" w:rsidP="00F316DE">
            <w:pPr>
              <w:pStyle w:val="TableText"/>
              <w:tabs>
                <w:tab w:val="decimal" w:pos="480"/>
              </w:tabs>
              <w:rPr>
                <w:rFonts w:eastAsia="Arial" w:cs="Arial"/>
                <w:szCs w:val="19"/>
              </w:rPr>
            </w:pPr>
            <w:r w:rsidRPr="00A42F3A">
              <w:t>8</w:t>
            </w:r>
          </w:p>
        </w:tc>
      </w:tr>
      <w:tr w:rsidR="00F316DE" w:rsidRPr="00A42F3A" w:rsidTr="00F316DE">
        <w:trPr>
          <w:cantSplit/>
          <w:trHeight w:val="327"/>
        </w:trPr>
        <w:tc>
          <w:tcPr>
            <w:tcW w:w="1843" w:type="dxa"/>
            <w:tcBorders>
              <w:top w:val="nil"/>
              <w:bottom w:val="single" w:sz="4" w:space="0" w:color="auto"/>
            </w:tcBorders>
          </w:tcPr>
          <w:p w:rsidR="00F316DE" w:rsidRPr="00A42F3A" w:rsidRDefault="00F316DE" w:rsidP="00A42F3A">
            <w:pPr>
              <w:pStyle w:val="TableText"/>
              <w:rPr>
                <w:szCs w:val="18"/>
              </w:rPr>
            </w:pPr>
            <w:r w:rsidRPr="00A42F3A">
              <w:rPr>
                <w:szCs w:val="18"/>
              </w:rPr>
              <w:t>Nelson Marlborough</w:t>
            </w:r>
          </w:p>
        </w:tc>
        <w:tc>
          <w:tcPr>
            <w:tcW w:w="897" w:type="dxa"/>
            <w:tcBorders>
              <w:top w:val="nil"/>
              <w:bottom w:val="single" w:sz="4" w:space="0" w:color="auto"/>
            </w:tcBorders>
          </w:tcPr>
          <w:p w:rsidR="00F316DE" w:rsidRPr="00A42F3A" w:rsidRDefault="00F316DE" w:rsidP="00F316DE">
            <w:pPr>
              <w:pStyle w:val="TableText"/>
              <w:tabs>
                <w:tab w:val="decimal" w:pos="496"/>
              </w:tabs>
              <w:rPr>
                <w:szCs w:val="18"/>
              </w:rPr>
            </w:pPr>
            <w:r w:rsidRPr="00A42F3A">
              <w:rPr>
                <w:szCs w:val="18"/>
              </w:rPr>
              <w:t>9</w:t>
            </w:r>
          </w:p>
        </w:tc>
        <w:tc>
          <w:tcPr>
            <w:tcW w:w="898" w:type="dxa"/>
            <w:tcBorders>
              <w:top w:val="nil"/>
              <w:bottom w:val="single" w:sz="4" w:space="0" w:color="auto"/>
            </w:tcBorders>
          </w:tcPr>
          <w:p w:rsidR="00F316DE" w:rsidRPr="00A42F3A" w:rsidRDefault="00F316DE" w:rsidP="00F316DE">
            <w:pPr>
              <w:pStyle w:val="TableText"/>
              <w:tabs>
                <w:tab w:val="decimal" w:pos="496"/>
              </w:tabs>
              <w:rPr>
                <w:szCs w:val="18"/>
              </w:rPr>
            </w:pPr>
            <w:r w:rsidRPr="00A42F3A">
              <w:rPr>
                <w:szCs w:val="18"/>
              </w:rPr>
              <w:t>8</w:t>
            </w:r>
          </w:p>
        </w:tc>
        <w:tc>
          <w:tcPr>
            <w:tcW w:w="898" w:type="dxa"/>
            <w:tcBorders>
              <w:top w:val="nil"/>
              <w:bottom w:val="single" w:sz="4" w:space="0" w:color="auto"/>
            </w:tcBorders>
          </w:tcPr>
          <w:p w:rsidR="00F316DE" w:rsidRPr="00A42F3A" w:rsidRDefault="00F316DE" w:rsidP="00F316DE">
            <w:pPr>
              <w:pStyle w:val="TableText"/>
              <w:tabs>
                <w:tab w:val="decimal" w:pos="496"/>
              </w:tabs>
              <w:rPr>
                <w:rFonts w:eastAsia="Arial" w:cs="Arial"/>
                <w:szCs w:val="18"/>
              </w:rPr>
            </w:pPr>
            <w:r w:rsidRPr="00A42F3A">
              <w:rPr>
                <w:szCs w:val="18"/>
              </w:rPr>
              <w:t>8</w:t>
            </w: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rPr>
                <w:rFonts w:eastAsia="Arial" w:cs="Arial"/>
                <w:szCs w:val="19"/>
              </w:rPr>
            </w:pPr>
            <w:proofErr w:type="spellStart"/>
            <w:r w:rsidRPr="00A42F3A">
              <w:t>Whanganui</w:t>
            </w:r>
            <w:proofErr w:type="spellEnd"/>
          </w:p>
        </w:tc>
        <w:tc>
          <w:tcPr>
            <w:tcW w:w="897" w:type="dxa"/>
          </w:tcPr>
          <w:p w:rsidR="00F316DE" w:rsidRPr="00A42F3A" w:rsidRDefault="00F316DE" w:rsidP="00F316DE">
            <w:pPr>
              <w:pStyle w:val="TableText"/>
              <w:tabs>
                <w:tab w:val="decimal" w:pos="480"/>
              </w:tabs>
            </w:pPr>
            <w:r w:rsidRPr="00A42F3A">
              <w:t>12</w:t>
            </w:r>
          </w:p>
        </w:tc>
        <w:tc>
          <w:tcPr>
            <w:tcW w:w="898" w:type="dxa"/>
          </w:tcPr>
          <w:p w:rsidR="00F316DE" w:rsidRPr="00A42F3A" w:rsidRDefault="00F316DE" w:rsidP="00F316DE">
            <w:pPr>
              <w:pStyle w:val="TableText"/>
              <w:tabs>
                <w:tab w:val="decimal" w:pos="480"/>
              </w:tabs>
            </w:pPr>
            <w:r w:rsidRPr="00A42F3A">
              <w:t>11</w:t>
            </w:r>
          </w:p>
        </w:tc>
        <w:tc>
          <w:tcPr>
            <w:tcW w:w="898" w:type="dxa"/>
          </w:tcPr>
          <w:p w:rsidR="00F316DE" w:rsidRPr="00A42F3A" w:rsidRDefault="00F316DE" w:rsidP="00F316DE">
            <w:pPr>
              <w:pStyle w:val="TableText"/>
              <w:tabs>
                <w:tab w:val="decimal" w:pos="480"/>
              </w:tabs>
              <w:rPr>
                <w:rFonts w:eastAsia="Arial" w:cs="Arial"/>
                <w:szCs w:val="19"/>
              </w:rPr>
            </w:pPr>
            <w:r w:rsidRPr="00A42F3A">
              <w:t>6</w:t>
            </w:r>
          </w:p>
        </w:tc>
      </w:tr>
      <w:tr w:rsidR="00F316DE" w:rsidRPr="00A42F3A" w:rsidTr="00F316DE">
        <w:trPr>
          <w:cantSplit/>
          <w:trHeight w:val="327"/>
        </w:trPr>
        <w:tc>
          <w:tcPr>
            <w:tcW w:w="1843" w:type="dxa"/>
            <w:tcBorders>
              <w:top w:val="single" w:sz="4" w:space="0" w:color="auto"/>
              <w:bottom w:val="nil"/>
            </w:tcBorders>
          </w:tcPr>
          <w:p w:rsidR="00F316DE" w:rsidRPr="00A42F3A" w:rsidRDefault="00F316DE" w:rsidP="00A42F3A">
            <w:pPr>
              <w:pStyle w:val="TableText"/>
              <w:rPr>
                <w:rFonts w:eastAsia="Arial" w:cs="Arial"/>
                <w:szCs w:val="18"/>
              </w:rPr>
            </w:pPr>
          </w:p>
        </w:tc>
        <w:tc>
          <w:tcPr>
            <w:tcW w:w="897" w:type="dxa"/>
            <w:tcBorders>
              <w:top w:val="single" w:sz="4" w:space="0" w:color="auto"/>
              <w:bottom w:val="nil"/>
            </w:tcBorders>
          </w:tcPr>
          <w:p w:rsidR="00F316DE" w:rsidRPr="00A42F3A" w:rsidRDefault="00F316DE" w:rsidP="00F316DE">
            <w:pPr>
              <w:pStyle w:val="TableText"/>
              <w:tabs>
                <w:tab w:val="decimal" w:pos="496"/>
              </w:tabs>
              <w:rPr>
                <w:szCs w:val="18"/>
              </w:rPr>
            </w:pPr>
          </w:p>
        </w:tc>
        <w:tc>
          <w:tcPr>
            <w:tcW w:w="898" w:type="dxa"/>
            <w:tcBorders>
              <w:top w:val="single" w:sz="4" w:space="0" w:color="auto"/>
              <w:bottom w:val="nil"/>
            </w:tcBorders>
          </w:tcPr>
          <w:p w:rsidR="00F316DE" w:rsidRPr="00A42F3A" w:rsidRDefault="00F316DE" w:rsidP="00F316DE">
            <w:pPr>
              <w:pStyle w:val="TableText"/>
              <w:tabs>
                <w:tab w:val="decimal" w:pos="496"/>
              </w:tabs>
              <w:rPr>
                <w:szCs w:val="18"/>
              </w:rPr>
            </w:pPr>
          </w:p>
        </w:tc>
        <w:tc>
          <w:tcPr>
            <w:tcW w:w="898" w:type="dxa"/>
            <w:tcBorders>
              <w:top w:val="single" w:sz="4" w:space="0" w:color="auto"/>
              <w:bottom w:val="nil"/>
            </w:tcBorders>
          </w:tcPr>
          <w:p w:rsidR="00F316DE" w:rsidRPr="00A42F3A" w:rsidRDefault="00F316DE" w:rsidP="00F316DE">
            <w:pPr>
              <w:pStyle w:val="TableText"/>
              <w:tabs>
                <w:tab w:val="decimal" w:pos="496"/>
              </w:tabs>
              <w:rPr>
                <w:rFonts w:eastAsia="Arial" w:cs="Arial"/>
                <w:szCs w:val="18"/>
              </w:rPr>
            </w:pPr>
          </w:p>
        </w:tc>
        <w:tc>
          <w:tcPr>
            <w:tcW w:w="426" w:type="dxa"/>
            <w:tcBorders>
              <w:top w:val="nil"/>
              <w:bottom w:val="nil"/>
            </w:tcBorders>
          </w:tcPr>
          <w:p w:rsidR="00F316DE" w:rsidRPr="00A42F3A" w:rsidRDefault="00F316DE" w:rsidP="00A42F3A">
            <w:pPr>
              <w:pStyle w:val="TableText"/>
              <w:rPr>
                <w:rFonts w:eastAsia="Arial" w:cs="Arial"/>
                <w:szCs w:val="19"/>
              </w:rPr>
            </w:pPr>
          </w:p>
        </w:tc>
        <w:tc>
          <w:tcPr>
            <w:tcW w:w="1701" w:type="dxa"/>
          </w:tcPr>
          <w:p w:rsidR="00F316DE" w:rsidRPr="00A42F3A" w:rsidRDefault="00F316DE" w:rsidP="00A42F3A">
            <w:pPr>
              <w:pStyle w:val="TableText"/>
              <w:rPr>
                <w:rFonts w:eastAsia="Arial" w:cs="Arial"/>
                <w:b/>
                <w:szCs w:val="19"/>
              </w:rPr>
            </w:pPr>
            <w:r w:rsidRPr="00A42F3A">
              <w:rPr>
                <w:b/>
              </w:rPr>
              <w:t>National</w:t>
            </w:r>
          </w:p>
        </w:tc>
        <w:tc>
          <w:tcPr>
            <w:tcW w:w="897" w:type="dxa"/>
          </w:tcPr>
          <w:p w:rsidR="00F316DE" w:rsidRPr="00A42F3A" w:rsidRDefault="00F316DE" w:rsidP="00F316DE">
            <w:pPr>
              <w:pStyle w:val="TableText"/>
              <w:tabs>
                <w:tab w:val="decimal" w:pos="480"/>
              </w:tabs>
              <w:rPr>
                <w:b/>
              </w:rPr>
            </w:pPr>
            <w:r w:rsidRPr="00A42F3A">
              <w:rPr>
                <w:b/>
              </w:rPr>
              <w:t>12</w:t>
            </w:r>
          </w:p>
        </w:tc>
        <w:tc>
          <w:tcPr>
            <w:tcW w:w="898" w:type="dxa"/>
          </w:tcPr>
          <w:p w:rsidR="00F316DE" w:rsidRPr="00A42F3A" w:rsidRDefault="00F316DE" w:rsidP="00F316DE">
            <w:pPr>
              <w:pStyle w:val="TableText"/>
              <w:tabs>
                <w:tab w:val="decimal" w:pos="480"/>
              </w:tabs>
              <w:rPr>
                <w:b/>
              </w:rPr>
            </w:pPr>
            <w:r w:rsidRPr="00A42F3A">
              <w:rPr>
                <w:b/>
              </w:rPr>
              <w:t>12</w:t>
            </w:r>
          </w:p>
        </w:tc>
        <w:tc>
          <w:tcPr>
            <w:tcW w:w="898" w:type="dxa"/>
          </w:tcPr>
          <w:p w:rsidR="00F316DE" w:rsidRPr="00A42F3A" w:rsidRDefault="00F316DE" w:rsidP="00F316DE">
            <w:pPr>
              <w:pStyle w:val="TableText"/>
              <w:tabs>
                <w:tab w:val="decimal" w:pos="480"/>
              </w:tabs>
              <w:rPr>
                <w:rFonts w:eastAsia="Arial" w:cs="Arial"/>
                <w:b/>
                <w:szCs w:val="19"/>
              </w:rPr>
            </w:pPr>
            <w:r w:rsidRPr="00A42F3A">
              <w:rPr>
                <w:b/>
              </w:rPr>
              <w:t>9</w:t>
            </w:r>
          </w:p>
        </w:tc>
      </w:tr>
    </w:tbl>
    <w:p w:rsidR="00A47CF6" w:rsidRPr="00666DF4" w:rsidRDefault="00A47CF6" w:rsidP="00F316DE">
      <w:pPr>
        <w:pStyle w:val="Source"/>
        <w:ind w:right="0"/>
        <w:rPr>
          <w:rFonts w:eastAsia="Arial" w:cs="Arial"/>
          <w:szCs w:val="19"/>
        </w:rPr>
      </w:pPr>
      <w:r w:rsidRPr="00666DF4">
        <w:t>Source: PRIMHD data, extracted on 26 July 2017, except for data from Southern DHB, which was supplied manually</w:t>
      </w:r>
      <w:r w:rsidR="00F316DE">
        <w:t>.</w:t>
      </w:r>
    </w:p>
    <w:p w:rsidR="00A47CF6" w:rsidRPr="00666DF4" w:rsidRDefault="00A47CF6" w:rsidP="00F316DE">
      <w:pPr>
        <w:rPr>
          <w:rFonts w:eastAsia="Arial"/>
        </w:rPr>
      </w:pPr>
    </w:p>
    <w:p w:rsidR="00A47CF6" w:rsidRDefault="00A47CF6" w:rsidP="00F316DE">
      <w:pPr>
        <w:pStyle w:val="Table"/>
      </w:pPr>
      <w:bookmarkStart w:id="89" w:name="_Toc508707301"/>
      <w:r w:rsidRPr="00666DF4">
        <w:t>Table 3: Average number of people per 100,000 on a given day* subject to sections 29, 30 and 31 of the Mental Health Act, by DHB, 1 January to 31 December 2016</w:t>
      </w:r>
      <w:bookmarkEnd w:id="89"/>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43"/>
        <w:gridCol w:w="897"/>
        <w:gridCol w:w="898"/>
        <w:gridCol w:w="898"/>
        <w:gridCol w:w="426"/>
        <w:gridCol w:w="1701"/>
        <w:gridCol w:w="897"/>
        <w:gridCol w:w="898"/>
        <w:gridCol w:w="898"/>
      </w:tblGrid>
      <w:tr w:rsidR="00F316DE" w:rsidRPr="00A42F3A" w:rsidTr="007F674E">
        <w:trPr>
          <w:cantSplit/>
          <w:trHeight w:val="327"/>
        </w:trPr>
        <w:tc>
          <w:tcPr>
            <w:tcW w:w="1843" w:type="dxa"/>
            <w:tcBorders>
              <w:top w:val="single" w:sz="4" w:space="0" w:color="auto"/>
              <w:bottom w:val="single" w:sz="4" w:space="0" w:color="auto"/>
            </w:tcBorders>
          </w:tcPr>
          <w:p w:rsidR="00F316DE" w:rsidRPr="00A42F3A" w:rsidRDefault="00F316DE" w:rsidP="00F316DE">
            <w:pPr>
              <w:pStyle w:val="TableText"/>
              <w:keepNext/>
              <w:rPr>
                <w:b/>
                <w:szCs w:val="18"/>
              </w:rPr>
            </w:pPr>
            <w:r w:rsidRPr="00A42F3A">
              <w:rPr>
                <w:b/>
                <w:szCs w:val="18"/>
              </w:rPr>
              <w:t>DHB</w:t>
            </w:r>
          </w:p>
        </w:tc>
        <w:tc>
          <w:tcPr>
            <w:tcW w:w="897" w:type="dxa"/>
            <w:tcBorders>
              <w:top w:val="single" w:sz="4" w:space="0" w:color="auto"/>
              <w:bottom w:val="single" w:sz="4" w:space="0" w:color="auto"/>
            </w:tcBorders>
          </w:tcPr>
          <w:p w:rsidR="00F316DE" w:rsidRPr="00A42F3A" w:rsidRDefault="00F316DE" w:rsidP="00F316DE">
            <w:pPr>
              <w:pStyle w:val="TableText"/>
              <w:keepNext/>
              <w:tabs>
                <w:tab w:val="left" w:pos="772"/>
              </w:tabs>
              <w:jc w:val="center"/>
              <w:rPr>
                <w:b/>
                <w:szCs w:val="18"/>
              </w:rPr>
            </w:pPr>
            <w:r w:rsidRPr="00A42F3A">
              <w:rPr>
                <w:b/>
                <w:szCs w:val="18"/>
              </w:rPr>
              <w:t xml:space="preserve">s </w:t>
            </w:r>
            <w:r>
              <w:rPr>
                <w:b/>
                <w:szCs w:val="18"/>
              </w:rPr>
              <w:t>29</w:t>
            </w:r>
          </w:p>
        </w:tc>
        <w:tc>
          <w:tcPr>
            <w:tcW w:w="898" w:type="dxa"/>
            <w:tcBorders>
              <w:top w:val="single" w:sz="4" w:space="0" w:color="auto"/>
              <w:bottom w:val="single" w:sz="4" w:space="0" w:color="auto"/>
            </w:tcBorders>
          </w:tcPr>
          <w:p w:rsidR="00F316DE" w:rsidRPr="00A42F3A" w:rsidRDefault="00F316DE" w:rsidP="00F316DE">
            <w:pPr>
              <w:pStyle w:val="TableText"/>
              <w:keepNext/>
              <w:jc w:val="center"/>
              <w:rPr>
                <w:rFonts w:eastAsia="Arial" w:cs="Arial"/>
                <w:b/>
                <w:szCs w:val="18"/>
              </w:rPr>
            </w:pPr>
            <w:r>
              <w:rPr>
                <w:b/>
                <w:szCs w:val="18"/>
              </w:rPr>
              <w:t>s 30</w:t>
            </w:r>
          </w:p>
        </w:tc>
        <w:tc>
          <w:tcPr>
            <w:tcW w:w="898" w:type="dxa"/>
            <w:tcBorders>
              <w:top w:val="single" w:sz="4" w:space="0" w:color="auto"/>
              <w:bottom w:val="single" w:sz="4" w:space="0" w:color="auto"/>
            </w:tcBorders>
          </w:tcPr>
          <w:p w:rsidR="00F316DE" w:rsidRPr="00A42F3A" w:rsidRDefault="00F316DE" w:rsidP="00F316DE">
            <w:pPr>
              <w:pStyle w:val="TableText"/>
              <w:keepNext/>
              <w:jc w:val="center"/>
              <w:rPr>
                <w:rFonts w:eastAsia="Arial" w:cs="Arial"/>
                <w:b/>
                <w:szCs w:val="18"/>
              </w:rPr>
            </w:pPr>
            <w:r w:rsidRPr="00A42F3A">
              <w:rPr>
                <w:b/>
                <w:szCs w:val="18"/>
              </w:rPr>
              <w:t xml:space="preserve">s </w:t>
            </w:r>
            <w:r>
              <w:rPr>
                <w:b/>
                <w:szCs w:val="18"/>
              </w:rPr>
              <w:t>31</w:t>
            </w:r>
          </w:p>
        </w:tc>
        <w:tc>
          <w:tcPr>
            <w:tcW w:w="426" w:type="dxa"/>
            <w:tcBorders>
              <w:top w:val="nil"/>
              <w:bottom w:val="nil"/>
            </w:tcBorders>
          </w:tcPr>
          <w:p w:rsidR="00F316DE" w:rsidRPr="00A42F3A" w:rsidRDefault="00F316DE" w:rsidP="00F316DE">
            <w:pPr>
              <w:pStyle w:val="TableText"/>
              <w:keepNext/>
              <w:rPr>
                <w:rFonts w:eastAsia="Arial" w:cs="Arial"/>
                <w:b/>
                <w:szCs w:val="19"/>
              </w:rPr>
            </w:pPr>
          </w:p>
        </w:tc>
        <w:tc>
          <w:tcPr>
            <w:tcW w:w="1701" w:type="dxa"/>
            <w:tcBorders>
              <w:top w:val="single" w:sz="4" w:space="0" w:color="auto"/>
              <w:bottom w:val="single" w:sz="4" w:space="0" w:color="auto"/>
            </w:tcBorders>
          </w:tcPr>
          <w:p w:rsidR="00F316DE" w:rsidRPr="00A42F3A" w:rsidRDefault="00F316DE" w:rsidP="00F316DE">
            <w:pPr>
              <w:pStyle w:val="TableText"/>
              <w:keepNext/>
              <w:rPr>
                <w:b/>
              </w:rPr>
            </w:pPr>
            <w:r>
              <w:rPr>
                <w:b/>
              </w:rPr>
              <w:t>DHB</w:t>
            </w:r>
          </w:p>
        </w:tc>
        <w:tc>
          <w:tcPr>
            <w:tcW w:w="897" w:type="dxa"/>
            <w:tcBorders>
              <w:top w:val="single" w:sz="4" w:space="0" w:color="auto"/>
              <w:bottom w:val="single" w:sz="4" w:space="0" w:color="auto"/>
            </w:tcBorders>
          </w:tcPr>
          <w:p w:rsidR="00F316DE" w:rsidRPr="00A42F3A" w:rsidRDefault="00F316DE" w:rsidP="007F674E">
            <w:pPr>
              <w:pStyle w:val="TableText"/>
              <w:keepNext/>
              <w:tabs>
                <w:tab w:val="left" w:pos="772"/>
              </w:tabs>
              <w:jc w:val="center"/>
              <w:rPr>
                <w:b/>
                <w:szCs w:val="18"/>
              </w:rPr>
            </w:pPr>
            <w:r w:rsidRPr="00A42F3A">
              <w:rPr>
                <w:b/>
                <w:szCs w:val="18"/>
              </w:rPr>
              <w:t xml:space="preserve">s </w:t>
            </w:r>
            <w:r>
              <w:rPr>
                <w:b/>
                <w:szCs w:val="18"/>
              </w:rPr>
              <w:t>29</w:t>
            </w:r>
          </w:p>
        </w:tc>
        <w:tc>
          <w:tcPr>
            <w:tcW w:w="898" w:type="dxa"/>
            <w:tcBorders>
              <w:top w:val="single" w:sz="4" w:space="0" w:color="auto"/>
              <w:bottom w:val="single" w:sz="4" w:space="0" w:color="auto"/>
            </w:tcBorders>
          </w:tcPr>
          <w:p w:rsidR="00F316DE" w:rsidRPr="00A42F3A" w:rsidRDefault="00F316DE" w:rsidP="007F674E">
            <w:pPr>
              <w:pStyle w:val="TableText"/>
              <w:keepNext/>
              <w:jc w:val="center"/>
              <w:rPr>
                <w:rFonts w:eastAsia="Arial" w:cs="Arial"/>
                <w:b/>
                <w:szCs w:val="18"/>
              </w:rPr>
            </w:pPr>
            <w:r>
              <w:rPr>
                <w:b/>
                <w:szCs w:val="18"/>
              </w:rPr>
              <w:t>s 30</w:t>
            </w:r>
          </w:p>
        </w:tc>
        <w:tc>
          <w:tcPr>
            <w:tcW w:w="898" w:type="dxa"/>
            <w:tcBorders>
              <w:top w:val="single" w:sz="4" w:space="0" w:color="auto"/>
              <w:bottom w:val="single" w:sz="4" w:space="0" w:color="auto"/>
            </w:tcBorders>
          </w:tcPr>
          <w:p w:rsidR="00F316DE" w:rsidRPr="00A42F3A" w:rsidRDefault="00F316DE" w:rsidP="007F674E">
            <w:pPr>
              <w:pStyle w:val="TableText"/>
              <w:keepNext/>
              <w:jc w:val="center"/>
              <w:rPr>
                <w:rFonts w:eastAsia="Arial" w:cs="Arial"/>
                <w:b/>
                <w:szCs w:val="18"/>
              </w:rPr>
            </w:pPr>
            <w:r w:rsidRPr="00A42F3A">
              <w:rPr>
                <w:b/>
                <w:szCs w:val="18"/>
              </w:rPr>
              <w:t xml:space="preserve">s </w:t>
            </w:r>
            <w:r>
              <w:rPr>
                <w:b/>
                <w:szCs w:val="18"/>
              </w:rPr>
              <w:t>31</w:t>
            </w:r>
          </w:p>
        </w:tc>
      </w:tr>
      <w:tr w:rsidR="00F316DE" w:rsidRPr="00A42F3A" w:rsidTr="007F674E">
        <w:trPr>
          <w:cantSplit/>
          <w:trHeight w:val="327"/>
        </w:trPr>
        <w:tc>
          <w:tcPr>
            <w:tcW w:w="1843" w:type="dxa"/>
            <w:tcBorders>
              <w:top w:val="single" w:sz="4" w:space="0" w:color="auto"/>
            </w:tcBorders>
          </w:tcPr>
          <w:p w:rsidR="00F316DE" w:rsidRPr="00A42F3A" w:rsidRDefault="00F316DE" w:rsidP="00F316DE">
            <w:pPr>
              <w:pStyle w:val="TableText"/>
              <w:keepNext/>
              <w:rPr>
                <w:szCs w:val="18"/>
              </w:rPr>
            </w:pPr>
            <w:r w:rsidRPr="00A42F3A">
              <w:rPr>
                <w:szCs w:val="18"/>
              </w:rPr>
              <w:t>Auckland</w:t>
            </w:r>
          </w:p>
        </w:tc>
        <w:tc>
          <w:tcPr>
            <w:tcW w:w="897" w:type="dxa"/>
            <w:tcBorders>
              <w:top w:val="single" w:sz="4" w:space="0" w:color="auto"/>
            </w:tcBorders>
          </w:tcPr>
          <w:p w:rsidR="00F316DE" w:rsidRPr="00F316DE" w:rsidRDefault="00F316DE" w:rsidP="00F316DE">
            <w:pPr>
              <w:pStyle w:val="TableText"/>
              <w:tabs>
                <w:tab w:val="decimal" w:pos="510"/>
              </w:tabs>
            </w:pPr>
            <w:r w:rsidRPr="00F316DE">
              <w:t>106</w:t>
            </w:r>
          </w:p>
        </w:tc>
        <w:tc>
          <w:tcPr>
            <w:tcW w:w="898" w:type="dxa"/>
            <w:tcBorders>
              <w:top w:val="single" w:sz="4" w:space="0" w:color="auto"/>
            </w:tcBorders>
          </w:tcPr>
          <w:p w:rsidR="00F316DE" w:rsidRPr="00F316DE" w:rsidRDefault="00F316DE" w:rsidP="00F316DE">
            <w:pPr>
              <w:pStyle w:val="TableText"/>
              <w:tabs>
                <w:tab w:val="decimal" w:pos="510"/>
              </w:tabs>
            </w:pPr>
            <w:r w:rsidRPr="00F316DE">
              <w:t>8</w:t>
            </w:r>
          </w:p>
        </w:tc>
        <w:tc>
          <w:tcPr>
            <w:tcW w:w="898" w:type="dxa"/>
            <w:tcBorders>
              <w:top w:val="single" w:sz="4" w:space="0" w:color="auto"/>
            </w:tcBorders>
          </w:tcPr>
          <w:p w:rsidR="00F316DE" w:rsidRPr="00F316DE" w:rsidRDefault="00F316DE" w:rsidP="00F316DE">
            <w:pPr>
              <w:pStyle w:val="TableText"/>
              <w:tabs>
                <w:tab w:val="decimal" w:pos="510"/>
              </w:tabs>
              <w:rPr>
                <w:rFonts w:eastAsia="Arial" w:cs="Arial"/>
                <w:szCs w:val="19"/>
              </w:rPr>
            </w:pPr>
            <w:r w:rsidRPr="00F316DE">
              <w:t>0</w:t>
            </w:r>
          </w:p>
        </w:tc>
        <w:tc>
          <w:tcPr>
            <w:tcW w:w="426" w:type="dxa"/>
            <w:tcBorders>
              <w:top w:val="nil"/>
              <w:bottom w:val="nil"/>
            </w:tcBorders>
          </w:tcPr>
          <w:p w:rsidR="00F316DE" w:rsidRPr="00A42F3A" w:rsidRDefault="00F316DE" w:rsidP="00F316DE">
            <w:pPr>
              <w:pStyle w:val="TableText"/>
              <w:keepNext/>
              <w:rPr>
                <w:rFonts w:eastAsia="Arial" w:cs="Arial"/>
                <w:szCs w:val="19"/>
              </w:rPr>
            </w:pPr>
          </w:p>
        </w:tc>
        <w:tc>
          <w:tcPr>
            <w:tcW w:w="1701" w:type="dxa"/>
            <w:tcBorders>
              <w:top w:val="single" w:sz="4" w:space="0" w:color="auto"/>
            </w:tcBorders>
          </w:tcPr>
          <w:p w:rsidR="00F316DE" w:rsidRPr="00A42F3A" w:rsidRDefault="00F316DE" w:rsidP="00F316DE">
            <w:pPr>
              <w:pStyle w:val="TableText"/>
              <w:keepNext/>
              <w:rPr>
                <w:rFonts w:eastAsia="Arial" w:cs="Arial"/>
                <w:szCs w:val="19"/>
              </w:rPr>
            </w:pPr>
            <w:r w:rsidRPr="00A42F3A">
              <w:t>Northland</w:t>
            </w:r>
          </w:p>
        </w:tc>
        <w:tc>
          <w:tcPr>
            <w:tcW w:w="897" w:type="dxa"/>
            <w:tcBorders>
              <w:top w:val="single" w:sz="4" w:space="0" w:color="auto"/>
            </w:tcBorders>
          </w:tcPr>
          <w:p w:rsidR="00F316DE" w:rsidRPr="00F316DE" w:rsidRDefault="00F316DE" w:rsidP="00F316DE">
            <w:pPr>
              <w:pStyle w:val="TableText"/>
              <w:tabs>
                <w:tab w:val="decimal" w:pos="506"/>
              </w:tabs>
            </w:pPr>
            <w:r w:rsidRPr="00F316DE">
              <w:t>158</w:t>
            </w:r>
          </w:p>
        </w:tc>
        <w:tc>
          <w:tcPr>
            <w:tcW w:w="898" w:type="dxa"/>
            <w:tcBorders>
              <w:top w:val="single" w:sz="4" w:space="0" w:color="auto"/>
            </w:tcBorders>
          </w:tcPr>
          <w:p w:rsidR="00F316DE" w:rsidRPr="00F316DE" w:rsidRDefault="00F316DE" w:rsidP="00F316DE">
            <w:pPr>
              <w:pStyle w:val="TableText"/>
              <w:tabs>
                <w:tab w:val="decimal" w:pos="506"/>
              </w:tabs>
            </w:pPr>
            <w:r w:rsidRPr="00F316DE">
              <w:t>8</w:t>
            </w:r>
          </w:p>
        </w:tc>
        <w:tc>
          <w:tcPr>
            <w:tcW w:w="898" w:type="dxa"/>
            <w:tcBorders>
              <w:top w:val="single" w:sz="4" w:space="0" w:color="auto"/>
            </w:tcBorders>
          </w:tcPr>
          <w:p w:rsidR="00F316DE" w:rsidRPr="00F316DE" w:rsidRDefault="00F316DE" w:rsidP="00F316DE">
            <w:pPr>
              <w:pStyle w:val="TableText"/>
              <w:tabs>
                <w:tab w:val="decimal" w:pos="506"/>
              </w:tabs>
              <w:rPr>
                <w:rFonts w:eastAsia="Arial" w:cs="Arial"/>
                <w:szCs w:val="19"/>
              </w:rPr>
            </w:pPr>
            <w:r w:rsidRPr="00F316DE">
              <w:t>6</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Bay of Plenty</w:t>
            </w:r>
          </w:p>
        </w:tc>
        <w:tc>
          <w:tcPr>
            <w:tcW w:w="897" w:type="dxa"/>
          </w:tcPr>
          <w:p w:rsidR="00F316DE" w:rsidRPr="00F316DE" w:rsidRDefault="00F316DE" w:rsidP="00F316DE">
            <w:pPr>
              <w:pStyle w:val="TableText"/>
              <w:tabs>
                <w:tab w:val="decimal" w:pos="510"/>
              </w:tabs>
            </w:pPr>
            <w:r w:rsidRPr="00F316DE">
              <w:t>46</w:t>
            </w:r>
          </w:p>
        </w:tc>
        <w:tc>
          <w:tcPr>
            <w:tcW w:w="898" w:type="dxa"/>
          </w:tcPr>
          <w:p w:rsidR="00F316DE" w:rsidRPr="00F316DE" w:rsidRDefault="00F316DE" w:rsidP="00F316DE">
            <w:pPr>
              <w:pStyle w:val="TableText"/>
              <w:tabs>
                <w:tab w:val="decimal" w:pos="510"/>
              </w:tabs>
            </w:pPr>
            <w:r w:rsidRPr="00F316DE">
              <w:t>16</w:t>
            </w:r>
          </w:p>
        </w:tc>
        <w:tc>
          <w:tcPr>
            <w:tcW w:w="898" w:type="dxa"/>
          </w:tcPr>
          <w:p w:rsidR="00F316DE" w:rsidRPr="00F316DE" w:rsidRDefault="00F316DE" w:rsidP="00F316DE">
            <w:pPr>
              <w:pStyle w:val="TableText"/>
              <w:tabs>
                <w:tab w:val="decimal" w:pos="510"/>
              </w:tabs>
              <w:rPr>
                <w:rFonts w:eastAsia="Arial" w:cs="Arial"/>
                <w:szCs w:val="19"/>
              </w:rPr>
            </w:pPr>
            <w:r w:rsidRPr="00F316DE">
              <w:t>6</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pPr>
            <w:r w:rsidRPr="00A42F3A">
              <w:t>South Canterbury</w:t>
            </w:r>
          </w:p>
        </w:tc>
        <w:tc>
          <w:tcPr>
            <w:tcW w:w="897" w:type="dxa"/>
          </w:tcPr>
          <w:p w:rsidR="00F316DE" w:rsidRPr="00F316DE" w:rsidRDefault="00F316DE" w:rsidP="00F316DE">
            <w:pPr>
              <w:pStyle w:val="TableText"/>
              <w:tabs>
                <w:tab w:val="decimal" w:pos="506"/>
              </w:tabs>
            </w:pPr>
            <w:r w:rsidRPr="00F316DE">
              <w:t>82</w:t>
            </w:r>
          </w:p>
        </w:tc>
        <w:tc>
          <w:tcPr>
            <w:tcW w:w="898" w:type="dxa"/>
          </w:tcPr>
          <w:p w:rsidR="00F316DE" w:rsidRPr="00F316DE" w:rsidRDefault="00F316DE" w:rsidP="00F316DE">
            <w:pPr>
              <w:pStyle w:val="TableText"/>
              <w:tabs>
                <w:tab w:val="decimal" w:pos="506"/>
              </w:tabs>
            </w:pPr>
            <w:r w:rsidRPr="00F316DE">
              <w:t>5</w:t>
            </w:r>
          </w:p>
        </w:tc>
        <w:tc>
          <w:tcPr>
            <w:tcW w:w="898" w:type="dxa"/>
          </w:tcPr>
          <w:p w:rsidR="00F316DE" w:rsidRPr="00F316DE" w:rsidRDefault="00F316DE" w:rsidP="00F316DE">
            <w:pPr>
              <w:pStyle w:val="TableText"/>
              <w:tabs>
                <w:tab w:val="decimal" w:pos="506"/>
              </w:tabs>
              <w:rPr>
                <w:rFonts w:eastAsia="Arial" w:cs="Arial"/>
                <w:szCs w:val="19"/>
              </w:rPr>
            </w:pPr>
            <w:r w:rsidRPr="00F316DE">
              <w:t>4</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Canterbury</w:t>
            </w:r>
          </w:p>
        </w:tc>
        <w:tc>
          <w:tcPr>
            <w:tcW w:w="897" w:type="dxa"/>
          </w:tcPr>
          <w:p w:rsidR="00F316DE" w:rsidRPr="00F316DE" w:rsidRDefault="00F316DE" w:rsidP="00F316DE">
            <w:pPr>
              <w:pStyle w:val="TableText"/>
              <w:tabs>
                <w:tab w:val="decimal" w:pos="510"/>
              </w:tabs>
            </w:pPr>
            <w:r w:rsidRPr="00F316DE">
              <w:t>64</w:t>
            </w:r>
          </w:p>
        </w:tc>
        <w:tc>
          <w:tcPr>
            <w:tcW w:w="898" w:type="dxa"/>
          </w:tcPr>
          <w:p w:rsidR="00F316DE" w:rsidRPr="00F316DE" w:rsidRDefault="00F316DE" w:rsidP="00F316DE">
            <w:pPr>
              <w:pStyle w:val="TableText"/>
              <w:tabs>
                <w:tab w:val="decimal" w:pos="510"/>
              </w:tabs>
            </w:pPr>
            <w:r w:rsidRPr="00F316DE">
              <w:t>17</w:t>
            </w:r>
          </w:p>
        </w:tc>
        <w:tc>
          <w:tcPr>
            <w:tcW w:w="898" w:type="dxa"/>
          </w:tcPr>
          <w:p w:rsidR="00F316DE" w:rsidRPr="00F316DE" w:rsidRDefault="00F316DE" w:rsidP="00F316DE">
            <w:pPr>
              <w:pStyle w:val="TableText"/>
              <w:tabs>
                <w:tab w:val="decimal" w:pos="510"/>
              </w:tabs>
              <w:rPr>
                <w:rFonts w:eastAsia="Arial" w:cs="Arial"/>
                <w:szCs w:val="19"/>
              </w:rPr>
            </w:pPr>
            <w:r w:rsidRPr="00F316DE">
              <w:t>5</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pPr>
            <w:r w:rsidRPr="00A42F3A">
              <w:t>Southern</w:t>
            </w:r>
          </w:p>
        </w:tc>
        <w:tc>
          <w:tcPr>
            <w:tcW w:w="897" w:type="dxa"/>
          </w:tcPr>
          <w:p w:rsidR="00F316DE" w:rsidRPr="00F316DE" w:rsidRDefault="00F316DE" w:rsidP="00F316DE">
            <w:pPr>
              <w:pStyle w:val="TableText"/>
              <w:tabs>
                <w:tab w:val="decimal" w:pos="506"/>
              </w:tabs>
            </w:pPr>
            <w:r w:rsidRPr="00F316DE">
              <w:t>73</w:t>
            </w:r>
          </w:p>
        </w:tc>
        <w:tc>
          <w:tcPr>
            <w:tcW w:w="898" w:type="dxa"/>
          </w:tcPr>
          <w:p w:rsidR="00F316DE" w:rsidRPr="00F316DE" w:rsidRDefault="00F316DE" w:rsidP="00F316DE">
            <w:pPr>
              <w:pStyle w:val="TableText"/>
              <w:tabs>
                <w:tab w:val="decimal" w:pos="506"/>
              </w:tabs>
            </w:pPr>
            <w:r w:rsidRPr="00F316DE">
              <w:t>10</w:t>
            </w:r>
          </w:p>
        </w:tc>
        <w:tc>
          <w:tcPr>
            <w:tcW w:w="898" w:type="dxa"/>
          </w:tcPr>
          <w:p w:rsidR="00F316DE" w:rsidRPr="00F316DE" w:rsidRDefault="00F316DE" w:rsidP="00F316DE">
            <w:pPr>
              <w:pStyle w:val="TableText"/>
              <w:tabs>
                <w:tab w:val="decimal" w:pos="506"/>
              </w:tabs>
              <w:rPr>
                <w:rFonts w:eastAsia="Arial" w:cs="Arial"/>
                <w:szCs w:val="19"/>
              </w:rPr>
            </w:pPr>
            <w:r w:rsidRPr="00F316DE">
              <w:t>4</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Capital &amp; Coast</w:t>
            </w:r>
          </w:p>
        </w:tc>
        <w:tc>
          <w:tcPr>
            <w:tcW w:w="897" w:type="dxa"/>
          </w:tcPr>
          <w:p w:rsidR="00F316DE" w:rsidRPr="00F316DE" w:rsidRDefault="00F316DE" w:rsidP="00F316DE">
            <w:pPr>
              <w:pStyle w:val="TableText"/>
              <w:tabs>
                <w:tab w:val="decimal" w:pos="510"/>
              </w:tabs>
            </w:pPr>
            <w:r w:rsidRPr="00F316DE">
              <w:t>113</w:t>
            </w:r>
          </w:p>
        </w:tc>
        <w:tc>
          <w:tcPr>
            <w:tcW w:w="898" w:type="dxa"/>
          </w:tcPr>
          <w:p w:rsidR="00F316DE" w:rsidRPr="00F316DE" w:rsidRDefault="00F316DE" w:rsidP="00F316DE">
            <w:pPr>
              <w:pStyle w:val="TableText"/>
              <w:tabs>
                <w:tab w:val="decimal" w:pos="510"/>
              </w:tabs>
            </w:pPr>
            <w:r w:rsidRPr="00F316DE">
              <w:t>27</w:t>
            </w:r>
          </w:p>
        </w:tc>
        <w:tc>
          <w:tcPr>
            <w:tcW w:w="898" w:type="dxa"/>
          </w:tcPr>
          <w:p w:rsidR="00F316DE" w:rsidRPr="00F316DE" w:rsidRDefault="00F316DE" w:rsidP="00F316DE">
            <w:pPr>
              <w:pStyle w:val="TableText"/>
              <w:tabs>
                <w:tab w:val="decimal" w:pos="510"/>
              </w:tabs>
              <w:rPr>
                <w:rFonts w:eastAsia="Arial" w:cs="Arial"/>
                <w:szCs w:val="19"/>
              </w:rPr>
            </w:pPr>
            <w:r w:rsidRPr="00F316DE">
              <w:t>4</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F316DE" w:rsidRDefault="00F316DE" w:rsidP="007F674E">
            <w:pPr>
              <w:pStyle w:val="TableText"/>
              <w:rPr>
                <w:szCs w:val="18"/>
              </w:rPr>
            </w:pPr>
            <w:proofErr w:type="spellStart"/>
            <w:r w:rsidRPr="00F316DE">
              <w:rPr>
                <w:szCs w:val="18"/>
              </w:rPr>
              <w:t>Tairāwhiti</w:t>
            </w:r>
            <w:proofErr w:type="spellEnd"/>
          </w:p>
        </w:tc>
        <w:tc>
          <w:tcPr>
            <w:tcW w:w="897" w:type="dxa"/>
          </w:tcPr>
          <w:p w:rsidR="00F316DE" w:rsidRPr="00F316DE" w:rsidRDefault="00F316DE" w:rsidP="00F316DE">
            <w:pPr>
              <w:pStyle w:val="TableText"/>
              <w:tabs>
                <w:tab w:val="decimal" w:pos="506"/>
              </w:tabs>
            </w:pPr>
            <w:r w:rsidRPr="00F316DE">
              <w:t>153</w:t>
            </w:r>
          </w:p>
        </w:tc>
        <w:tc>
          <w:tcPr>
            <w:tcW w:w="898" w:type="dxa"/>
          </w:tcPr>
          <w:p w:rsidR="00F316DE" w:rsidRPr="00F316DE" w:rsidRDefault="00F316DE" w:rsidP="00F316DE">
            <w:pPr>
              <w:pStyle w:val="TableText"/>
              <w:tabs>
                <w:tab w:val="decimal" w:pos="506"/>
              </w:tabs>
            </w:pPr>
            <w:r w:rsidRPr="00F316DE">
              <w:t>7</w:t>
            </w:r>
          </w:p>
        </w:tc>
        <w:tc>
          <w:tcPr>
            <w:tcW w:w="898" w:type="dxa"/>
          </w:tcPr>
          <w:p w:rsidR="00F316DE" w:rsidRPr="00F316DE" w:rsidRDefault="00F316DE" w:rsidP="00F316DE">
            <w:pPr>
              <w:pStyle w:val="TableText"/>
              <w:tabs>
                <w:tab w:val="decimal" w:pos="506"/>
              </w:tabs>
              <w:rPr>
                <w:rFonts w:eastAsia="Arial" w:cs="Arial"/>
                <w:szCs w:val="19"/>
              </w:rPr>
            </w:pPr>
            <w:r w:rsidRPr="00F316DE">
              <w:t>4</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 xml:space="preserve">Counties </w:t>
            </w:r>
            <w:proofErr w:type="spellStart"/>
            <w:r w:rsidRPr="00A42F3A">
              <w:rPr>
                <w:szCs w:val="18"/>
              </w:rPr>
              <w:t>Manukau</w:t>
            </w:r>
            <w:proofErr w:type="spellEnd"/>
          </w:p>
        </w:tc>
        <w:tc>
          <w:tcPr>
            <w:tcW w:w="897" w:type="dxa"/>
          </w:tcPr>
          <w:p w:rsidR="00F316DE" w:rsidRPr="00F316DE" w:rsidRDefault="00F316DE" w:rsidP="00F316DE">
            <w:pPr>
              <w:pStyle w:val="TableText"/>
              <w:tabs>
                <w:tab w:val="decimal" w:pos="510"/>
              </w:tabs>
            </w:pPr>
            <w:r w:rsidRPr="00F316DE">
              <w:t>84</w:t>
            </w:r>
          </w:p>
        </w:tc>
        <w:tc>
          <w:tcPr>
            <w:tcW w:w="898" w:type="dxa"/>
          </w:tcPr>
          <w:p w:rsidR="00F316DE" w:rsidRPr="00F316DE" w:rsidRDefault="00F316DE" w:rsidP="00F316DE">
            <w:pPr>
              <w:pStyle w:val="TableText"/>
              <w:tabs>
                <w:tab w:val="decimal" w:pos="510"/>
              </w:tabs>
            </w:pPr>
            <w:r w:rsidRPr="00F316DE">
              <w:t>11</w:t>
            </w:r>
          </w:p>
        </w:tc>
        <w:tc>
          <w:tcPr>
            <w:tcW w:w="898" w:type="dxa"/>
          </w:tcPr>
          <w:p w:rsidR="00F316DE" w:rsidRPr="00F316DE" w:rsidRDefault="00F316DE" w:rsidP="00F316DE">
            <w:pPr>
              <w:pStyle w:val="TableText"/>
              <w:tabs>
                <w:tab w:val="decimal" w:pos="510"/>
              </w:tabs>
              <w:rPr>
                <w:rFonts w:eastAsia="Arial" w:cs="Arial"/>
                <w:szCs w:val="19"/>
              </w:rPr>
            </w:pPr>
            <w:r w:rsidRPr="00F316DE">
              <w:t>3</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rPr>
                <w:rFonts w:eastAsia="Arial" w:cs="Arial"/>
                <w:szCs w:val="19"/>
              </w:rPr>
            </w:pPr>
            <w:proofErr w:type="spellStart"/>
            <w:r w:rsidRPr="00A42F3A">
              <w:t>Taranaki</w:t>
            </w:r>
            <w:proofErr w:type="spellEnd"/>
          </w:p>
        </w:tc>
        <w:tc>
          <w:tcPr>
            <w:tcW w:w="897" w:type="dxa"/>
          </w:tcPr>
          <w:p w:rsidR="00F316DE" w:rsidRPr="00F316DE" w:rsidRDefault="00F316DE" w:rsidP="00F316DE">
            <w:pPr>
              <w:pStyle w:val="TableText"/>
              <w:tabs>
                <w:tab w:val="decimal" w:pos="506"/>
              </w:tabs>
            </w:pPr>
            <w:r w:rsidRPr="00F316DE">
              <w:t>70</w:t>
            </w:r>
          </w:p>
        </w:tc>
        <w:tc>
          <w:tcPr>
            <w:tcW w:w="898" w:type="dxa"/>
          </w:tcPr>
          <w:p w:rsidR="00F316DE" w:rsidRPr="00F316DE" w:rsidRDefault="00F316DE" w:rsidP="00F316DE">
            <w:pPr>
              <w:pStyle w:val="TableText"/>
              <w:tabs>
                <w:tab w:val="decimal" w:pos="506"/>
              </w:tabs>
            </w:pPr>
            <w:r w:rsidRPr="00F316DE">
              <w:t>2</w:t>
            </w:r>
          </w:p>
        </w:tc>
        <w:tc>
          <w:tcPr>
            <w:tcW w:w="898" w:type="dxa"/>
          </w:tcPr>
          <w:p w:rsidR="00F316DE" w:rsidRPr="00F316DE" w:rsidRDefault="00F316DE" w:rsidP="00F316DE">
            <w:pPr>
              <w:pStyle w:val="TableText"/>
              <w:tabs>
                <w:tab w:val="decimal" w:pos="506"/>
              </w:tabs>
              <w:rPr>
                <w:rFonts w:eastAsia="Arial" w:cs="Arial"/>
                <w:szCs w:val="19"/>
              </w:rPr>
            </w:pPr>
            <w:r w:rsidRPr="00F316DE">
              <w:t>2</w:t>
            </w:r>
          </w:p>
        </w:tc>
      </w:tr>
      <w:tr w:rsidR="00F316DE" w:rsidRPr="00A42F3A" w:rsidTr="007F674E">
        <w:trPr>
          <w:cantSplit/>
          <w:trHeight w:val="327"/>
        </w:trPr>
        <w:tc>
          <w:tcPr>
            <w:tcW w:w="1843" w:type="dxa"/>
          </w:tcPr>
          <w:p w:rsidR="00F316DE" w:rsidRPr="00A42F3A" w:rsidRDefault="00F316DE" w:rsidP="007F674E">
            <w:pPr>
              <w:pStyle w:val="TableText"/>
              <w:rPr>
                <w:rFonts w:eastAsia="Arial" w:cs="Arial"/>
                <w:szCs w:val="18"/>
              </w:rPr>
            </w:pPr>
            <w:r w:rsidRPr="00A42F3A">
              <w:rPr>
                <w:rFonts w:eastAsia="Arial" w:cs="Arial"/>
                <w:szCs w:val="18"/>
              </w:rPr>
              <w:t>Hawke’s Bay</w:t>
            </w:r>
          </w:p>
        </w:tc>
        <w:tc>
          <w:tcPr>
            <w:tcW w:w="897" w:type="dxa"/>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141</w:t>
            </w:r>
          </w:p>
        </w:tc>
        <w:tc>
          <w:tcPr>
            <w:tcW w:w="898" w:type="dxa"/>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15</w:t>
            </w:r>
          </w:p>
        </w:tc>
        <w:tc>
          <w:tcPr>
            <w:tcW w:w="898" w:type="dxa"/>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16</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rPr>
                <w:rFonts w:eastAsia="Arial" w:cs="Arial"/>
                <w:szCs w:val="19"/>
              </w:rPr>
            </w:pPr>
            <w:r w:rsidRPr="00A42F3A">
              <w:t>Waikato</w:t>
            </w:r>
          </w:p>
        </w:tc>
        <w:tc>
          <w:tcPr>
            <w:tcW w:w="897" w:type="dxa"/>
          </w:tcPr>
          <w:p w:rsidR="00F316DE" w:rsidRPr="00F316DE" w:rsidRDefault="00F316DE" w:rsidP="00F316DE">
            <w:pPr>
              <w:pStyle w:val="TableText"/>
              <w:tabs>
                <w:tab w:val="decimal" w:pos="506"/>
              </w:tabs>
            </w:pPr>
            <w:r w:rsidRPr="00F316DE">
              <w:t>114</w:t>
            </w:r>
          </w:p>
        </w:tc>
        <w:tc>
          <w:tcPr>
            <w:tcW w:w="898" w:type="dxa"/>
          </w:tcPr>
          <w:p w:rsidR="00F316DE" w:rsidRPr="00F316DE" w:rsidRDefault="00F316DE" w:rsidP="00F316DE">
            <w:pPr>
              <w:pStyle w:val="TableText"/>
              <w:tabs>
                <w:tab w:val="decimal" w:pos="506"/>
              </w:tabs>
            </w:pPr>
            <w:r w:rsidRPr="00F316DE">
              <w:t>15</w:t>
            </w:r>
          </w:p>
        </w:tc>
        <w:tc>
          <w:tcPr>
            <w:tcW w:w="898" w:type="dxa"/>
          </w:tcPr>
          <w:p w:rsidR="00F316DE" w:rsidRPr="00F316DE" w:rsidRDefault="00F316DE" w:rsidP="00F316DE">
            <w:pPr>
              <w:pStyle w:val="TableText"/>
              <w:tabs>
                <w:tab w:val="decimal" w:pos="506"/>
              </w:tabs>
              <w:rPr>
                <w:rFonts w:eastAsia="Arial" w:cs="Arial"/>
                <w:szCs w:val="19"/>
              </w:rPr>
            </w:pPr>
            <w:r w:rsidRPr="00F316DE">
              <w:t>2</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Hutt Valley</w:t>
            </w:r>
          </w:p>
        </w:tc>
        <w:tc>
          <w:tcPr>
            <w:tcW w:w="897" w:type="dxa"/>
          </w:tcPr>
          <w:p w:rsidR="00F316DE" w:rsidRPr="00F316DE" w:rsidRDefault="00F316DE" w:rsidP="00F316DE">
            <w:pPr>
              <w:pStyle w:val="TableText"/>
              <w:tabs>
                <w:tab w:val="decimal" w:pos="510"/>
              </w:tabs>
            </w:pPr>
            <w:r w:rsidRPr="00F316DE">
              <w:t>72</w:t>
            </w:r>
          </w:p>
        </w:tc>
        <w:tc>
          <w:tcPr>
            <w:tcW w:w="898" w:type="dxa"/>
          </w:tcPr>
          <w:p w:rsidR="00F316DE" w:rsidRPr="00F316DE" w:rsidRDefault="00F316DE" w:rsidP="00F316DE">
            <w:pPr>
              <w:pStyle w:val="TableText"/>
              <w:tabs>
                <w:tab w:val="decimal" w:pos="510"/>
              </w:tabs>
            </w:pPr>
            <w:r w:rsidRPr="00F316DE">
              <w:t>5</w:t>
            </w:r>
          </w:p>
        </w:tc>
        <w:tc>
          <w:tcPr>
            <w:tcW w:w="898" w:type="dxa"/>
          </w:tcPr>
          <w:p w:rsidR="00F316DE" w:rsidRPr="00F316DE" w:rsidRDefault="00F316DE" w:rsidP="00F316DE">
            <w:pPr>
              <w:pStyle w:val="TableText"/>
              <w:tabs>
                <w:tab w:val="decimal" w:pos="510"/>
              </w:tabs>
              <w:rPr>
                <w:rFonts w:eastAsia="Arial" w:cs="Arial"/>
                <w:szCs w:val="19"/>
              </w:rPr>
            </w:pPr>
            <w:r w:rsidRPr="00F316DE">
              <w:t>1</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pPr>
            <w:proofErr w:type="spellStart"/>
            <w:r w:rsidRPr="00A42F3A">
              <w:t>Wairarapa</w:t>
            </w:r>
            <w:proofErr w:type="spellEnd"/>
          </w:p>
        </w:tc>
        <w:tc>
          <w:tcPr>
            <w:tcW w:w="897" w:type="dxa"/>
          </w:tcPr>
          <w:p w:rsidR="00F316DE" w:rsidRPr="00F316DE" w:rsidRDefault="00F316DE" w:rsidP="00F316DE">
            <w:pPr>
              <w:pStyle w:val="TableText"/>
              <w:tabs>
                <w:tab w:val="decimal" w:pos="506"/>
              </w:tabs>
              <w:rPr>
                <w:rFonts w:eastAsia="Arial" w:cs="Arial"/>
                <w:szCs w:val="19"/>
              </w:rPr>
            </w:pPr>
            <w:r w:rsidRPr="00F316DE">
              <w:rPr>
                <w:rFonts w:eastAsia="Arial" w:cs="Arial"/>
                <w:szCs w:val="19"/>
              </w:rPr>
              <w:t>79</w:t>
            </w:r>
          </w:p>
        </w:tc>
        <w:tc>
          <w:tcPr>
            <w:tcW w:w="898" w:type="dxa"/>
          </w:tcPr>
          <w:p w:rsidR="00F316DE" w:rsidRPr="00F316DE" w:rsidRDefault="00F316DE" w:rsidP="00F316DE">
            <w:pPr>
              <w:pStyle w:val="TableText"/>
              <w:tabs>
                <w:tab w:val="decimal" w:pos="506"/>
              </w:tabs>
              <w:rPr>
                <w:rFonts w:eastAsia="Arial" w:cs="Arial"/>
                <w:szCs w:val="19"/>
              </w:rPr>
            </w:pPr>
            <w:r w:rsidRPr="00F316DE">
              <w:rPr>
                <w:rFonts w:eastAsia="Arial" w:cs="Arial"/>
                <w:szCs w:val="19"/>
              </w:rPr>
              <w:t>–</w:t>
            </w:r>
          </w:p>
        </w:tc>
        <w:tc>
          <w:tcPr>
            <w:tcW w:w="898" w:type="dxa"/>
          </w:tcPr>
          <w:p w:rsidR="00F316DE" w:rsidRPr="00F316DE" w:rsidRDefault="00F316DE" w:rsidP="00F316DE">
            <w:pPr>
              <w:pStyle w:val="TableText"/>
              <w:tabs>
                <w:tab w:val="decimal" w:pos="506"/>
              </w:tabs>
              <w:rPr>
                <w:rFonts w:eastAsia="Arial" w:cs="Arial"/>
                <w:szCs w:val="19"/>
              </w:rPr>
            </w:pPr>
            <w:r w:rsidRPr="00F316DE">
              <w:rPr>
                <w:rFonts w:eastAsia="Arial" w:cs="Arial"/>
                <w:szCs w:val="19"/>
              </w:rPr>
              <w:t>–</w:t>
            </w:r>
          </w:p>
        </w:tc>
      </w:tr>
      <w:tr w:rsidR="00F316DE" w:rsidRPr="00A42F3A" w:rsidTr="007F674E">
        <w:trPr>
          <w:cantSplit/>
          <w:trHeight w:val="327"/>
        </w:trPr>
        <w:tc>
          <w:tcPr>
            <w:tcW w:w="1843" w:type="dxa"/>
          </w:tcPr>
          <w:p w:rsidR="00F316DE" w:rsidRPr="00A42F3A" w:rsidRDefault="00F316DE" w:rsidP="007F674E">
            <w:pPr>
              <w:pStyle w:val="TableText"/>
              <w:rPr>
                <w:szCs w:val="18"/>
              </w:rPr>
            </w:pPr>
            <w:r w:rsidRPr="00A42F3A">
              <w:rPr>
                <w:szCs w:val="18"/>
              </w:rPr>
              <w:t>Lakes</w:t>
            </w:r>
          </w:p>
        </w:tc>
        <w:tc>
          <w:tcPr>
            <w:tcW w:w="897" w:type="dxa"/>
          </w:tcPr>
          <w:p w:rsidR="00F316DE" w:rsidRPr="00F316DE" w:rsidRDefault="00F316DE" w:rsidP="00F316DE">
            <w:pPr>
              <w:pStyle w:val="TableText"/>
              <w:tabs>
                <w:tab w:val="decimal" w:pos="510"/>
              </w:tabs>
            </w:pPr>
            <w:r w:rsidRPr="00F316DE">
              <w:t>149</w:t>
            </w:r>
          </w:p>
        </w:tc>
        <w:tc>
          <w:tcPr>
            <w:tcW w:w="898" w:type="dxa"/>
          </w:tcPr>
          <w:p w:rsidR="00F316DE" w:rsidRPr="00F316DE" w:rsidRDefault="00F316DE" w:rsidP="00F316DE">
            <w:pPr>
              <w:pStyle w:val="TableText"/>
              <w:tabs>
                <w:tab w:val="decimal" w:pos="510"/>
              </w:tabs>
            </w:pPr>
            <w:r w:rsidRPr="00F316DE">
              <w:t>11</w:t>
            </w:r>
          </w:p>
        </w:tc>
        <w:tc>
          <w:tcPr>
            <w:tcW w:w="898" w:type="dxa"/>
          </w:tcPr>
          <w:p w:rsidR="00F316DE" w:rsidRPr="00F316DE" w:rsidRDefault="00F316DE" w:rsidP="00F316DE">
            <w:pPr>
              <w:pStyle w:val="TableText"/>
              <w:tabs>
                <w:tab w:val="decimal" w:pos="510"/>
              </w:tabs>
              <w:rPr>
                <w:rFonts w:eastAsia="Arial" w:cs="Arial"/>
                <w:szCs w:val="19"/>
              </w:rPr>
            </w:pPr>
            <w:r w:rsidRPr="00F316DE">
              <w:t>9</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pPr>
            <w:proofErr w:type="spellStart"/>
            <w:r w:rsidRPr="00A42F3A">
              <w:t>Waitemata</w:t>
            </w:r>
            <w:proofErr w:type="spellEnd"/>
          </w:p>
        </w:tc>
        <w:tc>
          <w:tcPr>
            <w:tcW w:w="897" w:type="dxa"/>
          </w:tcPr>
          <w:p w:rsidR="00F316DE" w:rsidRPr="00F316DE" w:rsidRDefault="00F316DE" w:rsidP="00F316DE">
            <w:pPr>
              <w:pStyle w:val="TableText"/>
              <w:tabs>
                <w:tab w:val="decimal" w:pos="506"/>
              </w:tabs>
            </w:pPr>
            <w:r w:rsidRPr="00F316DE">
              <w:t>80</w:t>
            </w:r>
          </w:p>
        </w:tc>
        <w:tc>
          <w:tcPr>
            <w:tcW w:w="898" w:type="dxa"/>
          </w:tcPr>
          <w:p w:rsidR="00F316DE" w:rsidRPr="00F316DE" w:rsidRDefault="00F316DE" w:rsidP="00F316DE">
            <w:pPr>
              <w:pStyle w:val="TableText"/>
              <w:tabs>
                <w:tab w:val="decimal" w:pos="506"/>
              </w:tabs>
            </w:pPr>
            <w:r w:rsidRPr="00F316DE">
              <w:t>12</w:t>
            </w:r>
          </w:p>
        </w:tc>
        <w:tc>
          <w:tcPr>
            <w:tcW w:w="898" w:type="dxa"/>
          </w:tcPr>
          <w:p w:rsidR="00F316DE" w:rsidRPr="00F316DE" w:rsidRDefault="00F316DE" w:rsidP="00F316DE">
            <w:pPr>
              <w:pStyle w:val="TableText"/>
              <w:tabs>
                <w:tab w:val="decimal" w:pos="506"/>
              </w:tabs>
              <w:rPr>
                <w:rFonts w:eastAsia="Arial" w:cs="Arial"/>
                <w:szCs w:val="19"/>
              </w:rPr>
            </w:pPr>
            <w:r w:rsidRPr="00F316DE">
              <w:t>2</w:t>
            </w:r>
          </w:p>
        </w:tc>
      </w:tr>
      <w:tr w:rsidR="00F316DE" w:rsidRPr="00A42F3A" w:rsidTr="007F674E">
        <w:trPr>
          <w:cantSplit/>
          <w:trHeight w:val="327"/>
        </w:trPr>
        <w:tc>
          <w:tcPr>
            <w:tcW w:w="1843" w:type="dxa"/>
            <w:tcBorders>
              <w:bottom w:val="nil"/>
            </w:tcBorders>
          </w:tcPr>
          <w:p w:rsidR="00F316DE" w:rsidRPr="00A42F3A" w:rsidRDefault="00F316DE" w:rsidP="007F674E">
            <w:pPr>
              <w:pStyle w:val="TableText"/>
              <w:rPr>
                <w:szCs w:val="18"/>
              </w:rPr>
            </w:pPr>
            <w:proofErr w:type="spellStart"/>
            <w:r w:rsidRPr="00A42F3A">
              <w:rPr>
                <w:szCs w:val="18"/>
              </w:rPr>
              <w:t>MidCentral</w:t>
            </w:r>
            <w:proofErr w:type="spellEnd"/>
          </w:p>
        </w:tc>
        <w:tc>
          <w:tcPr>
            <w:tcW w:w="897" w:type="dxa"/>
            <w:tcBorders>
              <w:bottom w:val="nil"/>
            </w:tcBorders>
          </w:tcPr>
          <w:p w:rsidR="00F316DE" w:rsidRPr="00F316DE" w:rsidRDefault="00F316DE" w:rsidP="00F316DE">
            <w:pPr>
              <w:pStyle w:val="TableText"/>
              <w:tabs>
                <w:tab w:val="decimal" w:pos="510"/>
              </w:tabs>
            </w:pPr>
            <w:r w:rsidRPr="00F316DE">
              <w:t>70</w:t>
            </w:r>
          </w:p>
        </w:tc>
        <w:tc>
          <w:tcPr>
            <w:tcW w:w="898" w:type="dxa"/>
            <w:tcBorders>
              <w:bottom w:val="nil"/>
            </w:tcBorders>
          </w:tcPr>
          <w:p w:rsidR="00F316DE" w:rsidRPr="00F316DE" w:rsidRDefault="00F316DE" w:rsidP="00F316DE">
            <w:pPr>
              <w:pStyle w:val="TableText"/>
              <w:tabs>
                <w:tab w:val="decimal" w:pos="510"/>
              </w:tabs>
            </w:pPr>
            <w:r w:rsidRPr="00F316DE">
              <w:t>22</w:t>
            </w:r>
          </w:p>
        </w:tc>
        <w:tc>
          <w:tcPr>
            <w:tcW w:w="898" w:type="dxa"/>
            <w:tcBorders>
              <w:bottom w:val="nil"/>
            </w:tcBorders>
          </w:tcPr>
          <w:p w:rsidR="00F316DE" w:rsidRPr="00F316DE" w:rsidRDefault="00F316DE" w:rsidP="00F316DE">
            <w:pPr>
              <w:pStyle w:val="TableText"/>
              <w:tabs>
                <w:tab w:val="decimal" w:pos="510"/>
              </w:tabs>
              <w:rPr>
                <w:rFonts w:eastAsia="Arial" w:cs="Arial"/>
                <w:szCs w:val="19"/>
              </w:rPr>
            </w:pPr>
            <w:r w:rsidRPr="00F316DE">
              <w:t>1</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pPr>
            <w:r w:rsidRPr="00A42F3A">
              <w:t>West Coast</w:t>
            </w:r>
          </w:p>
        </w:tc>
        <w:tc>
          <w:tcPr>
            <w:tcW w:w="897" w:type="dxa"/>
          </w:tcPr>
          <w:p w:rsidR="00F316DE" w:rsidRPr="00F316DE" w:rsidRDefault="00F316DE" w:rsidP="00F316DE">
            <w:pPr>
              <w:pStyle w:val="TableText"/>
              <w:tabs>
                <w:tab w:val="decimal" w:pos="506"/>
              </w:tabs>
            </w:pPr>
            <w:r w:rsidRPr="00F316DE">
              <w:t>74</w:t>
            </w:r>
          </w:p>
        </w:tc>
        <w:tc>
          <w:tcPr>
            <w:tcW w:w="898" w:type="dxa"/>
          </w:tcPr>
          <w:p w:rsidR="00F316DE" w:rsidRPr="00F316DE" w:rsidRDefault="00F316DE" w:rsidP="00F316DE">
            <w:pPr>
              <w:pStyle w:val="TableText"/>
              <w:tabs>
                <w:tab w:val="decimal" w:pos="506"/>
              </w:tabs>
            </w:pPr>
            <w:r w:rsidRPr="00F316DE">
              <w:t>6</w:t>
            </w:r>
          </w:p>
        </w:tc>
        <w:tc>
          <w:tcPr>
            <w:tcW w:w="898" w:type="dxa"/>
          </w:tcPr>
          <w:p w:rsidR="00F316DE" w:rsidRPr="00F316DE" w:rsidRDefault="00F316DE" w:rsidP="00F316DE">
            <w:pPr>
              <w:pStyle w:val="TableText"/>
              <w:tabs>
                <w:tab w:val="decimal" w:pos="506"/>
              </w:tabs>
              <w:rPr>
                <w:rFonts w:eastAsia="Arial" w:cs="Arial"/>
                <w:szCs w:val="19"/>
              </w:rPr>
            </w:pPr>
            <w:r w:rsidRPr="00F316DE">
              <w:t>4</w:t>
            </w:r>
          </w:p>
        </w:tc>
      </w:tr>
      <w:tr w:rsidR="00F316DE" w:rsidRPr="00A42F3A" w:rsidTr="007F674E">
        <w:trPr>
          <w:cantSplit/>
          <w:trHeight w:val="327"/>
        </w:trPr>
        <w:tc>
          <w:tcPr>
            <w:tcW w:w="1843" w:type="dxa"/>
            <w:tcBorders>
              <w:top w:val="nil"/>
              <w:bottom w:val="single" w:sz="4" w:space="0" w:color="auto"/>
            </w:tcBorders>
          </w:tcPr>
          <w:p w:rsidR="00F316DE" w:rsidRPr="00A42F3A" w:rsidRDefault="00F316DE" w:rsidP="007F674E">
            <w:pPr>
              <w:pStyle w:val="TableText"/>
              <w:rPr>
                <w:szCs w:val="18"/>
              </w:rPr>
            </w:pPr>
            <w:r w:rsidRPr="00A42F3A">
              <w:rPr>
                <w:szCs w:val="18"/>
              </w:rPr>
              <w:t>Nelson Marlborough</w:t>
            </w:r>
          </w:p>
        </w:tc>
        <w:tc>
          <w:tcPr>
            <w:tcW w:w="897" w:type="dxa"/>
            <w:tcBorders>
              <w:top w:val="nil"/>
              <w:bottom w:val="single" w:sz="4" w:space="0" w:color="auto"/>
            </w:tcBorders>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59</w:t>
            </w:r>
          </w:p>
        </w:tc>
        <w:tc>
          <w:tcPr>
            <w:tcW w:w="898" w:type="dxa"/>
            <w:tcBorders>
              <w:top w:val="nil"/>
              <w:bottom w:val="single" w:sz="4" w:space="0" w:color="auto"/>
            </w:tcBorders>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9</w:t>
            </w:r>
          </w:p>
        </w:tc>
        <w:tc>
          <w:tcPr>
            <w:tcW w:w="898" w:type="dxa"/>
            <w:tcBorders>
              <w:top w:val="nil"/>
              <w:bottom w:val="single" w:sz="4" w:space="0" w:color="auto"/>
            </w:tcBorders>
          </w:tcPr>
          <w:p w:rsidR="00F316DE" w:rsidRPr="00F316DE" w:rsidRDefault="00F316DE" w:rsidP="00F316DE">
            <w:pPr>
              <w:pStyle w:val="TableText"/>
              <w:tabs>
                <w:tab w:val="decimal" w:pos="510"/>
              </w:tabs>
              <w:rPr>
                <w:rFonts w:eastAsia="Arial" w:cs="Arial"/>
                <w:szCs w:val="19"/>
              </w:rPr>
            </w:pPr>
            <w:r w:rsidRPr="00F316DE">
              <w:rPr>
                <w:rFonts w:eastAsia="Arial" w:cs="Arial"/>
                <w:szCs w:val="19"/>
              </w:rPr>
              <w:t>–</w:t>
            </w: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rPr>
                <w:rFonts w:eastAsia="Arial" w:cs="Arial"/>
                <w:szCs w:val="19"/>
              </w:rPr>
            </w:pPr>
            <w:proofErr w:type="spellStart"/>
            <w:r w:rsidRPr="00A42F3A">
              <w:t>Whanganui</w:t>
            </w:r>
            <w:proofErr w:type="spellEnd"/>
          </w:p>
        </w:tc>
        <w:tc>
          <w:tcPr>
            <w:tcW w:w="897" w:type="dxa"/>
          </w:tcPr>
          <w:p w:rsidR="00F316DE" w:rsidRPr="00F316DE" w:rsidRDefault="00F316DE" w:rsidP="00F316DE">
            <w:pPr>
              <w:pStyle w:val="TableText"/>
              <w:tabs>
                <w:tab w:val="decimal" w:pos="506"/>
              </w:tabs>
            </w:pPr>
            <w:r w:rsidRPr="00F316DE">
              <w:t>85</w:t>
            </w:r>
          </w:p>
        </w:tc>
        <w:tc>
          <w:tcPr>
            <w:tcW w:w="898" w:type="dxa"/>
          </w:tcPr>
          <w:p w:rsidR="00F316DE" w:rsidRPr="00F316DE" w:rsidRDefault="00F316DE" w:rsidP="00F316DE">
            <w:pPr>
              <w:pStyle w:val="TableText"/>
              <w:tabs>
                <w:tab w:val="decimal" w:pos="506"/>
              </w:tabs>
            </w:pPr>
            <w:r w:rsidRPr="00F316DE">
              <w:t>24</w:t>
            </w:r>
          </w:p>
        </w:tc>
        <w:tc>
          <w:tcPr>
            <w:tcW w:w="898" w:type="dxa"/>
          </w:tcPr>
          <w:p w:rsidR="00F316DE" w:rsidRPr="00F316DE" w:rsidRDefault="00F316DE" w:rsidP="00F316DE">
            <w:pPr>
              <w:pStyle w:val="TableText"/>
              <w:tabs>
                <w:tab w:val="decimal" w:pos="506"/>
              </w:tabs>
              <w:rPr>
                <w:rFonts w:eastAsia="Arial" w:cs="Arial"/>
                <w:szCs w:val="19"/>
              </w:rPr>
            </w:pPr>
            <w:r w:rsidRPr="00F316DE">
              <w:t>3</w:t>
            </w:r>
          </w:p>
        </w:tc>
      </w:tr>
      <w:tr w:rsidR="00F316DE" w:rsidRPr="00A42F3A" w:rsidTr="007F674E">
        <w:trPr>
          <w:cantSplit/>
          <w:trHeight w:val="327"/>
        </w:trPr>
        <w:tc>
          <w:tcPr>
            <w:tcW w:w="1843" w:type="dxa"/>
            <w:tcBorders>
              <w:top w:val="single" w:sz="4" w:space="0" w:color="auto"/>
              <w:bottom w:val="nil"/>
            </w:tcBorders>
          </w:tcPr>
          <w:p w:rsidR="00F316DE" w:rsidRPr="00A42F3A" w:rsidRDefault="00F316DE" w:rsidP="007F674E">
            <w:pPr>
              <w:pStyle w:val="TableText"/>
              <w:rPr>
                <w:rFonts w:eastAsia="Arial" w:cs="Arial"/>
                <w:szCs w:val="18"/>
              </w:rPr>
            </w:pPr>
          </w:p>
        </w:tc>
        <w:tc>
          <w:tcPr>
            <w:tcW w:w="897" w:type="dxa"/>
            <w:tcBorders>
              <w:top w:val="single" w:sz="4" w:space="0" w:color="auto"/>
              <w:bottom w:val="nil"/>
            </w:tcBorders>
          </w:tcPr>
          <w:p w:rsidR="00F316DE" w:rsidRPr="00A42F3A" w:rsidRDefault="00F316DE" w:rsidP="007F674E">
            <w:pPr>
              <w:pStyle w:val="TableText"/>
              <w:tabs>
                <w:tab w:val="decimal" w:pos="496"/>
              </w:tabs>
              <w:rPr>
                <w:szCs w:val="18"/>
              </w:rPr>
            </w:pPr>
          </w:p>
        </w:tc>
        <w:tc>
          <w:tcPr>
            <w:tcW w:w="898" w:type="dxa"/>
            <w:tcBorders>
              <w:top w:val="single" w:sz="4" w:space="0" w:color="auto"/>
              <w:bottom w:val="nil"/>
            </w:tcBorders>
          </w:tcPr>
          <w:p w:rsidR="00F316DE" w:rsidRPr="00A42F3A" w:rsidRDefault="00F316DE" w:rsidP="007F674E">
            <w:pPr>
              <w:pStyle w:val="TableText"/>
              <w:tabs>
                <w:tab w:val="decimal" w:pos="496"/>
              </w:tabs>
              <w:rPr>
                <w:szCs w:val="18"/>
              </w:rPr>
            </w:pPr>
          </w:p>
        </w:tc>
        <w:tc>
          <w:tcPr>
            <w:tcW w:w="898" w:type="dxa"/>
            <w:tcBorders>
              <w:top w:val="single" w:sz="4" w:space="0" w:color="auto"/>
              <w:bottom w:val="nil"/>
            </w:tcBorders>
          </w:tcPr>
          <w:p w:rsidR="00F316DE" w:rsidRPr="00A42F3A" w:rsidRDefault="00F316DE" w:rsidP="007F674E">
            <w:pPr>
              <w:pStyle w:val="TableText"/>
              <w:tabs>
                <w:tab w:val="decimal" w:pos="496"/>
              </w:tabs>
              <w:rPr>
                <w:rFonts w:eastAsia="Arial" w:cs="Arial"/>
                <w:szCs w:val="18"/>
              </w:rPr>
            </w:pPr>
          </w:p>
        </w:tc>
        <w:tc>
          <w:tcPr>
            <w:tcW w:w="426" w:type="dxa"/>
            <w:tcBorders>
              <w:top w:val="nil"/>
              <w:bottom w:val="nil"/>
            </w:tcBorders>
          </w:tcPr>
          <w:p w:rsidR="00F316DE" w:rsidRPr="00A42F3A" w:rsidRDefault="00F316DE" w:rsidP="007F674E">
            <w:pPr>
              <w:pStyle w:val="TableText"/>
              <w:rPr>
                <w:rFonts w:eastAsia="Arial" w:cs="Arial"/>
                <w:szCs w:val="19"/>
              </w:rPr>
            </w:pPr>
          </w:p>
        </w:tc>
        <w:tc>
          <w:tcPr>
            <w:tcW w:w="1701" w:type="dxa"/>
          </w:tcPr>
          <w:p w:rsidR="00F316DE" w:rsidRPr="00A42F3A" w:rsidRDefault="00F316DE" w:rsidP="007F674E">
            <w:pPr>
              <w:pStyle w:val="TableText"/>
              <w:rPr>
                <w:rFonts w:eastAsia="Arial" w:cs="Arial"/>
                <w:b/>
                <w:szCs w:val="19"/>
              </w:rPr>
            </w:pPr>
            <w:r w:rsidRPr="00A42F3A">
              <w:rPr>
                <w:b/>
              </w:rPr>
              <w:t>National</w:t>
            </w:r>
          </w:p>
        </w:tc>
        <w:tc>
          <w:tcPr>
            <w:tcW w:w="897" w:type="dxa"/>
          </w:tcPr>
          <w:p w:rsidR="00F316DE" w:rsidRPr="00F316DE" w:rsidRDefault="00F316DE" w:rsidP="00F316DE">
            <w:pPr>
              <w:pStyle w:val="TableText"/>
              <w:tabs>
                <w:tab w:val="decimal" w:pos="506"/>
              </w:tabs>
            </w:pPr>
            <w:r w:rsidRPr="00F316DE">
              <w:t>87</w:t>
            </w:r>
          </w:p>
        </w:tc>
        <w:tc>
          <w:tcPr>
            <w:tcW w:w="898" w:type="dxa"/>
          </w:tcPr>
          <w:p w:rsidR="00F316DE" w:rsidRPr="00F316DE" w:rsidRDefault="00F316DE" w:rsidP="00F316DE">
            <w:pPr>
              <w:pStyle w:val="TableText"/>
              <w:tabs>
                <w:tab w:val="decimal" w:pos="506"/>
              </w:tabs>
            </w:pPr>
            <w:r w:rsidRPr="00F316DE">
              <w:t>12</w:t>
            </w:r>
          </w:p>
        </w:tc>
        <w:tc>
          <w:tcPr>
            <w:tcW w:w="898" w:type="dxa"/>
          </w:tcPr>
          <w:p w:rsidR="00F316DE" w:rsidRPr="00F316DE" w:rsidRDefault="00F316DE" w:rsidP="00F316DE">
            <w:pPr>
              <w:pStyle w:val="TableText"/>
              <w:tabs>
                <w:tab w:val="decimal" w:pos="506"/>
              </w:tabs>
              <w:rPr>
                <w:rFonts w:eastAsia="Arial" w:cs="Arial"/>
                <w:szCs w:val="19"/>
              </w:rPr>
            </w:pPr>
            <w:r w:rsidRPr="00F316DE">
              <w:t>3</w:t>
            </w:r>
          </w:p>
        </w:tc>
      </w:tr>
    </w:tbl>
    <w:p w:rsidR="00A47CF6" w:rsidRPr="00666DF4" w:rsidRDefault="00A47CF6" w:rsidP="00F316DE">
      <w:pPr>
        <w:pStyle w:val="Note"/>
        <w:rPr>
          <w:rFonts w:eastAsia="Arial"/>
        </w:rPr>
      </w:pPr>
      <w:r w:rsidRPr="00666DF4">
        <w:rPr>
          <w:rFonts w:eastAsia="Arial"/>
        </w:rPr>
        <w:t xml:space="preserve">Note: * </w:t>
      </w:r>
      <w:r w:rsidR="00BF25EC">
        <w:rPr>
          <w:rFonts w:eastAsia="Arial"/>
        </w:rPr>
        <w:t>‘</w:t>
      </w:r>
      <w:r w:rsidRPr="00666DF4">
        <w:rPr>
          <w:rFonts w:eastAsia="Arial"/>
        </w:rPr>
        <w:t>On a given day</w:t>
      </w:r>
      <w:r w:rsidR="00BF25EC">
        <w:rPr>
          <w:rFonts w:eastAsia="Arial"/>
        </w:rPr>
        <w:t>’</w:t>
      </w:r>
      <w:r w:rsidRPr="00666DF4">
        <w:rPr>
          <w:rFonts w:eastAsia="Arial"/>
        </w:rPr>
        <w:t xml:space="preserve"> is the average of the last day of each month.</w:t>
      </w:r>
    </w:p>
    <w:p w:rsidR="00A47CF6" w:rsidRPr="00666DF4" w:rsidRDefault="00A47CF6" w:rsidP="00F316DE">
      <w:pPr>
        <w:pStyle w:val="Source"/>
        <w:ind w:right="0"/>
        <w:rPr>
          <w:rFonts w:eastAsia="Arial" w:cs="Arial"/>
          <w:szCs w:val="19"/>
        </w:rPr>
      </w:pPr>
      <w:r w:rsidRPr="00666DF4">
        <w:t xml:space="preserve">Source: PRIMHD data, extracted on 26 July 2017, except for data from Southern and Counties </w:t>
      </w:r>
      <w:proofErr w:type="spellStart"/>
      <w:r w:rsidRPr="00666DF4">
        <w:t>Manukau</w:t>
      </w:r>
      <w:proofErr w:type="spellEnd"/>
      <w:r w:rsidRPr="00666DF4">
        <w:t xml:space="preserve"> DHBs, which was supplied manually</w:t>
      </w:r>
      <w:r w:rsidR="00F316DE">
        <w:t>.</w:t>
      </w:r>
    </w:p>
    <w:p w:rsidR="00A47CF6" w:rsidRPr="00666DF4" w:rsidRDefault="00A47CF6" w:rsidP="00F316DE">
      <w:pPr>
        <w:rPr>
          <w:rFonts w:eastAsia="Arial"/>
        </w:rPr>
      </w:pPr>
    </w:p>
    <w:p w:rsidR="00A47CF6" w:rsidRDefault="00A47CF6" w:rsidP="00F316DE">
      <w:pPr>
        <w:pStyle w:val="Figure"/>
      </w:pPr>
      <w:bookmarkStart w:id="90" w:name="Figure_7:_Average_number_of_people_per_1"/>
      <w:bookmarkStart w:id="91" w:name="Figure_8:_Average_number_of_people_per_1"/>
      <w:bookmarkStart w:id="92" w:name="_bookmark18"/>
      <w:bookmarkStart w:id="93" w:name="_Toc508707331"/>
      <w:bookmarkEnd w:id="90"/>
      <w:bookmarkEnd w:id="91"/>
      <w:bookmarkEnd w:id="92"/>
      <w:r w:rsidRPr="00666DF4">
        <w:t>Figure 7: Average number of people per 100,000 on a given day* subject to a community treatment order (section 29 of the Mental Health Act), by DHB, 1 January to 31 December 2016</w:t>
      </w:r>
      <w:bookmarkEnd w:id="93"/>
    </w:p>
    <w:p w:rsidR="00F316DE" w:rsidRPr="00F316DE" w:rsidRDefault="00F316DE" w:rsidP="00F316DE">
      <w:pPr>
        <w:rPr>
          <w:rFonts w:eastAsia="Georgia"/>
        </w:rPr>
      </w:pPr>
      <w:r>
        <w:rPr>
          <w:noProof/>
          <w:lang w:eastAsia="en-NZ"/>
        </w:rPr>
        <w:drawing>
          <wp:inline distT="0" distB="0" distL="0" distR="0" wp14:anchorId="4D6FB563" wp14:editId="622B2DC1">
            <wp:extent cx="5940425" cy="3090798"/>
            <wp:effectExtent l="0" t="0" r="3175" b="0"/>
            <wp:docPr id="115" name="Picture 115" title="Figure 7: Average number of people per 100,000 on a given day* subject to a community treatment order (section 29 of the Mental Health Act),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grayscl/>
                    </a:blip>
                    <a:stretch>
                      <a:fillRect/>
                    </a:stretch>
                  </pic:blipFill>
                  <pic:spPr>
                    <a:xfrm>
                      <a:off x="0" y="0"/>
                      <a:ext cx="5940425" cy="3090798"/>
                    </a:xfrm>
                    <a:prstGeom prst="rect">
                      <a:avLst/>
                    </a:prstGeom>
                  </pic:spPr>
                </pic:pic>
              </a:graphicData>
            </a:graphic>
          </wp:inline>
        </w:drawing>
      </w:r>
    </w:p>
    <w:p w:rsidR="00A47CF6" w:rsidRPr="00666DF4" w:rsidRDefault="00A47CF6" w:rsidP="00F316DE">
      <w:pPr>
        <w:pStyle w:val="Note"/>
        <w:rPr>
          <w:rFonts w:eastAsia="Arial"/>
        </w:rPr>
      </w:pPr>
      <w:r w:rsidRPr="00666DF4">
        <w:rPr>
          <w:rFonts w:eastAsia="Arial"/>
        </w:rPr>
        <w:t xml:space="preserve">Notes: * </w:t>
      </w:r>
      <w:r w:rsidR="00BF25EC">
        <w:rPr>
          <w:rFonts w:eastAsia="Arial"/>
        </w:rPr>
        <w:t>‘</w:t>
      </w:r>
      <w:r w:rsidRPr="00666DF4">
        <w:rPr>
          <w:rFonts w:eastAsia="Arial"/>
        </w:rPr>
        <w:t>On a given day</w:t>
      </w:r>
      <w:r w:rsidR="00BF25EC">
        <w:rPr>
          <w:rFonts w:eastAsia="Arial"/>
        </w:rPr>
        <w:t>’</w:t>
      </w:r>
      <w:r w:rsidRPr="00666DF4">
        <w:rPr>
          <w:rFonts w:eastAsia="Arial"/>
        </w:rPr>
        <w:t xml:space="preserve"> is the average of the last day of each month.</w:t>
      </w:r>
    </w:p>
    <w:p w:rsidR="00A47CF6" w:rsidRPr="00666DF4" w:rsidRDefault="00A47CF6" w:rsidP="00F316DE">
      <w:pPr>
        <w:pStyle w:val="Note"/>
        <w:ind w:right="0"/>
        <w:rPr>
          <w:rFonts w:eastAsia="Arial"/>
        </w:rPr>
      </w:pPr>
      <w:r w:rsidRPr="00666DF4">
        <w:rPr>
          <w:rFonts w:eastAsia="Arial"/>
        </w:rPr>
        <w:t>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F316DE">
      <w:pPr>
        <w:pStyle w:val="Source"/>
        <w:ind w:right="0"/>
        <w:rPr>
          <w:rFonts w:eastAsia="Arial" w:cs="Arial"/>
          <w:szCs w:val="19"/>
        </w:rPr>
      </w:pPr>
      <w:r w:rsidRPr="00666DF4">
        <w:t xml:space="preserve">Source: PRIMHD data, extracted on 26 July 2017, except for data from Southern and Counties </w:t>
      </w:r>
      <w:proofErr w:type="spellStart"/>
      <w:r w:rsidRPr="00666DF4">
        <w:t>Manukau</w:t>
      </w:r>
      <w:proofErr w:type="spellEnd"/>
      <w:r w:rsidRPr="00666DF4">
        <w:t xml:space="preserve"> DHBs, which was supplied manually</w:t>
      </w:r>
      <w:r w:rsidR="00F316DE">
        <w:t>.</w:t>
      </w:r>
    </w:p>
    <w:p w:rsidR="00A47CF6" w:rsidRPr="00666DF4" w:rsidRDefault="00A47CF6" w:rsidP="00F316DE">
      <w:pPr>
        <w:rPr>
          <w:rFonts w:eastAsia="Arial"/>
        </w:rPr>
      </w:pPr>
    </w:p>
    <w:p w:rsidR="00A47CF6" w:rsidRDefault="00A47CF6" w:rsidP="00F316DE">
      <w:pPr>
        <w:pStyle w:val="Figure"/>
      </w:pPr>
      <w:bookmarkStart w:id="94" w:name="_Toc508707332"/>
      <w:r w:rsidRPr="00666DF4">
        <w:t>Figure 8: Average number of people per 100,000 on a given day* subject to an inpatient treatment order (section 30 of the Mental Health Act), by DHB, 1 January to 31 December 2016</w:t>
      </w:r>
      <w:bookmarkEnd w:id="94"/>
    </w:p>
    <w:p w:rsidR="00F316DE" w:rsidRPr="00F316DE" w:rsidRDefault="00F316DE" w:rsidP="00F316DE">
      <w:pPr>
        <w:rPr>
          <w:rFonts w:eastAsia="Georgia"/>
        </w:rPr>
      </w:pPr>
      <w:r>
        <w:rPr>
          <w:noProof/>
          <w:lang w:eastAsia="en-NZ"/>
        </w:rPr>
        <w:drawing>
          <wp:inline distT="0" distB="0" distL="0" distR="0" wp14:anchorId="2A733A70" wp14:editId="56201A0E">
            <wp:extent cx="5940425" cy="3080643"/>
            <wp:effectExtent l="0" t="0" r="3175" b="5715"/>
            <wp:docPr id="116" name="Picture 116" title="Figure 8: Average number of people per 100,000 on a given day* subject to an inpatient treatment order (section 30 of the Mental Health Act),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grayscl/>
                    </a:blip>
                    <a:stretch>
                      <a:fillRect/>
                    </a:stretch>
                  </pic:blipFill>
                  <pic:spPr>
                    <a:xfrm>
                      <a:off x="0" y="0"/>
                      <a:ext cx="5940425" cy="3080643"/>
                    </a:xfrm>
                    <a:prstGeom prst="rect">
                      <a:avLst/>
                    </a:prstGeom>
                  </pic:spPr>
                </pic:pic>
              </a:graphicData>
            </a:graphic>
          </wp:inline>
        </w:drawing>
      </w:r>
    </w:p>
    <w:p w:rsidR="00A47CF6" w:rsidRPr="00666DF4" w:rsidRDefault="00A47CF6" w:rsidP="00F316DE">
      <w:pPr>
        <w:pStyle w:val="Note"/>
        <w:rPr>
          <w:rFonts w:eastAsia="Arial"/>
        </w:rPr>
      </w:pPr>
      <w:r w:rsidRPr="00666DF4">
        <w:rPr>
          <w:rFonts w:eastAsia="Arial"/>
        </w:rPr>
        <w:t xml:space="preserve">Notes: * </w:t>
      </w:r>
      <w:r w:rsidR="00BF25EC">
        <w:rPr>
          <w:rFonts w:eastAsia="Arial"/>
        </w:rPr>
        <w:t>‘</w:t>
      </w:r>
      <w:r w:rsidRPr="00666DF4">
        <w:rPr>
          <w:rFonts w:eastAsia="Arial"/>
        </w:rPr>
        <w:t>On a given day</w:t>
      </w:r>
      <w:r w:rsidR="00BF25EC">
        <w:rPr>
          <w:rFonts w:eastAsia="Arial"/>
        </w:rPr>
        <w:t>’</w:t>
      </w:r>
      <w:r w:rsidRPr="00666DF4">
        <w:rPr>
          <w:rFonts w:eastAsia="Arial"/>
        </w:rPr>
        <w:t xml:space="preserve"> is the average of the last day of each month.</w:t>
      </w:r>
    </w:p>
    <w:p w:rsidR="00A47CF6" w:rsidRPr="00666DF4" w:rsidRDefault="00A47CF6" w:rsidP="00F316DE">
      <w:pPr>
        <w:pStyle w:val="Note"/>
        <w:ind w:right="0"/>
        <w:rPr>
          <w:rFonts w:eastAsia="Arial"/>
        </w:rPr>
      </w:pPr>
      <w:r w:rsidRPr="00666DF4">
        <w:rPr>
          <w:rFonts w:eastAsia="Arial"/>
        </w:rPr>
        <w:t>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F316DE">
      <w:pPr>
        <w:pStyle w:val="Source"/>
        <w:ind w:right="0"/>
        <w:rPr>
          <w:rFonts w:eastAsia="Arial" w:cs="Arial"/>
          <w:szCs w:val="18"/>
        </w:rPr>
      </w:pPr>
      <w:r w:rsidRPr="00666DF4">
        <w:t xml:space="preserve">Source: PRIMHD data, extracted on 26 July 2017, except for data from Southern and Counties </w:t>
      </w:r>
      <w:proofErr w:type="spellStart"/>
      <w:r w:rsidRPr="00666DF4">
        <w:t>Manukau</w:t>
      </w:r>
      <w:proofErr w:type="spellEnd"/>
      <w:r w:rsidRPr="00666DF4">
        <w:t xml:space="preserve"> DHBs, which was supplied manually</w:t>
      </w:r>
      <w:r w:rsidR="00F316DE">
        <w:t>.</w:t>
      </w:r>
    </w:p>
    <w:p w:rsidR="00A47CF6" w:rsidRPr="00666DF4" w:rsidRDefault="00A47CF6" w:rsidP="00F316DE">
      <w:pPr>
        <w:rPr>
          <w:rFonts w:eastAsia="Arial"/>
        </w:rPr>
      </w:pPr>
    </w:p>
    <w:p w:rsidR="00A47CF6" w:rsidRPr="00BF25EC" w:rsidRDefault="00A47CF6" w:rsidP="00F316DE">
      <w:pPr>
        <w:pStyle w:val="Heading4"/>
        <w:rPr>
          <w:bCs/>
        </w:rPr>
      </w:pPr>
      <w:bookmarkStart w:id="95" w:name="Figure_9:_Rate_of_people_per_100,000_sub"/>
      <w:bookmarkStart w:id="96" w:name="Figure_10:_Rate_of_people_per_100,000_su"/>
      <w:bookmarkStart w:id="97" w:name="_bookmark19"/>
      <w:bookmarkEnd w:id="95"/>
      <w:bookmarkEnd w:id="96"/>
      <w:bookmarkEnd w:id="97"/>
      <w:r w:rsidRPr="00BF25EC">
        <w:t>Compulsory treatment by age and gender</w:t>
      </w:r>
    </w:p>
    <w:p w:rsidR="00A47CF6" w:rsidRPr="00672F34" w:rsidRDefault="00A47CF6" w:rsidP="00F316DE">
      <w:r w:rsidRPr="00666DF4">
        <w:t>During 2016:</w:t>
      </w:r>
      <w:r w:rsidR="00672F34">
        <w:rPr>
          <w:rStyle w:val="FootnoteReference"/>
        </w:rPr>
        <w:footnoteReference w:id="14"/>
      </w:r>
    </w:p>
    <w:p w:rsidR="00A47CF6" w:rsidRPr="00666DF4" w:rsidRDefault="00A47CF6" w:rsidP="00672F34">
      <w:pPr>
        <w:pStyle w:val="Bullet"/>
      </w:pPr>
      <w:r w:rsidRPr="00666DF4">
        <w:t>people aged 25–34 years were the most likely to be subject to a compulsory treatment order</w:t>
      </w:r>
      <w:r w:rsidR="00672F34">
        <w:t xml:space="preserve"> </w:t>
      </w:r>
      <w:r w:rsidRPr="00666DF4">
        <w:t>(180 per 100,000) and people over 65 years of age were the least likely (52 per 100,000) (see Figure 9)</w:t>
      </w:r>
    </w:p>
    <w:p w:rsidR="00A47CF6" w:rsidRPr="00666DF4" w:rsidRDefault="00A47CF6" w:rsidP="00672F34">
      <w:pPr>
        <w:pStyle w:val="Bullet"/>
      </w:pPr>
      <w:proofErr w:type="gramStart"/>
      <w:r w:rsidRPr="00666DF4">
        <w:t>males</w:t>
      </w:r>
      <w:proofErr w:type="gramEnd"/>
      <w:r w:rsidRPr="00666DF4">
        <w:t xml:space="preserve"> were 1.6 times more likely to be subject to a compulsory treatment order (115 per 100,000) than females (73 per 100,000) (see Figure 10).</w:t>
      </w:r>
    </w:p>
    <w:p w:rsidR="00A47CF6" w:rsidRPr="00666DF4" w:rsidRDefault="00A47CF6" w:rsidP="00672F34">
      <w:pPr>
        <w:rPr>
          <w:rFonts w:eastAsia="Century"/>
        </w:rPr>
      </w:pPr>
    </w:p>
    <w:p w:rsidR="00A47CF6" w:rsidRDefault="00A47CF6" w:rsidP="00672F34">
      <w:pPr>
        <w:pStyle w:val="Figure"/>
        <w:rPr>
          <w:rFonts w:eastAsia="Georgia"/>
        </w:rPr>
      </w:pPr>
      <w:bookmarkStart w:id="98" w:name="_Toc508707333"/>
      <w:r w:rsidRPr="00666DF4">
        <w:rPr>
          <w:rFonts w:eastAsia="Georgia"/>
        </w:rPr>
        <w:t>Figure 9: Rate of people per 100,000 subject to compulsory treatment order applications (including extensions), by age group, 2004–2016</w:t>
      </w:r>
      <w:bookmarkEnd w:id="98"/>
    </w:p>
    <w:p w:rsidR="00672F34" w:rsidRPr="00672F34" w:rsidRDefault="00672F34" w:rsidP="00672F34">
      <w:pPr>
        <w:rPr>
          <w:rFonts w:eastAsia="Georgia"/>
        </w:rPr>
      </w:pPr>
      <w:r>
        <w:rPr>
          <w:noProof/>
          <w:lang w:eastAsia="en-NZ"/>
        </w:rPr>
        <w:drawing>
          <wp:inline distT="0" distB="0" distL="0" distR="0" wp14:anchorId="79809065" wp14:editId="356C13B0">
            <wp:extent cx="5045825" cy="2194805"/>
            <wp:effectExtent l="0" t="0" r="2540" b="0"/>
            <wp:docPr id="117" name="Picture 117" title="Figure 9: Rate of people per 100,000 subject to compulsory treatment order applications (including extensions), by age group, 200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grayscl/>
                    </a:blip>
                    <a:srcRect t="2201"/>
                    <a:stretch/>
                  </pic:blipFill>
                  <pic:spPr bwMode="auto">
                    <a:xfrm>
                      <a:off x="0" y="0"/>
                      <a:ext cx="5043237" cy="2193679"/>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672F34">
      <w:pPr>
        <w:pStyle w:val="Source"/>
        <w:rPr>
          <w:rFonts w:eastAsia="Arial"/>
        </w:rPr>
      </w:pPr>
      <w:r w:rsidRPr="00666DF4">
        <w:rPr>
          <w:rFonts w:eastAsia="Arial"/>
        </w:rPr>
        <w:t>Source: Ministry of Justice</w:t>
      </w:r>
      <w:r w:rsidR="00BF25EC">
        <w:rPr>
          <w:rFonts w:eastAsia="Arial"/>
        </w:rPr>
        <w:t>’</w:t>
      </w:r>
      <w:r w:rsidRPr="00666DF4">
        <w:rPr>
          <w:rFonts w:eastAsia="Arial"/>
        </w:rPr>
        <w:t>s Integrated Sector Intelligence System as at 2 May 2017; this system uses data entered into the Case Management System (CMS). The CMS is a live operational database. Figures are subject to minor changes at any time</w:t>
      </w:r>
      <w:r w:rsidR="00672F34">
        <w:rPr>
          <w:rFonts w:eastAsia="Arial"/>
        </w:rPr>
        <w:t>.</w:t>
      </w:r>
    </w:p>
    <w:p w:rsidR="00A47CF6" w:rsidRPr="00666DF4" w:rsidRDefault="00A47CF6" w:rsidP="00672F34">
      <w:pPr>
        <w:rPr>
          <w:rFonts w:eastAsia="Arial"/>
        </w:rPr>
      </w:pPr>
    </w:p>
    <w:p w:rsidR="00A47CF6" w:rsidRPr="00666DF4" w:rsidRDefault="00A47CF6" w:rsidP="00672F34">
      <w:pPr>
        <w:pStyle w:val="Figure"/>
        <w:rPr>
          <w:rFonts w:eastAsia="Georgia"/>
        </w:rPr>
      </w:pPr>
      <w:bookmarkStart w:id="99" w:name="_Toc508707334"/>
      <w:r w:rsidRPr="00666DF4">
        <w:rPr>
          <w:rFonts w:eastAsia="Georgia"/>
        </w:rPr>
        <w:t>Figure 10: Rate of people per 100,000 subject to compulsory treatment order applications (including extensions), by gender, 2004–2016</w:t>
      </w:r>
      <w:bookmarkEnd w:id="99"/>
    </w:p>
    <w:p w:rsidR="00A47CF6" w:rsidRPr="00666DF4" w:rsidRDefault="00437D6B" w:rsidP="00672F34">
      <w:pPr>
        <w:rPr>
          <w:rFonts w:eastAsia="Arial"/>
        </w:rPr>
      </w:pPr>
      <w:r>
        <w:rPr>
          <w:noProof/>
          <w:lang w:eastAsia="en-NZ"/>
        </w:rPr>
        <w:drawing>
          <wp:inline distT="0" distB="0" distL="0" distR="0" wp14:anchorId="4EC81451" wp14:editId="42B0D0C2">
            <wp:extent cx="5045825" cy="2082740"/>
            <wp:effectExtent l="0" t="0" r="2540" b="0"/>
            <wp:docPr id="118" name="Picture 118" title="Figure 10: Rate of people per 100,000 subject to compulsory treatment order applications (including extensions), by gender, 200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grayscl/>
                    </a:blip>
                    <a:srcRect t="2338"/>
                    <a:stretch/>
                  </pic:blipFill>
                  <pic:spPr bwMode="auto">
                    <a:xfrm>
                      <a:off x="0" y="0"/>
                      <a:ext cx="5046378" cy="2082968"/>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672F34">
      <w:pPr>
        <w:pStyle w:val="Source"/>
        <w:rPr>
          <w:rFonts w:eastAsia="Arial"/>
        </w:rPr>
      </w:pPr>
      <w:r w:rsidRPr="00666DF4">
        <w:rPr>
          <w:rFonts w:eastAsia="Arial"/>
        </w:rPr>
        <w:t>Source: Ministry of Justice</w:t>
      </w:r>
      <w:r w:rsidR="00BF25EC">
        <w:rPr>
          <w:rFonts w:eastAsia="Arial"/>
        </w:rPr>
        <w:t>’</w:t>
      </w:r>
      <w:r w:rsidRPr="00666DF4">
        <w:rPr>
          <w:rFonts w:eastAsia="Arial"/>
        </w:rPr>
        <w:t>s Integrated Sector Intelligence System as at 2 May 2017; this system uses data entered into the Case Management System (CMS). The CMS is a live operational database. Figures are subject to minor changes at any time</w:t>
      </w:r>
      <w:r w:rsidR="00672F34">
        <w:rPr>
          <w:rFonts w:eastAsia="Arial"/>
        </w:rPr>
        <w:t>.</w:t>
      </w:r>
    </w:p>
    <w:p w:rsidR="00A47CF6" w:rsidRPr="00666DF4" w:rsidRDefault="00A47CF6" w:rsidP="00672F34">
      <w:pPr>
        <w:rPr>
          <w:rFonts w:eastAsia="Arial"/>
        </w:rPr>
      </w:pPr>
    </w:p>
    <w:p w:rsidR="00A47CF6" w:rsidRPr="00666DF4" w:rsidRDefault="00A47CF6" w:rsidP="00437D6B">
      <w:pPr>
        <w:pStyle w:val="Heading2"/>
        <w:rPr>
          <w:bCs/>
        </w:rPr>
      </w:pPr>
      <w:bookmarkStart w:id="100" w:name="Māori_and_the_Mental_Health_Act"/>
      <w:bookmarkStart w:id="101" w:name="_bookmark20"/>
      <w:bookmarkStart w:id="102" w:name="_Toc508707281"/>
      <w:bookmarkEnd w:id="100"/>
      <w:bookmarkEnd w:id="101"/>
      <w:r w:rsidRPr="00666DF4">
        <w:t>Māori and the Mental Health Act</w:t>
      </w:r>
      <w:bookmarkEnd w:id="102"/>
    </w:p>
    <w:p w:rsidR="00A47CF6" w:rsidRPr="00D07B70" w:rsidRDefault="00A47CF6" w:rsidP="00D07B70">
      <w:pPr>
        <w:keepNext/>
      </w:pPr>
      <w:r w:rsidRPr="00666DF4">
        <w:t>This section of the report presents statistics on Māori subject to community treatment orders (section 29 of the Mental Health Act) and inpatient treatment orders (section 30) in 2016. These statistics further underline the need for the mental health sector to engage in meaningful action to address the disparity of mental health outcomes for Māori in New Zealand.</w:t>
      </w:r>
      <w:r w:rsidR="00D07B70">
        <w:rPr>
          <w:rStyle w:val="FootnoteReference"/>
        </w:rPr>
        <w:footnoteReference w:id="15"/>
      </w:r>
    </w:p>
    <w:p w:rsidR="00A47CF6" w:rsidRPr="00666DF4" w:rsidRDefault="00A47CF6" w:rsidP="00D07B70">
      <w:pPr>
        <w:keepNext/>
        <w:rPr>
          <w:rFonts w:eastAsia="Century"/>
        </w:rPr>
      </w:pPr>
    </w:p>
    <w:p w:rsidR="00A47CF6" w:rsidRPr="00666DF4" w:rsidRDefault="00A47CF6" w:rsidP="00D07B70">
      <w:pPr>
        <w:keepNext/>
      </w:pPr>
      <w:r w:rsidRPr="00666DF4">
        <w:t>In summary, in 2016:</w:t>
      </w:r>
    </w:p>
    <w:p w:rsidR="00A47CF6" w:rsidRPr="00D07B70" w:rsidRDefault="00A47CF6" w:rsidP="00D07B70">
      <w:pPr>
        <w:pStyle w:val="Bullet"/>
        <w:keepNext/>
      </w:pPr>
      <w:r w:rsidRPr="00666DF4">
        <w:t>Māori were 3.6 times more likely than non-Māori to be subject to a community treatment order, and</w:t>
      </w:r>
      <w:r w:rsidR="00D07B70">
        <w:t xml:space="preserve"> </w:t>
      </w:r>
      <w:r w:rsidRPr="00666DF4">
        <w:t>3.4 times more likely to be subject to an inpatient treatment order</w:t>
      </w:r>
      <w:r w:rsidR="00D07B70">
        <w:rPr>
          <w:rStyle w:val="FootnoteReference"/>
        </w:rPr>
        <w:footnoteReference w:id="16"/>
      </w:r>
    </w:p>
    <w:p w:rsidR="00A47CF6" w:rsidRPr="00666DF4" w:rsidRDefault="00A47CF6" w:rsidP="00D07B70">
      <w:pPr>
        <w:pStyle w:val="Bullet"/>
      </w:pPr>
      <w:r w:rsidRPr="00666DF4">
        <w:t>Māori males were the population group most likely to be subject to community and inpatient treatment orders (compared to non-Māori males, and Māori and non-Māori females)</w:t>
      </w:r>
    </w:p>
    <w:p w:rsidR="00A47CF6" w:rsidRPr="00666DF4" w:rsidRDefault="00A47CF6" w:rsidP="00D07B70">
      <w:pPr>
        <w:pStyle w:val="Bullet"/>
      </w:pPr>
      <w:r w:rsidRPr="00666DF4">
        <w:t>the ratio of Māori to non-Māori subject to community and inpatient treatment orders varied by DHB</w:t>
      </w:r>
    </w:p>
    <w:p w:rsidR="00A47CF6" w:rsidRPr="00666DF4" w:rsidRDefault="00A47CF6" w:rsidP="00D07B70">
      <w:pPr>
        <w:pStyle w:val="Bullet"/>
      </w:pPr>
      <w:proofErr w:type="gramStart"/>
      <w:r w:rsidRPr="00666DF4">
        <w:t>on</w:t>
      </w:r>
      <w:proofErr w:type="gramEnd"/>
      <w:r w:rsidRPr="00666DF4">
        <w:t xml:space="preserve"> average, Māori and non-Māori remained on community and inpatient treatment orders for similar periods of time.</w:t>
      </w:r>
    </w:p>
    <w:p w:rsidR="00A47CF6" w:rsidRPr="00666DF4" w:rsidRDefault="00A47CF6" w:rsidP="00D07B70">
      <w:pPr>
        <w:rPr>
          <w:rFonts w:eastAsia="Century"/>
        </w:rPr>
      </w:pPr>
    </w:p>
    <w:p w:rsidR="00A47CF6" w:rsidRPr="00666DF4" w:rsidRDefault="00A47CF6" w:rsidP="00D07B70">
      <w:pPr>
        <w:pStyle w:val="Heading3"/>
        <w:rPr>
          <w:bCs/>
        </w:rPr>
      </w:pPr>
      <w:r w:rsidRPr="00666DF4">
        <w:t>The high rate of Māori subject to compulsory treatment orders</w:t>
      </w:r>
    </w:p>
    <w:p w:rsidR="00A47CF6" w:rsidRPr="00D07B70" w:rsidRDefault="00A47CF6" w:rsidP="00D07B70">
      <w:r w:rsidRPr="00666DF4">
        <w:t>The high rate of Māori subject to compulsory treatment orders is a complex issue. Māori make up approximately 16 percent of New Zealand</w:t>
      </w:r>
      <w:r w:rsidR="00BF25EC">
        <w:t>’</w:t>
      </w:r>
      <w:r w:rsidRPr="00666DF4">
        <w:t>s population, yet they account for 27 percent of all mental health service users.</w:t>
      </w:r>
      <w:r w:rsidR="00D07B70">
        <w:rPr>
          <w:rStyle w:val="FootnoteReference"/>
        </w:rPr>
        <w:footnoteReference w:id="17"/>
      </w:r>
    </w:p>
    <w:p w:rsidR="00A47CF6" w:rsidRPr="00666DF4" w:rsidRDefault="00A47CF6" w:rsidP="00D07B70">
      <w:pPr>
        <w:rPr>
          <w:rFonts w:eastAsia="Century"/>
        </w:rPr>
      </w:pPr>
    </w:p>
    <w:p w:rsidR="00A47CF6" w:rsidRPr="00666DF4" w:rsidRDefault="00A47CF6" w:rsidP="00D07B70">
      <w:r w:rsidRPr="00666DF4">
        <w:t xml:space="preserve">The national mental health prevalence study, </w:t>
      </w:r>
      <w:proofErr w:type="spellStart"/>
      <w:r w:rsidRPr="00666DF4">
        <w:t>Te</w:t>
      </w:r>
      <w:proofErr w:type="spellEnd"/>
      <w:r w:rsidRPr="00666DF4">
        <w:t xml:space="preserve"> Rau </w:t>
      </w:r>
      <w:proofErr w:type="spellStart"/>
      <w:r w:rsidRPr="00666DF4">
        <w:t>Hinengaro</w:t>
      </w:r>
      <w:proofErr w:type="spellEnd"/>
      <w:r w:rsidRPr="00666DF4">
        <w:t xml:space="preserve"> (Oakley Browne et al 2006), showed that Māori experience the highest levels of mental health disorder overall. They are also more likely to experience serious disorders and co-morbidities than non-Māori.</w:t>
      </w:r>
    </w:p>
    <w:p w:rsidR="00A47CF6" w:rsidRPr="00666DF4" w:rsidRDefault="00A47CF6" w:rsidP="00D07B70">
      <w:pPr>
        <w:rPr>
          <w:rFonts w:eastAsia="Century"/>
        </w:rPr>
      </w:pPr>
    </w:p>
    <w:p w:rsidR="00A47CF6" w:rsidRPr="00666DF4" w:rsidRDefault="00A47CF6" w:rsidP="00D07B70">
      <w:r w:rsidRPr="00666DF4">
        <w:t>In 2016, Māori access rates to services exceeded those of other groups (6.1 percent of Māori accessed mental health services in 2016, compared with 3.1 percent of non-Māori).</w:t>
      </w:r>
      <w:r w:rsidR="00D07B70">
        <w:rPr>
          <w:rStyle w:val="FootnoteReference"/>
        </w:rPr>
        <w:footnoteReference w:id="18"/>
      </w:r>
      <w:r w:rsidR="00D07B70">
        <w:t xml:space="preserve"> </w:t>
      </w:r>
      <w:r w:rsidRPr="00666DF4">
        <w:t>These higher access rates are likely to be a contributing factor to higher rates of Māori under compulsory treatment orders.</w:t>
      </w:r>
    </w:p>
    <w:p w:rsidR="00A47CF6" w:rsidRPr="00666DF4" w:rsidRDefault="00A47CF6" w:rsidP="00D07B70">
      <w:pPr>
        <w:rPr>
          <w:rFonts w:eastAsia="Century"/>
        </w:rPr>
      </w:pPr>
    </w:p>
    <w:p w:rsidR="00A47CF6" w:rsidRPr="00666DF4" w:rsidRDefault="00A47CF6" w:rsidP="00D07B70">
      <w:r w:rsidRPr="00666DF4">
        <w:t xml:space="preserve">Other demographic features relevant to the high rate of Māori service users include the youthfulness of the Māori population (approximately half of the population is under 25 years of age) and the disproportionate representation of Māori in low socioeconomic groups (two-thirds live in deprivation </w:t>
      </w:r>
      <w:proofErr w:type="spellStart"/>
      <w:r w:rsidRPr="00666DF4">
        <w:t>deciles</w:t>
      </w:r>
      <w:proofErr w:type="spellEnd"/>
      <w:r w:rsidRPr="00666DF4">
        <w:t xml:space="preserve"> 7–10).</w:t>
      </w:r>
    </w:p>
    <w:p w:rsidR="00A47CF6" w:rsidRPr="00666DF4" w:rsidRDefault="00A47CF6" w:rsidP="00D07B70">
      <w:pPr>
        <w:rPr>
          <w:rFonts w:eastAsia="Century"/>
        </w:rPr>
      </w:pPr>
    </w:p>
    <w:p w:rsidR="00A47CF6" w:rsidRDefault="00A47CF6" w:rsidP="00D07B70">
      <w:r w:rsidRPr="00666DF4">
        <w:t>Analysis has shown that these demographic factors do not completely account for the high rate of Māori with serious mental illness (</w:t>
      </w:r>
      <w:proofErr w:type="spellStart"/>
      <w:r w:rsidRPr="00666DF4">
        <w:t>ie</w:t>
      </w:r>
      <w:proofErr w:type="spellEnd"/>
      <w:r w:rsidRPr="00666DF4">
        <w:t>, if Māori had the same age structure and level of socioeconomic privilege as people in other groups, their rates of mental disorder would still be higher) (Oakley Browne et al 2006).</w:t>
      </w:r>
    </w:p>
    <w:p w:rsidR="00D07B70" w:rsidRPr="00666DF4" w:rsidRDefault="00D07B70" w:rsidP="00D07B70"/>
    <w:p w:rsidR="00A47CF6" w:rsidRPr="00666DF4" w:rsidRDefault="00A47CF6" w:rsidP="00D07B70">
      <w:pPr>
        <w:pStyle w:val="Heading3"/>
        <w:rPr>
          <w:bCs/>
        </w:rPr>
      </w:pPr>
      <w:r w:rsidRPr="00666DF4">
        <w:t>What other factors are involved in the disparity?</w:t>
      </w:r>
    </w:p>
    <w:p w:rsidR="00A47CF6" w:rsidRPr="00666DF4" w:rsidRDefault="00A47CF6" w:rsidP="00D07B70">
      <w:r w:rsidRPr="00666DF4">
        <w:t xml:space="preserve">Elder and </w:t>
      </w:r>
      <w:proofErr w:type="spellStart"/>
      <w:r w:rsidRPr="00666DF4">
        <w:t>Tapsell</w:t>
      </w:r>
      <w:proofErr w:type="spellEnd"/>
      <w:r w:rsidRPr="00666DF4">
        <w:t xml:space="preserve"> (2013) emphasise that we need more research to better understand the Māori experience of the Mental Health Act and why Māori are over-represented in compulsory treatment. They suggest that the following are important questions for the sector to consider.</w:t>
      </w:r>
    </w:p>
    <w:p w:rsidR="00A47CF6" w:rsidRPr="00666DF4" w:rsidRDefault="00A47CF6" w:rsidP="00D07B70">
      <w:pPr>
        <w:pStyle w:val="Bullet"/>
      </w:pPr>
      <w:r w:rsidRPr="00666DF4">
        <w:t>Are Māori receiving differential treatment in the mental health system?</w:t>
      </w:r>
    </w:p>
    <w:p w:rsidR="00A47CF6" w:rsidRPr="00666DF4" w:rsidRDefault="00A47CF6" w:rsidP="00D07B70">
      <w:pPr>
        <w:pStyle w:val="Bullet"/>
      </w:pPr>
      <w:r w:rsidRPr="00666DF4">
        <w:t>How can we build a more culturally competent workforce and reduce cultural bias from formulations of mental illness?</w:t>
      </w:r>
    </w:p>
    <w:p w:rsidR="00A47CF6" w:rsidRPr="00666DF4" w:rsidRDefault="00A47CF6" w:rsidP="00D07B70"/>
    <w:p w:rsidR="00A47CF6" w:rsidRPr="00666DF4" w:rsidRDefault="00A47CF6" w:rsidP="00D07B70">
      <w:pPr>
        <w:pStyle w:val="Heading3"/>
      </w:pPr>
      <w:r w:rsidRPr="00666DF4">
        <w:t xml:space="preserve">Are </w:t>
      </w:r>
      <w:proofErr w:type="spellStart"/>
      <w:r w:rsidRPr="00666DF4">
        <w:t>whānau</w:t>
      </w:r>
      <w:proofErr w:type="spellEnd"/>
      <w:r w:rsidRPr="00666DF4">
        <w:t xml:space="preserve"> of </w:t>
      </w:r>
      <w:proofErr w:type="spellStart"/>
      <w:r w:rsidRPr="00666DF4">
        <w:t>tāngata</w:t>
      </w:r>
      <w:proofErr w:type="spellEnd"/>
      <w:r w:rsidRPr="00666DF4">
        <w:t xml:space="preserve"> </w:t>
      </w:r>
      <w:proofErr w:type="spellStart"/>
      <w:r w:rsidRPr="00666DF4">
        <w:t>whaiora</w:t>
      </w:r>
      <w:proofErr w:type="spellEnd"/>
      <w:r w:rsidRPr="00666DF4">
        <w:t xml:space="preserve"> (people seeking wellness) being sufficiently engaged by mental health services?</w:t>
      </w:r>
    </w:p>
    <w:p w:rsidR="00A47CF6" w:rsidRPr="00666DF4" w:rsidRDefault="00A47CF6" w:rsidP="00D07B70">
      <w:pPr>
        <w:pStyle w:val="Heading4"/>
        <w:rPr>
          <w:bCs/>
        </w:rPr>
      </w:pPr>
      <w:r w:rsidRPr="00666DF4">
        <w:t>Māori experiences of the Mental Health Act and acute mental health care</w:t>
      </w:r>
    </w:p>
    <w:p w:rsidR="00A47CF6" w:rsidRPr="00666DF4" w:rsidRDefault="00A47CF6" w:rsidP="00D07B70">
      <w:r w:rsidRPr="00666DF4">
        <w:t xml:space="preserve">In June 2015, </w:t>
      </w:r>
      <w:proofErr w:type="spellStart"/>
      <w:r w:rsidRPr="00666DF4">
        <w:t>Te</w:t>
      </w:r>
      <w:proofErr w:type="spellEnd"/>
      <w:r w:rsidRPr="00666DF4">
        <w:t xml:space="preserve"> Rau </w:t>
      </w:r>
      <w:proofErr w:type="spellStart"/>
      <w:r w:rsidRPr="00666DF4">
        <w:t>Matatini</w:t>
      </w:r>
      <w:proofErr w:type="spellEnd"/>
      <w:r w:rsidRPr="00666DF4">
        <w:t xml:space="preserve"> facilitated a one-day </w:t>
      </w:r>
      <w:proofErr w:type="spellStart"/>
      <w:proofErr w:type="gramStart"/>
      <w:r w:rsidRPr="00666DF4">
        <w:t>hui</w:t>
      </w:r>
      <w:proofErr w:type="spellEnd"/>
      <w:proofErr w:type="gramEnd"/>
      <w:r w:rsidRPr="00666DF4">
        <w:t xml:space="preserve"> with 10 </w:t>
      </w:r>
      <w:proofErr w:type="spellStart"/>
      <w:r w:rsidRPr="00666DF4">
        <w:t>tāngata</w:t>
      </w:r>
      <w:proofErr w:type="spellEnd"/>
      <w:r w:rsidRPr="00666DF4">
        <w:t xml:space="preserve"> </w:t>
      </w:r>
      <w:proofErr w:type="spellStart"/>
      <w:r w:rsidRPr="00666DF4">
        <w:t>whaiora</w:t>
      </w:r>
      <w:proofErr w:type="spellEnd"/>
      <w:r w:rsidRPr="00666DF4">
        <w:t xml:space="preserve"> to better understand Māori experiences of the Mental Health Act and acute mental health care (Baker 2015).</w:t>
      </w:r>
    </w:p>
    <w:p w:rsidR="00A47CF6" w:rsidRPr="00666DF4" w:rsidRDefault="00A47CF6" w:rsidP="00D07B70">
      <w:pPr>
        <w:rPr>
          <w:rFonts w:eastAsia="Century"/>
        </w:rPr>
      </w:pPr>
    </w:p>
    <w:p w:rsidR="00A47CF6" w:rsidRPr="00666DF4" w:rsidRDefault="00A47CF6" w:rsidP="00D07B70">
      <w:r w:rsidRPr="00666DF4">
        <w:t xml:space="preserve">Some </w:t>
      </w:r>
      <w:proofErr w:type="spellStart"/>
      <w:r w:rsidRPr="00666DF4">
        <w:t>tāngata</w:t>
      </w:r>
      <w:proofErr w:type="spellEnd"/>
      <w:r w:rsidRPr="00666DF4">
        <w:t xml:space="preserve"> </w:t>
      </w:r>
      <w:proofErr w:type="spellStart"/>
      <w:r w:rsidRPr="00666DF4">
        <w:t>whaiora</w:t>
      </w:r>
      <w:proofErr w:type="spellEnd"/>
      <w:r w:rsidRPr="00666DF4">
        <w:t xml:space="preserve"> described using the Act as a </w:t>
      </w:r>
      <w:r w:rsidR="00BF25EC">
        <w:t>‘</w:t>
      </w:r>
      <w:r w:rsidRPr="00666DF4">
        <w:t>bargaining tool</w:t>
      </w:r>
      <w:r w:rsidR="00BF25EC">
        <w:t>’</w:t>
      </w:r>
      <w:r w:rsidRPr="00666DF4">
        <w:t xml:space="preserve"> to appease clinicians and more quickly gain release from the inpatient service in which they were receiving treatment. Others described the Act as providing a </w:t>
      </w:r>
      <w:r w:rsidR="00BF25EC">
        <w:t>‘</w:t>
      </w:r>
      <w:r w:rsidRPr="00666DF4">
        <w:t>false sense of security</w:t>
      </w:r>
      <w:r w:rsidR="00BF25EC">
        <w:t>’</w:t>
      </w:r>
      <w:r w:rsidRPr="00666DF4">
        <w:t xml:space="preserve"> in terms of access to medication. Participants also talked of:</w:t>
      </w:r>
    </w:p>
    <w:p w:rsidR="00A47CF6" w:rsidRPr="00666DF4" w:rsidRDefault="00A47CF6" w:rsidP="00D07B70">
      <w:pPr>
        <w:pStyle w:val="Bullet"/>
      </w:pPr>
      <w:r w:rsidRPr="00666DF4">
        <w:t>not understanding the compulsory assessment and treatment process</w:t>
      </w:r>
    </w:p>
    <w:p w:rsidR="00A47CF6" w:rsidRPr="00666DF4" w:rsidRDefault="00A47CF6" w:rsidP="00D07B70">
      <w:pPr>
        <w:pStyle w:val="Bullet"/>
      </w:pPr>
      <w:r w:rsidRPr="00666DF4">
        <w:t>experiencing the opposite of what clinicians advised was going to happen under the Act</w:t>
      </w:r>
    </w:p>
    <w:p w:rsidR="00A47CF6" w:rsidRPr="00666DF4" w:rsidRDefault="00A47CF6" w:rsidP="00D07B70">
      <w:pPr>
        <w:pStyle w:val="Bullet"/>
      </w:pPr>
      <w:r w:rsidRPr="00666DF4">
        <w:t>experiencing overt discrimination in the community, such as disproportionately harsh treatment by Police and refusal of accommodation and employment, due to the stigma that continues to surround compulsory treatment orders</w:t>
      </w:r>
    </w:p>
    <w:p w:rsidR="00A47CF6" w:rsidRPr="00666DF4" w:rsidRDefault="00A47CF6" w:rsidP="00D07B70">
      <w:pPr>
        <w:pStyle w:val="Bullet"/>
      </w:pPr>
      <w:proofErr w:type="gramStart"/>
      <w:r w:rsidRPr="00666DF4">
        <w:t>struggling</w:t>
      </w:r>
      <w:proofErr w:type="gramEnd"/>
      <w:r w:rsidRPr="00666DF4">
        <w:t xml:space="preserve"> to be released from the Act.</w:t>
      </w:r>
    </w:p>
    <w:p w:rsidR="00A47CF6" w:rsidRPr="00666DF4" w:rsidRDefault="00A47CF6" w:rsidP="00D07B70">
      <w:pPr>
        <w:rPr>
          <w:rFonts w:eastAsia="Century"/>
        </w:rPr>
      </w:pPr>
    </w:p>
    <w:p w:rsidR="00A47CF6" w:rsidRPr="00666DF4" w:rsidRDefault="00A47CF6" w:rsidP="00D07B70">
      <w:r w:rsidRPr="00666DF4">
        <w:t xml:space="preserve">With regard to acute mental health care, </w:t>
      </w:r>
      <w:proofErr w:type="spellStart"/>
      <w:r w:rsidRPr="00666DF4">
        <w:t>tāngata</w:t>
      </w:r>
      <w:proofErr w:type="spellEnd"/>
      <w:r w:rsidRPr="00666DF4">
        <w:t xml:space="preserve"> </w:t>
      </w:r>
      <w:proofErr w:type="spellStart"/>
      <w:r w:rsidRPr="00666DF4">
        <w:t>whaiora</w:t>
      </w:r>
      <w:proofErr w:type="spellEnd"/>
      <w:r w:rsidRPr="00666DF4">
        <w:t xml:space="preserve"> described its restrictive and disempowering nature, and their sense that the treatment they received was more closely aligned with the clinicians</w:t>
      </w:r>
      <w:r w:rsidR="00BF25EC">
        <w:t>’</w:t>
      </w:r>
      <w:r w:rsidRPr="00666DF4">
        <w:t xml:space="preserve"> needs than their own. It is clear that the sector needs to actively address these issues in order to make mental health care for Māori as empowering an experience as possible.</w:t>
      </w:r>
    </w:p>
    <w:p w:rsidR="00A47CF6" w:rsidRPr="00666DF4" w:rsidRDefault="00A47CF6" w:rsidP="00D07B70">
      <w:pPr>
        <w:rPr>
          <w:rFonts w:eastAsia="Century"/>
        </w:rPr>
      </w:pPr>
    </w:p>
    <w:p w:rsidR="00A47CF6" w:rsidRPr="00666DF4" w:rsidRDefault="00A47CF6" w:rsidP="00D07B70">
      <w:r w:rsidRPr="00666DF4">
        <w:t xml:space="preserve">At the </w:t>
      </w:r>
      <w:proofErr w:type="spellStart"/>
      <w:proofErr w:type="gramStart"/>
      <w:r w:rsidRPr="00666DF4">
        <w:t>hui</w:t>
      </w:r>
      <w:proofErr w:type="spellEnd"/>
      <w:proofErr w:type="gramEnd"/>
      <w:r w:rsidRPr="00666DF4">
        <w:t xml:space="preserve">, </w:t>
      </w:r>
      <w:proofErr w:type="spellStart"/>
      <w:r w:rsidRPr="00666DF4">
        <w:t>tāngata</w:t>
      </w:r>
      <w:proofErr w:type="spellEnd"/>
      <w:r w:rsidRPr="00666DF4">
        <w:t xml:space="preserve"> </w:t>
      </w:r>
      <w:proofErr w:type="spellStart"/>
      <w:r w:rsidRPr="00666DF4">
        <w:t>whaiora</w:t>
      </w:r>
      <w:proofErr w:type="spellEnd"/>
      <w:r w:rsidRPr="00666DF4">
        <w:t xml:space="preserve"> identified a number of solutions to improve Māori experiences of mental health care, including:</w:t>
      </w:r>
    </w:p>
    <w:p w:rsidR="00A47CF6" w:rsidRPr="00666DF4" w:rsidRDefault="00A47CF6" w:rsidP="00D07B70">
      <w:pPr>
        <w:pStyle w:val="Bullet"/>
      </w:pPr>
      <w:r w:rsidRPr="00666DF4">
        <w:t xml:space="preserve">a holistic approach to service provision, incorporating </w:t>
      </w:r>
      <w:proofErr w:type="spellStart"/>
      <w:r w:rsidRPr="00666DF4">
        <w:t>tīkanga</w:t>
      </w:r>
      <w:proofErr w:type="spellEnd"/>
      <w:r w:rsidRPr="00666DF4">
        <w:t xml:space="preserve"> Māori (Māori customs), </w:t>
      </w:r>
      <w:proofErr w:type="spellStart"/>
      <w:r w:rsidRPr="00666DF4">
        <w:t>te</w:t>
      </w:r>
      <w:proofErr w:type="spellEnd"/>
      <w:r w:rsidRPr="00666DF4">
        <w:t xml:space="preserve"> reo Māori (Māori language), </w:t>
      </w:r>
      <w:proofErr w:type="spellStart"/>
      <w:r w:rsidRPr="00666DF4">
        <w:t>mātauranga</w:t>
      </w:r>
      <w:proofErr w:type="spellEnd"/>
      <w:r w:rsidRPr="00666DF4">
        <w:t xml:space="preserve"> Māori (Māori knowledge) and increased </w:t>
      </w:r>
      <w:proofErr w:type="spellStart"/>
      <w:r w:rsidRPr="00666DF4">
        <w:t>whānau</w:t>
      </w:r>
      <w:proofErr w:type="spellEnd"/>
      <w:r w:rsidRPr="00666DF4">
        <w:t xml:space="preserve"> involvement</w:t>
      </w:r>
    </w:p>
    <w:p w:rsidR="00A47CF6" w:rsidRPr="00666DF4" w:rsidRDefault="00A47CF6" w:rsidP="00D07B70">
      <w:pPr>
        <w:pStyle w:val="Bullet"/>
      </w:pPr>
      <w:r w:rsidRPr="00666DF4">
        <w:t>the provision of acute mental health care in alternative, less restrictive environments</w:t>
      </w:r>
    </w:p>
    <w:p w:rsidR="00A47CF6" w:rsidRPr="00666DF4" w:rsidRDefault="00A47CF6" w:rsidP="00D07B70">
      <w:pPr>
        <w:pStyle w:val="Bullet"/>
      </w:pPr>
      <w:r w:rsidRPr="00666DF4">
        <w:t>the formation of a national body of Māori with lived</w:t>
      </w:r>
      <w:r w:rsidR="00D07B70">
        <w:t xml:space="preserve"> </w:t>
      </w:r>
      <w:r w:rsidRPr="00666DF4">
        <w:t xml:space="preserve">experience of mental health care to improve advocacy for </w:t>
      </w:r>
      <w:proofErr w:type="spellStart"/>
      <w:r w:rsidRPr="00666DF4">
        <w:t>tāngata</w:t>
      </w:r>
      <w:proofErr w:type="spellEnd"/>
      <w:r w:rsidRPr="00666DF4">
        <w:t xml:space="preserve"> </w:t>
      </w:r>
      <w:proofErr w:type="spellStart"/>
      <w:r w:rsidRPr="00666DF4">
        <w:t>whaiora</w:t>
      </w:r>
      <w:proofErr w:type="spellEnd"/>
      <w:r w:rsidRPr="00666DF4">
        <w:t>, increase representation of Māori consumer advisors in mental health services and influence policy and decision-making.</w:t>
      </w:r>
    </w:p>
    <w:p w:rsidR="00A47CF6" w:rsidRPr="00666DF4" w:rsidRDefault="00A47CF6" w:rsidP="00D07B70">
      <w:pPr>
        <w:rPr>
          <w:rFonts w:eastAsia="Century"/>
        </w:rPr>
      </w:pPr>
    </w:p>
    <w:p w:rsidR="00A47CF6" w:rsidRPr="00666DF4" w:rsidRDefault="00A47CF6" w:rsidP="00D07B70">
      <w:pPr>
        <w:pStyle w:val="Heading3"/>
        <w:rPr>
          <w:bCs/>
        </w:rPr>
      </w:pPr>
      <w:r w:rsidRPr="00666DF4">
        <w:t>Māori and compulsory treatment orders by district health board</w:t>
      </w:r>
    </w:p>
    <w:p w:rsidR="00A47CF6" w:rsidRPr="00666DF4" w:rsidRDefault="00A47CF6" w:rsidP="00D07B70">
      <w:pPr>
        <w:keepLines/>
      </w:pPr>
      <w:r w:rsidRPr="00666DF4">
        <w:t>Figures 11 and 12 show variation across New Zealand in terms of the disparities between Māori and non-Māori subject to compulsory treatment orders in 2016. With regard to community treatment orders, the Māori to non-Māori rate ratio ranged from 1.8:1 (in West Coast DHB) to 4.4:1 (in Auckland and Waikato DHBs). With regard to inpatient treatment orders, the rate ratio ranged from 1.3:1 (in Nelson Marlborough DHB) to 4.9:1 (in Waikato DHB).</w:t>
      </w:r>
    </w:p>
    <w:p w:rsidR="00A47CF6" w:rsidRPr="00666DF4" w:rsidRDefault="00A47CF6" w:rsidP="00D07B70"/>
    <w:p w:rsidR="00A47CF6" w:rsidRPr="00666DF4" w:rsidRDefault="00A47CF6" w:rsidP="00D07B70">
      <w:bookmarkStart w:id="103" w:name="Figure_11:_Rate_ratio_of_Māori_to_non-Mā"/>
      <w:bookmarkStart w:id="104" w:name="_bookmark21"/>
      <w:bookmarkEnd w:id="103"/>
      <w:bookmarkEnd w:id="104"/>
      <w:r w:rsidRPr="00666DF4">
        <w:t>These numbers are difficult to interpret, because it is hard to define an ideal rate ratio for a given population or DHB. However, for comparative purposes, a line of no difference has been included in the figures. The figures emphasise that we need in-depth, area-specific knowledge to understand the particular disparities around the country and what could be done at a local level to address them.</w:t>
      </w:r>
    </w:p>
    <w:p w:rsidR="00A47CF6" w:rsidRPr="00666DF4" w:rsidRDefault="00A47CF6" w:rsidP="00D07B70">
      <w:pPr>
        <w:rPr>
          <w:rFonts w:eastAsia="Century"/>
        </w:rPr>
      </w:pPr>
    </w:p>
    <w:p w:rsidR="00A47CF6" w:rsidRDefault="00A47CF6" w:rsidP="00D07B70">
      <w:pPr>
        <w:pStyle w:val="Figure"/>
      </w:pPr>
      <w:bookmarkStart w:id="105" w:name="_Toc508707335"/>
      <w:r w:rsidRPr="00666DF4">
        <w:t>Figure 11: Rate ratio of Māori to non-Māori subject to a community treatment order (section 29) under the Mental Health Act, by DHB, 1 January to 31 December 2016</w:t>
      </w:r>
      <w:bookmarkEnd w:id="105"/>
    </w:p>
    <w:p w:rsidR="00D07B70" w:rsidRPr="00D07B70" w:rsidRDefault="00D07B70" w:rsidP="00D07B70">
      <w:pPr>
        <w:rPr>
          <w:rFonts w:eastAsia="Georgia"/>
        </w:rPr>
      </w:pPr>
      <w:r>
        <w:rPr>
          <w:noProof/>
          <w:lang w:eastAsia="en-NZ"/>
        </w:rPr>
        <w:drawing>
          <wp:inline distT="0" distB="0" distL="0" distR="0" wp14:anchorId="13A04E2D" wp14:editId="4A1C4850">
            <wp:extent cx="5411586" cy="2913930"/>
            <wp:effectExtent l="0" t="0" r="0" b="1270"/>
            <wp:docPr id="119" name="Picture 119" title="Figure 11: Rate ratio of Māori to non-Māori subject to a community treatment order (section 29) under the Mental Health Act,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blip>
                    <a:stretch>
                      <a:fillRect/>
                    </a:stretch>
                  </pic:blipFill>
                  <pic:spPr>
                    <a:xfrm>
                      <a:off x="0" y="0"/>
                      <a:ext cx="5408694" cy="2912373"/>
                    </a:xfrm>
                    <a:prstGeom prst="rect">
                      <a:avLst/>
                    </a:prstGeom>
                  </pic:spPr>
                </pic:pic>
              </a:graphicData>
            </a:graphic>
          </wp:inline>
        </w:drawing>
      </w:r>
    </w:p>
    <w:p w:rsidR="00A47CF6" w:rsidRPr="00666DF4" w:rsidRDefault="00A47CF6" w:rsidP="00D07B70">
      <w:pPr>
        <w:pStyle w:val="Note"/>
        <w:ind w:right="851"/>
        <w:rPr>
          <w:rFonts w:eastAsia="Arial" w:cs="Arial"/>
          <w:szCs w:val="19"/>
        </w:rPr>
      </w:pPr>
      <w:r w:rsidRPr="00666DF4">
        <w:t>Notes: Rates per 100,000 are age-standardised to account for differences in the population structures of the DHBs.</w:t>
      </w:r>
    </w:p>
    <w:p w:rsidR="00A47CF6" w:rsidRPr="00666DF4" w:rsidRDefault="00A47CF6" w:rsidP="00D07B70">
      <w:pPr>
        <w:pStyle w:val="Note"/>
        <w:ind w:right="851"/>
        <w:rPr>
          <w:rFonts w:eastAsia="Arial"/>
        </w:rPr>
      </w:pPr>
      <w:r w:rsidRPr="00666DF4">
        <w:rPr>
          <w:rFonts w:eastAsia="Arial"/>
        </w:rPr>
        <w:t>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D07B70">
      <w:pPr>
        <w:pStyle w:val="Note"/>
        <w:ind w:right="851"/>
        <w:rPr>
          <w:rFonts w:eastAsia="Arial" w:cs="Arial"/>
          <w:szCs w:val="19"/>
        </w:rPr>
      </w:pPr>
      <w:r w:rsidRPr="00666DF4">
        <w:t xml:space="preserve">Because Counties </w:t>
      </w:r>
      <w:proofErr w:type="spellStart"/>
      <w:r w:rsidRPr="00666DF4">
        <w:t>Manukau</w:t>
      </w:r>
      <w:proofErr w:type="spellEnd"/>
      <w:r w:rsidRPr="00666DF4">
        <w:t xml:space="preserve">, Southern and </w:t>
      </w:r>
      <w:proofErr w:type="spellStart"/>
      <w:r w:rsidRPr="00666DF4">
        <w:t>Tairāwhiti</w:t>
      </w:r>
      <w:proofErr w:type="spellEnd"/>
      <w:r w:rsidRPr="00666DF4">
        <w:t xml:space="preserve"> DHBs submitted data manually, the rate ratios for these DHBs were not able to be represented in the above graph. The (non-age standardised) rate ratios for Counties </w:t>
      </w:r>
      <w:proofErr w:type="spellStart"/>
      <w:r w:rsidRPr="00666DF4">
        <w:t>Manukau</w:t>
      </w:r>
      <w:proofErr w:type="spellEnd"/>
      <w:r w:rsidRPr="00666DF4">
        <w:t xml:space="preserve">, Southern and </w:t>
      </w:r>
      <w:proofErr w:type="spellStart"/>
      <w:r w:rsidRPr="00666DF4">
        <w:t>Tairāwhiti</w:t>
      </w:r>
      <w:proofErr w:type="spellEnd"/>
      <w:r w:rsidRPr="00666DF4">
        <w:t xml:space="preserve"> DHBs were 3.6, 2.4 and 2.9 respectively.</w:t>
      </w:r>
    </w:p>
    <w:p w:rsidR="00A47CF6" w:rsidRPr="00666DF4" w:rsidRDefault="00A47CF6" w:rsidP="00D07B70">
      <w:pPr>
        <w:pStyle w:val="Source"/>
        <w:ind w:right="851"/>
        <w:rPr>
          <w:rFonts w:eastAsia="Arial" w:cs="Arial"/>
          <w:szCs w:val="19"/>
        </w:rPr>
      </w:pPr>
      <w:r w:rsidRPr="00666DF4">
        <w:t xml:space="preserve">Source: PRIMHD data, extracted on 26 July 2017, except for Counties </w:t>
      </w:r>
      <w:proofErr w:type="spellStart"/>
      <w:r w:rsidRPr="00666DF4">
        <w:t>Manukau</w:t>
      </w:r>
      <w:proofErr w:type="spellEnd"/>
      <w:r w:rsidRPr="00666DF4">
        <w:t xml:space="preserve">, Southern and </w:t>
      </w:r>
      <w:proofErr w:type="spellStart"/>
      <w:r w:rsidRPr="00666DF4">
        <w:t>Tairāwhiti</w:t>
      </w:r>
      <w:proofErr w:type="spellEnd"/>
      <w:r w:rsidRPr="00666DF4">
        <w:t xml:space="preserve"> DHBs, which submitted data manually</w:t>
      </w:r>
      <w:r w:rsidR="00D07B70">
        <w:t>.</w:t>
      </w:r>
    </w:p>
    <w:p w:rsidR="00A47CF6" w:rsidRPr="00666DF4" w:rsidRDefault="00A47CF6" w:rsidP="00D07B70">
      <w:pPr>
        <w:rPr>
          <w:rFonts w:eastAsia="Arial"/>
        </w:rPr>
      </w:pPr>
    </w:p>
    <w:p w:rsidR="00A47CF6" w:rsidRDefault="00A47CF6" w:rsidP="00D07B70">
      <w:pPr>
        <w:pStyle w:val="Figure"/>
      </w:pPr>
      <w:bookmarkStart w:id="106" w:name="Figure_12:_Rate_ratio_of_Māori_to_non-Mā"/>
      <w:bookmarkStart w:id="107" w:name="Table_4:_Age-standardised_rates_of_Māori"/>
      <w:bookmarkStart w:id="108" w:name="_bookmark22"/>
      <w:bookmarkStart w:id="109" w:name="_Toc508707336"/>
      <w:bookmarkEnd w:id="106"/>
      <w:bookmarkEnd w:id="107"/>
      <w:bookmarkEnd w:id="108"/>
      <w:r w:rsidRPr="00666DF4">
        <w:t>Figure 12: Rate ratio of Māori to non-Māori subject to an inpatient treatment order (section 30) under the Mental Health Act, by DHB, 1 January to 31 December 2016</w:t>
      </w:r>
      <w:bookmarkEnd w:id="109"/>
    </w:p>
    <w:p w:rsidR="00D07B70" w:rsidRPr="00D07B70" w:rsidRDefault="00D07B70" w:rsidP="00D07B70">
      <w:pPr>
        <w:rPr>
          <w:rFonts w:eastAsia="Georgia"/>
        </w:rPr>
      </w:pPr>
      <w:r>
        <w:rPr>
          <w:noProof/>
          <w:lang w:eastAsia="en-NZ"/>
        </w:rPr>
        <w:drawing>
          <wp:inline distT="0" distB="0" distL="0" distR="0" wp14:anchorId="3ADDC87A" wp14:editId="3E6F78A4">
            <wp:extent cx="5507933" cy="3025833"/>
            <wp:effectExtent l="0" t="0" r="0" b="3175"/>
            <wp:docPr id="120" name="Picture 120" title="Figure 12: Rate ratio of Māori to non-Māori subject to an inpatient treatment order (section 30) under the Mental Health Act,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blip>
                    <a:stretch>
                      <a:fillRect/>
                    </a:stretch>
                  </pic:blipFill>
                  <pic:spPr>
                    <a:xfrm>
                      <a:off x="0" y="0"/>
                      <a:ext cx="5504991" cy="3024217"/>
                    </a:xfrm>
                    <a:prstGeom prst="rect">
                      <a:avLst/>
                    </a:prstGeom>
                  </pic:spPr>
                </pic:pic>
              </a:graphicData>
            </a:graphic>
          </wp:inline>
        </w:drawing>
      </w:r>
    </w:p>
    <w:p w:rsidR="00A47CF6" w:rsidRPr="00666DF4" w:rsidRDefault="00A47CF6" w:rsidP="00D07B70">
      <w:pPr>
        <w:pStyle w:val="Note"/>
        <w:ind w:right="851"/>
        <w:rPr>
          <w:rFonts w:eastAsia="Arial" w:cs="Arial"/>
          <w:szCs w:val="19"/>
        </w:rPr>
      </w:pPr>
      <w:r w:rsidRPr="00666DF4">
        <w:t>Notes: Rates per 100,000 are age-standardised to account for differences in the population structures of the DHBs.</w:t>
      </w:r>
    </w:p>
    <w:p w:rsidR="00A47CF6" w:rsidRPr="00666DF4" w:rsidRDefault="00A47CF6" w:rsidP="00D07B70">
      <w:pPr>
        <w:pStyle w:val="Note"/>
        <w:ind w:right="851"/>
        <w:rPr>
          <w:rFonts w:eastAsia="Arial"/>
        </w:rPr>
      </w:pPr>
      <w:r w:rsidRPr="00666DF4">
        <w:rPr>
          <w:rFonts w:eastAsia="Arial"/>
        </w:rPr>
        <w:t>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D07B70">
      <w:pPr>
        <w:pStyle w:val="Note"/>
        <w:ind w:right="851"/>
        <w:rPr>
          <w:rFonts w:eastAsia="Arial" w:cs="Arial"/>
          <w:szCs w:val="19"/>
        </w:rPr>
      </w:pPr>
      <w:r w:rsidRPr="00666DF4">
        <w:t xml:space="preserve">Because Counties </w:t>
      </w:r>
      <w:proofErr w:type="spellStart"/>
      <w:r w:rsidRPr="00666DF4">
        <w:t>Manukau</w:t>
      </w:r>
      <w:proofErr w:type="spellEnd"/>
      <w:r w:rsidRPr="00666DF4">
        <w:t xml:space="preserve"> and Southern DHBs submitted data manually, the rate ratios for these DHBs were not able to be represented in the above graph. The (non-age standardised) rate ratios for Counties </w:t>
      </w:r>
      <w:proofErr w:type="spellStart"/>
      <w:r w:rsidRPr="00666DF4">
        <w:t>Manukau</w:t>
      </w:r>
      <w:proofErr w:type="spellEnd"/>
      <w:r w:rsidRPr="00666DF4">
        <w:t xml:space="preserve"> and Southern DHBs were 3.2 and 2.1 respectively.</w:t>
      </w:r>
    </w:p>
    <w:p w:rsidR="00A47CF6" w:rsidRPr="00666DF4" w:rsidRDefault="00A47CF6" w:rsidP="00D07B70">
      <w:pPr>
        <w:pStyle w:val="Source"/>
        <w:ind w:right="851"/>
        <w:rPr>
          <w:rFonts w:eastAsia="Arial" w:cs="Arial"/>
          <w:szCs w:val="19"/>
        </w:rPr>
      </w:pPr>
      <w:r w:rsidRPr="00666DF4">
        <w:t xml:space="preserve">Source: PRIMHD data, extracted on 10 June 2016, except for Counties </w:t>
      </w:r>
      <w:proofErr w:type="spellStart"/>
      <w:r w:rsidRPr="00666DF4">
        <w:t>Manukau</w:t>
      </w:r>
      <w:proofErr w:type="spellEnd"/>
      <w:r w:rsidRPr="00666DF4">
        <w:t xml:space="preserve"> and Southern DHBs, which submitted data manually</w:t>
      </w:r>
      <w:r w:rsidR="00D07B70">
        <w:t>.</w:t>
      </w:r>
    </w:p>
    <w:p w:rsidR="00A47CF6" w:rsidRPr="00666DF4" w:rsidRDefault="00A47CF6" w:rsidP="00D07B70">
      <w:pPr>
        <w:rPr>
          <w:rFonts w:eastAsia="Arial"/>
        </w:rPr>
      </w:pPr>
    </w:p>
    <w:p w:rsidR="00A47CF6" w:rsidRPr="00666DF4" w:rsidRDefault="00A47CF6" w:rsidP="00D07B70">
      <w:pPr>
        <w:pStyle w:val="Heading3"/>
        <w:rPr>
          <w:bCs/>
        </w:rPr>
      </w:pPr>
      <w:r w:rsidRPr="00666DF4">
        <w:t>Gender, ethnicity and compulsory treatment</w:t>
      </w:r>
    </w:p>
    <w:p w:rsidR="00A47CF6" w:rsidRPr="00666DF4" w:rsidRDefault="00A47CF6" w:rsidP="00D07B70">
      <w:r w:rsidRPr="00666DF4">
        <w:t>In 2016, Māori males were the population group most likely to be subject to community and inpatient treatment orders. In particular, in 2016, Māori males were almost four times more likely to be subject to a community treatment order (section 29) than non-Māori males.</w:t>
      </w:r>
    </w:p>
    <w:p w:rsidR="00A47CF6" w:rsidRPr="00666DF4" w:rsidRDefault="00A47CF6" w:rsidP="00D07B70">
      <w:pPr>
        <w:rPr>
          <w:rFonts w:eastAsia="Century"/>
        </w:rPr>
      </w:pPr>
    </w:p>
    <w:p w:rsidR="00A47CF6" w:rsidRPr="00666DF4" w:rsidRDefault="00A47CF6" w:rsidP="00D07B70">
      <w:r w:rsidRPr="00666DF4">
        <w:t>Table 4 and Figure 13 present information on age-standardised rates of community and inpatient treatment orders by gender and ethnicity.</w:t>
      </w:r>
    </w:p>
    <w:p w:rsidR="00A47CF6" w:rsidRPr="00666DF4" w:rsidRDefault="00A47CF6" w:rsidP="00D07B70">
      <w:pPr>
        <w:rPr>
          <w:rFonts w:eastAsia="Century"/>
        </w:rPr>
      </w:pPr>
    </w:p>
    <w:p w:rsidR="00A47CF6" w:rsidRPr="00666DF4" w:rsidRDefault="00A47CF6" w:rsidP="00D07B70">
      <w:pPr>
        <w:pStyle w:val="Table"/>
        <w:rPr>
          <w:rFonts w:eastAsia="Georgia" w:cs="Georgia"/>
          <w:szCs w:val="19"/>
        </w:rPr>
      </w:pPr>
      <w:bookmarkStart w:id="110" w:name="_Toc508707302"/>
      <w:r w:rsidRPr="00666DF4">
        <w:t>Table 4: Age-standardised rates of Māori and non-Māori subject to community and inpatient treatment orders (sections 29 and 30) under the Mental Health Act, by gender, 1</w:t>
      </w:r>
      <w:r w:rsidR="00D07B70">
        <w:t> </w:t>
      </w:r>
      <w:r w:rsidRPr="00666DF4">
        <w:t>January</w:t>
      </w:r>
      <w:r w:rsidR="00D07B70">
        <w:t xml:space="preserve"> </w:t>
      </w:r>
      <w:r w:rsidRPr="00666DF4">
        <w:t>to 31 December 2016</w:t>
      </w:r>
      <w:bookmarkEnd w:id="110"/>
    </w:p>
    <w:tbl>
      <w:tblPr>
        <w:tblW w:w="0" w:type="auto"/>
        <w:tblInd w:w="57" w:type="dxa"/>
        <w:tblLayout w:type="fixed"/>
        <w:tblCellMar>
          <w:left w:w="57" w:type="dxa"/>
          <w:right w:w="57" w:type="dxa"/>
        </w:tblCellMar>
        <w:tblLook w:val="01E0" w:firstRow="1" w:lastRow="1" w:firstColumn="1" w:lastColumn="1" w:noHBand="0" w:noVBand="0"/>
      </w:tblPr>
      <w:tblGrid>
        <w:gridCol w:w="3077"/>
        <w:gridCol w:w="1438"/>
        <w:gridCol w:w="1439"/>
        <w:gridCol w:w="709"/>
        <w:gridCol w:w="1346"/>
        <w:gridCol w:w="1347"/>
      </w:tblGrid>
      <w:tr w:rsidR="00D07B70" w:rsidRPr="00666DF4" w:rsidTr="00C24B06">
        <w:trPr>
          <w:cantSplit/>
        </w:trPr>
        <w:tc>
          <w:tcPr>
            <w:tcW w:w="3077" w:type="dxa"/>
            <w:vMerge w:val="restart"/>
            <w:tcBorders>
              <w:top w:val="single" w:sz="4" w:space="0" w:color="auto"/>
              <w:left w:val="nil"/>
              <w:right w:val="nil"/>
            </w:tcBorders>
          </w:tcPr>
          <w:p w:rsidR="00D07B70" w:rsidRPr="00666DF4" w:rsidRDefault="00D07B70" w:rsidP="00D07B70">
            <w:pPr>
              <w:pStyle w:val="TableText"/>
            </w:pPr>
          </w:p>
        </w:tc>
        <w:tc>
          <w:tcPr>
            <w:tcW w:w="2877" w:type="dxa"/>
            <w:gridSpan w:val="2"/>
            <w:tcBorders>
              <w:top w:val="single" w:sz="4" w:space="0" w:color="000000"/>
              <w:left w:val="nil"/>
              <w:bottom w:val="single" w:sz="4" w:space="0" w:color="A7A9AC"/>
              <w:right w:val="nil"/>
            </w:tcBorders>
          </w:tcPr>
          <w:p w:rsidR="00D07B70" w:rsidRPr="00D07B70" w:rsidRDefault="00D07B70" w:rsidP="00C24B06">
            <w:pPr>
              <w:pStyle w:val="TableText"/>
              <w:jc w:val="center"/>
              <w:rPr>
                <w:b/>
              </w:rPr>
            </w:pPr>
            <w:r w:rsidRPr="00D07B70">
              <w:rPr>
                <w:b/>
              </w:rPr>
              <w:t>Community treatment orders</w:t>
            </w:r>
          </w:p>
        </w:tc>
        <w:tc>
          <w:tcPr>
            <w:tcW w:w="709" w:type="dxa"/>
            <w:tcBorders>
              <w:top w:val="single" w:sz="4" w:space="0" w:color="000000"/>
              <w:left w:val="nil"/>
              <w:right w:val="nil"/>
            </w:tcBorders>
          </w:tcPr>
          <w:p w:rsidR="00D07B70" w:rsidRPr="00D07B70" w:rsidRDefault="00D07B70" w:rsidP="00C24B06">
            <w:pPr>
              <w:pStyle w:val="TableText"/>
              <w:jc w:val="center"/>
              <w:rPr>
                <w:rFonts w:eastAsia="Arial" w:cs="Arial"/>
                <w:b/>
                <w:szCs w:val="19"/>
              </w:rPr>
            </w:pPr>
          </w:p>
        </w:tc>
        <w:tc>
          <w:tcPr>
            <w:tcW w:w="2693" w:type="dxa"/>
            <w:gridSpan w:val="2"/>
            <w:tcBorders>
              <w:top w:val="single" w:sz="4" w:space="0" w:color="000000"/>
              <w:left w:val="nil"/>
              <w:bottom w:val="single" w:sz="4" w:space="0" w:color="A7A9AC"/>
              <w:right w:val="nil"/>
            </w:tcBorders>
          </w:tcPr>
          <w:p w:rsidR="00D07B70" w:rsidRPr="00D07B70" w:rsidRDefault="00D07B70" w:rsidP="00C24B06">
            <w:pPr>
              <w:pStyle w:val="TableText"/>
              <w:jc w:val="center"/>
              <w:rPr>
                <w:b/>
              </w:rPr>
            </w:pPr>
            <w:r w:rsidRPr="00D07B70">
              <w:rPr>
                <w:b/>
              </w:rPr>
              <w:t>Inpatient treatment orders</w:t>
            </w:r>
          </w:p>
        </w:tc>
      </w:tr>
      <w:tr w:rsidR="00D07B70" w:rsidRPr="00666DF4" w:rsidTr="00C24B06">
        <w:trPr>
          <w:cantSplit/>
        </w:trPr>
        <w:tc>
          <w:tcPr>
            <w:tcW w:w="3077" w:type="dxa"/>
            <w:vMerge/>
            <w:tcBorders>
              <w:left w:val="nil"/>
              <w:bottom w:val="single" w:sz="4" w:space="0" w:color="auto"/>
              <w:right w:val="nil"/>
            </w:tcBorders>
          </w:tcPr>
          <w:p w:rsidR="00D07B70" w:rsidRPr="00666DF4" w:rsidRDefault="00D07B70" w:rsidP="00D07B70">
            <w:pPr>
              <w:pStyle w:val="TableText"/>
            </w:pPr>
          </w:p>
        </w:tc>
        <w:tc>
          <w:tcPr>
            <w:tcW w:w="1438" w:type="dxa"/>
            <w:tcBorders>
              <w:top w:val="single" w:sz="4" w:space="0" w:color="000000"/>
              <w:left w:val="nil"/>
              <w:bottom w:val="single" w:sz="4" w:space="0" w:color="auto"/>
              <w:right w:val="nil"/>
            </w:tcBorders>
          </w:tcPr>
          <w:p w:rsidR="00D07B70" w:rsidRPr="00D07B70" w:rsidRDefault="00D07B70" w:rsidP="00C24B06">
            <w:pPr>
              <w:pStyle w:val="TableText"/>
              <w:jc w:val="center"/>
              <w:rPr>
                <w:rFonts w:eastAsia="Arial" w:cs="Arial"/>
                <w:b/>
                <w:szCs w:val="19"/>
              </w:rPr>
            </w:pPr>
            <w:r w:rsidRPr="00D07B70">
              <w:rPr>
                <w:b/>
              </w:rPr>
              <w:t>Male</w:t>
            </w:r>
          </w:p>
        </w:tc>
        <w:tc>
          <w:tcPr>
            <w:tcW w:w="1439" w:type="dxa"/>
            <w:tcBorders>
              <w:top w:val="single" w:sz="4" w:space="0" w:color="000000"/>
              <w:left w:val="nil"/>
              <w:bottom w:val="single" w:sz="4" w:space="0" w:color="auto"/>
              <w:right w:val="nil"/>
            </w:tcBorders>
          </w:tcPr>
          <w:p w:rsidR="00D07B70" w:rsidRPr="00D07B70" w:rsidRDefault="00D07B70" w:rsidP="00C24B06">
            <w:pPr>
              <w:pStyle w:val="TableText"/>
              <w:jc w:val="center"/>
              <w:rPr>
                <w:rFonts w:eastAsia="Arial" w:cs="Arial"/>
                <w:b/>
                <w:szCs w:val="19"/>
              </w:rPr>
            </w:pPr>
            <w:r w:rsidRPr="00D07B70">
              <w:rPr>
                <w:b/>
              </w:rPr>
              <w:t>Female</w:t>
            </w:r>
          </w:p>
        </w:tc>
        <w:tc>
          <w:tcPr>
            <w:tcW w:w="709" w:type="dxa"/>
            <w:tcBorders>
              <w:left w:val="nil"/>
              <w:bottom w:val="single" w:sz="4" w:space="0" w:color="auto"/>
              <w:right w:val="nil"/>
            </w:tcBorders>
          </w:tcPr>
          <w:p w:rsidR="00D07B70" w:rsidRPr="00D07B70" w:rsidRDefault="00D07B70" w:rsidP="00C24B06">
            <w:pPr>
              <w:pStyle w:val="TableText"/>
              <w:jc w:val="center"/>
              <w:rPr>
                <w:rFonts w:eastAsia="Arial" w:cs="Arial"/>
                <w:b/>
                <w:szCs w:val="19"/>
              </w:rPr>
            </w:pPr>
          </w:p>
        </w:tc>
        <w:tc>
          <w:tcPr>
            <w:tcW w:w="1346" w:type="dxa"/>
            <w:tcBorders>
              <w:top w:val="single" w:sz="4" w:space="0" w:color="000000"/>
              <w:left w:val="nil"/>
              <w:bottom w:val="single" w:sz="4" w:space="0" w:color="auto"/>
              <w:right w:val="nil"/>
            </w:tcBorders>
          </w:tcPr>
          <w:p w:rsidR="00D07B70" w:rsidRPr="00D07B70" w:rsidRDefault="00D07B70" w:rsidP="00C24B06">
            <w:pPr>
              <w:pStyle w:val="TableText"/>
              <w:jc w:val="center"/>
              <w:rPr>
                <w:rFonts w:eastAsia="Arial" w:cs="Arial"/>
                <w:b/>
                <w:szCs w:val="19"/>
              </w:rPr>
            </w:pPr>
            <w:r w:rsidRPr="00D07B70">
              <w:rPr>
                <w:b/>
              </w:rPr>
              <w:t>Male</w:t>
            </w:r>
          </w:p>
        </w:tc>
        <w:tc>
          <w:tcPr>
            <w:tcW w:w="1347" w:type="dxa"/>
            <w:tcBorders>
              <w:top w:val="single" w:sz="4" w:space="0" w:color="000000"/>
              <w:left w:val="nil"/>
              <w:bottom w:val="single" w:sz="4" w:space="0" w:color="auto"/>
              <w:right w:val="nil"/>
            </w:tcBorders>
          </w:tcPr>
          <w:p w:rsidR="00D07B70" w:rsidRPr="00D07B70" w:rsidRDefault="00D07B70" w:rsidP="00C24B06">
            <w:pPr>
              <w:pStyle w:val="TableText"/>
              <w:jc w:val="center"/>
              <w:rPr>
                <w:rFonts w:eastAsia="Arial" w:cs="Arial"/>
                <w:b/>
                <w:szCs w:val="19"/>
              </w:rPr>
            </w:pPr>
            <w:r w:rsidRPr="00D07B70">
              <w:rPr>
                <w:b/>
              </w:rPr>
              <w:t>Female</w:t>
            </w:r>
          </w:p>
        </w:tc>
      </w:tr>
      <w:tr w:rsidR="00D07B70" w:rsidRPr="00666DF4" w:rsidTr="00C24B06">
        <w:trPr>
          <w:cantSplit/>
        </w:trPr>
        <w:tc>
          <w:tcPr>
            <w:tcW w:w="3077" w:type="dxa"/>
            <w:tcBorders>
              <w:top w:val="single" w:sz="4" w:space="0" w:color="auto"/>
              <w:left w:val="nil"/>
              <w:right w:val="nil"/>
            </w:tcBorders>
          </w:tcPr>
          <w:p w:rsidR="00D07B70" w:rsidRPr="00666DF4" w:rsidRDefault="00D07B70" w:rsidP="00D07B70">
            <w:pPr>
              <w:pStyle w:val="TableText"/>
              <w:rPr>
                <w:rFonts w:eastAsia="Arial" w:cs="Arial"/>
                <w:szCs w:val="19"/>
              </w:rPr>
            </w:pPr>
            <w:r w:rsidRPr="00666DF4">
              <w:t>Māori</w:t>
            </w:r>
          </w:p>
        </w:tc>
        <w:tc>
          <w:tcPr>
            <w:tcW w:w="1438" w:type="dxa"/>
            <w:tcBorders>
              <w:top w:val="single" w:sz="4" w:space="0" w:color="auto"/>
              <w:left w:val="nil"/>
              <w:right w:val="nil"/>
            </w:tcBorders>
          </w:tcPr>
          <w:p w:rsidR="00D07B70" w:rsidRPr="00666DF4" w:rsidRDefault="00D07B70" w:rsidP="00C24B06">
            <w:pPr>
              <w:pStyle w:val="TableText"/>
              <w:jc w:val="center"/>
              <w:rPr>
                <w:rFonts w:eastAsia="Arial" w:cs="Arial"/>
                <w:szCs w:val="19"/>
              </w:rPr>
            </w:pPr>
            <w:r w:rsidRPr="00666DF4">
              <w:t>460</w:t>
            </w:r>
          </w:p>
        </w:tc>
        <w:tc>
          <w:tcPr>
            <w:tcW w:w="1439" w:type="dxa"/>
            <w:tcBorders>
              <w:top w:val="single" w:sz="4" w:space="0" w:color="auto"/>
              <w:left w:val="nil"/>
              <w:right w:val="nil"/>
            </w:tcBorders>
          </w:tcPr>
          <w:p w:rsidR="00D07B70" w:rsidRPr="00666DF4" w:rsidRDefault="00D07B70" w:rsidP="00C24B06">
            <w:pPr>
              <w:pStyle w:val="TableText"/>
              <w:jc w:val="center"/>
              <w:rPr>
                <w:rFonts w:eastAsia="Arial" w:cs="Arial"/>
                <w:szCs w:val="19"/>
              </w:rPr>
            </w:pPr>
            <w:r w:rsidRPr="00666DF4">
              <w:t>205</w:t>
            </w:r>
          </w:p>
        </w:tc>
        <w:tc>
          <w:tcPr>
            <w:tcW w:w="709" w:type="dxa"/>
            <w:tcBorders>
              <w:top w:val="single" w:sz="4" w:space="0" w:color="auto"/>
              <w:left w:val="nil"/>
              <w:right w:val="nil"/>
            </w:tcBorders>
          </w:tcPr>
          <w:p w:rsidR="00D07B70" w:rsidRPr="00666DF4" w:rsidRDefault="00D07B70" w:rsidP="00C24B06">
            <w:pPr>
              <w:pStyle w:val="TableText"/>
              <w:jc w:val="center"/>
              <w:rPr>
                <w:rFonts w:eastAsia="Arial" w:cs="Arial"/>
                <w:szCs w:val="19"/>
              </w:rPr>
            </w:pPr>
          </w:p>
        </w:tc>
        <w:tc>
          <w:tcPr>
            <w:tcW w:w="1346" w:type="dxa"/>
            <w:tcBorders>
              <w:top w:val="single" w:sz="4" w:space="0" w:color="auto"/>
              <w:left w:val="nil"/>
              <w:right w:val="nil"/>
            </w:tcBorders>
          </w:tcPr>
          <w:p w:rsidR="00D07B70" w:rsidRPr="00666DF4" w:rsidRDefault="00D07B70" w:rsidP="00C24B06">
            <w:pPr>
              <w:pStyle w:val="TableText"/>
              <w:jc w:val="center"/>
              <w:rPr>
                <w:rFonts w:eastAsia="Arial" w:cs="Arial"/>
                <w:szCs w:val="19"/>
              </w:rPr>
            </w:pPr>
            <w:r w:rsidRPr="00666DF4">
              <w:t>143</w:t>
            </w:r>
          </w:p>
        </w:tc>
        <w:tc>
          <w:tcPr>
            <w:tcW w:w="1347" w:type="dxa"/>
            <w:tcBorders>
              <w:top w:val="single" w:sz="4" w:space="0" w:color="auto"/>
              <w:left w:val="nil"/>
              <w:right w:val="nil"/>
            </w:tcBorders>
          </w:tcPr>
          <w:p w:rsidR="00D07B70" w:rsidRPr="00666DF4" w:rsidRDefault="00D07B70" w:rsidP="00C24B06">
            <w:pPr>
              <w:pStyle w:val="TableText"/>
              <w:jc w:val="center"/>
              <w:rPr>
                <w:rFonts w:eastAsia="Arial" w:cs="Arial"/>
                <w:szCs w:val="19"/>
              </w:rPr>
            </w:pPr>
            <w:r w:rsidRPr="00666DF4">
              <w:t>69</w:t>
            </w:r>
          </w:p>
        </w:tc>
      </w:tr>
      <w:tr w:rsidR="00D07B70" w:rsidRPr="00666DF4" w:rsidTr="00C24B06">
        <w:trPr>
          <w:cantSplit/>
        </w:trPr>
        <w:tc>
          <w:tcPr>
            <w:tcW w:w="3077" w:type="dxa"/>
            <w:tcBorders>
              <w:left w:val="nil"/>
              <w:right w:val="nil"/>
            </w:tcBorders>
          </w:tcPr>
          <w:p w:rsidR="00D07B70" w:rsidRPr="00666DF4" w:rsidRDefault="00D07B70" w:rsidP="00D07B70">
            <w:pPr>
              <w:pStyle w:val="TableText"/>
              <w:rPr>
                <w:rFonts w:eastAsia="Arial" w:cs="Arial"/>
                <w:szCs w:val="19"/>
              </w:rPr>
            </w:pPr>
            <w:r w:rsidRPr="00666DF4">
              <w:t>Non-Māori</w:t>
            </w:r>
          </w:p>
        </w:tc>
        <w:tc>
          <w:tcPr>
            <w:tcW w:w="1438" w:type="dxa"/>
            <w:tcBorders>
              <w:left w:val="nil"/>
              <w:right w:val="nil"/>
            </w:tcBorders>
          </w:tcPr>
          <w:p w:rsidR="00D07B70" w:rsidRPr="00666DF4" w:rsidRDefault="00D07B70" w:rsidP="00C24B06">
            <w:pPr>
              <w:pStyle w:val="TableText"/>
              <w:jc w:val="center"/>
              <w:rPr>
                <w:rFonts w:eastAsia="Arial" w:cs="Arial"/>
                <w:szCs w:val="19"/>
              </w:rPr>
            </w:pPr>
            <w:r w:rsidRPr="00666DF4">
              <w:t>118</w:t>
            </w:r>
          </w:p>
        </w:tc>
        <w:tc>
          <w:tcPr>
            <w:tcW w:w="1439" w:type="dxa"/>
            <w:tcBorders>
              <w:left w:val="nil"/>
              <w:right w:val="nil"/>
            </w:tcBorders>
          </w:tcPr>
          <w:p w:rsidR="00D07B70" w:rsidRPr="00666DF4" w:rsidRDefault="00D07B70" w:rsidP="00C24B06">
            <w:pPr>
              <w:pStyle w:val="TableText"/>
              <w:jc w:val="center"/>
              <w:rPr>
                <w:rFonts w:eastAsia="Arial" w:cs="Arial"/>
                <w:szCs w:val="19"/>
              </w:rPr>
            </w:pPr>
            <w:r w:rsidRPr="00666DF4">
              <w:t>61</w:t>
            </w:r>
          </w:p>
        </w:tc>
        <w:tc>
          <w:tcPr>
            <w:tcW w:w="709" w:type="dxa"/>
            <w:tcBorders>
              <w:left w:val="nil"/>
              <w:right w:val="nil"/>
            </w:tcBorders>
          </w:tcPr>
          <w:p w:rsidR="00D07B70" w:rsidRPr="00666DF4" w:rsidRDefault="00D07B70" w:rsidP="00C24B06">
            <w:pPr>
              <w:pStyle w:val="TableText"/>
              <w:jc w:val="center"/>
              <w:rPr>
                <w:rFonts w:eastAsia="Arial" w:cs="Arial"/>
                <w:szCs w:val="19"/>
              </w:rPr>
            </w:pPr>
          </w:p>
        </w:tc>
        <w:tc>
          <w:tcPr>
            <w:tcW w:w="1346" w:type="dxa"/>
            <w:tcBorders>
              <w:left w:val="nil"/>
              <w:right w:val="nil"/>
            </w:tcBorders>
          </w:tcPr>
          <w:p w:rsidR="00D07B70" w:rsidRPr="00666DF4" w:rsidRDefault="00D07B70" w:rsidP="00C24B06">
            <w:pPr>
              <w:pStyle w:val="TableText"/>
              <w:jc w:val="center"/>
              <w:rPr>
                <w:rFonts w:eastAsia="Arial" w:cs="Arial"/>
                <w:szCs w:val="19"/>
              </w:rPr>
            </w:pPr>
            <w:r w:rsidRPr="00666DF4">
              <w:t>38</w:t>
            </w:r>
          </w:p>
        </w:tc>
        <w:tc>
          <w:tcPr>
            <w:tcW w:w="1347" w:type="dxa"/>
            <w:tcBorders>
              <w:left w:val="nil"/>
              <w:right w:val="nil"/>
            </w:tcBorders>
          </w:tcPr>
          <w:p w:rsidR="00D07B70" w:rsidRPr="00666DF4" w:rsidRDefault="00D07B70" w:rsidP="00C24B06">
            <w:pPr>
              <w:pStyle w:val="TableText"/>
              <w:jc w:val="center"/>
              <w:rPr>
                <w:rFonts w:eastAsia="Arial" w:cs="Arial"/>
                <w:szCs w:val="19"/>
              </w:rPr>
            </w:pPr>
            <w:r w:rsidRPr="00666DF4">
              <w:t>23</w:t>
            </w:r>
          </w:p>
        </w:tc>
      </w:tr>
      <w:tr w:rsidR="00D07B70" w:rsidRPr="00666DF4" w:rsidTr="00C24B06">
        <w:trPr>
          <w:cantSplit/>
        </w:trPr>
        <w:tc>
          <w:tcPr>
            <w:tcW w:w="3077" w:type="dxa"/>
            <w:tcBorders>
              <w:left w:val="nil"/>
              <w:bottom w:val="single" w:sz="4" w:space="0" w:color="auto"/>
              <w:right w:val="nil"/>
            </w:tcBorders>
          </w:tcPr>
          <w:p w:rsidR="00D07B70" w:rsidRPr="00666DF4" w:rsidRDefault="00D07B70" w:rsidP="00D07B70">
            <w:pPr>
              <w:pStyle w:val="TableText"/>
              <w:rPr>
                <w:rFonts w:eastAsia="Arial" w:cs="Arial"/>
                <w:szCs w:val="19"/>
              </w:rPr>
            </w:pPr>
            <w:r w:rsidRPr="00666DF4">
              <w:t>Rate ratio Māori: non-Māori</w:t>
            </w:r>
          </w:p>
        </w:tc>
        <w:tc>
          <w:tcPr>
            <w:tcW w:w="1438" w:type="dxa"/>
            <w:tcBorders>
              <w:left w:val="nil"/>
              <w:bottom w:val="single" w:sz="4" w:space="0" w:color="auto"/>
              <w:right w:val="nil"/>
            </w:tcBorders>
          </w:tcPr>
          <w:p w:rsidR="00D07B70" w:rsidRPr="00666DF4" w:rsidRDefault="00D07B70" w:rsidP="00C24B06">
            <w:pPr>
              <w:pStyle w:val="TableText"/>
              <w:jc w:val="center"/>
              <w:rPr>
                <w:rFonts w:eastAsia="Arial" w:cs="Arial"/>
                <w:szCs w:val="19"/>
              </w:rPr>
            </w:pPr>
            <w:r w:rsidRPr="00666DF4">
              <w:t>3.9:1</w:t>
            </w:r>
          </w:p>
        </w:tc>
        <w:tc>
          <w:tcPr>
            <w:tcW w:w="1439" w:type="dxa"/>
            <w:tcBorders>
              <w:left w:val="nil"/>
              <w:bottom w:val="single" w:sz="4" w:space="0" w:color="auto"/>
              <w:right w:val="nil"/>
            </w:tcBorders>
          </w:tcPr>
          <w:p w:rsidR="00D07B70" w:rsidRPr="00666DF4" w:rsidRDefault="00D07B70" w:rsidP="00C24B06">
            <w:pPr>
              <w:pStyle w:val="TableText"/>
              <w:jc w:val="center"/>
              <w:rPr>
                <w:rFonts w:eastAsia="Arial" w:cs="Arial"/>
                <w:szCs w:val="19"/>
              </w:rPr>
            </w:pPr>
            <w:r w:rsidRPr="00666DF4">
              <w:t>3.3:1</w:t>
            </w:r>
          </w:p>
        </w:tc>
        <w:tc>
          <w:tcPr>
            <w:tcW w:w="709" w:type="dxa"/>
            <w:tcBorders>
              <w:left w:val="nil"/>
              <w:bottom w:val="single" w:sz="4" w:space="0" w:color="auto"/>
              <w:right w:val="nil"/>
            </w:tcBorders>
          </w:tcPr>
          <w:p w:rsidR="00D07B70" w:rsidRPr="00666DF4" w:rsidRDefault="00D07B70" w:rsidP="00C24B06">
            <w:pPr>
              <w:pStyle w:val="TableText"/>
              <w:jc w:val="center"/>
              <w:rPr>
                <w:rFonts w:eastAsia="Arial" w:cs="Arial"/>
                <w:szCs w:val="19"/>
              </w:rPr>
            </w:pPr>
          </w:p>
        </w:tc>
        <w:tc>
          <w:tcPr>
            <w:tcW w:w="1346" w:type="dxa"/>
            <w:tcBorders>
              <w:left w:val="nil"/>
              <w:bottom w:val="single" w:sz="4" w:space="0" w:color="auto"/>
              <w:right w:val="nil"/>
            </w:tcBorders>
          </w:tcPr>
          <w:p w:rsidR="00D07B70" w:rsidRPr="00666DF4" w:rsidRDefault="00D07B70" w:rsidP="00C24B06">
            <w:pPr>
              <w:pStyle w:val="TableText"/>
              <w:jc w:val="center"/>
              <w:rPr>
                <w:rFonts w:eastAsia="Arial" w:cs="Arial"/>
                <w:szCs w:val="19"/>
              </w:rPr>
            </w:pPr>
            <w:r w:rsidRPr="00666DF4">
              <w:t>3.8:1</w:t>
            </w:r>
          </w:p>
        </w:tc>
        <w:tc>
          <w:tcPr>
            <w:tcW w:w="1347" w:type="dxa"/>
            <w:tcBorders>
              <w:left w:val="nil"/>
              <w:bottom w:val="single" w:sz="4" w:space="0" w:color="auto"/>
              <w:right w:val="nil"/>
            </w:tcBorders>
          </w:tcPr>
          <w:p w:rsidR="00D07B70" w:rsidRPr="00666DF4" w:rsidRDefault="00D07B70" w:rsidP="00C24B06">
            <w:pPr>
              <w:pStyle w:val="TableText"/>
              <w:jc w:val="center"/>
              <w:rPr>
                <w:rFonts w:eastAsia="Arial" w:cs="Arial"/>
                <w:szCs w:val="19"/>
              </w:rPr>
            </w:pPr>
            <w:r w:rsidRPr="00666DF4">
              <w:t>3.0:1</w:t>
            </w:r>
          </w:p>
        </w:tc>
      </w:tr>
    </w:tbl>
    <w:p w:rsidR="00A47CF6" w:rsidRDefault="00A47CF6" w:rsidP="00C24B06">
      <w:pPr>
        <w:pStyle w:val="Note"/>
        <w:ind w:right="0"/>
      </w:pPr>
      <w:r w:rsidRPr="00666DF4">
        <w:t>Note: Rates per 100,000 are age-standardised. Source: PRIMHD data, extracted on 26 July 2017</w:t>
      </w:r>
      <w:r w:rsidR="00C24B06">
        <w:t>.</w:t>
      </w:r>
    </w:p>
    <w:p w:rsidR="00C24B06" w:rsidRPr="00C24B06" w:rsidRDefault="00C24B06" w:rsidP="00C24B06">
      <w:pPr>
        <w:rPr>
          <w:rFonts w:eastAsia="Arial"/>
        </w:rPr>
      </w:pPr>
    </w:p>
    <w:p w:rsidR="00A47CF6" w:rsidRDefault="00A47CF6" w:rsidP="00C24B06">
      <w:pPr>
        <w:pStyle w:val="Figure"/>
      </w:pPr>
      <w:bookmarkStart w:id="111" w:name="Figure_13:_Age-standardised_rates_of_Māo"/>
      <w:bookmarkStart w:id="112" w:name="Figure_14:_Length_of_time_spent_subject_"/>
      <w:bookmarkStart w:id="113" w:name="_bookmark23"/>
      <w:bookmarkStart w:id="114" w:name="_Toc508707337"/>
      <w:bookmarkEnd w:id="111"/>
      <w:bookmarkEnd w:id="112"/>
      <w:bookmarkEnd w:id="113"/>
      <w:r w:rsidRPr="00BF25EC">
        <w:t>Figure 13: Age-standardised rates of Māori and non-Māori subject to community and inpatient treatment orders (sections 29 and 30) under the Mental Health Act, by gender, 1</w:t>
      </w:r>
      <w:r w:rsidR="00C24B06">
        <w:t> </w:t>
      </w:r>
      <w:r w:rsidRPr="00BF25EC">
        <w:t>January</w:t>
      </w:r>
      <w:r w:rsidR="00C24B06">
        <w:t xml:space="preserve"> </w:t>
      </w:r>
      <w:r w:rsidRPr="00666DF4">
        <w:t>to 31 December 2016</w:t>
      </w:r>
      <w:bookmarkEnd w:id="114"/>
    </w:p>
    <w:p w:rsidR="00C24B06" w:rsidRPr="00C24B06" w:rsidRDefault="007F674E" w:rsidP="00C24B06">
      <w:pPr>
        <w:rPr>
          <w:rFonts w:eastAsia="Georgia"/>
        </w:rPr>
      </w:pPr>
      <w:r>
        <w:rPr>
          <w:noProof/>
          <w:lang w:eastAsia="en-NZ"/>
        </w:rPr>
        <w:drawing>
          <wp:inline distT="0" distB="0" distL="0" distR="0" wp14:anchorId="289B82B7" wp14:editId="1FF87512">
            <wp:extent cx="4655128" cy="2356198"/>
            <wp:effectExtent l="0" t="0" r="0" b="6350"/>
            <wp:docPr id="70" name="Picture 70" title="Figure 13: Age-standardised rates of Māori and non-Māori subject to community and inpatient treatment orders (sections 29 and 30) under the Mental Health Act, by gender,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blip>
                    <a:stretch>
                      <a:fillRect/>
                    </a:stretch>
                  </pic:blipFill>
                  <pic:spPr>
                    <a:xfrm>
                      <a:off x="0" y="0"/>
                      <a:ext cx="4655128" cy="2356198"/>
                    </a:xfrm>
                    <a:prstGeom prst="rect">
                      <a:avLst/>
                    </a:prstGeom>
                  </pic:spPr>
                </pic:pic>
              </a:graphicData>
            </a:graphic>
          </wp:inline>
        </w:drawing>
      </w:r>
    </w:p>
    <w:p w:rsidR="00C24B06" w:rsidRDefault="00A47CF6" w:rsidP="00C24B06">
      <w:pPr>
        <w:pStyle w:val="Note"/>
      </w:pPr>
      <w:r w:rsidRPr="00666DF4">
        <w:t>Note: Rates per 100,000 are age-standardised.</w:t>
      </w:r>
    </w:p>
    <w:p w:rsidR="00A47CF6" w:rsidRDefault="00A47CF6" w:rsidP="00C24B06">
      <w:pPr>
        <w:pStyle w:val="Source"/>
      </w:pPr>
      <w:r w:rsidRPr="00666DF4">
        <w:t>Source: PRIMHD data, extracted on 26 July 2017</w:t>
      </w:r>
      <w:r w:rsidR="00C24B06">
        <w:t>.</w:t>
      </w:r>
    </w:p>
    <w:p w:rsidR="00C24B06" w:rsidRPr="00C24B06" w:rsidRDefault="00C24B06" w:rsidP="007F674E">
      <w:pPr>
        <w:rPr>
          <w:rFonts w:eastAsia="Arial"/>
        </w:rPr>
      </w:pPr>
    </w:p>
    <w:p w:rsidR="00A47CF6" w:rsidRPr="00666DF4" w:rsidRDefault="00A47CF6" w:rsidP="007F674E">
      <w:pPr>
        <w:pStyle w:val="Heading3"/>
        <w:rPr>
          <w:bCs/>
        </w:rPr>
      </w:pPr>
      <w:r w:rsidRPr="00666DF4">
        <w:t>Length of time spent subject to compulsory treatment orders</w:t>
      </w:r>
    </w:p>
    <w:p w:rsidR="00A47CF6" w:rsidRPr="00666DF4" w:rsidRDefault="00A47CF6" w:rsidP="007F674E">
      <w:r w:rsidRPr="00666DF4">
        <w:t>On average, Māori and non-Māori remain on compulsory treatment orders for a similar amount of</w:t>
      </w:r>
      <w:r w:rsidR="00BF25EC">
        <w:t xml:space="preserve"> </w:t>
      </w:r>
      <w:r w:rsidRPr="00666DF4">
        <w:t>time (see Figure 14). For community treatment orders commenced between 2009 and 2014, 80 percent of Māori and 81 percent of non-Māori were subject to the order for less than a year. For inpatient treatment orders commenced between 2009 and 2014, 96 percent of Māori and non-Māori were subject to the order for less than a year.</w:t>
      </w:r>
    </w:p>
    <w:p w:rsidR="00A47CF6" w:rsidRPr="00666DF4" w:rsidRDefault="00A47CF6" w:rsidP="007F674E">
      <w:pPr>
        <w:rPr>
          <w:rFonts w:eastAsia="Century"/>
        </w:rPr>
      </w:pPr>
    </w:p>
    <w:p w:rsidR="00A47CF6" w:rsidRDefault="00A47CF6" w:rsidP="007F674E">
      <w:pPr>
        <w:pStyle w:val="Figure"/>
        <w:rPr>
          <w:rFonts w:eastAsia="Georgia"/>
        </w:rPr>
      </w:pPr>
      <w:bookmarkStart w:id="115" w:name="_Toc508707338"/>
      <w:r w:rsidRPr="00666DF4">
        <w:rPr>
          <w:rFonts w:eastAsia="Georgia"/>
        </w:rPr>
        <w:t>Figure 14: Length of time spent subject to community and inpatient treatment orders (sections 29 and 30) under the Mental Health Act for Māori and non-Māori, 2009–2014</w:t>
      </w:r>
      <w:bookmarkEnd w:id="115"/>
    </w:p>
    <w:p w:rsidR="007F674E" w:rsidRPr="007F674E" w:rsidRDefault="007F674E" w:rsidP="007F674E">
      <w:pPr>
        <w:rPr>
          <w:rFonts w:eastAsia="Georgia"/>
        </w:rPr>
      </w:pPr>
      <w:r>
        <w:rPr>
          <w:noProof/>
          <w:lang w:eastAsia="en-NZ"/>
        </w:rPr>
        <w:drawing>
          <wp:inline distT="0" distB="0" distL="0" distR="0" wp14:anchorId="6CE322F9" wp14:editId="7C4D7A26">
            <wp:extent cx="4655128" cy="2488798"/>
            <wp:effectExtent l="0" t="0" r="0" b="6985"/>
            <wp:docPr id="71" name="Picture 71" title="Figure 14: Length of time spent subject to community and inpatient treatment orders (sections 29 and 30) under the Mental Health Act for Māori and non-Māori,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blip>
                    <a:stretch>
                      <a:fillRect/>
                    </a:stretch>
                  </pic:blipFill>
                  <pic:spPr>
                    <a:xfrm>
                      <a:off x="0" y="0"/>
                      <a:ext cx="4655880" cy="2489200"/>
                    </a:xfrm>
                    <a:prstGeom prst="rect">
                      <a:avLst/>
                    </a:prstGeom>
                  </pic:spPr>
                </pic:pic>
              </a:graphicData>
            </a:graphic>
          </wp:inline>
        </w:drawing>
      </w:r>
    </w:p>
    <w:p w:rsidR="00A47CF6" w:rsidRPr="00666DF4" w:rsidRDefault="00A47CF6" w:rsidP="007F674E">
      <w:pPr>
        <w:pStyle w:val="Note"/>
        <w:rPr>
          <w:rFonts w:eastAsia="Arial" w:cs="Arial"/>
          <w:szCs w:val="19"/>
        </w:rPr>
      </w:pPr>
      <w:r w:rsidRPr="00666DF4">
        <w:t>Note: The data refers to treatment orders started between 2009 and 2014. 2014 is the most recent year referred to in this figure, as this analysis requires at least two years to have elapsed to determine the number of people who have remained on a treatment order for two or more years.</w:t>
      </w:r>
    </w:p>
    <w:p w:rsidR="00A47CF6" w:rsidRPr="00666DF4" w:rsidRDefault="00A47CF6" w:rsidP="007F674E">
      <w:pPr>
        <w:pStyle w:val="Source"/>
        <w:rPr>
          <w:rFonts w:eastAsia="Arial" w:cs="Arial"/>
          <w:szCs w:val="19"/>
        </w:rPr>
      </w:pPr>
      <w:r w:rsidRPr="00666DF4">
        <w:t>Source: PRIMHD data, extracted on 27 July 2017. Southern DHB supplied data manually</w:t>
      </w:r>
      <w:r w:rsidR="007F674E">
        <w:t>.</w:t>
      </w:r>
    </w:p>
    <w:p w:rsidR="00A47CF6" w:rsidRPr="00666DF4" w:rsidRDefault="00A47CF6" w:rsidP="007F674E">
      <w:pPr>
        <w:rPr>
          <w:rFonts w:eastAsia="Arial"/>
        </w:rPr>
      </w:pPr>
    </w:p>
    <w:p w:rsidR="00A47CF6" w:rsidRPr="00666DF4" w:rsidRDefault="00A47CF6" w:rsidP="007F674E">
      <w:pPr>
        <w:pStyle w:val="Heading3"/>
        <w:rPr>
          <w:rFonts w:eastAsia="Georgia" w:cs="Georgia"/>
          <w:szCs w:val="28"/>
        </w:rPr>
      </w:pPr>
      <w:bookmarkStart w:id="116" w:name="Family/whānau_consultation_and__the_Ment"/>
      <w:bookmarkStart w:id="117" w:name="_bookmark24"/>
      <w:bookmarkEnd w:id="116"/>
      <w:bookmarkEnd w:id="117"/>
      <w:r w:rsidRPr="00666DF4">
        <w:t>Future focus</w:t>
      </w:r>
    </w:p>
    <w:p w:rsidR="00A47CF6" w:rsidRPr="007F674E" w:rsidRDefault="00A47CF6" w:rsidP="007F674E">
      <w:r w:rsidRPr="00666DF4">
        <w:t>Reducing the disparity of Māori mental health outcomes continues to be a priority for the Ministry of Health (Ministry of Health 2012e). Publishing data on the rate of Māori subject to compulsory</w:t>
      </w:r>
      <w:r w:rsidR="007F674E">
        <w:t xml:space="preserve"> </w:t>
      </w:r>
      <w:r w:rsidRPr="00666DF4">
        <w:t>treatment is just one aspect of what needs to be a wider conversation around Māori over-representation</w:t>
      </w:r>
      <w:r w:rsidR="007F674E">
        <w:t xml:space="preserve"> </w:t>
      </w:r>
      <w:r w:rsidRPr="00666DF4">
        <w:t>in compulsory assessment and treatment under the Mental Health Act.</w:t>
      </w:r>
      <w:r w:rsidR="007F674E">
        <w:rPr>
          <w:rStyle w:val="FootnoteReference"/>
        </w:rPr>
        <w:footnoteReference w:id="19"/>
      </w:r>
    </w:p>
    <w:p w:rsidR="00A47CF6" w:rsidRPr="00666DF4" w:rsidRDefault="00A47CF6" w:rsidP="007F674E">
      <w:pPr>
        <w:rPr>
          <w:rFonts w:eastAsia="Century"/>
        </w:rPr>
      </w:pPr>
    </w:p>
    <w:p w:rsidR="00A47CF6" w:rsidRPr="00666DF4" w:rsidRDefault="00A47CF6" w:rsidP="007F674E">
      <w:r w:rsidRPr="00666DF4">
        <w:t>The Office of the Director of Mental Health will continue to work alongside DHBs and other Ministry and government groups to ensure that the best possible mental health outcomes are being sought for Māori in New Zealand.</w:t>
      </w:r>
    </w:p>
    <w:p w:rsidR="00A47CF6" w:rsidRPr="00666DF4" w:rsidRDefault="00A47CF6" w:rsidP="007F674E">
      <w:pPr>
        <w:rPr>
          <w:rFonts w:eastAsia="Century"/>
        </w:rPr>
      </w:pPr>
    </w:p>
    <w:p w:rsidR="00A47CF6" w:rsidRPr="00666DF4" w:rsidRDefault="00A47CF6" w:rsidP="007F674E">
      <w:pPr>
        <w:pStyle w:val="Heading2"/>
        <w:rPr>
          <w:bCs/>
        </w:rPr>
      </w:pPr>
      <w:bookmarkStart w:id="118" w:name="_Toc508707282"/>
      <w:r w:rsidRPr="00666DF4">
        <w:t>Family/</w:t>
      </w:r>
      <w:proofErr w:type="spellStart"/>
      <w:r w:rsidRPr="00666DF4">
        <w:t>whānau</w:t>
      </w:r>
      <w:proofErr w:type="spellEnd"/>
      <w:r w:rsidRPr="00666DF4">
        <w:t xml:space="preserve"> consultation and the Mental Health Act</w:t>
      </w:r>
      <w:bookmarkEnd w:id="118"/>
    </w:p>
    <w:p w:rsidR="00A47CF6" w:rsidRPr="00666DF4" w:rsidRDefault="00A47CF6" w:rsidP="007F674E">
      <w:r w:rsidRPr="00666DF4">
        <w:t>In 1999, Parliament made an amendment to the Mental Health Act that required clinicians to consult family/</w:t>
      </w:r>
      <w:proofErr w:type="spellStart"/>
      <w:r w:rsidRPr="00666DF4">
        <w:t>whānau</w:t>
      </w:r>
      <w:proofErr w:type="spellEnd"/>
      <w:r w:rsidRPr="00666DF4">
        <w:t xml:space="preserve"> at particular junctures of a person</w:t>
      </w:r>
      <w:r w:rsidR="00BF25EC">
        <w:t>’</w:t>
      </w:r>
      <w:r w:rsidRPr="00666DF4">
        <w:t>s compulsory assessment and treatment under the Mental Health Act. Section 7A of the Act requires a mental health service to consult unless it is deemed not reasonably practicable, or not in the interests of the person.</w:t>
      </w:r>
    </w:p>
    <w:p w:rsidR="00A47CF6" w:rsidRPr="00666DF4" w:rsidRDefault="00A47CF6" w:rsidP="007F674E">
      <w:pPr>
        <w:rPr>
          <w:rFonts w:eastAsia="Century"/>
        </w:rPr>
      </w:pPr>
    </w:p>
    <w:p w:rsidR="00A47CF6" w:rsidRPr="00666DF4" w:rsidRDefault="00A47CF6" w:rsidP="007F674E">
      <w:r w:rsidRPr="00666DF4">
        <w:t>In summary, in 2016:</w:t>
      </w:r>
    </w:p>
    <w:p w:rsidR="00A47CF6" w:rsidRPr="00666DF4" w:rsidRDefault="00A47CF6" w:rsidP="007F674E">
      <w:pPr>
        <w:pStyle w:val="Bullet"/>
      </w:pPr>
      <w:r w:rsidRPr="00666DF4">
        <w:t>the average percentage of family/</w:t>
      </w:r>
      <w:proofErr w:type="spellStart"/>
      <w:r w:rsidRPr="00666DF4">
        <w:t>whānau</w:t>
      </w:r>
      <w:proofErr w:type="spellEnd"/>
      <w:r w:rsidRPr="00666DF4">
        <w:t xml:space="preserve"> consultation in Mental Health Act assessment/treatment events was 61 percent nationally</w:t>
      </w:r>
    </w:p>
    <w:p w:rsidR="00A47CF6" w:rsidRPr="00666DF4" w:rsidRDefault="00A47CF6" w:rsidP="007F674E">
      <w:pPr>
        <w:pStyle w:val="Bullet"/>
      </w:pPr>
      <w:r w:rsidRPr="00666DF4">
        <w:t>of all the steps in the Mental Health Act treatment process, family/</w:t>
      </w:r>
      <w:proofErr w:type="spellStart"/>
      <w:r w:rsidRPr="00666DF4">
        <w:t>whānau</w:t>
      </w:r>
      <w:proofErr w:type="spellEnd"/>
      <w:r w:rsidRPr="00666DF4">
        <w:t xml:space="preserve"> were most likely to be consulted during a person</w:t>
      </w:r>
      <w:r w:rsidR="00BF25EC">
        <w:t>’</w:t>
      </w:r>
      <w:r w:rsidRPr="00666DF4">
        <w:t>s initial assessment (section 10)</w:t>
      </w:r>
    </w:p>
    <w:p w:rsidR="00A47CF6" w:rsidRPr="00666DF4" w:rsidRDefault="00A47CF6" w:rsidP="007F674E">
      <w:pPr>
        <w:pStyle w:val="Bullet"/>
      </w:pPr>
      <w:r w:rsidRPr="00666DF4">
        <w:t>family/</w:t>
      </w:r>
      <w:proofErr w:type="spellStart"/>
      <w:r w:rsidRPr="00666DF4">
        <w:t>whānau</w:t>
      </w:r>
      <w:proofErr w:type="spellEnd"/>
      <w:r w:rsidRPr="00666DF4">
        <w:t xml:space="preserve"> consultation varied by DHB</w:t>
      </w:r>
    </w:p>
    <w:p w:rsidR="00A47CF6" w:rsidRPr="00666DF4" w:rsidRDefault="00A47CF6" w:rsidP="007F674E">
      <w:pPr>
        <w:pStyle w:val="Bullet"/>
      </w:pPr>
      <w:proofErr w:type="gramStart"/>
      <w:r w:rsidRPr="00666DF4">
        <w:t>the</w:t>
      </w:r>
      <w:proofErr w:type="gramEnd"/>
      <w:r w:rsidRPr="00666DF4">
        <w:t xml:space="preserve"> most common reason family/</w:t>
      </w:r>
      <w:proofErr w:type="spellStart"/>
      <w:r w:rsidRPr="00666DF4">
        <w:t>whānau</w:t>
      </w:r>
      <w:proofErr w:type="spellEnd"/>
      <w:r w:rsidRPr="00666DF4">
        <w:t xml:space="preserve"> were not consulted was that service providers deemed consultation not reasonably practicable in the given circumstance.</w:t>
      </w:r>
    </w:p>
    <w:p w:rsidR="00A47CF6" w:rsidRPr="00666DF4" w:rsidRDefault="00A47CF6" w:rsidP="007F674E">
      <w:pPr>
        <w:rPr>
          <w:rFonts w:eastAsia="Century"/>
        </w:rPr>
      </w:pPr>
    </w:p>
    <w:p w:rsidR="00A47CF6" w:rsidRPr="00666DF4" w:rsidRDefault="00A47CF6" w:rsidP="007F674E">
      <w:pPr>
        <w:pStyle w:val="Heading3"/>
        <w:rPr>
          <w:rFonts w:eastAsia="Georgia" w:cs="Georgia"/>
          <w:szCs w:val="28"/>
        </w:rPr>
      </w:pPr>
      <w:r w:rsidRPr="00666DF4">
        <w:t>Purpose of family/</w:t>
      </w:r>
      <w:proofErr w:type="spellStart"/>
      <w:r w:rsidRPr="00666DF4">
        <w:t>whānau</w:t>
      </w:r>
      <w:proofErr w:type="spellEnd"/>
      <w:r w:rsidRPr="00666DF4">
        <w:t xml:space="preserve"> consultation</w:t>
      </w:r>
    </w:p>
    <w:p w:rsidR="00A47CF6" w:rsidRPr="00666DF4" w:rsidRDefault="00A47CF6" w:rsidP="007F674E">
      <w:r w:rsidRPr="00666DF4">
        <w:t>The purpose of family/</w:t>
      </w:r>
      <w:proofErr w:type="spellStart"/>
      <w:r w:rsidRPr="00666DF4">
        <w:t>whānau</w:t>
      </w:r>
      <w:proofErr w:type="spellEnd"/>
      <w:r w:rsidRPr="00666DF4">
        <w:t xml:space="preserve"> consultation is to:</w:t>
      </w:r>
    </w:p>
    <w:p w:rsidR="00A47CF6" w:rsidRPr="00666DF4" w:rsidRDefault="00A47CF6" w:rsidP="007F674E">
      <w:pPr>
        <w:pStyle w:val="Bullet"/>
      </w:pPr>
      <w:r w:rsidRPr="00666DF4">
        <w:t>strengthen family/</w:t>
      </w:r>
      <w:proofErr w:type="spellStart"/>
      <w:r w:rsidRPr="00666DF4">
        <w:t>whānau</w:t>
      </w:r>
      <w:proofErr w:type="spellEnd"/>
      <w:r w:rsidRPr="00666DF4">
        <w:t xml:space="preserve"> involvement in the compulsory assessment and treatment process</w:t>
      </w:r>
    </w:p>
    <w:p w:rsidR="00A47CF6" w:rsidRPr="00666DF4" w:rsidRDefault="00A47CF6" w:rsidP="007F674E">
      <w:pPr>
        <w:pStyle w:val="Bullet"/>
      </w:pPr>
      <w:r w:rsidRPr="00666DF4">
        <w:t>enhance family/</w:t>
      </w:r>
      <w:proofErr w:type="spellStart"/>
      <w:r w:rsidRPr="00666DF4">
        <w:t>whānau</w:t>
      </w:r>
      <w:proofErr w:type="spellEnd"/>
      <w:r w:rsidRPr="00666DF4">
        <w:t xml:space="preserve"> contribution to the person</w:t>
      </w:r>
      <w:r w:rsidR="00BF25EC">
        <w:t>’</w:t>
      </w:r>
      <w:r w:rsidRPr="00666DF4">
        <w:t>s care</w:t>
      </w:r>
    </w:p>
    <w:p w:rsidR="00A47CF6" w:rsidRPr="00666DF4" w:rsidRDefault="00A47CF6" w:rsidP="007F674E">
      <w:pPr>
        <w:pStyle w:val="Bullet"/>
      </w:pPr>
      <w:r w:rsidRPr="00666DF4">
        <w:t>address family/</w:t>
      </w:r>
      <w:proofErr w:type="spellStart"/>
      <w:r w:rsidRPr="00666DF4">
        <w:t>whānau</w:t>
      </w:r>
      <w:proofErr w:type="spellEnd"/>
      <w:r w:rsidRPr="00666DF4">
        <w:t xml:space="preserve"> concerns about information sharing and treatment options</w:t>
      </w:r>
    </w:p>
    <w:p w:rsidR="00A47CF6" w:rsidRPr="00666DF4" w:rsidRDefault="00A47CF6" w:rsidP="007F674E">
      <w:pPr>
        <w:pStyle w:val="Bullet"/>
      </w:pPr>
      <w:proofErr w:type="gramStart"/>
      <w:r w:rsidRPr="00666DF4">
        <w:t>facilitate</w:t>
      </w:r>
      <w:proofErr w:type="gramEnd"/>
      <w:r w:rsidRPr="00666DF4">
        <w:t xml:space="preserve"> ongoing family/</w:t>
      </w:r>
      <w:proofErr w:type="spellStart"/>
      <w:r w:rsidRPr="00666DF4">
        <w:t>whānau</w:t>
      </w:r>
      <w:proofErr w:type="spellEnd"/>
      <w:r w:rsidRPr="00666DF4">
        <w:t xml:space="preserve"> involvement in Mental Health Act processes, such as clinical reviews of treatment or Court hearings (Ministry of Health 2012d).</w:t>
      </w:r>
    </w:p>
    <w:p w:rsidR="007F674E" w:rsidRDefault="007F674E" w:rsidP="007F674E"/>
    <w:p w:rsidR="00A47CF6" w:rsidRPr="00666DF4" w:rsidRDefault="00A47CF6" w:rsidP="007F674E">
      <w:r w:rsidRPr="00666DF4">
        <w:t>In 2006, the Ministry of Health published a review of section 7A of the Mental Health Act, following concerns that mental health services were not adequately carrying out the required consultation (Ministry of Health 2006). The review made a number of recommendations, including:</w:t>
      </w:r>
    </w:p>
    <w:p w:rsidR="00A47CF6" w:rsidRPr="00666DF4" w:rsidRDefault="00A47CF6" w:rsidP="007F674E">
      <w:pPr>
        <w:pStyle w:val="Bullet"/>
      </w:pPr>
      <w:r w:rsidRPr="00666DF4">
        <w:t>revision of the relevant section in the Mental Health Act Guidelines (Ministry of Health 2012d)</w:t>
      </w:r>
    </w:p>
    <w:p w:rsidR="00A47CF6" w:rsidRPr="00666DF4" w:rsidRDefault="00A47CF6" w:rsidP="007F674E">
      <w:pPr>
        <w:pStyle w:val="Bullet"/>
      </w:pPr>
      <w:r w:rsidRPr="00666DF4">
        <w:t>better training and resources for clinicians</w:t>
      </w:r>
    </w:p>
    <w:p w:rsidR="00A47CF6" w:rsidRPr="00666DF4" w:rsidRDefault="00A47CF6" w:rsidP="007F674E">
      <w:pPr>
        <w:pStyle w:val="Bullet"/>
      </w:pPr>
      <w:r w:rsidRPr="00666DF4">
        <w:t>development of information and opportunities to involve family/</w:t>
      </w:r>
      <w:proofErr w:type="spellStart"/>
      <w:r w:rsidRPr="00666DF4">
        <w:t>whānau</w:t>
      </w:r>
      <w:proofErr w:type="spellEnd"/>
      <w:r w:rsidRPr="00666DF4">
        <w:t xml:space="preserve"> in the compulsory assessment and treatment process</w:t>
      </w:r>
    </w:p>
    <w:p w:rsidR="00A47CF6" w:rsidRPr="00666DF4" w:rsidRDefault="00A47CF6" w:rsidP="007F674E">
      <w:pPr>
        <w:pStyle w:val="Bullet"/>
      </w:pPr>
      <w:proofErr w:type="gramStart"/>
      <w:r w:rsidRPr="00666DF4">
        <w:t>the</w:t>
      </w:r>
      <w:proofErr w:type="gramEnd"/>
      <w:r w:rsidRPr="00666DF4">
        <w:t xml:space="preserve"> establishment of nationwide reporting on section 7A consultation.</w:t>
      </w:r>
    </w:p>
    <w:p w:rsidR="00A47CF6" w:rsidRPr="00666DF4" w:rsidRDefault="00A47CF6" w:rsidP="007F674E">
      <w:pPr>
        <w:rPr>
          <w:rFonts w:eastAsia="Century"/>
        </w:rPr>
      </w:pPr>
    </w:p>
    <w:p w:rsidR="00A47CF6" w:rsidRPr="00666DF4" w:rsidRDefault="00A47CF6" w:rsidP="007F674E">
      <w:r w:rsidRPr="00666DF4">
        <w:t xml:space="preserve">This is the third year that national data on the application of section 7A has been included in this report. We have included it in the hope that its publication will emphasise the importance of family/ </w:t>
      </w:r>
      <w:proofErr w:type="spellStart"/>
      <w:r w:rsidRPr="00666DF4">
        <w:t>whānau</w:t>
      </w:r>
      <w:proofErr w:type="spellEnd"/>
      <w:r w:rsidRPr="00666DF4">
        <w:t xml:space="preserve"> consultation, bring greater transparency and accountability to DHB efforts to involve family/ </w:t>
      </w:r>
      <w:proofErr w:type="spellStart"/>
      <w:r w:rsidRPr="00666DF4">
        <w:t>whānau</w:t>
      </w:r>
      <w:proofErr w:type="spellEnd"/>
      <w:r w:rsidRPr="00666DF4">
        <w:t>, and further encourage a culture of family/</w:t>
      </w:r>
      <w:proofErr w:type="spellStart"/>
      <w:r w:rsidRPr="00666DF4">
        <w:t>whānau</w:t>
      </w:r>
      <w:proofErr w:type="spellEnd"/>
      <w:r w:rsidRPr="00666DF4">
        <w:t xml:space="preserve"> involvement in mental health treatment.</w:t>
      </w:r>
    </w:p>
    <w:p w:rsidR="00A47CF6" w:rsidRPr="00666DF4" w:rsidRDefault="00A47CF6" w:rsidP="007F674E">
      <w:pPr>
        <w:rPr>
          <w:rFonts w:eastAsia="Century"/>
        </w:rPr>
      </w:pPr>
    </w:p>
    <w:p w:rsidR="00A47CF6" w:rsidRPr="00666DF4" w:rsidRDefault="00A47CF6" w:rsidP="007F674E">
      <w:pPr>
        <w:pStyle w:val="Heading3"/>
        <w:rPr>
          <w:bCs/>
        </w:rPr>
      </w:pPr>
      <w:r w:rsidRPr="00666DF4">
        <w:t>Definition of family/</w:t>
      </w:r>
      <w:proofErr w:type="spellStart"/>
      <w:r w:rsidRPr="00666DF4">
        <w:t>whānau</w:t>
      </w:r>
      <w:proofErr w:type="spellEnd"/>
    </w:p>
    <w:p w:rsidR="00A47CF6" w:rsidRPr="00666DF4" w:rsidRDefault="00A47CF6" w:rsidP="007F674E">
      <w:r w:rsidRPr="00666DF4">
        <w:t>Definitions and understandings of family/</w:t>
      </w:r>
      <w:proofErr w:type="spellStart"/>
      <w:r w:rsidRPr="00666DF4">
        <w:t>whānau</w:t>
      </w:r>
      <w:proofErr w:type="spellEnd"/>
      <w:r w:rsidRPr="00666DF4">
        <w:t xml:space="preserve"> vary and are informed by different cultural backgrounds and practices.</w:t>
      </w:r>
      <w:r w:rsidR="007F674E">
        <w:t xml:space="preserve"> </w:t>
      </w:r>
      <w:r w:rsidRPr="00666DF4">
        <w:t>Almost always, the most important perspective for defining family/</w:t>
      </w:r>
      <w:proofErr w:type="spellStart"/>
      <w:r w:rsidRPr="00666DF4">
        <w:t>whānau</w:t>
      </w:r>
      <w:proofErr w:type="spellEnd"/>
      <w:r w:rsidRPr="00666DF4">
        <w:t xml:space="preserve"> is that of the person. Therefore, family/</w:t>
      </w:r>
      <w:proofErr w:type="spellStart"/>
      <w:r w:rsidRPr="00666DF4">
        <w:t>whānau</w:t>
      </w:r>
      <w:proofErr w:type="spellEnd"/>
      <w:r w:rsidRPr="00666DF4">
        <w:t xml:space="preserve"> is not limited to blood ties, but may include partners, friends and others in a person</w:t>
      </w:r>
      <w:r w:rsidR="00BF25EC">
        <w:t>’</w:t>
      </w:r>
      <w:r w:rsidRPr="00666DF4">
        <w:t>s wider support network (Ministry of Health 2012d).</w:t>
      </w:r>
    </w:p>
    <w:p w:rsidR="00A47CF6" w:rsidRPr="00666DF4" w:rsidRDefault="00A47CF6" w:rsidP="007F674E">
      <w:pPr>
        <w:rPr>
          <w:rFonts w:eastAsia="Century"/>
        </w:rPr>
      </w:pPr>
    </w:p>
    <w:p w:rsidR="00A47CF6" w:rsidRPr="00666DF4" w:rsidRDefault="00A47CF6" w:rsidP="007F674E">
      <w:pPr>
        <w:pStyle w:val="Heading3"/>
        <w:rPr>
          <w:rFonts w:eastAsia="Georgia" w:cs="Georgia"/>
          <w:szCs w:val="28"/>
        </w:rPr>
      </w:pPr>
      <w:r w:rsidRPr="00666DF4">
        <w:t>District health board reporting of family/</w:t>
      </w:r>
      <w:proofErr w:type="spellStart"/>
      <w:r w:rsidRPr="00666DF4">
        <w:t>whānau</w:t>
      </w:r>
      <w:proofErr w:type="spellEnd"/>
      <w:r w:rsidRPr="00666DF4">
        <w:t xml:space="preserve"> consultation</w:t>
      </w:r>
    </w:p>
    <w:p w:rsidR="00A47CF6" w:rsidRPr="00666DF4" w:rsidRDefault="00A47CF6" w:rsidP="007F674E">
      <w:r w:rsidRPr="00666DF4">
        <w:t>The Ministry requires DHBs to report on family/</w:t>
      </w:r>
      <w:proofErr w:type="spellStart"/>
      <w:r w:rsidRPr="00666DF4">
        <w:t>whānau</w:t>
      </w:r>
      <w:proofErr w:type="spellEnd"/>
      <w:r w:rsidRPr="00666DF4">
        <w:t xml:space="preserve"> consultation ac</w:t>
      </w:r>
      <w:r w:rsidR="00C33BD3">
        <w:t>ross five different assessment/</w:t>
      </w:r>
      <w:r w:rsidRPr="00666DF4">
        <w:t>treatment events in the Mental Health Act process, as follows.</w:t>
      </w:r>
    </w:p>
    <w:p w:rsidR="00A47CF6" w:rsidRDefault="00A47CF6" w:rsidP="007F674E">
      <w:pPr>
        <w:rPr>
          <w:rFonts w:eastAsia="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762"/>
      </w:tblGrid>
      <w:tr w:rsidR="007F674E" w:rsidTr="007F674E">
        <w:trPr>
          <w:cantSplit/>
        </w:trPr>
        <w:tc>
          <w:tcPr>
            <w:tcW w:w="1809" w:type="dxa"/>
            <w:vMerge w:val="restart"/>
          </w:tcPr>
          <w:p w:rsidR="007F674E" w:rsidRDefault="007F674E" w:rsidP="007F674E">
            <w:pPr>
              <w:rPr>
                <w:rFonts w:eastAsia="Georgia"/>
              </w:rPr>
            </w:pPr>
            <w:r>
              <w:rPr>
                <w:noProof/>
                <w:lang w:eastAsia="en-NZ"/>
              </w:rPr>
              <w:drawing>
                <wp:inline distT="0" distB="0" distL="0" distR="0" wp14:anchorId="0F26B4B9" wp14:editId="3EF1868E">
                  <wp:extent cx="901476" cy="469669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blip>
                          <a:stretch>
                            <a:fillRect/>
                          </a:stretch>
                        </pic:blipFill>
                        <pic:spPr>
                          <a:xfrm>
                            <a:off x="0" y="0"/>
                            <a:ext cx="901444" cy="4696526"/>
                          </a:xfrm>
                          <a:prstGeom prst="rect">
                            <a:avLst/>
                          </a:prstGeom>
                        </pic:spPr>
                      </pic:pic>
                    </a:graphicData>
                  </a:graphic>
                </wp:inline>
              </w:drawing>
            </w:r>
          </w:p>
        </w:tc>
        <w:tc>
          <w:tcPr>
            <w:tcW w:w="7762" w:type="dxa"/>
          </w:tcPr>
          <w:p w:rsidR="00C33BD3" w:rsidRPr="00BF25EC" w:rsidRDefault="00C33BD3" w:rsidP="00C33BD3">
            <w:pPr>
              <w:pStyle w:val="Heading4"/>
              <w:outlineLvl w:val="3"/>
              <w:rPr>
                <w:bCs/>
              </w:rPr>
            </w:pPr>
            <w:r w:rsidRPr="00BF25EC">
              <w:t>Preliminary assessment</w:t>
            </w:r>
          </w:p>
          <w:p w:rsidR="007F674E" w:rsidRDefault="00C33BD3" w:rsidP="00C33BD3">
            <w:pPr>
              <w:rPr>
                <w:rFonts w:eastAsia="Georgia"/>
              </w:rPr>
            </w:pPr>
            <w:r w:rsidRPr="00666DF4">
              <w:t>The clinician makes a preliminary assessment, including as to whether the person should undergo the initial five-day period of assessment under s 11.</w:t>
            </w:r>
          </w:p>
        </w:tc>
      </w:tr>
      <w:tr w:rsidR="007F674E" w:rsidTr="007F674E">
        <w:trPr>
          <w:cantSplit/>
        </w:trPr>
        <w:tc>
          <w:tcPr>
            <w:tcW w:w="1809" w:type="dxa"/>
            <w:vMerge/>
          </w:tcPr>
          <w:p w:rsidR="007F674E" w:rsidRDefault="007F674E" w:rsidP="007F674E">
            <w:pPr>
              <w:rPr>
                <w:rFonts w:eastAsia="Georgia"/>
              </w:rPr>
            </w:pPr>
          </w:p>
        </w:tc>
        <w:tc>
          <w:tcPr>
            <w:tcW w:w="7762" w:type="dxa"/>
          </w:tcPr>
          <w:p w:rsidR="00C33BD3" w:rsidRPr="00C33BD3" w:rsidRDefault="00C33BD3" w:rsidP="00C33BD3">
            <w:pPr>
              <w:pStyle w:val="Heading4"/>
              <w:spacing w:before="240"/>
              <w:outlineLvl w:val="3"/>
            </w:pPr>
            <w:r w:rsidRPr="00C33BD3">
              <w:t>Further assessment</w:t>
            </w:r>
          </w:p>
          <w:p w:rsidR="007F674E" w:rsidRDefault="00C33BD3" w:rsidP="00C33BD3">
            <w:pPr>
              <w:rPr>
                <w:rFonts w:eastAsia="Georgia"/>
              </w:rPr>
            </w:pPr>
            <w:r w:rsidRPr="00666DF4">
              <w:t>After an initial assessment period of five days, the clinician decides whether the person should undergo a further two-week period of assessment under s</w:t>
            </w:r>
            <w:r>
              <w:t> </w:t>
            </w:r>
            <w:r w:rsidRPr="00666DF4">
              <w:t>13.</w:t>
            </w:r>
          </w:p>
        </w:tc>
      </w:tr>
      <w:tr w:rsidR="007F674E" w:rsidTr="007F674E">
        <w:trPr>
          <w:cantSplit/>
        </w:trPr>
        <w:tc>
          <w:tcPr>
            <w:tcW w:w="1809" w:type="dxa"/>
            <w:vMerge/>
          </w:tcPr>
          <w:p w:rsidR="007F674E" w:rsidRDefault="007F674E" w:rsidP="007F674E">
            <w:pPr>
              <w:rPr>
                <w:rFonts w:eastAsia="Georgia"/>
              </w:rPr>
            </w:pPr>
          </w:p>
        </w:tc>
        <w:tc>
          <w:tcPr>
            <w:tcW w:w="7762" w:type="dxa"/>
          </w:tcPr>
          <w:p w:rsidR="00C33BD3" w:rsidRPr="00BF25EC" w:rsidRDefault="00C33BD3" w:rsidP="00C33BD3">
            <w:pPr>
              <w:pStyle w:val="Heading4"/>
              <w:spacing w:before="240"/>
              <w:outlineLvl w:val="3"/>
              <w:rPr>
                <w:bCs/>
              </w:rPr>
            </w:pPr>
            <w:r w:rsidRPr="00BF25EC">
              <w:t>Final assessment</w:t>
            </w:r>
          </w:p>
          <w:p w:rsidR="007F674E" w:rsidRDefault="00C33BD3" w:rsidP="00C33BD3">
            <w:pPr>
              <w:rPr>
                <w:rFonts w:eastAsia="Georgia"/>
              </w:rPr>
            </w:pPr>
            <w:r w:rsidRPr="00666DF4">
              <w:t>After the second period of assessment, the clinician decides whether the</w:t>
            </w:r>
            <w:r>
              <w:t xml:space="preserve"> </w:t>
            </w:r>
            <w:r w:rsidRPr="00666DF4">
              <w:t>person should be placed on either an inpatient treatment order or a community treatment order.</w:t>
            </w:r>
          </w:p>
        </w:tc>
      </w:tr>
      <w:tr w:rsidR="007F674E" w:rsidTr="007F674E">
        <w:trPr>
          <w:cantSplit/>
        </w:trPr>
        <w:tc>
          <w:tcPr>
            <w:tcW w:w="1809" w:type="dxa"/>
            <w:vMerge/>
          </w:tcPr>
          <w:p w:rsidR="007F674E" w:rsidRDefault="007F674E" w:rsidP="007F674E">
            <w:pPr>
              <w:rPr>
                <w:rFonts w:eastAsia="Georgia"/>
              </w:rPr>
            </w:pPr>
          </w:p>
        </w:tc>
        <w:tc>
          <w:tcPr>
            <w:tcW w:w="7762" w:type="dxa"/>
          </w:tcPr>
          <w:p w:rsidR="00C33BD3" w:rsidRPr="00BF25EC" w:rsidRDefault="00C33BD3" w:rsidP="00C33BD3">
            <w:pPr>
              <w:pStyle w:val="Heading4"/>
              <w:spacing w:before="240"/>
              <w:outlineLvl w:val="3"/>
              <w:rPr>
                <w:bCs/>
              </w:rPr>
            </w:pPr>
            <w:r w:rsidRPr="00BF25EC">
              <w:t>Review</w:t>
            </w:r>
          </w:p>
          <w:p w:rsidR="007F674E" w:rsidRDefault="00C33BD3" w:rsidP="00C33BD3">
            <w:pPr>
              <w:rPr>
                <w:rFonts w:eastAsia="Georgia"/>
              </w:rPr>
            </w:pPr>
            <w:r w:rsidRPr="00666DF4">
              <w:t>If a person has been placed on a compulsory treatment order, the clinician conducts a review no</w:t>
            </w:r>
            <w:r w:rsidRPr="00C33BD3">
              <w:t xml:space="preserve"> </w:t>
            </w:r>
            <w:r w:rsidRPr="00666DF4">
              <w:t>later than three months after it was put in place to see whether it should remain. Thereafter, the clinician reviews the order at intervals no longer than six months.</w:t>
            </w:r>
          </w:p>
        </w:tc>
      </w:tr>
      <w:tr w:rsidR="007F674E" w:rsidTr="007F674E">
        <w:trPr>
          <w:cantSplit/>
        </w:trPr>
        <w:tc>
          <w:tcPr>
            <w:tcW w:w="1809" w:type="dxa"/>
            <w:vMerge/>
          </w:tcPr>
          <w:p w:rsidR="007F674E" w:rsidRDefault="007F674E" w:rsidP="007F674E">
            <w:pPr>
              <w:rPr>
                <w:rFonts w:eastAsia="Georgia"/>
              </w:rPr>
            </w:pPr>
          </w:p>
        </w:tc>
        <w:tc>
          <w:tcPr>
            <w:tcW w:w="7762" w:type="dxa"/>
          </w:tcPr>
          <w:p w:rsidR="00C33BD3" w:rsidRPr="00BF25EC" w:rsidRDefault="00C33BD3" w:rsidP="00C33BD3">
            <w:pPr>
              <w:pStyle w:val="Heading4"/>
              <w:spacing w:before="240"/>
              <w:outlineLvl w:val="3"/>
              <w:rPr>
                <w:bCs/>
              </w:rPr>
            </w:pPr>
            <w:r w:rsidRPr="00BF25EC">
              <w:t>Release</w:t>
            </w:r>
          </w:p>
          <w:p w:rsidR="007F674E" w:rsidRPr="00C33BD3" w:rsidRDefault="00C33BD3" w:rsidP="007F674E">
            <w:pPr>
              <w:rPr>
                <w:sz w:val="18"/>
                <w:szCs w:val="18"/>
              </w:rPr>
            </w:pPr>
            <w:r w:rsidRPr="00666DF4">
              <w:t>If at any time while the compulsory treatment order is in place the clinician considers that the person no longer requires compulsory treatment, they can direct release with immediate effect</w:t>
            </w:r>
            <w:r w:rsidRPr="00666DF4">
              <w:rPr>
                <w:sz w:val="18"/>
              </w:rPr>
              <w:t>.</w:t>
            </w:r>
          </w:p>
        </w:tc>
      </w:tr>
    </w:tbl>
    <w:p w:rsidR="007F674E" w:rsidRPr="00666DF4" w:rsidRDefault="007F674E" w:rsidP="00C33BD3">
      <w:pPr>
        <w:rPr>
          <w:rFonts w:eastAsia="Georgia"/>
        </w:rPr>
      </w:pPr>
    </w:p>
    <w:p w:rsidR="00A47CF6" w:rsidRPr="00666DF4" w:rsidRDefault="00C33BD3" w:rsidP="00C33BD3">
      <w:r>
        <w:t>A</w:t>
      </w:r>
      <w:r w:rsidR="00A47CF6" w:rsidRPr="00666DF4">
        <w:t>cross all DHBs in 2016, the highest rate of family/</w:t>
      </w:r>
      <w:proofErr w:type="spellStart"/>
      <w:r w:rsidR="00A47CF6" w:rsidRPr="00666DF4">
        <w:t>whānau</w:t>
      </w:r>
      <w:proofErr w:type="spellEnd"/>
      <w:r w:rsidR="00A47CF6" w:rsidRPr="00666DF4">
        <w:t xml:space="preserve"> </w:t>
      </w:r>
      <w:r w:rsidR="00BC380C" w:rsidRPr="00666DF4">
        <w:t>consultation</w:t>
      </w:r>
      <w:r w:rsidR="00A47CF6" w:rsidRPr="00666DF4">
        <w:t xml:space="preserve"> occurred during the clinician</w:t>
      </w:r>
      <w:r w:rsidR="00BF25EC">
        <w:t>’</w:t>
      </w:r>
      <w:r w:rsidR="00A47CF6" w:rsidRPr="00666DF4">
        <w:t>s initial assessment (67 percent). Figure 15 shows the percentage of cases in which family/</w:t>
      </w:r>
      <w:proofErr w:type="spellStart"/>
      <w:r w:rsidR="00A47CF6" w:rsidRPr="00666DF4">
        <w:t>whānau</w:t>
      </w:r>
      <w:proofErr w:type="spellEnd"/>
      <w:r w:rsidR="00A47CF6" w:rsidRPr="00666DF4">
        <w:t xml:space="preserve"> consultation occurred at this and other points in the process in 2016.</w:t>
      </w:r>
    </w:p>
    <w:p w:rsidR="00A47CF6" w:rsidRPr="00666DF4" w:rsidRDefault="00A47CF6" w:rsidP="00C33BD3"/>
    <w:p w:rsidR="00A47CF6" w:rsidRPr="00666DF4" w:rsidRDefault="00A47CF6" w:rsidP="00C33BD3">
      <w:pPr>
        <w:pStyle w:val="Figure"/>
        <w:rPr>
          <w:rFonts w:eastAsia="Georgia" w:cs="Georgia"/>
          <w:szCs w:val="19"/>
        </w:rPr>
      </w:pPr>
      <w:bookmarkStart w:id="119" w:name="Figure_15:_Average_national_percentage_o"/>
      <w:bookmarkStart w:id="120" w:name="Figure_16:_Average_percentage_of_family/"/>
      <w:bookmarkStart w:id="121" w:name="_bookmark25"/>
      <w:bookmarkStart w:id="122" w:name="_Toc508707339"/>
      <w:bookmarkEnd w:id="119"/>
      <w:bookmarkEnd w:id="120"/>
      <w:bookmarkEnd w:id="121"/>
      <w:r w:rsidRPr="00666DF4">
        <w:t>Figure 15: Average national percentage of family/</w:t>
      </w:r>
      <w:proofErr w:type="spellStart"/>
      <w:r w:rsidRPr="00666DF4">
        <w:t>whānau</w:t>
      </w:r>
      <w:proofErr w:type="spellEnd"/>
      <w:r w:rsidRPr="00666DF4">
        <w:t xml:space="preserve"> consultation for particular assessment/ treatment events, 1 January to 31 December 2016</w:t>
      </w:r>
      <w:bookmarkEnd w:id="122"/>
    </w:p>
    <w:p w:rsidR="00A47CF6" w:rsidRPr="00666DF4" w:rsidRDefault="00C33BD3" w:rsidP="00C33BD3">
      <w:pPr>
        <w:rPr>
          <w:rFonts w:eastAsia="Georgia"/>
        </w:rPr>
      </w:pPr>
      <w:r>
        <w:rPr>
          <w:noProof/>
          <w:lang w:eastAsia="en-NZ"/>
        </w:rPr>
        <w:drawing>
          <wp:inline distT="0" distB="0" distL="0" distR="0" wp14:anchorId="55506059" wp14:editId="48E06319">
            <wp:extent cx="4671752" cy="2439233"/>
            <wp:effectExtent l="0" t="0" r="0" b="0"/>
            <wp:docPr id="73" name="Picture 73" title="Figure 15: Average national percentage of family/whānau consultation for particular assessment/ treatment events,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blip>
                    <a:stretch>
                      <a:fillRect/>
                    </a:stretch>
                  </pic:blipFill>
                  <pic:spPr>
                    <a:xfrm>
                      <a:off x="0" y="0"/>
                      <a:ext cx="4672040" cy="2439383"/>
                    </a:xfrm>
                    <a:prstGeom prst="rect">
                      <a:avLst/>
                    </a:prstGeom>
                  </pic:spPr>
                </pic:pic>
              </a:graphicData>
            </a:graphic>
          </wp:inline>
        </w:drawing>
      </w:r>
    </w:p>
    <w:p w:rsidR="00C33BD3" w:rsidRDefault="00A47CF6" w:rsidP="00C33BD3">
      <w:pPr>
        <w:pStyle w:val="Note"/>
      </w:pPr>
      <w:r w:rsidRPr="00666DF4">
        <w:t xml:space="preserve">Note: </w:t>
      </w:r>
      <w:proofErr w:type="spellStart"/>
      <w:r w:rsidRPr="00666DF4">
        <w:t>Waitemata</w:t>
      </w:r>
      <w:proofErr w:type="spellEnd"/>
      <w:r w:rsidRPr="00666DF4">
        <w:t xml:space="preserve"> DHB does not record section 7A family/</w:t>
      </w:r>
      <w:proofErr w:type="spellStart"/>
      <w:r w:rsidRPr="00666DF4">
        <w:t>whānau</w:t>
      </w:r>
      <w:proofErr w:type="spellEnd"/>
      <w:r w:rsidRPr="00666DF4">
        <w:t xml:space="preserve"> consultation data.</w:t>
      </w:r>
    </w:p>
    <w:p w:rsidR="00A47CF6" w:rsidRPr="00666DF4" w:rsidRDefault="00A47CF6" w:rsidP="00C33BD3">
      <w:pPr>
        <w:pStyle w:val="Source"/>
        <w:rPr>
          <w:rFonts w:eastAsia="Arial" w:cs="Arial"/>
          <w:szCs w:val="19"/>
        </w:rPr>
      </w:pPr>
      <w:r w:rsidRPr="00666DF4">
        <w:t>Source: Office of the Director of Mental Health records</w:t>
      </w:r>
    </w:p>
    <w:p w:rsidR="00C33BD3" w:rsidRDefault="00C33BD3" w:rsidP="00C33BD3"/>
    <w:p w:rsidR="00A47CF6" w:rsidRPr="00666DF4" w:rsidRDefault="00A47CF6" w:rsidP="00C33BD3">
      <w:r w:rsidRPr="00666DF4">
        <w:t>Nationally during 2016, the average percentage of cases in which family/</w:t>
      </w:r>
      <w:proofErr w:type="spellStart"/>
      <w:r w:rsidRPr="00666DF4">
        <w:t>whānau</w:t>
      </w:r>
      <w:proofErr w:type="spellEnd"/>
      <w:r w:rsidRPr="00666DF4">
        <w:t xml:space="preserve"> consultation occurred across all assessment/treatment events was 61 percent (see Figure 16). </w:t>
      </w:r>
      <w:proofErr w:type="spellStart"/>
      <w:r w:rsidRPr="00666DF4">
        <w:t>Wairarapa</w:t>
      </w:r>
      <w:proofErr w:type="spellEnd"/>
      <w:r w:rsidRPr="00666DF4">
        <w:t xml:space="preserve"> and </w:t>
      </w:r>
      <w:proofErr w:type="spellStart"/>
      <w:r w:rsidRPr="00666DF4">
        <w:t>Whanganui</w:t>
      </w:r>
      <w:proofErr w:type="spellEnd"/>
      <w:r w:rsidRPr="00666DF4">
        <w:t xml:space="preserve"> DHBs both had the highest rate of consultation, at 86 percent, and Hawke</w:t>
      </w:r>
      <w:r w:rsidR="00BF25EC">
        <w:t>’</w:t>
      </w:r>
      <w:r w:rsidRPr="00666DF4">
        <w:t>s Bay had the lowest, at 42 percent.</w:t>
      </w:r>
    </w:p>
    <w:p w:rsidR="00A47CF6" w:rsidRPr="00666DF4" w:rsidRDefault="00A47CF6" w:rsidP="00C33BD3">
      <w:pPr>
        <w:rPr>
          <w:rFonts w:eastAsia="Century"/>
        </w:rPr>
      </w:pPr>
    </w:p>
    <w:p w:rsidR="00A47CF6" w:rsidRPr="00666DF4" w:rsidRDefault="00A47CF6" w:rsidP="00C33BD3">
      <w:pPr>
        <w:pStyle w:val="Figure"/>
        <w:rPr>
          <w:rFonts w:eastAsia="Georgia" w:cs="Georgia"/>
          <w:szCs w:val="19"/>
        </w:rPr>
      </w:pPr>
      <w:bookmarkStart w:id="123" w:name="_Toc508707340"/>
      <w:r w:rsidRPr="00666DF4">
        <w:t>Figure 16: Average percentage of family/</w:t>
      </w:r>
      <w:proofErr w:type="spellStart"/>
      <w:r w:rsidRPr="00666DF4">
        <w:t>whānau</w:t>
      </w:r>
      <w:proofErr w:type="spellEnd"/>
      <w:r w:rsidRPr="00666DF4">
        <w:t xml:space="preserve"> consultation across all assessment/treatment events, by DHB, 1 January to 31 December 2016</w:t>
      </w:r>
      <w:bookmarkEnd w:id="123"/>
    </w:p>
    <w:p w:rsidR="00A47CF6" w:rsidRPr="00666DF4" w:rsidRDefault="00C33BD3" w:rsidP="00C33BD3">
      <w:pPr>
        <w:rPr>
          <w:rFonts w:eastAsia="Georgia"/>
        </w:rPr>
      </w:pPr>
      <w:r>
        <w:rPr>
          <w:noProof/>
          <w:lang w:eastAsia="en-NZ"/>
        </w:rPr>
        <w:drawing>
          <wp:inline distT="0" distB="0" distL="0" distR="0" wp14:anchorId="0BB23706" wp14:editId="4126423E">
            <wp:extent cx="5469774" cy="2827803"/>
            <wp:effectExtent l="0" t="0" r="0" b="0"/>
            <wp:docPr id="74" name="Picture 74" title="Figure 16: Average percentage of family/whānau consultation across all assessment/treatment events,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blip>
                    <a:stretch>
                      <a:fillRect/>
                    </a:stretch>
                  </pic:blipFill>
                  <pic:spPr>
                    <a:xfrm>
                      <a:off x="0" y="0"/>
                      <a:ext cx="5476422" cy="2831240"/>
                    </a:xfrm>
                    <a:prstGeom prst="rect">
                      <a:avLst/>
                    </a:prstGeom>
                  </pic:spPr>
                </pic:pic>
              </a:graphicData>
            </a:graphic>
          </wp:inline>
        </w:drawing>
      </w:r>
    </w:p>
    <w:p w:rsidR="00C33BD3" w:rsidRDefault="00A47CF6" w:rsidP="00C33BD3">
      <w:pPr>
        <w:pStyle w:val="Note"/>
        <w:rPr>
          <w:b/>
          <w:color w:val="007AAD"/>
        </w:rPr>
      </w:pPr>
      <w:r w:rsidRPr="00666DF4">
        <w:t xml:space="preserve">Note: </w:t>
      </w:r>
      <w:proofErr w:type="spellStart"/>
      <w:r w:rsidRPr="00666DF4">
        <w:t>Waitemata</w:t>
      </w:r>
      <w:proofErr w:type="spellEnd"/>
      <w:r w:rsidRPr="00666DF4">
        <w:t xml:space="preserve"> DHB does not record section 7A family/</w:t>
      </w:r>
      <w:proofErr w:type="spellStart"/>
      <w:r w:rsidRPr="00666DF4">
        <w:t>whānau</w:t>
      </w:r>
      <w:proofErr w:type="spellEnd"/>
      <w:r w:rsidRPr="00666DF4">
        <w:t xml:space="preserve"> consultation data</w:t>
      </w:r>
      <w:r w:rsidRPr="00666DF4">
        <w:rPr>
          <w:b/>
          <w:color w:val="007AAD"/>
        </w:rPr>
        <w:t>.</w:t>
      </w:r>
    </w:p>
    <w:p w:rsidR="00A47CF6" w:rsidRPr="00666DF4" w:rsidRDefault="00A47CF6" w:rsidP="00C33BD3">
      <w:pPr>
        <w:pStyle w:val="Source"/>
        <w:rPr>
          <w:rFonts w:eastAsia="Arial" w:cs="Arial"/>
          <w:szCs w:val="19"/>
        </w:rPr>
      </w:pPr>
      <w:r w:rsidRPr="00666DF4">
        <w:t>Source: Office of the Director of Mental Health records</w:t>
      </w:r>
    </w:p>
    <w:p w:rsidR="00A47CF6" w:rsidRPr="00666DF4" w:rsidRDefault="00A47CF6" w:rsidP="00C33BD3">
      <w:pPr>
        <w:rPr>
          <w:rFonts w:eastAsia="Arial"/>
        </w:rPr>
      </w:pPr>
    </w:p>
    <w:p w:rsidR="00A47CF6" w:rsidRPr="00666DF4" w:rsidRDefault="00A47CF6" w:rsidP="00C33BD3">
      <w:pPr>
        <w:pStyle w:val="Heading3"/>
        <w:rPr>
          <w:bCs/>
        </w:rPr>
      </w:pPr>
      <w:r w:rsidRPr="00666DF4">
        <w:t>Reasons for not consulting family/</w:t>
      </w:r>
      <w:proofErr w:type="spellStart"/>
      <w:r w:rsidRPr="00666DF4">
        <w:t>whānau</w:t>
      </w:r>
      <w:proofErr w:type="spellEnd"/>
    </w:p>
    <w:p w:rsidR="00A47CF6" w:rsidRPr="00666DF4" w:rsidRDefault="00A47CF6" w:rsidP="00C33BD3">
      <w:r w:rsidRPr="00666DF4">
        <w:t>During 2016, the most common reason DHBs gave for not arranging family/</w:t>
      </w:r>
      <w:proofErr w:type="spellStart"/>
      <w:r w:rsidRPr="00666DF4">
        <w:t>whānau</w:t>
      </w:r>
      <w:proofErr w:type="spellEnd"/>
      <w:r w:rsidRPr="00666DF4">
        <w:t xml:space="preserve"> consultation was that it was not reasonably practicable (60 percent). This was followed by </w:t>
      </w:r>
      <w:r w:rsidR="00BF25EC">
        <w:t>‘</w:t>
      </w:r>
      <w:r w:rsidRPr="00666DF4">
        <w:t>don</w:t>
      </w:r>
      <w:r w:rsidR="00BF25EC">
        <w:t>’</w:t>
      </w:r>
      <w:r w:rsidRPr="00666DF4">
        <w:t>t know</w:t>
      </w:r>
      <w:r w:rsidR="00BF25EC">
        <w:t>’</w:t>
      </w:r>
      <w:r w:rsidRPr="00666DF4">
        <w:t xml:space="preserve"> (28 percent), </w:t>
      </w:r>
      <w:r w:rsidR="00BF25EC">
        <w:t>‘</w:t>
      </w:r>
      <w:r w:rsidRPr="00666DF4">
        <w:t>not in the best interests of the person</w:t>
      </w:r>
      <w:r w:rsidR="00BF25EC">
        <w:t>’</w:t>
      </w:r>
      <w:r w:rsidRPr="00666DF4">
        <w:t xml:space="preserve"> (6 percent) and </w:t>
      </w:r>
      <w:r w:rsidR="00BF25EC">
        <w:t>‘</w:t>
      </w:r>
      <w:r w:rsidRPr="00666DF4">
        <w:t>no for another reason</w:t>
      </w:r>
      <w:r w:rsidR="00BF25EC">
        <w:t>’</w:t>
      </w:r>
      <w:r w:rsidRPr="00666DF4">
        <w:t xml:space="preserve"> (6 percent) (see Figure 17).</w:t>
      </w:r>
    </w:p>
    <w:p w:rsidR="00A47CF6" w:rsidRPr="00666DF4" w:rsidRDefault="00A47CF6" w:rsidP="00C33BD3"/>
    <w:p w:rsidR="00A47CF6" w:rsidRDefault="00A47CF6" w:rsidP="00C33BD3">
      <w:pPr>
        <w:pStyle w:val="Figure"/>
      </w:pPr>
      <w:bookmarkStart w:id="124" w:name="Figure_17:_Reasons_for_not_consulting_fa"/>
      <w:bookmarkStart w:id="125" w:name="Seclusion"/>
      <w:bookmarkStart w:id="126" w:name="_bookmark26"/>
      <w:bookmarkStart w:id="127" w:name="_Toc508707341"/>
      <w:bookmarkEnd w:id="124"/>
      <w:bookmarkEnd w:id="125"/>
      <w:bookmarkEnd w:id="126"/>
      <w:r w:rsidRPr="00666DF4">
        <w:t>Figure 17: Reasons for not consulting family/</w:t>
      </w:r>
      <w:proofErr w:type="spellStart"/>
      <w:r w:rsidRPr="00666DF4">
        <w:t>whānau</w:t>
      </w:r>
      <w:proofErr w:type="spellEnd"/>
      <w:r w:rsidRPr="00666DF4">
        <w:t>, 1 January to 31 December 2016</w:t>
      </w:r>
      <w:bookmarkEnd w:id="127"/>
    </w:p>
    <w:p w:rsidR="00C33BD3" w:rsidRPr="00C33BD3" w:rsidRDefault="00C33BD3" w:rsidP="00C33BD3">
      <w:pPr>
        <w:rPr>
          <w:rFonts w:eastAsia="Georgia"/>
        </w:rPr>
      </w:pPr>
      <w:r>
        <w:rPr>
          <w:noProof/>
          <w:lang w:eastAsia="en-NZ"/>
        </w:rPr>
        <w:drawing>
          <wp:inline distT="0" distB="0" distL="0" distR="0" wp14:anchorId="137BD0E8" wp14:editId="6C96269C">
            <wp:extent cx="2518757" cy="2135333"/>
            <wp:effectExtent l="0" t="0" r="0" b="0"/>
            <wp:docPr id="75" name="Picture 75" title="Figure 17: Reasons for not consulting family/whānau,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grayscl/>
                    </a:blip>
                    <a:srcRect l="3836"/>
                    <a:stretch/>
                  </pic:blipFill>
                  <pic:spPr bwMode="auto">
                    <a:xfrm>
                      <a:off x="0" y="0"/>
                      <a:ext cx="2517011" cy="2133853"/>
                    </a:xfrm>
                    <a:prstGeom prst="rect">
                      <a:avLst/>
                    </a:prstGeom>
                    <a:ln>
                      <a:noFill/>
                    </a:ln>
                    <a:extLst>
                      <a:ext uri="{53640926-AAD7-44D8-BBD7-CCE9431645EC}">
                        <a14:shadowObscured xmlns:a14="http://schemas.microsoft.com/office/drawing/2010/main"/>
                      </a:ext>
                    </a:extLst>
                  </pic:spPr>
                </pic:pic>
              </a:graphicData>
            </a:graphic>
          </wp:inline>
        </w:drawing>
      </w:r>
    </w:p>
    <w:p w:rsidR="00C33BD3" w:rsidRDefault="00A47CF6" w:rsidP="00C33BD3">
      <w:pPr>
        <w:pStyle w:val="Note"/>
      </w:pPr>
      <w:r w:rsidRPr="00666DF4">
        <w:t xml:space="preserve">Note: </w:t>
      </w:r>
      <w:proofErr w:type="spellStart"/>
      <w:r w:rsidRPr="00666DF4">
        <w:t>Waitemata</w:t>
      </w:r>
      <w:proofErr w:type="spellEnd"/>
      <w:r w:rsidRPr="00666DF4">
        <w:t xml:space="preserve"> DHB does not record section 7A family/</w:t>
      </w:r>
      <w:proofErr w:type="spellStart"/>
      <w:r w:rsidRPr="00666DF4">
        <w:t>whānau</w:t>
      </w:r>
      <w:proofErr w:type="spellEnd"/>
      <w:r w:rsidRPr="00666DF4">
        <w:t xml:space="preserve"> consultation data.</w:t>
      </w:r>
    </w:p>
    <w:p w:rsidR="00A47CF6" w:rsidRPr="00666DF4" w:rsidRDefault="00A47CF6" w:rsidP="00C33BD3">
      <w:pPr>
        <w:pStyle w:val="Source"/>
        <w:rPr>
          <w:rFonts w:eastAsia="Arial" w:cs="Arial"/>
          <w:szCs w:val="19"/>
        </w:rPr>
      </w:pPr>
      <w:r w:rsidRPr="00666DF4">
        <w:t>Source: Office of the Director of Mental Health records</w:t>
      </w:r>
    </w:p>
    <w:p w:rsidR="00A47CF6" w:rsidRPr="00666DF4" w:rsidRDefault="00A47CF6" w:rsidP="00C33BD3">
      <w:pPr>
        <w:rPr>
          <w:rFonts w:eastAsia="Arial"/>
        </w:rPr>
      </w:pPr>
    </w:p>
    <w:p w:rsidR="00A47CF6" w:rsidRPr="00666DF4" w:rsidRDefault="00A47CF6" w:rsidP="00C33BD3">
      <w:pPr>
        <w:pStyle w:val="Heading2"/>
        <w:rPr>
          <w:bCs/>
        </w:rPr>
      </w:pPr>
      <w:bookmarkStart w:id="128" w:name="_Toc508707283"/>
      <w:r w:rsidRPr="00666DF4">
        <w:t>Seclusion</w:t>
      </w:r>
      <w:bookmarkEnd w:id="128"/>
    </w:p>
    <w:p w:rsidR="00A47CF6" w:rsidRPr="00666DF4" w:rsidRDefault="00A47CF6" w:rsidP="00C33BD3">
      <w:r w:rsidRPr="00666DF4">
        <w:t xml:space="preserve">Standards New Zealand (2008a) defines seclusion as a situation </w:t>
      </w:r>
      <w:r w:rsidR="00BF25EC">
        <w:t>‘</w:t>
      </w:r>
      <w:r w:rsidRPr="00666DF4">
        <w:t>where a consumer is placed alone in</w:t>
      </w:r>
      <w:r w:rsidR="00BF25EC">
        <w:t xml:space="preserve"> </w:t>
      </w:r>
      <w:r w:rsidRPr="00666DF4">
        <w:t>a room or area, at any time and for any duration, from which they cannot freely exit</w:t>
      </w:r>
      <w:r w:rsidR="00BF25EC">
        <w:t>’</w:t>
      </w:r>
      <w:r w:rsidRPr="00666DF4">
        <w:t>. Seclusion should be an uncommon event, and services should use it only when there is an imminent risk of danger to the individual or others and no other safe and effective alternative is possible.</w:t>
      </w:r>
    </w:p>
    <w:p w:rsidR="00A47CF6" w:rsidRPr="00666DF4" w:rsidRDefault="00A47CF6" w:rsidP="00C33BD3">
      <w:pPr>
        <w:rPr>
          <w:rFonts w:eastAsia="Century"/>
        </w:rPr>
      </w:pPr>
    </w:p>
    <w:p w:rsidR="00A47CF6" w:rsidRPr="00666DF4" w:rsidRDefault="00A47CF6" w:rsidP="00C33BD3">
      <w:r w:rsidRPr="00666DF4">
        <w:t>In summary, in adult inpatient services</w:t>
      </w:r>
      <w:r w:rsidR="00C33BD3">
        <w:rPr>
          <w:rStyle w:val="FootnoteReference"/>
        </w:rPr>
        <w:footnoteReference w:id="20"/>
      </w:r>
      <w:r w:rsidR="00C33BD3">
        <w:t xml:space="preserve"> </w:t>
      </w:r>
      <w:r w:rsidRPr="00666DF4">
        <w:t>in 2016:</w:t>
      </w:r>
    </w:p>
    <w:p w:rsidR="00A47CF6" w:rsidRPr="00666DF4" w:rsidRDefault="00A47CF6" w:rsidP="00C33BD3">
      <w:pPr>
        <w:pStyle w:val="Bullet"/>
      </w:pPr>
      <w:r w:rsidRPr="00666DF4">
        <w:t>the total number of people who experienced seclusion while receiving mental health treatment in an adult inpatient service had decreased by 25 percent since 2009</w:t>
      </w:r>
    </w:p>
    <w:p w:rsidR="00A47CF6" w:rsidRPr="00666DF4" w:rsidRDefault="00A47CF6" w:rsidP="00C33BD3">
      <w:pPr>
        <w:pStyle w:val="Bullet"/>
      </w:pPr>
      <w:r w:rsidRPr="00666DF4">
        <w:t>the total number of hours spent in seclusion had decreased by 62 percent since 2009</w:t>
      </w:r>
    </w:p>
    <w:p w:rsidR="00A47CF6" w:rsidRPr="00666DF4" w:rsidRDefault="00A47CF6" w:rsidP="00C33BD3">
      <w:pPr>
        <w:pStyle w:val="Bullet"/>
      </w:pPr>
      <w:r w:rsidRPr="00666DF4">
        <w:t>the use of seclusion had steadied in the context of a seven-year decline</w:t>
      </w:r>
    </w:p>
    <w:p w:rsidR="00A47CF6" w:rsidRPr="00666DF4" w:rsidRDefault="00A47CF6" w:rsidP="00C33BD3">
      <w:pPr>
        <w:pStyle w:val="Bullet"/>
      </w:pPr>
      <w:r w:rsidRPr="00666DF4">
        <w:t>males were twice as likely to have been secluded as females</w:t>
      </w:r>
    </w:p>
    <w:p w:rsidR="00A47CF6" w:rsidRPr="00666DF4" w:rsidRDefault="00A47CF6" w:rsidP="00C33BD3">
      <w:pPr>
        <w:pStyle w:val="Bullet"/>
      </w:pPr>
      <w:r w:rsidRPr="00666DF4">
        <w:t>people aged 20–24 years were more likely to have been secluded than those in any other age group</w:t>
      </w:r>
    </w:p>
    <w:p w:rsidR="00A47CF6" w:rsidRPr="00666DF4" w:rsidRDefault="00A47CF6" w:rsidP="00C33BD3">
      <w:pPr>
        <w:pStyle w:val="Bullet"/>
      </w:pPr>
      <w:r w:rsidRPr="00666DF4">
        <w:t>Māori were more likely to have been secluded than non-Māori.</w:t>
      </w:r>
    </w:p>
    <w:p w:rsidR="00A47CF6" w:rsidRPr="00666DF4" w:rsidRDefault="00A47CF6" w:rsidP="00C33BD3">
      <w:pPr>
        <w:rPr>
          <w:rFonts w:eastAsia="Century"/>
        </w:rPr>
      </w:pPr>
    </w:p>
    <w:p w:rsidR="00A47CF6" w:rsidRPr="00666DF4" w:rsidRDefault="00A47CF6" w:rsidP="00C33BD3">
      <w:r w:rsidRPr="00C33BD3">
        <w:rPr>
          <w:i/>
        </w:rPr>
        <w:t>The Health and Disability Services (Restraint Minimisation and</w:t>
      </w:r>
      <w:r w:rsidR="00C33BD3" w:rsidRPr="00C33BD3">
        <w:rPr>
          <w:i/>
        </w:rPr>
        <w:t xml:space="preserve"> </w:t>
      </w:r>
      <w:r w:rsidRPr="00C33BD3">
        <w:rPr>
          <w:rFonts w:eastAsia="Georgia"/>
          <w:i/>
        </w:rPr>
        <w:t>Safe</w:t>
      </w:r>
      <w:r w:rsidRPr="00666DF4">
        <w:rPr>
          <w:rFonts w:eastAsia="Georgia" w:cs="Georgia"/>
          <w:i/>
        </w:rPr>
        <w:t xml:space="preserve"> Practices) Standards </w:t>
      </w:r>
      <w:r w:rsidRPr="00666DF4">
        <w:t xml:space="preserve">came into effect on 1 June 2009 (Standards New Zealand 2008b). Their intent is to </w:t>
      </w:r>
      <w:r w:rsidR="00BF25EC">
        <w:t>‘</w:t>
      </w:r>
      <w:r w:rsidRPr="00666DF4">
        <w:t>reduce the use of restraint in all its forms and to encourage the use of least restrictive practices</w:t>
      </w:r>
      <w:r w:rsidR="00BF25EC">
        <w:t>’</w:t>
      </w:r>
      <w:r w:rsidRPr="00666DF4">
        <w:t>. In addition, reducing (and eventually eliminating) seclusion is one of the goals of the Ministry</w:t>
      </w:r>
      <w:r w:rsidR="00BF25EC">
        <w:t>’</w:t>
      </w:r>
      <w:r w:rsidRPr="00666DF4">
        <w:t xml:space="preserve">s service development plan </w:t>
      </w:r>
      <w:proofErr w:type="gramStart"/>
      <w:r w:rsidRPr="00666DF4">
        <w:rPr>
          <w:rFonts w:eastAsia="Georgia" w:cs="Georgia"/>
          <w:i/>
        </w:rPr>
        <w:t>Rising</w:t>
      </w:r>
      <w:proofErr w:type="gramEnd"/>
      <w:r w:rsidRPr="00666DF4">
        <w:rPr>
          <w:rFonts w:eastAsia="Georgia" w:cs="Georgia"/>
          <w:i/>
        </w:rPr>
        <w:t xml:space="preserve"> to the Challenge </w:t>
      </w:r>
      <w:r w:rsidRPr="00666DF4">
        <w:t>(Ministry of Health 2012e).</w:t>
      </w:r>
    </w:p>
    <w:p w:rsidR="00C33BD3" w:rsidRDefault="00C33BD3" w:rsidP="00C33BD3"/>
    <w:p w:rsidR="00A47CF6" w:rsidRPr="00666DF4" w:rsidRDefault="00A47CF6" w:rsidP="00C33BD3">
      <w:r w:rsidRPr="00666DF4">
        <w:t>Section 71 of the Mental Health Act covers seclusion. It states that seclusion can only occur where, and for as long as, it is necessary for the care or treatment of the person, or for the protection of other people.</w:t>
      </w:r>
    </w:p>
    <w:p w:rsidR="00A47CF6" w:rsidRPr="00666DF4" w:rsidRDefault="00A47CF6" w:rsidP="00C33BD3">
      <w:pPr>
        <w:rPr>
          <w:rFonts w:eastAsia="Century"/>
        </w:rPr>
      </w:pPr>
    </w:p>
    <w:p w:rsidR="00A47CF6" w:rsidRPr="00666DF4" w:rsidRDefault="00C33BD3" w:rsidP="00C33BD3">
      <w:r>
        <w:t>S</w:t>
      </w:r>
      <w:r w:rsidR="00A47CF6" w:rsidRPr="00666DF4">
        <w:t>eclusion rooms must be designated by the relevant Director of Area Mental Health Services (DAMHS), and can be used only with the authority of a person</w:t>
      </w:r>
      <w:r w:rsidR="00BF25EC">
        <w:t>’</w:t>
      </w:r>
      <w:r w:rsidR="00A47CF6" w:rsidRPr="00666DF4">
        <w:t>s responsible clinician. Clinicians must record the duration and circumstances of each episode of seclusion in a register that must be available for review by district inspectors. Seclusion should never be used for the purposes of discipline, coercion, staff convenience, or as a substitute for adequate levels of staff or active treatment.</w:t>
      </w:r>
    </w:p>
    <w:p w:rsidR="00A47CF6" w:rsidRPr="00666DF4" w:rsidRDefault="00A47CF6" w:rsidP="00C33BD3">
      <w:pPr>
        <w:rPr>
          <w:rFonts w:eastAsia="Georgia"/>
        </w:rPr>
      </w:pPr>
    </w:p>
    <w:p w:rsidR="00A47CF6" w:rsidRPr="00666DF4" w:rsidRDefault="00A47CF6" w:rsidP="00C33BD3">
      <w:r w:rsidRPr="00666DF4">
        <w:t>The Ministry of Health</w:t>
      </w:r>
      <w:r w:rsidR="00BF25EC">
        <w:t>’</w:t>
      </w:r>
      <w:r w:rsidRPr="00666DF4">
        <w:t>s revised guidelines on seclusion (Ministry of Health 2010) identify best practice methods for using seclusion in mental health inpatient units. Their intent is to progressively decrease and limit the use of seclusion.</w:t>
      </w:r>
    </w:p>
    <w:p w:rsidR="00A47CF6" w:rsidRPr="00666DF4" w:rsidRDefault="00A47CF6" w:rsidP="00C33BD3">
      <w:pPr>
        <w:rPr>
          <w:rFonts w:eastAsia="Century"/>
        </w:rPr>
      </w:pPr>
    </w:p>
    <w:p w:rsidR="00A47CF6" w:rsidRPr="00666DF4" w:rsidRDefault="00A47CF6" w:rsidP="00C33BD3">
      <w:proofErr w:type="spellStart"/>
      <w:r w:rsidRPr="00666DF4">
        <w:t>Te</w:t>
      </w:r>
      <w:proofErr w:type="spellEnd"/>
      <w:r w:rsidRPr="00666DF4">
        <w:t xml:space="preserve"> </w:t>
      </w:r>
      <w:proofErr w:type="spellStart"/>
      <w:r w:rsidRPr="00666DF4">
        <w:t>Pou</w:t>
      </w:r>
      <w:proofErr w:type="spellEnd"/>
      <w:r w:rsidRPr="00666DF4">
        <w:t xml:space="preserve"> o </w:t>
      </w:r>
      <w:proofErr w:type="spellStart"/>
      <w:r w:rsidRPr="00666DF4">
        <w:t>Te</w:t>
      </w:r>
      <w:proofErr w:type="spellEnd"/>
      <w:r w:rsidRPr="00666DF4">
        <w:t xml:space="preserve"> </w:t>
      </w:r>
      <w:proofErr w:type="spellStart"/>
      <w:r w:rsidRPr="00666DF4">
        <w:t>Whakaaro</w:t>
      </w:r>
      <w:proofErr w:type="spellEnd"/>
      <w:r w:rsidRPr="00666DF4">
        <w:t xml:space="preserve"> Nui (National Workforce Centre for Mental Health, Addiction and Disability) supports the national direction set by the Ministry of Health for seclusion reduction by using evidence- based information, such as the </w:t>
      </w:r>
      <w:r w:rsidR="00BF25EC">
        <w:t>‘</w:t>
      </w:r>
      <w:r w:rsidRPr="00666DF4">
        <w:t>Six Core Strategies</w:t>
      </w:r>
      <w:r w:rsidR="00BF25EC">
        <w:t>’</w:t>
      </w:r>
      <w:r w:rsidRPr="00666DF4">
        <w:t xml:space="preserve"> of the National Technical Assistance Centre (</w:t>
      </w:r>
      <w:proofErr w:type="spellStart"/>
      <w:r w:rsidRPr="00666DF4">
        <w:t>Huckshorn</w:t>
      </w:r>
      <w:proofErr w:type="spellEnd"/>
      <w:r w:rsidRPr="00666DF4">
        <w:t xml:space="preserve"> 2005). </w:t>
      </w:r>
      <w:proofErr w:type="spellStart"/>
      <w:r w:rsidRPr="00666DF4">
        <w:t>Te</w:t>
      </w:r>
      <w:proofErr w:type="spellEnd"/>
      <w:r w:rsidRPr="00666DF4">
        <w:t xml:space="preserve"> </w:t>
      </w:r>
      <w:proofErr w:type="spellStart"/>
      <w:r w:rsidRPr="00666DF4">
        <w:t>Pou</w:t>
      </w:r>
      <w:proofErr w:type="spellEnd"/>
      <w:r w:rsidRPr="00666DF4">
        <w:t xml:space="preserve"> works with DHBs to support their local initiatives. Further information, statistics and stories of emerging good practice can be found on </w:t>
      </w:r>
      <w:proofErr w:type="spellStart"/>
      <w:r w:rsidRPr="00666DF4">
        <w:t>Te</w:t>
      </w:r>
      <w:proofErr w:type="spellEnd"/>
      <w:r w:rsidRPr="00666DF4">
        <w:t xml:space="preserve"> </w:t>
      </w:r>
      <w:proofErr w:type="spellStart"/>
      <w:r w:rsidRPr="00666DF4">
        <w:t>Pou</w:t>
      </w:r>
      <w:r w:rsidR="00BF25EC">
        <w:t>’</w:t>
      </w:r>
      <w:r w:rsidRPr="00666DF4">
        <w:t>s</w:t>
      </w:r>
      <w:proofErr w:type="spellEnd"/>
      <w:r w:rsidRPr="00666DF4">
        <w:t xml:space="preserve"> website (</w:t>
      </w:r>
      <w:hyperlink r:id="rId43">
        <w:r w:rsidRPr="00666DF4">
          <w:t>www.tepou.co.nz</w:t>
        </w:r>
      </w:hyperlink>
      <w:r w:rsidRPr="00666DF4">
        <w:t>).</w:t>
      </w:r>
    </w:p>
    <w:p w:rsidR="00A47CF6" w:rsidRPr="00666DF4" w:rsidRDefault="00A47CF6" w:rsidP="00C33BD3">
      <w:pPr>
        <w:rPr>
          <w:rFonts w:eastAsia="Century"/>
        </w:rPr>
      </w:pPr>
    </w:p>
    <w:p w:rsidR="00A47CF6" w:rsidRPr="00666DF4" w:rsidRDefault="00A47CF6" w:rsidP="00C33BD3">
      <w:pPr>
        <w:pStyle w:val="Heading3"/>
        <w:rPr>
          <w:rFonts w:eastAsia="Georgia" w:cs="Georgia"/>
          <w:szCs w:val="28"/>
        </w:rPr>
      </w:pPr>
      <w:r w:rsidRPr="00666DF4">
        <w:t>Changes in the use of seclusion over time</w:t>
      </w:r>
    </w:p>
    <w:p w:rsidR="00A47CF6" w:rsidRPr="00666DF4" w:rsidRDefault="00A47CF6" w:rsidP="00C33BD3">
      <w:r w:rsidRPr="00666DF4">
        <w:t>Figures 18 and 19 show a decrease in the number of people secluded in adult inpatient services, and in the total number of seclusion hours since 2007.</w:t>
      </w:r>
    </w:p>
    <w:p w:rsidR="00A47CF6" w:rsidRPr="00666DF4" w:rsidRDefault="00A47CF6" w:rsidP="00C33BD3">
      <w:pPr>
        <w:rPr>
          <w:rFonts w:eastAsia="Century"/>
        </w:rPr>
      </w:pPr>
    </w:p>
    <w:p w:rsidR="00A47CF6" w:rsidRPr="00666DF4" w:rsidRDefault="00A47CF6" w:rsidP="00C33BD3">
      <w:r w:rsidRPr="00666DF4">
        <w:t>Between 2009, when the seclusion reduction policy was introduced, and 2016, the total number of people secluded in adult inpatient services nationally decreased by</w:t>
      </w:r>
      <w:r w:rsidR="00C33BD3">
        <w:t xml:space="preserve"> </w:t>
      </w:r>
      <w:r w:rsidRPr="00666DF4">
        <w:t>25 percent. The total number of seclusion hours for people in adult inpatient services nationally decreased by 62</w:t>
      </w:r>
      <w:r w:rsidR="00C33BD3">
        <w:t> </w:t>
      </w:r>
      <w:r w:rsidRPr="00666DF4">
        <w:t>percent.</w:t>
      </w:r>
    </w:p>
    <w:p w:rsidR="00A47CF6" w:rsidRPr="00666DF4" w:rsidRDefault="00A47CF6" w:rsidP="00C33BD3">
      <w:pPr>
        <w:rPr>
          <w:rFonts w:eastAsia="Century"/>
        </w:rPr>
      </w:pPr>
    </w:p>
    <w:p w:rsidR="00A47CF6" w:rsidRPr="00666DF4" w:rsidRDefault="00A47CF6" w:rsidP="00C33BD3">
      <w:r w:rsidRPr="00666DF4">
        <w:t>Between 2015 and 2016, the use of seclusion steadied in the context of a seven-year decline. While the total number of seclusion hours decreased by 11 percent between these years, the total number of people secluded increased by 6 percent.</w:t>
      </w:r>
    </w:p>
    <w:p w:rsidR="00A47CF6" w:rsidRPr="00666DF4" w:rsidRDefault="00A47CF6" w:rsidP="00C33BD3"/>
    <w:p w:rsidR="00A47CF6" w:rsidRPr="00666DF4" w:rsidRDefault="00A47CF6" w:rsidP="00C33BD3">
      <w:r w:rsidRPr="00666DF4">
        <w:t>The Ministry of Health anticipated this steadying. Most services in New Zealand, having successfully employed best-practice strategies to reduce their use of seclusion, are now entering a re-planning phase in which they are refining and refocusing seclusion reduction initiatives. In addition, since 2009, there have been focused efforts to improve reporting on seclusion; this may partially explain the steadying of seclusion rates.</w:t>
      </w:r>
    </w:p>
    <w:p w:rsidR="00A47CF6" w:rsidRPr="00666DF4" w:rsidRDefault="00A47CF6" w:rsidP="00C33BD3">
      <w:pPr>
        <w:rPr>
          <w:rFonts w:eastAsia="Century"/>
        </w:rPr>
      </w:pPr>
    </w:p>
    <w:p w:rsidR="00A47CF6" w:rsidRPr="00666DF4" w:rsidRDefault="00A47CF6" w:rsidP="00C33BD3">
      <w:r w:rsidRPr="00666DF4">
        <w:t>The continued reduction (and eventual elimination) of seclusion will require strong local leadership and resourcing, evidence-based seclusion reduction initiatives, ongoing workforce development and significant organisational commitment. The Office of the Director of Mental Health will continue to provide national leadership in this area by publishing new guidance on restrictive practices and introducing a monitoring regime for night safety procedures.</w:t>
      </w:r>
    </w:p>
    <w:p w:rsidR="00A47CF6" w:rsidRPr="00666DF4" w:rsidRDefault="00A47CF6" w:rsidP="00C33BD3"/>
    <w:p w:rsidR="00A47CF6" w:rsidRPr="00666DF4" w:rsidRDefault="00A47CF6" w:rsidP="00C33BD3">
      <w:pPr>
        <w:pStyle w:val="Figure"/>
        <w:rPr>
          <w:rFonts w:eastAsia="Georgia"/>
        </w:rPr>
      </w:pPr>
      <w:bookmarkStart w:id="129" w:name="Figure_18:_Number_of_people_secluded_in_"/>
      <w:bookmarkStart w:id="130" w:name="Figure_19:_Total_number_of_seclusion_hou"/>
      <w:bookmarkStart w:id="131" w:name="_bookmark27"/>
      <w:bookmarkStart w:id="132" w:name="_Toc508707342"/>
      <w:bookmarkEnd w:id="129"/>
      <w:bookmarkEnd w:id="130"/>
      <w:bookmarkEnd w:id="131"/>
      <w:r w:rsidRPr="00666DF4">
        <w:rPr>
          <w:rFonts w:eastAsia="Georgia"/>
        </w:rPr>
        <w:t>Figure 18: Number of people secluded in adult inpatient services nationally, 2007–2016</w:t>
      </w:r>
      <w:bookmarkEnd w:id="132"/>
    </w:p>
    <w:p w:rsidR="00A47CF6" w:rsidRPr="00666DF4" w:rsidRDefault="00C33BD3" w:rsidP="00C33BD3">
      <w:pPr>
        <w:rPr>
          <w:rFonts w:eastAsia="Georgia"/>
        </w:rPr>
      </w:pPr>
      <w:r>
        <w:rPr>
          <w:noProof/>
          <w:lang w:eastAsia="en-NZ"/>
        </w:rPr>
        <w:drawing>
          <wp:inline distT="0" distB="0" distL="0" distR="0" wp14:anchorId="7E56FF48" wp14:editId="28D34E04">
            <wp:extent cx="4680066" cy="2344061"/>
            <wp:effectExtent l="0" t="0" r="6350" b="0"/>
            <wp:docPr id="76" name="Picture 76" title="Figure 18: Number of people secluded in adult inpatient services nationally, 20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blip>
                    <a:stretch>
                      <a:fillRect/>
                    </a:stretch>
                  </pic:blipFill>
                  <pic:spPr>
                    <a:xfrm>
                      <a:off x="0" y="0"/>
                      <a:ext cx="4678162" cy="2343108"/>
                    </a:xfrm>
                    <a:prstGeom prst="rect">
                      <a:avLst/>
                    </a:prstGeom>
                  </pic:spPr>
                </pic:pic>
              </a:graphicData>
            </a:graphic>
          </wp:inline>
        </w:drawing>
      </w:r>
    </w:p>
    <w:p w:rsidR="00A47CF6" w:rsidRPr="00666DF4" w:rsidRDefault="00A47CF6" w:rsidP="00C33BD3">
      <w:pPr>
        <w:pStyle w:val="Source"/>
        <w:rPr>
          <w:rFonts w:eastAsia="Arial"/>
        </w:rPr>
      </w:pPr>
      <w:r w:rsidRPr="00666DF4">
        <w:rPr>
          <w:rFonts w:eastAsia="Arial"/>
        </w:rPr>
        <w:t>Source: Office of the Director of Mental Health annual reports 2007–2015 and PRIMHD data for 2016, extracted on 27 July 2017. Auckland and Southern DHBs supplied data manually</w:t>
      </w:r>
      <w:r w:rsidR="00C33BD3">
        <w:rPr>
          <w:rFonts w:eastAsia="Arial"/>
        </w:rPr>
        <w:t>.</w:t>
      </w:r>
    </w:p>
    <w:p w:rsidR="00A47CF6" w:rsidRPr="00666DF4" w:rsidRDefault="00A47CF6" w:rsidP="00C33BD3">
      <w:pPr>
        <w:rPr>
          <w:rFonts w:eastAsia="Arial"/>
        </w:rPr>
      </w:pPr>
    </w:p>
    <w:p w:rsidR="00A47CF6" w:rsidRDefault="00A47CF6" w:rsidP="00C33BD3">
      <w:pPr>
        <w:pStyle w:val="Figure"/>
        <w:rPr>
          <w:rFonts w:eastAsia="Georgia"/>
        </w:rPr>
      </w:pPr>
      <w:bookmarkStart w:id="133" w:name="_Toc508707343"/>
      <w:r w:rsidRPr="00666DF4">
        <w:rPr>
          <w:rFonts w:eastAsia="Georgia"/>
        </w:rPr>
        <w:t>Figure 19: Total number of seclusion hours in adult inpatient services nationally</w:t>
      </w:r>
      <w:proofErr w:type="gramStart"/>
      <w:r w:rsidRPr="00666DF4">
        <w:rPr>
          <w:rFonts w:eastAsia="Georgia"/>
        </w:rPr>
        <w:t>,</w:t>
      </w:r>
      <w:proofErr w:type="gramEnd"/>
      <w:r w:rsidR="00C33BD3">
        <w:rPr>
          <w:rFonts w:eastAsia="Georgia"/>
        </w:rPr>
        <w:br/>
      </w:r>
      <w:r w:rsidRPr="00666DF4">
        <w:rPr>
          <w:rFonts w:eastAsia="Georgia"/>
        </w:rPr>
        <w:t>2007–2016</w:t>
      </w:r>
      <w:bookmarkEnd w:id="133"/>
    </w:p>
    <w:p w:rsidR="00C33BD3" w:rsidRPr="00C33BD3" w:rsidRDefault="00C33BD3" w:rsidP="00C33BD3">
      <w:pPr>
        <w:rPr>
          <w:rFonts w:eastAsia="Georgia"/>
        </w:rPr>
      </w:pPr>
      <w:r>
        <w:rPr>
          <w:noProof/>
          <w:lang w:eastAsia="en-NZ"/>
        </w:rPr>
        <w:drawing>
          <wp:inline distT="0" distB="0" distL="0" distR="0" wp14:anchorId="60E1C4C0" wp14:editId="262007FF">
            <wp:extent cx="4680066" cy="2242694"/>
            <wp:effectExtent l="0" t="0" r="6350" b="5715"/>
            <wp:docPr id="77" name="Picture 77" title="Figure 19: Total number of seclusion hours in adult inpatient servic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4680066" cy="2242694"/>
                    </a:xfrm>
                    <a:prstGeom prst="rect">
                      <a:avLst/>
                    </a:prstGeom>
                  </pic:spPr>
                </pic:pic>
              </a:graphicData>
            </a:graphic>
          </wp:inline>
        </w:drawing>
      </w:r>
    </w:p>
    <w:p w:rsidR="00A47CF6" w:rsidRPr="00666DF4" w:rsidRDefault="00A47CF6" w:rsidP="00C33BD3">
      <w:pPr>
        <w:pStyle w:val="Source"/>
        <w:rPr>
          <w:rFonts w:eastAsia="Arial"/>
        </w:rPr>
      </w:pPr>
      <w:r w:rsidRPr="00666DF4">
        <w:rPr>
          <w:rFonts w:eastAsia="Arial"/>
        </w:rPr>
        <w:t>Source: Office of the Director of Mental Health annual reports 2007–2015 and PRIMHD data for 2016, extracted on 27 July 2017. Auckland and Southern DHBs supplied data manually</w:t>
      </w:r>
      <w:r w:rsidR="00C33BD3">
        <w:rPr>
          <w:rFonts w:eastAsia="Arial"/>
        </w:rPr>
        <w:t>.</w:t>
      </w:r>
    </w:p>
    <w:p w:rsidR="00A47CF6" w:rsidRPr="00666DF4" w:rsidRDefault="00A47CF6" w:rsidP="00C33BD3">
      <w:pPr>
        <w:rPr>
          <w:rFonts w:eastAsia="Arial"/>
        </w:rPr>
      </w:pPr>
    </w:p>
    <w:p w:rsidR="00A47CF6" w:rsidRPr="00666DF4" w:rsidRDefault="00A47CF6" w:rsidP="00C33BD3">
      <w:pPr>
        <w:pStyle w:val="Heading3"/>
        <w:rPr>
          <w:bCs/>
        </w:rPr>
      </w:pPr>
      <w:r w:rsidRPr="00666DF4">
        <w:t>Seclusion in New Zealand mental health services</w:t>
      </w:r>
    </w:p>
    <w:p w:rsidR="00A47CF6" w:rsidRPr="00666DF4" w:rsidRDefault="00A47CF6" w:rsidP="00C33BD3">
      <w:r w:rsidRPr="00666DF4">
        <w:t>Between 1 January and 31 December 2016, New Zealand adult mental health services (excluding forensic and other regional rehabilitation services) accommodated 7,411 people for a total of 185,475 bed nights. Of these people, 802</w:t>
      </w:r>
      <w:r w:rsidR="00C33BD3">
        <w:rPr>
          <w:rStyle w:val="FootnoteReference"/>
        </w:rPr>
        <w:footnoteReference w:id="21"/>
      </w:r>
      <w:r w:rsidR="00A66EF5">
        <w:t xml:space="preserve"> </w:t>
      </w:r>
      <w:r w:rsidRPr="00666DF4">
        <w:t>(10.8 percent) were secluded at some time during the reporting period.</w:t>
      </w:r>
    </w:p>
    <w:p w:rsidR="00A47CF6" w:rsidRPr="00666DF4" w:rsidRDefault="00A47CF6" w:rsidP="00A66EF5">
      <w:pPr>
        <w:rPr>
          <w:rFonts w:eastAsia="Century"/>
        </w:rPr>
      </w:pPr>
    </w:p>
    <w:p w:rsidR="00A47CF6" w:rsidRPr="00666DF4" w:rsidRDefault="00A47CF6" w:rsidP="00A66EF5">
      <w:r w:rsidRPr="00666DF4">
        <w:t>People who were secluded were often secluded more than once (on average 1.8 times). Therefore, the number of seclusion events in adult inpatient services (1,483) was higher than the number of people secluded.</w:t>
      </w:r>
    </w:p>
    <w:p w:rsidR="00A47CF6" w:rsidRPr="00666DF4" w:rsidRDefault="00A47CF6" w:rsidP="00A66EF5">
      <w:pPr>
        <w:rPr>
          <w:rFonts w:eastAsia="Century"/>
        </w:rPr>
      </w:pPr>
    </w:p>
    <w:p w:rsidR="00A47CF6" w:rsidRPr="00A66EF5" w:rsidRDefault="00A47CF6" w:rsidP="00A66EF5">
      <w:pPr>
        <w:keepLines/>
      </w:pPr>
      <w:bookmarkStart w:id="134" w:name="Figure_20:_Number_of_people_secluded_acr"/>
      <w:bookmarkStart w:id="135" w:name="Figure_21:_Number_of_seclusion_events_ac"/>
      <w:bookmarkStart w:id="136" w:name="_bookmark28"/>
      <w:bookmarkEnd w:id="134"/>
      <w:bookmarkEnd w:id="135"/>
      <w:bookmarkEnd w:id="136"/>
      <w:r w:rsidRPr="00666DF4">
        <w:t>Across all inpatient services, including forensic, intellectual disability and youth services,</w:t>
      </w:r>
      <w:r w:rsidR="00A66EF5">
        <w:t xml:space="preserve"> </w:t>
      </w:r>
      <w:r w:rsidRPr="00666DF4">
        <w:t>990</w:t>
      </w:r>
      <w:r w:rsidR="00A66EF5">
        <w:rPr>
          <w:rStyle w:val="FootnoteReference"/>
        </w:rPr>
        <w:footnoteReference w:id="22"/>
      </w:r>
      <w:r w:rsidR="00A66EF5">
        <w:t xml:space="preserve"> </w:t>
      </w:r>
      <w:r w:rsidRPr="00666DF4">
        <w:t>people experienced at least one seclusion event. Of those secluded, 72 percent were male and 28</w:t>
      </w:r>
      <w:r w:rsidR="00A66EF5">
        <w:t> </w:t>
      </w:r>
      <w:r w:rsidRPr="00666DF4">
        <w:t>percent were female. The most common age group for those secluded was 20–24 years (see Figure 20). A total of 102 young people (aged 19 years and under) were secluded during the 2016 year in</w:t>
      </w:r>
      <w:r w:rsidR="00A66EF5">
        <w:t xml:space="preserve"> </w:t>
      </w:r>
      <w:r w:rsidRPr="00666DF4">
        <w:t>323 seclusion events.</w:t>
      </w:r>
      <w:r w:rsidR="00A66EF5">
        <w:rPr>
          <w:rStyle w:val="FootnoteReference"/>
        </w:rPr>
        <w:footnoteReference w:id="23"/>
      </w:r>
    </w:p>
    <w:p w:rsidR="00A47CF6" w:rsidRPr="00666DF4" w:rsidRDefault="00A47CF6" w:rsidP="00A66EF5">
      <w:pPr>
        <w:rPr>
          <w:rFonts w:eastAsia="Century"/>
        </w:rPr>
      </w:pPr>
    </w:p>
    <w:p w:rsidR="00A47CF6" w:rsidRDefault="00A47CF6" w:rsidP="00A66EF5">
      <w:pPr>
        <w:pStyle w:val="Figure"/>
      </w:pPr>
      <w:bookmarkStart w:id="137" w:name="_Toc508707344"/>
      <w:r w:rsidRPr="00666DF4">
        <w:t>Figure 20: Number of people secluded across all inpatient services (adult, forensic, intellectual disability, and youth), by age group, 1 January to 31 December 2016</w:t>
      </w:r>
      <w:bookmarkEnd w:id="137"/>
    </w:p>
    <w:p w:rsidR="00A66EF5" w:rsidRPr="00A66EF5" w:rsidRDefault="00A66EF5" w:rsidP="00A66EF5">
      <w:pPr>
        <w:rPr>
          <w:rFonts w:eastAsia="Georgia"/>
        </w:rPr>
      </w:pPr>
      <w:r>
        <w:rPr>
          <w:noProof/>
          <w:lang w:eastAsia="en-NZ"/>
        </w:rPr>
        <w:drawing>
          <wp:inline distT="0" distB="0" distL="0" distR="0" wp14:anchorId="1E2A0647" wp14:editId="4D3F9860">
            <wp:extent cx="4663440" cy="2039318"/>
            <wp:effectExtent l="0" t="0" r="3810" b="0"/>
            <wp:docPr id="78" name="Picture 78" title="Figure 20: Number of people secluded across all inpatient services (adult, forensic, intellectual disability, and youth), by age group,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blip>
                    <a:stretch>
                      <a:fillRect/>
                    </a:stretch>
                  </pic:blipFill>
                  <pic:spPr>
                    <a:xfrm>
                      <a:off x="0" y="0"/>
                      <a:ext cx="4661533" cy="2038484"/>
                    </a:xfrm>
                    <a:prstGeom prst="rect">
                      <a:avLst/>
                    </a:prstGeom>
                  </pic:spPr>
                </pic:pic>
              </a:graphicData>
            </a:graphic>
          </wp:inline>
        </w:drawing>
      </w:r>
    </w:p>
    <w:p w:rsidR="00A47CF6" w:rsidRPr="00666DF4" w:rsidRDefault="00A47CF6" w:rsidP="00A66EF5">
      <w:pPr>
        <w:pStyle w:val="Source"/>
        <w:rPr>
          <w:rFonts w:eastAsia="Arial" w:cs="Arial"/>
          <w:szCs w:val="18"/>
        </w:rPr>
      </w:pPr>
      <w:r w:rsidRPr="00666DF4">
        <w:t>Source: PRIMHD data, extracted on 27 July 2017. Auckland and Southern DHBs supplied data manually</w:t>
      </w:r>
      <w:r w:rsidR="00A66EF5">
        <w:t>.</w:t>
      </w:r>
    </w:p>
    <w:p w:rsidR="00A47CF6" w:rsidRPr="00666DF4" w:rsidRDefault="00A47CF6" w:rsidP="00A66EF5">
      <w:pPr>
        <w:rPr>
          <w:rFonts w:eastAsia="Arial"/>
        </w:rPr>
      </w:pPr>
    </w:p>
    <w:p w:rsidR="00A47CF6" w:rsidRPr="00666DF4" w:rsidRDefault="00A47CF6" w:rsidP="00A66EF5">
      <w:r w:rsidRPr="00666DF4">
        <w:t>The length of time spent in seclusion varied considerably. Most seclusion events (74 percent) lasted for less than 24 hours. Some (12 percent) lasted for longer than 48 hours. Figure 21 shows numbers of seclusion events by duration of the event.</w:t>
      </w:r>
    </w:p>
    <w:p w:rsidR="00A47CF6" w:rsidRPr="00666DF4" w:rsidRDefault="00A47CF6" w:rsidP="00A66EF5">
      <w:pPr>
        <w:rPr>
          <w:rFonts w:eastAsia="Century"/>
        </w:rPr>
      </w:pPr>
    </w:p>
    <w:p w:rsidR="00A47CF6" w:rsidRDefault="00A47CF6" w:rsidP="00A66EF5">
      <w:pPr>
        <w:pStyle w:val="Figure"/>
      </w:pPr>
      <w:bookmarkStart w:id="138" w:name="_Toc508707345"/>
      <w:r w:rsidRPr="00666DF4">
        <w:t>Figure 21: Number of seclusion events across all inpatient services (adult, forensic, intellectual disability, and youth), by duration of event, 1 January to 31 December 2016</w:t>
      </w:r>
      <w:bookmarkEnd w:id="138"/>
    </w:p>
    <w:p w:rsidR="00A66EF5" w:rsidRPr="00A66EF5" w:rsidRDefault="00A66EF5" w:rsidP="00A66EF5">
      <w:pPr>
        <w:rPr>
          <w:rFonts w:eastAsia="Georgia"/>
        </w:rPr>
      </w:pPr>
      <w:r>
        <w:rPr>
          <w:noProof/>
          <w:lang w:eastAsia="en-NZ"/>
        </w:rPr>
        <w:drawing>
          <wp:inline distT="0" distB="0" distL="0" distR="0" wp14:anchorId="1D4EFB88" wp14:editId="5A28A38D">
            <wp:extent cx="4663440" cy="2205667"/>
            <wp:effectExtent l="0" t="0" r="3810" b="4445"/>
            <wp:docPr id="79" name="Picture 79" title="Figure 21: Number of seclusion events across all inpatient services (adult, forensic, intellectual disability, and youth), by duration of event,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blip>
                    <a:stretch>
                      <a:fillRect/>
                    </a:stretch>
                  </pic:blipFill>
                  <pic:spPr>
                    <a:xfrm>
                      <a:off x="0" y="0"/>
                      <a:ext cx="4663342" cy="2205621"/>
                    </a:xfrm>
                    <a:prstGeom prst="rect">
                      <a:avLst/>
                    </a:prstGeom>
                  </pic:spPr>
                </pic:pic>
              </a:graphicData>
            </a:graphic>
          </wp:inline>
        </w:drawing>
      </w:r>
    </w:p>
    <w:p w:rsidR="00A47CF6" w:rsidRPr="00666DF4" w:rsidRDefault="00A47CF6" w:rsidP="00A66EF5">
      <w:pPr>
        <w:pStyle w:val="Source"/>
        <w:rPr>
          <w:rFonts w:eastAsia="Arial" w:cs="Arial"/>
          <w:szCs w:val="19"/>
        </w:rPr>
      </w:pPr>
      <w:r w:rsidRPr="00666DF4">
        <w:t>Source: PRIMHD data, extracted on 27 July 2017. Auckland and Southern DHBs supplied data manually</w:t>
      </w:r>
      <w:r w:rsidR="00A66EF5">
        <w:t>.</w:t>
      </w:r>
    </w:p>
    <w:p w:rsidR="00A47CF6" w:rsidRPr="00666DF4" w:rsidRDefault="00A47CF6" w:rsidP="00A66EF5">
      <w:pPr>
        <w:rPr>
          <w:rFonts w:eastAsia="Century"/>
        </w:rPr>
      </w:pPr>
    </w:p>
    <w:p w:rsidR="00A47CF6" w:rsidRPr="00666DF4" w:rsidRDefault="00A47CF6" w:rsidP="00A66EF5">
      <w:pPr>
        <w:pStyle w:val="Heading3"/>
        <w:rPr>
          <w:bCs/>
        </w:rPr>
      </w:pPr>
      <w:bookmarkStart w:id="139" w:name="Figure_22:_Number_of_people_secluded_in_"/>
      <w:bookmarkStart w:id="140" w:name="_bookmark29"/>
      <w:bookmarkEnd w:id="139"/>
      <w:bookmarkEnd w:id="140"/>
      <w:r w:rsidRPr="00666DF4">
        <w:t>Seclusion by district health board</w:t>
      </w:r>
    </w:p>
    <w:p w:rsidR="00A47CF6" w:rsidRPr="00666DF4" w:rsidRDefault="00A47CF6" w:rsidP="00A66EF5">
      <w:r w:rsidRPr="00666DF4">
        <w:t xml:space="preserve">All DHBs except for </w:t>
      </w:r>
      <w:proofErr w:type="spellStart"/>
      <w:r w:rsidRPr="00666DF4">
        <w:t>Wairarapa</w:t>
      </w:r>
      <w:proofErr w:type="spellEnd"/>
      <w:r w:rsidRPr="00666DF4">
        <w:t xml:space="preserve"> (which has no mental health inpatient service) use seclusion.</w:t>
      </w:r>
      <w:r w:rsidR="00A66EF5">
        <w:rPr>
          <w:rStyle w:val="FootnoteReference"/>
        </w:rPr>
        <w:footnoteReference w:id="24"/>
      </w:r>
      <w:r w:rsidR="00A66EF5">
        <w:t xml:space="preserve"> </w:t>
      </w:r>
      <w:r w:rsidRPr="00666DF4">
        <w:t>In 2016, the national average number of people secluded in adult inpatient services per 100,000</w:t>
      </w:r>
      <w:r w:rsidR="00A66EF5">
        <w:t xml:space="preserve"> </w:t>
      </w:r>
      <w:r w:rsidRPr="00666DF4">
        <w:t>population was 29.1, and the average number of seclusion events per 100,000 population was 53.9.</w:t>
      </w:r>
    </w:p>
    <w:p w:rsidR="00A47CF6" w:rsidRPr="00666DF4" w:rsidRDefault="00A47CF6" w:rsidP="00A66EF5">
      <w:pPr>
        <w:rPr>
          <w:rFonts w:eastAsia="Century"/>
        </w:rPr>
      </w:pPr>
    </w:p>
    <w:p w:rsidR="00A47CF6" w:rsidRPr="00666DF4" w:rsidRDefault="00A47CF6" w:rsidP="00A66EF5">
      <w:r w:rsidRPr="00666DF4">
        <w:t>As Figures 22 and 23 show, seclusion data varied widely across DHBs in 2016. Such variation is likely to be due to a number of factors, including:</w:t>
      </w:r>
    </w:p>
    <w:p w:rsidR="00A47CF6" w:rsidRPr="00666DF4" w:rsidRDefault="00A47CF6" w:rsidP="00A66EF5">
      <w:pPr>
        <w:pStyle w:val="Bullet"/>
      </w:pPr>
      <w:r w:rsidRPr="00666DF4">
        <w:t>differences in seclusion practice</w:t>
      </w:r>
    </w:p>
    <w:p w:rsidR="00A47CF6" w:rsidRPr="00666DF4" w:rsidRDefault="00A47CF6" w:rsidP="00A66EF5">
      <w:pPr>
        <w:pStyle w:val="Bullet"/>
      </w:pPr>
      <w:r w:rsidRPr="00666DF4">
        <w:t>geographical variations in the prevalence and acuity of mental illness</w:t>
      </w:r>
    </w:p>
    <w:p w:rsidR="00A47CF6" w:rsidRPr="00666DF4" w:rsidRDefault="00A47CF6" w:rsidP="00A66EF5">
      <w:pPr>
        <w:pStyle w:val="Bullet"/>
      </w:pPr>
      <w:r w:rsidRPr="00666DF4">
        <w:t>ward design factors, such as the availability of intensive care and low-stimulus facilities</w:t>
      </w:r>
    </w:p>
    <w:p w:rsidR="00A47CF6" w:rsidRPr="00666DF4" w:rsidRDefault="00A47CF6" w:rsidP="00A66EF5">
      <w:pPr>
        <w:pStyle w:val="Bullet"/>
      </w:pPr>
      <w:r w:rsidRPr="00666DF4">
        <w:t>staff numbers, experience and training</w:t>
      </w:r>
    </w:p>
    <w:p w:rsidR="00A47CF6" w:rsidRPr="00666DF4" w:rsidRDefault="00A47CF6" w:rsidP="00A66EF5">
      <w:pPr>
        <w:pStyle w:val="Bullet"/>
      </w:pPr>
      <w:r w:rsidRPr="00666DF4">
        <w:t>use of sedating psychotropic medication</w:t>
      </w:r>
    </w:p>
    <w:p w:rsidR="00A47CF6" w:rsidRPr="00666DF4" w:rsidRDefault="00A47CF6" w:rsidP="00A66EF5">
      <w:pPr>
        <w:pStyle w:val="Bullet"/>
      </w:pPr>
      <w:proofErr w:type="gramStart"/>
      <w:r w:rsidRPr="00666DF4">
        <w:t>the</w:t>
      </w:r>
      <w:proofErr w:type="gramEnd"/>
      <w:r w:rsidRPr="00666DF4">
        <w:t xml:space="preserve"> frequent or prolonged seclusion of a small number of people, distorting seclusion figures over the 12-month period.</w:t>
      </w:r>
    </w:p>
    <w:p w:rsidR="00A66EF5" w:rsidRDefault="00A66EF5" w:rsidP="00A66EF5"/>
    <w:p w:rsidR="00A47CF6" w:rsidRPr="00666DF4" w:rsidRDefault="00A47CF6" w:rsidP="00A66EF5">
      <w:r w:rsidRPr="00666DF4">
        <w:t>Because it is difficult to measure and adjust for these factors, the Ministry recommends comparing an individual DHB</w:t>
      </w:r>
      <w:r w:rsidR="00BF25EC">
        <w:t>’</w:t>
      </w:r>
      <w:r w:rsidRPr="00666DF4">
        <w:t>s performance over time in addition to considering the adjusted comparisons between DHBs in this report.</w:t>
      </w:r>
    </w:p>
    <w:p w:rsidR="00A47CF6" w:rsidRPr="00666DF4" w:rsidRDefault="00A47CF6" w:rsidP="00A66EF5">
      <w:pPr>
        <w:rPr>
          <w:rFonts w:eastAsia="Century"/>
        </w:rPr>
      </w:pPr>
    </w:p>
    <w:p w:rsidR="00A47CF6" w:rsidRDefault="00A47CF6" w:rsidP="00A66EF5">
      <w:pPr>
        <w:pStyle w:val="Figure"/>
      </w:pPr>
      <w:bookmarkStart w:id="141" w:name="_Toc508707346"/>
      <w:r w:rsidRPr="00666DF4">
        <w:t>Figure 22: Number of people secluded in adult inpatient services per 100,000, by DHB, 1</w:t>
      </w:r>
      <w:r w:rsidR="00A66EF5">
        <w:t> </w:t>
      </w:r>
      <w:r w:rsidRPr="00666DF4">
        <w:t>January to 31 December 2016</w:t>
      </w:r>
      <w:bookmarkEnd w:id="141"/>
    </w:p>
    <w:p w:rsidR="00A66EF5" w:rsidRPr="00A66EF5" w:rsidRDefault="00A66EF5" w:rsidP="00A66EF5">
      <w:pPr>
        <w:rPr>
          <w:rFonts w:eastAsia="Georgia"/>
        </w:rPr>
      </w:pPr>
      <w:r>
        <w:rPr>
          <w:noProof/>
          <w:lang w:eastAsia="en-NZ"/>
        </w:rPr>
        <w:drawing>
          <wp:inline distT="0" distB="0" distL="0" distR="0" wp14:anchorId="149C2D0D" wp14:editId="2CD742B3">
            <wp:extent cx="5453149" cy="2940389"/>
            <wp:effectExtent l="0" t="0" r="0" b="0"/>
            <wp:docPr id="80" name="Picture 80" title="Figure 22: Number of people secluded in adult inpatient services per 100,000,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blip>
                    <a:stretch>
                      <a:fillRect/>
                    </a:stretch>
                  </pic:blipFill>
                  <pic:spPr>
                    <a:xfrm>
                      <a:off x="0" y="0"/>
                      <a:ext cx="5457806" cy="2942900"/>
                    </a:xfrm>
                    <a:prstGeom prst="rect">
                      <a:avLst/>
                    </a:prstGeom>
                  </pic:spPr>
                </pic:pic>
              </a:graphicData>
            </a:graphic>
          </wp:inline>
        </w:drawing>
      </w:r>
    </w:p>
    <w:p w:rsidR="00A47CF6" w:rsidRPr="00666DF4" w:rsidRDefault="00A47CF6" w:rsidP="00A66EF5">
      <w:pPr>
        <w:pStyle w:val="Note"/>
        <w:rPr>
          <w:rFonts w:eastAsia="Arial"/>
        </w:rPr>
      </w:pPr>
      <w:r w:rsidRPr="00666DF4">
        <w:rPr>
          <w:rFonts w:eastAsia="Arial"/>
        </w:rPr>
        <w:t>Note: 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A66EF5">
      <w:pPr>
        <w:pStyle w:val="Source"/>
        <w:rPr>
          <w:rFonts w:eastAsia="Arial" w:cs="Arial"/>
          <w:szCs w:val="19"/>
        </w:rPr>
      </w:pPr>
      <w:r w:rsidRPr="00666DF4">
        <w:t>Source: PRIMHD data, extracted on 27 July 2017. Auckland and Southern DHBs supplied data manually</w:t>
      </w:r>
      <w:r w:rsidR="00A66EF5">
        <w:t>.</w:t>
      </w:r>
    </w:p>
    <w:p w:rsidR="00A47CF6" w:rsidRPr="00666DF4" w:rsidRDefault="00A47CF6" w:rsidP="00A66EF5">
      <w:pPr>
        <w:rPr>
          <w:rFonts w:eastAsia="Century"/>
        </w:rPr>
      </w:pPr>
    </w:p>
    <w:p w:rsidR="00A47CF6" w:rsidRDefault="00A47CF6" w:rsidP="00A66EF5">
      <w:pPr>
        <w:pStyle w:val="Figure"/>
      </w:pPr>
      <w:bookmarkStart w:id="142" w:name="Figure_23:_Number_of_seclusion_events_in"/>
      <w:bookmarkStart w:id="143" w:name="Figure_24:_Seclusion_indicators_for_adul"/>
      <w:bookmarkStart w:id="144" w:name="_bookmark30"/>
      <w:bookmarkStart w:id="145" w:name="_Toc508707347"/>
      <w:bookmarkEnd w:id="142"/>
      <w:bookmarkEnd w:id="143"/>
      <w:bookmarkEnd w:id="144"/>
      <w:r w:rsidRPr="00666DF4">
        <w:t>Figure 23: Number of seclusion events in adult inpatient services per 100,000, by DHB, 1</w:t>
      </w:r>
      <w:r w:rsidR="00A66EF5">
        <w:t> </w:t>
      </w:r>
      <w:r w:rsidRPr="00666DF4">
        <w:t>January to 31 December 2016</w:t>
      </w:r>
      <w:bookmarkEnd w:id="145"/>
    </w:p>
    <w:p w:rsidR="00A66EF5" w:rsidRPr="00A66EF5" w:rsidRDefault="00A66EF5" w:rsidP="00A66EF5">
      <w:pPr>
        <w:rPr>
          <w:rFonts w:eastAsia="Georgia"/>
        </w:rPr>
      </w:pPr>
      <w:r>
        <w:rPr>
          <w:noProof/>
          <w:lang w:eastAsia="en-NZ"/>
        </w:rPr>
        <w:drawing>
          <wp:inline distT="0" distB="0" distL="0" distR="0" wp14:anchorId="0A8A68E8" wp14:editId="402719B8">
            <wp:extent cx="5444836" cy="2943469"/>
            <wp:effectExtent l="0" t="0" r="3810" b="9525"/>
            <wp:docPr id="81" name="Picture 81" title="Figure 23: Number of seclusion events in adult inpatient services per 100,000,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grayscl/>
                    </a:blip>
                    <a:stretch>
                      <a:fillRect/>
                    </a:stretch>
                  </pic:blipFill>
                  <pic:spPr>
                    <a:xfrm>
                      <a:off x="0" y="0"/>
                      <a:ext cx="5449368" cy="2945919"/>
                    </a:xfrm>
                    <a:prstGeom prst="rect">
                      <a:avLst/>
                    </a:prstGeom>
                  </pic:spPr>
                </pic:pic>
              </a:graphicData>
            </a:graphic>
          </wp:inline>
        </w:drawing>
      </w:r>
    </w:p>
    <w:p w:rsidR="00A47CF6" w:rsidRPr="00666DF4" w:rsidRDefault="00A47CF6" w:rsidP="00A66EF5">
      <w:pPr>
        <w:pStyle w:val="Note"/>
        <w:rPr>
          <w:rFonts w:eastAsia="Arial"/>
        </w:rPr>
      </w:pPr>
      <w:r w:rsidRPr="00666DF4">
        <w:rPr>
          <w:rFonts w:eastAsia="Arial"/>
        </w:rPr>
        <w:t>Note: 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A66EF5">
      <w:pPr>
        <w:pStyle w:val="Source"/>
        <w:rPr>
          <w:rFonts w:eastAsia="Arial" w:cs="Arial"/>
          <w:szCs w:val="19"/>
        </w:rPr>
      </w:pPr>
      <w:r w:rsidRPr="00666DF4">
        <w:t>Source: PRIMHD data, extracted on 27 July 2017. Auckland and Southern DHBs supplied data manually</w:t>
      </w:r>
      <w:r w:rsidR="00A66EF5">
        <w:t>.</w:t>
      </w:r>
    </w:p>
    <w:p w:rsidR="00A47CF6" w:rsidRPr="00666DF4" w:rsidRDefault="00A47CF6" w:rsidP="00A66EF5">
      <w:pPr>
        <w:rPr>
          <w:rFonts w:eastAsia="Arial"/>
        </w:rPr>
      </w:pPr>
    </w:p>
    <w:p w:rsidR="00A47CF6" w:rsidRPr="00666DF4" w:rsidRDefault="00A47CF6" w:rsidP="00A66EF5">
      <w:pPr>
        <w:pStyle w:val="Heading3"/>
        <w:rPr>
          <w:bCs/>
        </w:rPr>
      </w:pPr>
      <w:r w:rsidRPr="00666DF4">
        <w:t>Seclusion and ethnicity</w:t>
      </w:r>
    </w:p>
    <w:p w:rsidR="00A47CF6" w:rsidRDefault="00A47CF6" w:rsidP="00A66EF5">
      <w:r w:rsidRPr="00666DF4">
        <w:t>In 2016, Māori were 4.8 times more likely to be secluded in adult</w:t>
      </w:r>
      <w:r w:rsidR="00A66EF5">
        <w:t xml:space="preserve"> </w:t>
      </w:r>
      <w:r w:rsidRPr="00666DF4">
        <w:t>inpatient services than people from other ethnic groups. Of those secluded in adult inpatient services during 2016, 44 percent were Māori.</w:t>
      </w:r>
    </w:p>
    <w:p w:rsidR="00A66EF5" w:rsidRPr="00666DF4" w:rsidRDefault="00A66EF5" w:rsidP="00A66EF5"/>
    <w:p w:rsidR="00A47CF6" w:rsidRPr="00666DF4" w:rsidRDefault="00A47CF6" w:rsidP="00A66EF5">
      <w:r w:rsidRPr="00666DF4">
        <w:t>Figure 24 shows seclusion indicators for Māori and non-Māori during 2016. Māori were secluded at a rate of 91.7 people per 100,000, and non-Māori at a rate of 19 people per 100,000 population.</w:t>
      </w:r>
    </w:p>
    <w:p w:rsidR="00A47CF6" w:rsidRPr="00666DF4" w:rsidRDefault="00A47CF6" w:rsidP="00A66EF5">
      <w:pPr>
        <w:rPr>
          <w:rFonts w:eastAsia="Century"/>
        </w:rPr>
      </w:pPr>
    </w:p>
    <w:p w:rsidR="00A47CF6" w:rsidRDefault="00A47CF6" w:rsidP="00A66EF5">
      <w:r w:rsidRPr="00666DF4">
        <w:t xml:space="preserve">Reducing and eventually eliminating the use of seclusion for Māori is a priority action in </w:t>
      </w:r>
      <w:r w:rsidRPr="00666DF4">
        <w:rPr>
          <w:rFonts w:eastAsia="Georgia" w:cs="Georgia"/>
          <w:i/>
        </w:rPr>
        <w:t xml:space="preserve">Rising to the Challenge </w:t>
      </w:r>
      <w:r w:rsidRPr="00666DF4">
        <w:t xml:space="preserve">(Ministry of Health 2012e) supported by </w:t>
      </w:r>
      <w:proofErr w:type="spellStart"/>
      <w:r w:rsidRPr="00666DF4">
        <w:t>Te</w:t>
      </w:r>
      <w:proofErr w:type="spellEnd"/>
      <w:r w:rsidRPr="00666DF4">
        <w:t xml:space="preserve"> </w:t>
      </w:r>
      <w:proofErr w:type="spellStart"/>
      <w:r w:rsidRPr="00666DF4">
        <w:t>Pou</w:t>
      </w:r>
      <w:proofErr w:type="spellEnd"/>
      <w:r w:rsidRPr="00666DF4">
        <w:t xml:space="preserve">. Information on initiatives and strategies for reducing the use of seclusion with Māori can be accessed on </w:t>
      </w:r>
      <w:proofErr w:type="spellStart"/>
      <w:r w:rsidRPr="00666DF4">
        <w:t>Te</w:t>
      </w:r>
      <w:proofErr w:type="spellEnd"/>
      <w:r w:rsidRPr="00666DF4">
        <w:t xml:space="preserve"> </w:t>
      </w:r>
      <w:proofErr w:type="spellStart"/>
      <w:r w:rsidRPr="00666DF4">
        <w:t>Pou</w:t>
      </w:r>
      <w:r w:rsidR="00BF25EC">
        <w:t>’</w:t>
      </w:r>
      <w:r w:rsidRPr="00666DF4">
        <w:t>s</w:t>
      </w:r>
      <w:proofErr w:type="spellEnd"/>
      <w:r w:rsidRPr="00666DF4">
        <w:t xml:space="preserve"> website (</w:t>
      </w:r>
      <w:hyperlink r:id="rId50" w:history="1">
        <w:r w:rsidR="00A66EF5" w:rsidRPr="009D36B5">
          <w:rPr>
            <w:rStyle w:val="Hyperlink"/>
          </w:rPr>
          <w:t>www.tepou.co.nz</w:t>
        </w:r>
      </w:hyperlink>
      <w:r w:rsidRPr="00666DF4">
        <w:t>).</w:t>
      </w:r>
    </w:p>
    <w:p w:rsidR="00A66EF5" w:rsidRPr="00666DF4" w:rsidRDefault="00A66EF5" w:rsidP="00A66EF5"/>
    <w:p w:rsidR="00A47CF6" w:rsidRDefault="00A47CF6" w:rsidP="00A66EF5">
      <w:pPr>
        <w:pStyle w:val="Figure"/>
      </w:pPr>
      <w:bookmarkStart w:id="146" w:name="_Toc508707348"/>
      <w:r w:rsidRPr="00666DF4">
        <w:t>Figure 24: Seclusion indicators for adult inpatient services, Māori and non-Māori, 1</w:t>
      </w:r>
      <w:r w:rsidR="00A66EF5">
        <w:t> </w:t>
      </w:r>
      <w:r w:rsidRPr="00666DF4">
        <w:t>January to 31 December 2016</w:t>
      </w:r>
      <w:bookmarkEnd w:id="146"/>
    </w:p>
    <w:p w:rsidR="00A66EF5" w:rsidRPr="00A66EF5" w:rsidRDefault="00A66EF5" w:rsidP="00A66EF5">
      <w:pPr>
        <w:rPr>
          <w:rFonts w:eastAsia="Georgia"/>
        </w:rPr>
      </w:pPr>
      <w:r>
        <w:rPr>
          <w:noProof/>
          <w:lang w:eastAsia="en-NZ"/>
        </w:rPr>
        <w:drawing>
          <wp:inline distT="0" distB="0" distL="0" distR="0" wp14:anchorId="36024091" wp14:editId="66682342">
            <wp:extent cx="4688378" cy="2303491"/>
            <wp:effectExtent l="0" t="0" r="0" b="1905"/>
            <wp:docPr id="82" name="Picture 82" title="Figure 24: Seclusion indicators for adult inpatient services, Māori and non-Māori,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grayscl/>
                    </a:blip>
                    <a:stretch>
                      <a:fillRect/>
                    </a:stretch>
                  </pic:blipFill>
                  <pic:spPr>
                    <a:xfrm>
                      <a:off x="0" y="0"/>
                      <a:ext cx="4692296" cy="2305416"/>
                    </a:xfrm>
                    <a:prstGeom prst="rect">
                      <a:avLst/>
                    </a:prstGeom>
                  </pic:spPr>
                </pic:pic>
              </a:graphicData>
            </a:graphic>
          </wp:inline>
        </w:drawing>
      </w:r>
    </w:p>
    <w:p w:rsidR="00A47CF6" w:rsidRPr="00666DF4" w:rsidRDefault="00A47CF6" w:rsidP="00A66EF5">
      <w:pPr>
        <w:pStyle w:val="Source"/>
        <w:rPr>
          <w:rFonts w:eastAsia="Arial" w:cs="Arial"/>
          <w:szCs w:val="18"/>
        </w:rPr>
      </w:pPr>
      <w:r w:rsidRPr="00666DF4">
        <w:t>Source: PRIMHD data, extracted on 27 July 2017. Auckland and Southern DHBs supplied data manually</w:t>
      </w:r>
      <w:r w:rsidR="00A66EF5">
        <w:t>.</w:t>
      </w:r>
    </w:p>
    <w:p w:rsidR="00A47CF6" w:rsidRPr="00666DF4" w:rsidRDefault="00A47CF6" w:rsidP="00A66EF5">
      <w:pPr>
        <w:rPr>
          <w:rFonts w:eastAsia="Arial"/>
        </w:rPr>
      </w:pPr>
    </w:p>
    <w:p w:rsidR="00A47CF6" w:rsidRPr="00666DF4" w:rsidRDefault="00A47CF6" w:rsidP="00A66EF5">
      <w:bookmarkStart w:id="147" w:name="Figure_25:_Percentage_of_people_secluded"/>
      <w:bookmarkStart w:id="148" w:name="Figure_26:_Number_of_Māori_and_non-Māori"/>
      <w:bookmarkStart w:id="149" w:name="_bookmark31"/>
      <w:bookmarkEnd w:id="147"/>
      <w:bookmarkEnd w:id="148"/>
      <w:bookmarkEnd w:id="149"/>
      <w:r w:rsidRPr="00666DF4">
        <w:t>Figure 25 shows the percentage of Māori and non-Māori male and female service users secluded in adult services in 2016. This figure indicates that a greater proportion of Māori were secluded than</w:t>
      </w:r>
      <w:r w:rsidR="00A66EF5">
        <w:t xml:space="preserve"> </w:t>
      </w:r>
      <w:r w:rsidRPr="00666DF4">
        <w:t>non-Māori and that across ethnicities males were more likely to be secluded (14 percent) than females (7 percent).</w:t>
      </w:r>
    </w:p>
    <w:p w:rsidR="00A47CF6" w:rsidRPr="00666DF4" w:rsidRDefault="00A47CF6" w:rsidP="00A66EF5">
      <w:pPr>
        <w:rPr>
          <w:rFonts w:eastAsia="Century"/>
        </w:rPr>
      </w:pPr>
    </w:p>
    <w:p w:rsidR="00A47CF6" w:rsidRPr="00666DF4" w:rsidRDefault="00A47CF6" w:rsidP="00A66EF5">
      <w:pPr>
        <w:pStyle w:val="Figure"/>
        <w:rPr>
          <w:rFonts w:eastAsia="Georgia" w:cs="Georgia"/>
          <w:szCs w:val="19"/>
        </w:rPr>
      </w:pPr>
      <w:bookmarkStart w:id="150" w:name="_Toc508707349"/>
      <w:r w:rsidRPr="00666DF4">
        <w:t>Figure 25: Percentage of people secluded in adult inpatient services, Māori and non-Māori males and females, 1 January to 31 December 2016</w:t>
      </w:r>
      <w:bookmarkEnd w:id="150"/>
    </w:p>
    <w:p w:rsidR="00A47CF6" w:rsidRPr="00666DF4" w:rsidRDefault="00A66EF5" w:rsidP="00A66EF5">
      <w:pPr>
        <w:rPr>
          <w:rFonts w:eastAsia="Georgia"/>
        </w:rPr>
      </w:pPr>
      <w:r>
        <w:rPr>
          <w:noProof/>
          <w:lang w:eastAsia="en-NZ"/>
        </w:rPr>
        <w:drawing>
          <wp:inline distT="0" distB="0" distL="0" distR="0" wp14:anchorId="6FA9B2E0" wp14:editId="26770E3D">
            <wp:extent cx="4688378" cy="2457821"/>
            <wp:effectExtent l="0" t="0" r="0" b="0"/>
            <wp:docPr id="83" name="Picture 83" title="Figure 25: Percentage of people secluded in adult inpatient services, Māori and non-Māori males and females,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grayscl/>
                    </a:blip>
                    <a:stretch>
                      <a:fillRect/>
                    </a:stretch>
                  </pic:blipFill>
                  <pic:spPr>
                    <a:xfrm>
                      <a:off x="0" y="0"/>
                      <a:ext cx="4690062" cy="2458704"/>
                    </a:xfrm>
                    <a:prstGeom prst="rect">
                      <a:avLst/>
                    </a:prstGeom>
                  </pic:spPr>
                </pic:pic>
              </a:graphicData>
            </a:graphic>
          </wp:inline>
        </w:drawing>
      </w:r>
    </w:p>
    <w:p w:rsidR="00A47CF6" w:rsidRPr="00666DF4" w:rsidRDefault="00A47CF6" w:rsidP="00A66EF5">
      <w:pPr>
        <w:pStyle w:val="Source"/>
        <w:rPr>
          <w:rFonts w:eastAsia="Arial" w:cs="Arial"/>
          <w:szCs w:val="19"/>
        </w:rPr>
      </w:pPr>
      <w:r w:rsidRPr="00666DF4">
        <w:t>Source: PRIMHD data, extracted on 27 July 2017. Auckland and Southern DHBs supplied data manually</w:t>
      </w:r>
      <w:r w:rsidR="00A66EF5">
        <w:t>.</w:t>
      </w:r>
    </w:p>
    <w:p w:rsidR="00A47CF6" w:rsidRPr="00666DF4" w:rsidRDefault="00A47CF6" w:rsidP="00A66EF5">
      <w:pPr>
        <w:rPr>
          <w:rFonts w:eastAsia="Arial"/>
        </w:rPr>
      </w:pPr>
    </w:p>
    <w:p w:rsidR="00A47CF6" w:rsidRPr="00666DF4" w:rsidRDefault="00A47CF6" w:rsidP="00A66EF5">
      <w:r w:rsidRPr="00666DF4">
        <w:t>Figure 26 shows the proportion of Māori aged 20–64 years secluded in adult inpatient services from 2007 to 2016. Nationally over this time, the number of people secluded decreased by 30</w:t>
      </w:r>
      <w:r w:rsidR="00A66EF5">
        <w:t> </w:t>
      </w:r>
      <w:r w:rsidRPr="00666DF4">
        <w:t>percent. The number of people secluded who identified as Māori decreased by 9 percent over the same time.</w:t>
      </w:r>
    </w:p>
    <w:p w:rsidR="00A47CF6" w:rsidRPr="00666DF4" w:rsidRDefault="00A47CF6" w:rsidP="00A66EF5">
      <w:pPr>
        <w:rPr>
          <w:rFonts w:eastAsia="Century"/>
        </w:rPr>
      </w:pPr>
    </w:p>
    <w:p w:rsidR="00A47CF6" w:rsidRPr="00666DF4" w:rsidRDefault="00A47CF6" w:rsidP="00A66EF5">
      <w:pPr>
        <w:pStyle w:val="Figure"/>
        <w:rPr>
          <w:rFonts w:eastAsia="Georgia"/>
        </w:rPr>
      </w:pPr>
      <w:bookmarkStart w:id="151" w:name="_Toc508707350"/>
      <w:r w:rsidRPr="00666DF4">
        <w:rPr>
          <w:rFonts w:eastAsia="Georgia"/>
        </w:rPr>
        <w:t>Figure 26: Number of Māori and non-Māori secluded in adult inpatient services</w:t>
      </w:r>
      <w:proofErr w:type="gramStart"/>
      <w:r w:rsidRPr="00666DF4">
        <w:rPr>
          <w:rFonts w:eastAsia="Georgia"/>
        </w:rPr>
        <w:t>,</w:t>
      </w:r>
      <w:proofErr w:type="gramEnd"/>
      <w:r w:rsidR="00A66EF5">
        <w:rPr>
          <w:rFonts w:eastAsia="Georgia"/>
        </w:rPr>
        <w:br/>
      </w:r>
      <w:r w:rsidRPr="00666DF4">
        <w:rPr>
          <w:rFonts w:eastAsia="Georgia"/>
        </w:rPr>
        <w:t>2007–2016</w:t>
      </w:r>
      <w:bookmarkEnd w:id="151"/>
    </w:p>
    <w:p w:rsidR="00A47CF6" w:rsidRPr="00666DF4" w:rsidRDefault="00A66EF5" w:rsidP="00A66EF5">
      <w:pPr>
        <w:rPr>
          <w:rFonts w:eastAsia="Georgia"/>
        </w:rPr>
      </w:pPr>
      <w:r>
        <w:rPr>
          <w:noProof/>
          <w:lang w:eastAsia="en-NZ"/>
        </w:rPr>
        <w:drawing>
          <wp:inline distT="0" distB="0" distL="0" distR="0" wp14:anchorId="43CCCA74" wp14:editId="227F9EF5">
            <wp:extent cx="4688378" cy="2216614"/>
            <wp:effectExtent l="0" t="0" r="0" b="0"/>
            <wp:docPr id="84" name="Picture 84" title="Figure 26: Number of Māori and non-Māori secluded in adult inpati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blip>
                    <a:stretch>
                      <a:fillRect/>
                    </a:stretch>
                  </pic:blipFill>
                  <pic:spPr>
                    <a:xfrm>
                      <a:off x="0" y="0"/>
                      <a:ext cx="4686639" cy="2215792"/>
                    </a:xfrm>
                    <a:prstGeom prst="rect">
                      <a:avLst/>
                    </a:prstGeom>
                  </pic:spPr>
                </pic:pic>
              </a:graphicData>
            </a:graphic>
          </wp:inline>
        </w:drawing>
      </w:r>
    </w:p>
    <w:p w:rsidR="00A47CF6" w:rsidRPr="00666DF4" w:rsidRDefault="00A47CF6" w:rsidP="00A66EF5">
      <w:pPr>
        <w:pStyle w:val="Source"/>
        <w:rPr>
          <w:rFonts w:eastAsia="Arial" w:cs="Arial"/>
          <w:szCs w:val="18"/>
        </w:rPr>
      </w:pPr>
      <w:r w:rsidRPr="00666DF4">
        <w:t>Source: PRIMHD data, extracted on 27 July 2017. Auckland and Southern DHBs supplied data manually</w:t>
      </w:r>
      <w:r w:rsidR="00A66EF5">
        <w:t>.</w:t>
      </w:r>
    </w:p>
    <w:p w:rsidR="00A47CF6" w:rsidRPr="00666DF4" w:rsidRDefault="00A47CF6" w:rsidP="00A66EF5">
      <w:pPr>
        <w:rPr>
          <w:rFonts w:eastAsia="Arial"/>
        </w:rPr>
      </w:pPr>
    </w:p>
    <w:p w:rsidR="00A47CF6" w:rsidRPr="00666DF4" w:rsidRDefault="00A47CF6" w:rsidP="00A66EF5">
      <w:pPr>
        <w:pStyle w:val="Heading3"/>
        <w:rPr>
          <w:bCs/>
        </w:rPr>
      </w:pPr>
      <w:r w:rsidRPr="00666DF4">
        <w:t>Seclusion in forensic units</w:t>
      </w:r>
    </w:p>
    <w:p w:rsidR="00A47CF6" w:rsidRPr="00666DF4" w:rsidRDefault="00A47CF6" w:rsidP="00A66EF5">
      <w:r w:rsidRPr="00666DF4">
        <w:t xml:space="preserve">Five DHBs provide specialist inpatient forensic services: Canterbury, Capital &amp; Coast, Southern, Waikato and </w:t>
      </w:r>
      <w:proofErr w:type="spellStart"/>
      <w:r w:rsidRPr="00666DF4">
        <w:t>Waitemata</w:t>
      </w:r>
      <w:proofErr w:type="spellEnd"/>
      <w:r w:rsidRPr="00666DF4">
        <w:t xml:space="preserve">. There is a smaller inpatient forensic service in </w:t>
      </w:r>
      <w:proofErr w:type="spellStart"/>
      <w:r w:rsidRPr="00666DF4">
        <w:t>Whanganui</w:t>
      </w:r>
      <w:proofErr w:type="spellEnd"/>
      <w:r w:rsidRPr="00666DF4">
        <w:t>.</w:t>
      </w:r>
      <w:r w:rsidR="00A66EF5">
        <w:rPr>
          <w:rStyle w:val="FootnoteReference"/>
        </w:rPr>
        <w:footnoteReference w:id="25"/>
      </w:r>
      <w:r w:rsidR="00A66EF5">
        <w:t xml:space="preserve"> </w:t>
      </w:r>
      <w:r w:rsidRPr="00666DF4">
        <w:t>These services provide mental health treatment in a secure environment for prisoners with</w:t>
      </w:r>
      <w:r w:rsidR="00BF25EC">
        <w:t xml:space="preserve"> </w:t>
      </w:r>
      <w:r w:rsidRPr="00666DF4">
        <w:t>mental disorders, and for people defined as special or restricted patients under the Mental Health Act.</w:t>
      </w:r>
    </w:p>
    <w:p w:rsidR="00A66EF5" w:rsidRDefault="00A66EF5" w:rsidP="00A66EF5">
      <w:bookmarkStart w:id="152" w:name="Table_5:_Seclusion_indicators_for_forens"/>
      <w:bookmarkStart w:id="153" w:name="Special_and_restricted_patients"/>
      <w:bookmarkStart w:id="154" w:name="_bookmark32"/>
      <w:bookmarkEnd w:id="152"/>
      <w:bookmarkEnd w:id="153"/>
      <w:bookmarkEnd w:id="154"/>
    </w:p>
    <w:p w:rsidR="00A47CF6" w:rsidRDefault="006C4C54" w:rsidP="00A66EF5">
      <w:r>
        <w:t>Some f</w:t>
      </w:r>
      <w:r w:rsidR="00A47CF6" w:rsidRPr="00666DF4">
        <w:t>orensic services also provide care for people defined as care recipients or special care recipients under the Intellectual Disability (Compulsory Care and Rehabilitation) Act 2003 (IDCC&amp;R Act). These services are delivered in specialised intellectual disability units for people with intellectual disabilities who are subject to a compulsory care order under the IDCC&amp;R Act.</w:t>
      </w:r>
    </w:p>
    <w:p w:rsidR="006C4C54" w:rsidRDefault="006C4C54" w:rsidP="00A66EF5"/>
    <w:p w:rsidR="006C4C54" w:rsidRPr="00666DF4" w:rsidRDefault="006C4C54" w:rsidP="00A66EF5">
      <w:r w:rsidRPr="006C4C54">
        <w:t>Care recipients under the IDCC&amp;R Act can also be subject to seclusion. As they often receive treatment in a forensic mental health service, seclusion indicators relevant to these service users is sometimes reported via PRIMHD and is indistinguishable from forensic mental health service user seclusion data. The Office is actively working with Disability Support Services and DHBs to amend this situation with the aim to report IDCC&amp;R Act seclusion data separately from forensic mental health service user data i</w:t>
      </w:r>
      <w:r>
        <w:t xml:space="preserve">n future reports. </w:t>
      </w:r>
    </w:p>
    <w:p w:rsidR="00A47CF6" w:rsidRPr="00666DF4" w:rsidRDefault="00A47CF6" w:rsidP="00A66EF5">
      <w:pPr>
        <w:rPr>
          <w:rFonts w:eastAsia="Century"/>
        </w:rPr>
      </w:pPr>
    </w:p>
    <w:p w:rsidR="00A47CF6" w:rsidRPr="00666DF4" w:rsidRDefault="00A47CF6" w:rsidP="00A66EF5">
      <w:r w:rsidRPr="00666DF4">
        <w:t>As opposed to previous reports, we are now able to report on seclusion data for those under the IDCC&amp;R Act separately to patients under the Mental Health Act. To produce the data for this report, data was manually collected and analysed (see Appendix 3)</w:t>
      </w:r>
      <w:r w:rsidR="00B711D7">
        <w:t xml:space="preserve"> and </w:t>
      </w:r>
      <w:r w:rsidR="00B711D7" w:rsidRPr="00B711D7">
        <w:t xml:space="preserve">should not be compared directly with </w:t>
      </w:r>
      <w:r w:rsidR="00B711D7">
        <w:t>data presented below in table 5</w:t>
      </w:r>
      <w:r w:rsidRPr="00666DF4">
        <w:t xml:space="preserve">. </w:t>
      </w:r>
      <w:r w:rsidR="00EA28A9" w:rsidRPr="00EA28A9">
        <w:t>In future, data on IDCC&amp;R Act clients (special care recipients and care recipi</w:t>
      </w:r>
      <w:r w:rsidR="00EA28A9">
        <w:t>ents) will be captured in PRIMH</w:t>
      </w:r>
      <w:r w:rsidR="00EA28A9" w:rsidRPr="00EA28A9">
        <w:t xml:space="preserve">D and </w:t>
      </w:r>
      <w:r w:rsidR="00EA28A9">
        <w:t xml:space="preserve">it </w:t>
      </w:r>
      <w:r w:rsidR="00EA28A9" w:rsidRPr="00EA28A9">
        <w:t>will be possible to run an automated report of seclusion data for people placed under the IDCC&amp;R Act.</w:t>
      </w:r>
      <w:r w:rsidR="00EA28A9">
        <w:t>\</w:t>
      </w:r>
      <w:r w:rsidRPr="00666DF4">
        <w:t>.</w:t>
      </w:r>
    </w:p>
    <w:p w:rsidR="00A47CF6" w:rsidRPr="00666DF4" w:rsidRDefault="00A47CF6" w:rsidP="00A66EF5">
      <w:pPr>
        <w:rPr>
          <w:rFonts w:eastAsia="Century"/>
        </w:rPr>
      </w:pPr>
    </w:p>
    <w:p w:rsidR="00A47CF6" w:rsidRDefault="00EA28A9" w:rsidP="00A66EF5">
      <w:r w:rsidRPr="00EA28A9">
        <w:t>In 2016, forensic services placed 112 people in seclusion in a total of 511 seclusion events. The average duration of a seclusion event in a forensic service was 30.9 hours in 2016.</w:t>
      </w:r>
    </w:p>
    <w:p w:rsidR="00EA28A9" w:rsidRPr="00666DF4" w:rsidRDefault="00EA28A9" w:rsidP="00A66EF5">
      <w:pPr>
        <w:rPr>
          <w:rFonts w:eastAsia="Century"/>
        </w:rPr>
      </w:pPr>
    </w:p>
    <w:p w:rsidR="00A47CF6" w:rsidRPr="00666DF4" w:rsidRDefault="00A47CF6" w:rsidP="00A66EF5">
      <w:r w:rsidRPr="00666DF4">
        <w:t>Table 5 presents seclusion indicators for the 2016 calendar year. These indicators cannot be compared with adult service indicators because they do not reflect the same client base. The rates of seclusion for the relatively small group of people in the care of forensic services can be affected by individuals who were secluded significantly more often or for longer than others.</w:t>
      </w:r>
    </w:p>
    <w:p w:rsidR="00A47CF6" w:rsidRPr="00666DF4" w:rsidRDefault="00A47CF6" w:rsidP="00EA28A9">
      <w:pPr>
        <w:pStyle w:val="Table"/>
        <w:spacing w:line="360" w:lineRule="auto"/>
        <w:rPr>
          <w:rFonts w:eastAsia="Georgia" w:cs="Georgia"/>
          <w:szCs w:val="19"/>
        </w:rPr>
      </w:pPr>
      <w:bookmarkStart w:id="155" w:name="_Toc508707303"/>
      <w:r w:rsidRPr="00666DF4">
        <w:t xml:space="preserve">Table 5: Seclusion indicators for forensic </w:t>
      </w:r>
      <w:r w:rsidR="00065BDE">
        <w:t xml:space="preserve">mental health </w:t>
      </w:r>
      <w:r w:rsidRPr="00666DF4">
        <w:t>services</w:t>
      </w:r>
      <w:r w:rsidR="00EA28A9">
        <w:t>*</w:t>
      </w:r>
      <w:r w:rsidRPr="00666DF4">
        <w:t>, by DHB, 1</w:t>
      </w:r>
      <w:r w:rsidR="00A66EF5">
        <w:t> </w:t>
      </w:r>
      <w:r w:rsidRPr="00666DF4">
        <w:t>January to 31 December 2016</w:t>
      </w:r>
      <w:bookmarkEnd w:id="155"/>
    </w:p>
    <w:tbl>
      <w:tblPr>
        <w:tblW w:w="0" w:type="auto"/>
        <w:tblInd w:w="57" w:type="dxa"/>
        <w:tblLayout w:type="fixed"/>
        <w:tblCellMar>
          <w:left w:w="57" w:type="dxa"/>
          <w:right w:w="57" w:type="dxa"/>
        </w:tblCellMar>
        <w:tblLook w:val="01E0" w:firstRow="1" w:lastRow="1" w:firstColumn="1" w:lastColumn="1" w:noHBand="0" w:noVBand="0"/>
      </w:tblPr>
      <w:tblGrid>
        <w:gridCol w:w="1566"/>
        <w:gridCol w:w="2669"/>
        <w:gridCol w:w="1908"/>
        <w:gridCol w:w="3248"/>
      </w:tblGrid>
      <w:tr w:rsidR="00A47CF6" w:rsidRPr="00A66EF5" w:rsidTr="00A66EF5">
        <w:trPr>
          <w:cantSplit/>
        </w:trPr>
        <w:tc>
          <w:tcPr>
            <w:tcW w:w="1566" w:type="dxa"/>
            <w:tcBorders>
              <w:top w:val="single" w:sz="4" w:space="0" w:color="000000"/>
              <w:left w:val="nil"/>
              <w:bottom w:val="single" w:sz="4" w:space="0" w:color="000000"/>
              <w:right w:val="nil"/>
            </w:tcBorders>
          </w:tcPr>
          <w:p w:rsidR="00A47CF6" w:rsidRPr="00A66EF5" w:rsidRDefault="00A47CF6" w:rsidP="00A66EF5">
            <w:pPr>
              <w:pStyle w:val="TableText"/>
              <w:keepNext/>
              <w:rPr>
                <w:rFonts w:eastAsia="Arial" w:cs="Arial"/>
                <w:b/>
                <w:szCs w:val="19"/>
              </w:rPr>
            </w:pPr>
            <w:r w:rsidRPr="00A66EF5">
              <w:rPr>
                <w:b/>
              </w:rPr>
              <w:t>DHB</w:t>
            </w:r>
          </w:p>
        </w:tc>
        <w:tc>
          <w:tcPr>
            <w:tcW w:w="2669" w:type="dxa"/>
            <w:tcBorders>
              <w:top w:val="single" w:sz="4" w:space="0" w:color="000000"/>
              <w:left w:val="nil"/>
              <w:bottom w:val="single" w:sz="4" w:space="0" w:color="000000"/>
              <w:right w:val="nil"/>
            </w:tcBorders>
          </w:tcPr>
          <w:p w:rsidR="00A47CF6" w:rsidRPr="00A66EF5" w:rsidRDefault="00A47CF6" w:rsidP="009A08B5">
            <w:pPr>
              <w:pStyle w:val="TableText"/>
              <w:keepNext/>
              <w:jc w:val="center"/>
              <w:rPr>
                <w:rFonts w:eastAsia="Arial" w:cs="Arial"/>
                <w:b/>
                <w:szCs w:val="18"/>
              </w:rPr>
            </w:pPr>
            <w:r w:rsidRPr="00A66EF5">
              <w:rPr>
                <w:b/>
              </w:rPr>
              <w:t>Number of clients secluded</w:t>
            </w:r>
          </w:p>
        </w:tc>
        <w:tc>
          <w:tcPr>
            <w:tcW w:w="1908" w:type="dxa"/>
            <w:tcBorders>
              <w:top w:val="single" w:sz="4" w:space="0" w:color="000000"/>
              <w:left w:val="nil"/>
              <w:bottom w:val="single" w:sz="4" w:space="0" w:color="000000"/>
              <w:right w:val="nil"/>
            </w:tcBorders>
          </w:tcPr>
          <w:p w:rsidR="00A47CF6" w:rsidRPr="00A66EF5" w:rsidRDefault="00A47CF6" w:rsidP="009A08B5">
            <w:pPr>
              <w:pStyle w:val="TableText"/>
              <w:keepNext/>
              <w:jc w:val="center"/>
              <w:rPr>
                <w:rFonts w:eastAsia="Arial" w:cs="Arial"/>
                <w:b/>
                <w:szCs w:val="18"/>
              </w:rPr>
            </w:pPr>
            <w:r w:rsidRPr="00A66EF5">
              <w:rPr>
                <w:b/>
              </w:rPr>
              <w:t>Number of events</w:t>
            </w:r>
          </w:p>
        </w:tc>
        <w:tc>
          <w:tcPr>
            <w:tcW w:w="3248" w:type="dxa"/>
            <w:tcBorders>
              <w:top w:val="single" w:sz="4" w:space="0" w:color="000000"/>
              <w:left w:val="nil"/>
              <w:bottom w:val="single" w:sz="4" w:space="0" w:color="000000"/>
              <w:right w:val="nil"/>
            </w:tcBorders>
          </w:tcPr>
          <w:p w:rsidR="00A47CF6" w:rsidRPr="00A66EF5" w:rsidRDefault="00A47CF6" w:rsidP="009A08B5">
            <w:pPr>
              <w:pStyle w:val="TableText"/>
              <w:keepNext/>
              <w:jc w:val="center"/>
              <w:rPr>
                <w:rFonts w:eastAsia="Arial" w:cs="Arial"/>
                <w:b/>
                <w:szCs w:val="18"/>
              </w:rPr>
            </w:pPr>
            <w:r w:rsidRPr="00A66EF5">
              <w:rPr>
                <w:b/>
              </w:rPr>
              <w:t>Average duration per event (hours)</w:t>
            </w:r>
          </w:p>
        </w:tc>
      </w:tr>
      <w:tr w:rsidR="00A47CF6" w:rsidRPr="00666DF4" w:rsidTr="00760F51">
        <w:trPr>
          <w:cantSplit/>
        </w:trPr>
        <w:tc>
          <w:tcPr>
            <w:tcW w:w="1566" w:type="dxa"/>
            <w:tcBorders>
              <w:top w:val="single" w:sz="4" w:space="0" w:color="000000"/>
              <w:left w:val="nil"/>
              <w:right w:val="nil"/>
            </w:tcBorders>
          </w:tcPr>
          <w:p w:rsidR="00A47CF6" w:rsidRPr="00666DF4" w:rsidRDefault="00A47CF6" w:rsidP="00A66EF5">
            <w:pPr>
              <w:pStyle w:val="TableText"/>
              <w:rPr>
                <w:rFonts w:eastAsia="Arial" w:cs="Arial"/>
                <w:szCs w:val="19"/>
              </w:rPr>
            </w:pPr>
            <w:r w:rsidRPr="00666DF4">
              <w:t>Canterbury</w:t>
            </w:r>
          </w:p>
        </w:tc>
        <w:tc>
          <w:tcPr>
            <w:tcW w:w="2669" w:type="dxa"/>
            <w:tcBorders>
              <w:top w:val="single" w:sz="4" w:space="0" w:color="000000"/>
              <w:left w:val="nil"/>
              <w:right w:val="nil"/>
            </w:tcBorders>
          </w:tcPr>
          <w:p w:rsidR="00A47CF6" w:rsidRPr="00666DF4" w:rsidRDefault="00A47CF6" w:rsidP="00760F51">
            <w:pPr>
              <w:pStyle w:val="TableText"/>
              <w:tabs>
                <w:tab w:val="decimal" w:pos="1401"/>
              </w:tabs>
              <w:rPr>
                <w:rFonts w:eastAsia="Arial" w:cs="Arial"/>
                <w:szCs w:val="19"/>
              </w:rPr>
            </w:pPr>
            <w:r w:rsidRPr="00666DF4">
              <w:t>18</w:t>
            </w:r>
          </w:p>
        </w:tc>
        <w:tc>
          <w:tcPr>
            <w:tcW w:w="1908" w:type="dxa"/>
            <w:tcBorders>
              <w:top w:val="single" w:sz="4" w:space="0" w:color="000000"/>
              <w:left w:val="nil"/>
              <w:right w:val="nil"/>
            </w:tcBorders>
          </w:tcPr>
          <w:p w:rsidR="00A47CF6" w:rsidRPr="00666DF4" w:rsidRDefault="00A47CF6" w:rsidP="00760F51">
            <w:pPr>
              <w:pStyle w:val="TableText"/>
              <w:tabs>
                <w:tab w:val="decimal" w:pos="1088"/>
              </w:tabs>
              <w:rPr>
                <w:rFonts w:eastAsia="Arial" w:cs="Arial"/>
                <w:szCs w:val="19"/>
              </w:rPr>
            </w:pPr>
            <w:r w:rsidRPr="00666DF4">
              <w:t>140</w:t>
            </w:r>
          </w:p>
        </w:tc>
        <w:tc>
          <w:tcPr>
            <w:tcW w:w="3248" w:type="dxa"/>
            <w:tcBorders>
              <w:top w:val="single" w:sz="4" w:space="0" w:color="000000"/>
              <w:left w:val="nil"/>
              <w:right w:val="nil"/>
            </w:tcBorders>
          </w:tcPr>
          <w:p w:rsidR="00A47CF6" w:rsidRPr="00666DF4" w:rsidRDefault="00A47CF6" w:rsidP="00760F51">
            <w:pPr>
              <w:pStyle w:val="TableText"/>
              <w:tabs>
                <w:tab w:val="decimal" w:pos="1458"/>
              </w:tabs>
              <w:rPr>
                <w:rFonts w:eastAsia="Arial" w:cs="Arial"/>
                <w:szCs w:val="19"/>
              </w:rPr>
            </w:pPr>
            <w:r w:rsidRPr="00666DF4">
              <w:t>35.3</w:t>
            </w:r>
          </w:p>
        </w:tc>
      </w:tr>
      <w:tr w:rsidR="00A47CF6" w:rsidRPr="00666DF4" w:rsidTr="00760F51">
        <w:trPr>
          <w:cantSplit/>
        </w:trPr>
        <w:tc>
          <w:tcPr>
            <w:tcW w:w="1566" w:type="dxa"/>
            <w:tcBorders>
              <w:left w:val="nil"/>
              <w:right w:val="nil"/>
            </w:tcBorders>
          </w:tcPr>
          <w:p w:rsidR="00A47CF6" w:rsidRPr="00666DF4" w:rsidRDefault="00A47CF6" w:rsidP="00A66EF5">
            <w:pPr>
              <w:pStyle w:val="TableText"/>
              <w:rPr>
                <w:rFonts w:eastAsia="Arial" w:cs="Arial"/>
                <w:szCs w:val="19"/>
              </w:rPr>
            </w:pPr>
            <w:r w:rsidRPr="00666DF4">
              <w:t>Capital &amp; Coast</w:t>
            </w:r>
          </w:p>
        </w:tc>
        <w:tc>
          <w:tcPr>
            <w:tcW w:w="2669" w:type="dxa"/>
            <w:tcBorders>
              <w:left w:val="nil"/>
              <w:right w:val="nil"/>
            </w:tcBorders>
          </w:tcPr>
          <w:p w:rsidR="00A47CF6" w:rsidRPr="00666DF4" w:rsidRDefault="00065BDE" w:rsidP="00760F51">
            <w:pPr>
              <w:pStyle w:val="TableText"/>
              <w:tabs>
                <w:tab w:val="decimal" w:pos="1401"/>
              </w:tabs>
              <w:rPr>
                <w:rFonts w:eastAsia="Arial" w:cs="Arial"/>
                <w:szCs w:val="19"/>
              </w:rPr>
            </w:pPr>
            <w:r>
              <w:t>9</w:t>
            </w:r>
          </w:p>
        </w:tc>
        <w:tc>
          <w:tcPr>
            <w:tcW w:w="1908" w:type="dxa"/>
            <w:tcBorders>
              <w:left w:val="nil"/>
              <w:right w:val="nil"/>
            </w:tcBorders>
          </w:tcPr>
          <w:p w:rsidR="00A47CF6" w:rsidRPr="00666DF4" w:rsidRDefault="00065BDE" w:rsidP="00760F51">
            <w:pPr>
              <w:pStyle w:val="TableText"/>
              <w:tabs>
                <w:tab w:val="decimal" w:pos="1088"/>
              </w:tabs>
              <w:rPr>
                <w:rFonts w:eastAsia="Arial" w:cs="Arial"/>
                <w:szCs w:val="19"/>
              </w:rPr>
            </w:pPr>
            <w:r>
              <w:t>30</w:t>
            </w:r>
          </w:p>
        </w:tc>
        <w:tc>
          <w:tcPr>
            <w:tcW w:w="3248" w:type="dxa"/>
            <w:tcBorders>
              <w:left w:val="nil"/>
              <w:right w:val="nil"/>
            </w:tcBorders>
          </w:tcPr>
          <w:p w:rsidR="00A47CF6" w:rsidRPr="00666DF4" w:rsidRDefault="00A47CF6" w:rsidP="00065BDE">
            <w:pPr>
              <w:pStyle w:val="TableText"/>
              <w:tabs>
                <w:tab w:val="decimal" w:pos="1458"/>
              </w:tabs>
              <w:rPr>
                <w:rFonts w:eastAsia="Arial" w:cs="Arial"/>
                <w:szCs w:val="19"/>
              </w:rPr>
            </w:pPr>
            <w:r w:rsidRPr="00666DF4">
              <w:t>14.</w:t>
            </w:r>
            <w:r w:rsidR="00065BDE">
              <w:t>5</w:t>
            </w:r>
          </w:p>
        </w:tc>
      </w:tr>
      <w:tr w:rsidR="00A47CF6" w:rsidRPr="00666DF4" w:rsidTr="00760F51">
        <w:trPr>
          <w:cantSplit/>
        </w:trPr>
        <w:tc>
          <w:tcPr>
            <w:tcW w:w="1566" w:type="dxa"/>
            <w:tcBorders>
              <w:left w:val="nil"/>
              <w:right w:val="nil"/>
            </w:tcBorders>
          </w:tcPr>
          <w:p w:rsidR="00A47CF6" w:rsidRPr="00666DF4" w:rsidRDefault="00A47CF6" w:rsidP="00A66EF5">
            <w:pPr>
              <w:pStyle w:val="TableText"/>
              <w:rPr>
                <w:rFonts w:eastAsia="Arial" w:cs="Arial"/>
                <w:szCs w:val="19"/>
              </w:rPr>
            </w:pPr>
            <w:r w:rsidRPr="00666DF4">
              <w:t>Southern</w:t>
            </w:r>
          </w:p>
        </w:tc>
        <w:tc>
          <w:tcPr>
            <w:tcW w:w="2669" w:type="dxa"/>
            <w:tcBorders>
              <w:left w:val="nil"/>
              <w:right w:val="nil"/>
            </w:tcBorders>
          </w:tcPr>
          <w:p w:rsidR="00A47CF6" w:rsidRPr="00666DF4" w:rsidRDefault="00A47CF6" w:rsidP="00760F51">
            <w:pPr>
              <w:pStyle w:val="TableText"/>
              <w:tabs>
                <w:tab w:val="decimal" w:pos="1401"/>
              </w:tabs>
              <w:rPr>
                <w:rFonts w:eastAsia="Arial" w:cs="Arial"/>
                <w:szCs w:val="19"/>
              </w:rPr>
            </w:pPr>
            <w:r w:rsidRPr="00666DF4">
              <w:t>19</w:t>
            </w:r>
          </w:p>
        </w:tc>
        <w:tc>
          <w:tcPr>
            <w:tcW w:w="1908" w:type="dxa"/>
            <w:tcBorders>
              <w:left w:val="nil"/>
              <w:right w:val="nil"/>
            </w:tcBorders>
          </w:tcPr>
          <w:p w:rsidR="00A47CF6" w:rsidRPr="00666DF4" w:rsidRDefault="00A47CF6" w:rsidP="00760F51">
            <w:pPr>
              <w:pStyle w:val="TableText"/>
              <w:tabs>
                <w:tab w:val="decimal" w:pos="1088"/>
              </w:tabs>
              <w:rPr>
                <w:rFonts w:eastAsia="Arial" w:cs="Arial"/>
                <w:szCs w:val="19"/>
              </w:rPr>
            </w:pPr>
            <w:r w:rsidRPr="00666DF4">
              <w:t>67</w:t>
            </w:r>
          </w:p>
        </w:tc>
        <w:tc>
          <w:tcPr>
            <w:tcW w:w="3248" w:type="dxa"/>
            <w:tcBorders>
              <w:left w:val="nil"/>
              <w:right w:val="nil"/>
            </w:tcBorders>
          </w:tcPr>
          <w:p w:rsidR="00A47CF6" w:rsidRPr="00666DF4" w:rsidRDefault="00A47CF6" w:rsidP="00760F51">
            <w:pPr>
              <w:pStyle w:val="TableText"/>
              <w:tabs>
                <w:tab w:val="decimal" w:pos="1458"/>
              </w:tabs>
              <w:rPr>
                <w:rFonts w:eastAsia="Arial" w:cs="Arial"/>
                <w:szCs w:val="19"/>
              </w:rPr>
            </w:pPr>
            <w:r w:rsidRPr="00666DF4">
              <w:t>70.2</w:t>
            </w:r>
          </w:p>
        </w:tc>
      </w:tr>
      <w:tr w:rsidR="00A47CF6" w:rsidRPr="00666DF4" w:rsidTr="00760F51">
        <w:trPr>
          <w:cantSplit/>
        </w:trPr>
        <w:tc>
          <w:tcPr>
            <w:tcW w:w="1566" w:type="dxa"/>
            <w:tcBorders>
              <w:left w:val="nil"/>
              <w:right w:val="nil"/>
            </w:tcBorders>
          </w:tcPr>
          <w:p w:rsidR="00A47CF6" w:rsidRPr="00666DF4" w:rsidRDefault="00A47CF6" w:rsidP="00A66EF5">
            <w:pPr>
              <w:pStyle w:val="TableText"/>
              <w:rPr>
                <w:rFonts w:eastAsia="Arial" w:cs="Arial"/>
                <w:szCs w:val="19"/>
              </w:rPr>
            </w:pPr>
            <w:r w:rsidRPr="00666DF4">
              <w:t>Waikato</w:t>
            </w:r>
          </w:p>
        </w:tc>
        <w:tc>
          <w:tcPr>
            <w:tcW w:w="2669" w:type="dxa"/>
            <w:tcBorders>
              <w:left w:val="nil"/>
              <w:right w:val="nil"/>
            </w:tcBorders>
          </w:tcPr>
          <w:p w:rsidR="00A47CF6" w:rsidRPr="00666DF4" w:rsidRDefault="00A47CF6" w:rsidP="00760F51">
            <w:pPr>
              <w:pStyle w:val="TableText"/>
              <w:tabs>
                <w:tab w:val="decimal" w:pos="1401"/>
              </w:tabs>
              <w:rPr>
                <w:rFonts w:eastAsia="Arial" w:cs="Arial"/>
                <w:szCs w:val="19"/>
              </w:rPr>
            </w:pPr>
            <w:r w:rsidRPr="00666DF4">
              <w:t>18</w:t>
            </w:r>
          </w:p>
        </w:tc>
        <w:tc>
          <w:tcPr>
            <w:tcW w:w="1908" w:type="dxa"/>
            <w:tcBorders>
              <w:left w:val="nil"/>
              <w:right w:val="nil"/>
            </w:tcBorders>
          </w:tcPr>
          <w:p w:rsidR="00A47CF6" w:rsidRPr="00666DF4" w:rsidRDefault="00A47CF6" w:rsidP="00760F51">
            <w:pPr>
              <w:pStyle w:val="TableText"/>
              <w:tabs>
                <w:tab w:val="decimal" w:pos="1088"/>
              </w:tabs>
              <w:rPr>
                <w:rFonts w:eastAsia="Arial" w:cs="Arial"/>
                <w:szCs w:val="19"/>
              </w:rPr>
            </w:pPr>
            <w:r w:rsidRPr="00666DF4">
              <w:t>49</w:t>
            </w:r>
          </w:p>
        </w:tc>
        <w:tc>
          <w:tcPr>
            <w:tcW w:w="3248" w:type="dxa"/>
            <w:tcBorders>
              <w:left w:val="nil"/>
              <w:right w:val="nil"/>
            </w:tcBorders>
          </w:tcPr>
          <w:p w:rsidR="00A47CF6" w:rsidRPr="00666DF4" w:rsidRDefault="00A47CF6" w:rsidP="00760F51">
            <w:pPr>
              <w:pStyle w:val="TableText"/>
              <w:tabs>
                <w:tab w:val="decimal" w:pos="1458"/>
              </w:tabs>
              <w:rPr>
                <w:rFonts w:eastAsia="Arial" w:cs="Arial"/>
                <w:szCs w:val="19"/>
              </w:rPr>
            </w:pPr>
            <w:r w:rsidRPr="00666DF4">
              <w:t>66.0</w:t>
            </w:r>
          </w:p>
        </w:tc>
      </w:tr>
      <w:tr w:rsidR="00A47CF6" w:rsidRPr="00666DF4" w:rsidTr="00760F51">
        <w:trPr>
          <w:cantSplit/>
        </w:trPr>
        <w:tc>
          <w:tcPr>
            <w:tcW w:w="1566" w:type="dxa"/>
            <w:tcBorders>
              <w:left w:val="nil"/>
              <w:right w:val="nil"/>
            </w:tcBorders>
          </w:tcPr>
          <w:p w:rsidR="00A47CF6" w:rsidRPr="00666DF4" w:rsidRDefault="00A47CF6" w:rsidP="00A66EF5">
            <w:pPr>
              <w:pStyle w:val="TableText"/>
              <w:rPr>
                <w:rFonts w:eastAsia="Arial" w:cs="Arial"/>
                <w:szCs w:val="19"/>
              </w:rPr>
            </w:pPr>
            <w:proofErr w:type="spellStart"/>
            <w:r w:rsidRPr="00666DF4">
              <w:t>Waitemata</w:t>
            </w:r>
            <w:proofErr w:type="spellEnd"/>
          </w:p>
        </w:tc>
        <w:tc>
          <w:tcPr>
            <w:tcW w:w="2669" w:type="dxa"/>
            <w:tcBorders>
              <w:left w:val="nil"/>
              <w:right w:val="nil"/>
            </w:tcBorders>
          </w:tcPr>
          <w:p w:rsidR="00A47CF6" w:rsidRPr="00666DF4" w:rsidRDefault="00A47CF6" w:rsidP="00760F51">
            <w:pPr>
              <w:pStyle w:val="TableText"/>
              <w:tabs>
                <w:tab w:val="decimal" w:pos="1401"/>
              </w:tabs>
              <w:rPr>
                <w:rFonts w:eastAsia="Arial" w:cs="Arial"/>
                <w:szCs w:val="19"/>
              </w:rPr>
            </w:pPr>
            <w:r w:rsidRPr="00666DF4">
              <w:t>48</w:t>
            </w:r>
          </w:p>
        </w:tc>
        <w:tc>
          <w:tcPr>
            <w:tcW w:w="1908" w:type="dxa"/>
            <w:tcBorders>
              <w:left w:val="nil"/>
              <w:right w:val="nil"/>
            </w:tcBorders>
          </w:tcPr>
          <w:p w:rsidR="00A47CF6" w:rsidRPr="00666DF4" w:rsidRDefault="00A47CF6" w:rsidP="00760F51">
            <w:pPr>
              <w:pStyle w:val="TableText"/>
              <w:tabs>
                <w:tab w:val="decimal" w:pos="1088"/>
              </w:tabs>
              <w:rPr>
                <w:rFonts w:eastAsia="Arial" w:cs="Arial"/>
                <w:szCs w:val="19"/>
              </w:rPr>
            </w:pPr>
            <w:r w:rsidRPr="00666DF4">
              <w:t>224</w:t>
            </w:r>
          </w:p>
        </w:tc>
        <w:tc>
          <w:tcPr>
            <w:tcW w:w="3248" w:type="dxa"/>
            <w:tcBorders>
              <w:left w:val="nil"/>
              <w:right w:val="nil"/>
            </w:tcBorders>
          </w:tcPr>
          <w:p w:rsidR="00A47CF6" w:rsidRPr="00666DF4" w:rsidRDefault="00A47CF6" w:rsidP="00760F51">
            <w:pPr>
              <w:pStyle w:val="TableText"/>
              <w:tabs>
                <w:tab w:val="decimal" w:pos="1458"/>
              </w:tabs>
              <w:rPr>
                <w:rFonts w:eastAsia="Arial" w:cs="Arial"/>
                <w:szCs w:val="19"/>
              </w:rPr>
            </w:pPr>
            <w:r w:rsidRPr="00666DF4">
              <w:t>26.1</w:t>
            </w:r>
          </w:p>
        </w:tc>
      </w:tr>
      <w:tr w:rsidR="00A47CF6" w:rsidRPr="00666DF4" w:rsidTr="00760F51">
        <w:trPr>
          <w:cantSplit/>
        </w:trPr>
        <w:tc>
          <w:tcPr>
            <w:tcW w:w="1566" w:type="dxa"/>
            <w:tcBorders>
              <w:left w:val="nil"/>
              <w:bottom w:val="single" w:sz="4" w:space="0" w:color="A7A9AC"/>
              <w:right w:val="nil"/>
            </w:tcBorders>
          </w:tcPr>
          <w:p w:rsidR="00A47CF6" w:rsidRPr="00666DF4" w:rsidRDefault="00A47CF6" w:rsidP="00A66EF5">
            <w:pPr>
              <w:pStyle w:val="TableText"/>
              <w:rPr>
                <w:rFonts w:eastAsia="Arial" w:cs="Arial"/>
                <w:szCs w:val="19"/>
              </w:rPr>
            </w:pPr>
            <w:proofErr w:type="spellStart"/>
            <w:r w:rsidRPr="00666DF4">
              <w:t>Whanganui</w:t>
            </w:r>
            <w:proofErr w:type="spellEnd"/>
          </w:p>
        </w:tc>
        <w:tc>
          <w:tcPr>
            <w:tcW w:w="2669" w:type="dxa"/>
            <w:tcBorders>
              <w:left w:val="nil"/>
              <w:bottom w:val="single" w:sz="4" w:space="0" w:color="A7A9AC"/>
              <w:right w:val="nil"/>
            </w:tcBorders>
          </w:tcPr>
          <w:p w:rsidR="00A47CF6" w:rsidRPr="00666DF4" w:rsidRDefault="00A47CF6" w:rsidP="00760F51">
            <w:pPr>
              <w:pStyle w:val="TableText"/>
              <w:tabs>
                <w:tab w:val="decimal" w:pos="1401"/>
              </w:tabs>
              <w:rPr>
                <w:rFonts w:eastAsia="Arial" w:cs="Arial"/>
                <w:szCs w:val="18"/>
              </w:rPr>
            </w:pPr>
            <w:r w:rsidRPr="00666DF4">
              <w:t>1</w:t>
            </w:r>
          </w:p>
        </w:tc>
        <w:tc>
          <w:tcPr>
            <w:tcW w:w="1908" w:type="dxa"/>
            <w:tcBorders>
              <w:left w:val="nil"/>
              <w:bottom w:val="single" w:sz="4" w:space="0" w:color="A7A9AC"/>
              <w:right w:val="nil"/>
            </w:tcBorders>
          </w:tcPr>
          <w:p w:rsidR="00A47CF6" w:rsidRPr="00666DF4" w:rsidRDefault="00A47CF6" w:rsidP="00760F51">
            <w:pPr>
              <w:pStyle w:val="TableText"/>
              <w:tabs>
                <w:tab w:val="decimal" w:pos="1088"/>
              </w:tabs>
              <w:rPr>
                <w:rFonts w:eastAsia="Arial" w:cs="Arial"/>
                <w:szCs w:val="18"/>
              </w:rPr>
            </w:pPr>
            <w:r w:rsidRPr="00666DF4">
              <w:t>1</w:t>
            </w:r>
          </w:p>
        </w:tc>
        <w:tc>
          <w:tcPr>
            <w:tcW w:w="3248" w:type="dxa"/>
            <w:tcBorders>
              <w:left w:val="nil"/>
              <w:bottom w:val="single" w:sz="4" w:space="0" w:color="A7A9AC"/>
              <w:right w:val="nil"/>
            </w:tcBorders>
          </w:tcPr>
          <w:p w:rsidR="00A47CF6" w:rsidRPr="00666DF4" w:rsidRDefault="00A47CF6" w:rsidP="00760F51">
            <w:pPr>
              <w:pStyle w:val="TableText"/>
              <w:tabs>
                <w:tab w:val="decimal" w:pos="1458"/>
              </w:tabs>
              <w:rPr>
                <w:rFonts w:eastAsia="Arial" w:cs="Arial"/>
                <w:szCs w:val="18"/>
              </w:rPr>
            </w:pPr>
            <w:r w:rsidRPr="00666DF4">
              <w:t>1.7</w:t>
            </w:r>
          </w:p>
        </w:tc>
      </w:tr>
      <w:tr w:rsidR="00A47CF6" w:rsidRPr="00760F51" w:rsidTr="00760F51">
        <w:trPr>
          <w:cantSplit/>
        </w:trPr>
        <w:tc>
          <w:tcPr>
            <w:tcW w:w="1566" w:type="dxa"/>
            <w:tcBorders>
              <w:top w:val="single" w:sz="4" w:space="0" w:color="A7A9AC"/>
              <w:left w:val="nil"/>
              <w:bottom w:val="single" w:sz="4" w:space="0" w:color="000000"/>
              <w:right w:val="nil"/>
            </w:tcBorders>
          </w:tcPr>
          <w:p w:rsidR="00A47CF6" w:rsidRPr="00760F51" w:rsidRDefault="00A47CF6" w:rsidP="00A66EF5">
            <w:pPr>
              <w:pStyle w:val="TableText"/>
              <w:rPr>
                <w:rFonts w:eastAsia="Arial" w:cs="Arial"/>
                <w:b/>
                <w:szCs w:val="19"/>
              </w:rPr>
            </w:pPr>
            <w:r w:rsidRPr="00760F51">
              <w:rPr>
                <w:b/>
              </w:rPr>
              <w:t>Total</w:t>
            </w:r>
          </w:p>
        </w:tc>
        <w:tc>
          <w:tcPr>
            <w:tcW w:w="2669" w:type="dxa"/>
            <w:tcBorders>
              <w:top w:val="single" w:sz="4" w:space="0" w:color="A7A9AC"/>
              <w:left w:val="nil"/>
              <w:bottom w:val="single" w:sz="4" w:space="0" w:color="000000"/>
              <w:right w:val="nil"/>
            </w:tcBorders>
          </w:tcPr>
          <w:p w:rsidR="00A47CF6" w:rsidRPr="00760F51" w:rsidRDefault="00A47CF6" w:rsidP="00065BDE">
            <w:pPr>
              <w:pStyle w:val="TableText"/>
              <w:tabs>
                <w:tab w:val="decimal" w:pos="1401"/>
              </w:tabs>
              <w:rPr>
                <w:rFonts w:eastAsia="Arial" w:cs="Arial"/>
                <w:b/>
                <w:szCs w:val="18"/>
              </w:rPr>
            </w:pPr>
            <w:r w:rsidRPr="00760F51">
              <w:rPr>
                <w:b/>
              </w:rPr>
              <w:t>1</w:t>
            </w:r>
            <w:r w:rsidR="00065BDE">
              <w:rPr>
                <w:b/>
              </w:rPr>
              <w:t>12^</w:t>
            </w:r>
          </w:p>
        </w:tc>
        <w:tc>
          <w:tcPr>
            <w:tcW w:w="1908" w:type="dxa"/>
            <w:tcBorders>
              <w:top w:val="single" w:sz="4" w:space="0" w:color="A7A9AC"/>
              <w:left w:val="nil"/>
              <w:bottom w:val="single" w:sz="4" w:space="0" w:color="000000"/>
              <w:right w:val="nil"/>
            </w:tcBorders>
          </w:tcPr>
          <w:p w:rsidR="00A47CF6" w:rsidRPr="00760F51" w:rsidRDefault="00A47CF6" w:rsidP="00065BDE">
            <w:pPr>
              <w:pStyle w:val="TableText"/>
              <w:tabs>
                <w:tab w:val="decimal" w:pos="1088"/>
              </w:tabs>
              <w:rPr>
                <w:rFonts w:eastAsia="Arial" w:cs="Arial"/>
                <w:b/>
                <w:szCs w:val="18"/>
              </w:rPr>
            </w:pPr>
            <w:r w:rsidRPr="00760F51">
              <w:rPr>
                <w:b/>
              </w:rPr>
              <w:t>5</w:t>
            </w:r>
            <w:r w:rsidR="00065BDE">
              <w:rPr>
                <w:b/>
              </w:rPr>
              <w:t>11</w:t>
            </w:r>
          </w:p>
        </w:tc>
        <w:tc>
          <w:tcPr>
            <w:tcW w:w="3248" w:type="dxa"/>
            <w:tcBorders>
              <w:top w:val="single" w:sz="4" w:space="0" w:color="A7A9AC"/>
              <w:left w:val="nil"/>
              <w:bottom w:val="single" w:sz="4" w:space="0" w:color="000000"/>
              <w:right w:val="nil"/>
            </w:tcBorders>
          </w:tcPr>
          <w:p w:rsidR="00A47CF6" w:rsidRPr="00760F51" w:rsidRDefault="00A47CF6" w:rsidP="00065BDE">
            <w:pPr>
              <w:pStyle w:val="TableText"/>
              <w:tabs>
                <w:tab w:val="decimal" w:pos="1458"/>
              </w:tabs>
              <w:rPr>
                <w:rFonts w:eastAsia="Arial" w:cs="Arial"/>
                <w:b/>
                <w:szCs w:val="18"/>
              </w:rPr>
            </w:pPr>
            <w:r w:rsidRPr="00760F51">
              <w:rPr>
                <w:b/>
              </w:rPr>
              <w:t>3</w:t>
            </w:r>
            <w:r w:rsidR="00065BDE">
              <w:rPr>
                <w:b/>
              </w:rPr>
              <w:t>0</w:t>
            </w:r>
            <w:r w:rsidRPr="00760F51">
              <w:rPr>
                <w:b/>
              </w:rPr>
              <w:t>.</w:t>
            </w:r>
            <w:r w:rsidR="00065BDE">
              <w:rPr>
                <w:b/>
              </w:rPr>
              <w:t>9</w:t>
            </w:r>
          </w:p>
        </w:tc>
      </w:tr>
    </w:tbl>
    <w:p w:rsidR="00EA28A9" w:rsidRDefault="00A47CF6" w:rsidP="00760F51">
      <w:pPr>
        <w:pStyle w:val="Note"/>
        <w:ind w:right="0"/>
      </w:pPr>
      <w:r w:rsidRPr="00666DF4">
        <w:t>Note</w:t>
      </w:r>
      <w:r w:rsidR="00EA28A9">
        <w:t>s</w:t>
      </w:r>
      <w:r w:rsidRPr="00666DF4">
        <w:t xml:space="preserve">: * </w:t>
      </w:r>
      <w:r w:rsidR="00EA28A9" w:rsidRPr="00EA28A9">
        <w:t>Some of the data included in this table includes seclusion information regarding care recipients unde</w:t>
      </w:r>
      <w:r w:rsidR="00EA28A9">
        <w:t xml:space="preserve">r </w:t>
      </w:r>
      <w:r w:rsidR="00EA28A9" w:rsidRPr="00EA28A9">
        <w:t>t</w:t>
      </w:r>
      <w:r w:rsidR="00EA28A9">
        <w:t>he IDCC&amp;R Act</w:t>
      </w:r>
      <w:r w:rsidR="00EA28A9" w:rsidRPr="00EA28A9">
        <w:t xml:space="preserve"> who received treatment in a forensic service.</w:t>
      </w:r>
    </w:p>
    <w:p w:rsidR="00A47CF6" w:rsidRPr="00666DF4" w:rsidRDefault="00065BDE" w:rsidP="00760F51">
      <w:pPr>
        <w:pStyle w:val="Note"/>
        <w:ind w:right="0"/>
        <w:rPr>
          <w:rFonts w:eastAsia="Arial" w:cs="Arial"/>
          <w:szCs w:val="19"/>
        </w:rPr>
      </w:pPr>
      <w:r>
        <w:t xml:space="preserve">^ </w:t>
      </w:r>
      <w:r w:rsidR="00A47CF6" w:rsidRPr="00666DF4">
        <w:t>The total of 1</w:t>
      </w:r>
      <w:r>
        <w:t>112</w:t>
      </w:r>
      <w:r w:rsidR="00A47CF6" w:rsidRPr="00666DF4">
        <w:t xml:space="preserve"> in this table is a unique count and not a sum of the column, as some clients may have been seen by more than one DHB.</w:t>
      </w:r>
    </w:p>
    <w:p w:rsidR="00A47CF6" w:rsidRPr="00666DF4" w:rsidRDefault="00A47CF6" w:rsidP="00760F51">
      <w:pPr>
        <w:pStyle w:val="Source"/>
        <w:ind w:right="0"/>
        <w:rPr>
          <w:rFonts w:eastAsia="Arial" w:cs="Arial"/>
          <w:szCs w:val="19"/>
        </w:rPr>
      </w:pPr>
      <w:r w:rsidRPr="00666DF4">
        <w:t xml:space="preserve">Source: PRIMHD data, extracted on 27 July 2017. Southern </w:t>
      </w:r>
      <w:r w:rsidR="00065BDE">
        <w:t xml:space="preserve">and Capital &amp; Coast </w:t>
      </w:r>
      <w:r w:rsidRPr="00666DF4">
        <w:t>DHB supplied data manually</w:t>
      </w:r>
      <w:r w:rsidR="00A66EF5">
        <w:t>.</w:t>
      </w:r>
    </w:p>
    <w:p w:rsidR="00A47CF6" w:rsidRPr="00666DF4" w:rsidRDefault="00A47CF6" w:rsidP="00760F51">
      <w:pPr>
        <w:rPr>
          <w:rFonts w:eastAsia="Arial"/>
        </w:rPr>
      </w:pPr>
    </w:p>
    <w:p w:rsidR="00A47CF6" w:rsidRPr="00666DF4" w:rsidRDefault="00A47CF6" w:rsidP="00760F51">
      <w:pPr>
        <w:pStyle w:val="Heading2"/>
        <w:rPr>
          <w:bCs/>
        </w:rPr>
      </w:pPr>
      <w:bookmarkStart w:id="156" w:name="_Toc508707284"/>
      <w:r w:rsidRPr="00666DF4">
        <w:t>Special and restricted patients</w:t>
      </w:r>
      <w:bookmarkEnd w:id="156"/>
    </w:p>
    <w:p w:rsidR="00A47CF6" w:rsidRPr="00666DF4" w:rsidRDefault="00A47CF6" w:rsidP="00760F51">
      <w:r w:rsidRPr="00666DF4">
        <w:t>New Zealand legislation specifically allows for people who have been charged with or convicted of</w:t>
      </w:r>
      <w:r w:rsidR="00BF25EC">
        <w:t xml:space="preserve"> </w:t>
      </w:r>
      <w:r w:rsidRPr="00666DF4">
        <w:t>an offence and meet certain criteria in terms of their mental illness to be treated for that condition in hospital. Treating mental illness can be an important step towards helping an individual to address the reasons for their offending. In doing so, they can reduce their chances of future offending and significantly improve their wellbeing.</w:t>
      </w:r>
    </w:p>
    <w:p w:rsidR="00A47CF6" w:rsidRPr="00666DF4" w:rsidRDefault="00A47CF6" w:rsidP="00760F51"/>
    <w:p w:rsidR="00A47CF6" w:rsidRPr="00760F51" w:rsidRDefault="00A47CF6" w:rsidP="00760F51">
      <w:r w:rsidRPr="00666DF4">
        <w:t xml:space="preserve">The terms </w:t>
      </w:r>
      <w:r w:rsidR="00BF25EC">
        <w:t>‘</w:t>
      </w:r>
      <w:r w:rsidRPr="00666DF4">
        <w:t>special patient</w:t>
      </w:r>
      <w:r w:rsidR="00BF25EC">
        <w:t>’</w:t>
      </w:r>
      <w:r w:rsidRPr="00666DF4">
        <w:t xml:space="preserve"> or </w:t>
      </w:r>
      <w:r w:rsidR="00BF25EC">
        <w:t>‘</w:t>
      </w:r>
      <w:r w:rsidRPr="00666DF4">
        <w:t>restricted patient</w:t>
      </w:r>
      <w:r w:rsidR="00BF25EC">
        <w:t>’</w:t>
      </w:r>
      <w:r w:rsidRPr="00666DF4">
        <w:t xml:space="preserve"> refer to mentally ill offenders detained in a forensic mental health service under specific legislative provisions.</w:t>
      </w:r>
      <w:r w:rsidR="00760F51">
        <w:rPr>
          <w:rStyle w:val="FootnoteReference"/>
        </w:rPr>
        <w:footnoteReference w:id="26"/>
      </w:r>
    </w:p>
    <w:p w:rsidR="00A47CF6" w:rsidRPr="00666DF4" w:rsidRDefault="00A47CF6" w:rsidP="00760F51">
      <w:pPr>
        <w:rPr>
          <w:rFonts w:eastAsia="Century"/>
        </w:rPr>
      </w:pPr>
    </w:p>
    <w:p w:rsidR="00A47CF6" w:rsidRPr="00760F51" w:rsidRDefault="00A47CF6" w:rsidP="00760F51">
      <w:pPr>
        <w:rPr>
          <w:rFonts w:eastAsia="Century"/>
        </w:rPr>
      </w:pPr>
      <w:r w:rsidRPr="00666DF4">
        <w:t>Special patients</w:t>
      </w:r>
      <w:r w:rsidR="00760F51">
        <w:rPr>
          <w:rStyle w:val="FootnoteReference"/>
        </w:rPr>
        <w:footnoteReference w:id="27"/>
      </w:r>
      <w:r w:rsidR="00760F51">
        <w:t xml:space="preserve"> </w:t>
      </w:r>
      <w:r w:rsidRPr="00666DF4">
        <w:rPr>
          <w:rFonts w:ascii="Century"/>
        </w:rPr>
        <w:t>include</w:t>
      </w:r>
      <w:r w:rsidRPr="00760F51">
        <w:t>:</w:t>
      </w:r>
    </w:p>
    <w:p w:rsidR="00A47CF6" w:rsidRPr="00666DF4" w:rsidRDefault="00A47CF6" w:rsidP="00760F51">
      <w:pPr>
        <w:pStyle w:val="Bullet"/>
      </w:pPr>
      <w:r w:rsidRPr="00666DF4">
        <w:t>people charged with, or convicted of, a criminal offence and remanded to a hospital for a psychiatric report</w:t>
      </w:r>
    </w:p>
    <w:p w:rsidR="00A47CF6" w:rsidRPr="00666DF4" w:rsidRDefault="00A47CF6" w:rsidP="00760F51">
      <w:pPr>
        <w:pStyle w:val="Bullet"/>
      </w:pPr>
      <w:r w:rsidRPr="00666DF4">
        <w:t>remanded or sentenced prisoners transferred from prison to a hospital</w:t>
      </w:r>
    </w:p>
    <w:p w:rsidR="00A47CF6" w:rsidRPr="00666DF4" w:rsidRDefault="00A47CF6" w:rsidP="00760F51">
      <w:pPr>
        <w:pStyle w:val="Bullet"/>
      </w:pPr>
      <w:r w:rsidRPr="00666DF4">
        <w:t>defendants found not guilty by reason of insanity</w:t>
      </w:r>
    </w:p>
    <w:p w:rsidR="00A47CF6" w:rsidRPr="00666DF4" w:rsidRDefault="00A47CF6" w:rsidP="00760F51">
      <w:pPr>
        <w:pStyle w:val="Bullet"/>
      </w:pPr>
      <w:r w:rsidRPr="00666DF4">
        <w:t>defendants unfit to stand trial</w:t>
      </w:r>
    </w:p>
    <w:p w:rsidR="00A47CF6" w:rsidRPr="00666DF4" w:rsidRDefault="00A47CF6" w:rsidP="00760F51">
      <w:pPr>
        <w:pStyle w:val="Bullet"/>
      </w:pPr>
      <w:proofErr w:type="gramStart"/>
      <w:r w:rsidRPr="00666DF4">
        <w:t>people</w:t>
      </w:r>
      <w:proofErr w:type="gramEnd"/>
      <w:r w:rsidRPr="00666DF4">
        <w:t xml:space="preserve"> who have been convicted of a criminal offence and both sentenced to a term of imprisonment and placed under a compulsory treatment order.</w:t>
      </w:r>
    </w:p>
    <w:p w:rsidR="00A47CF6" w:rsidRPr="00666DF4" w:rsidRDefault="00A47CF6" w:rsidP="00760F51">
      <w:pPr>
        <w:rPr>
          <w:rFonts w:eastAsia="Century"/>
        </w:rPr>
      </w:pPr>
    </w:p>
    <w:p w:rsidR="00A47CF6" w:rsidRPr="00666DF4" w:rsidRDefault="00A47CF6" w:rsidP="00760F51">
      <w:r w:rsidRPr="00666DF4">
        <w:rPr>
          <w:b/>
        </w:rPr>
        <w:t xml:space="preserve">Restricted patients </w:t>
      </w:r>
      <w:r w:rsidRPr="00666DF4">
        <w:t>are people detained by a court order because they pose a danger to others. Restricted patients are generally subject to the same leave provisions as those applying to special patients.</w:t>
      </w:r>
    </w:p>
    <w:p w:rsidR="00A47CF6" w:rsidRPr="00666DF4" w:rsidRDefault="00A47CF6" w:rsidP="00760F51">
      <w:pPr>
        <w:rPr>
          <w:rFonts w:eastAsia="Century"/>
        </w:rPr>
      </w:pPr>
    </w:p>
    <w:p w:rsidR="00A47CF6" w:rsidRPr="00666DF4" w:rsidRDefault="00A47CF6" w:rsidP="00760F51">
      <w:pPr>
        <w:pStyle w:val="Heading3"/>
        <w:rPr>
          <w:bCs/>
        </w:rPr>
      </w:pPr>
      <w:r w:rsidRPr="00666DF4">
        <w:t>Forensic mental health services</w:t>
      </w:r>
    </w:p>
    <w:p w:rsidR="00A47CF6" w:rsidRPr="00666DF4" w:rsidRDefault="00A47CF6" w:rsidP="00760F51">
      <w:pPr>
        <w:keepNext/>
      </w:pPr>
      <w:r w:rsidRPr="00666DF4">
        <w:t>Forensic mental health services are responsible for the care and treatment of special patients and restricted patients within the legislative framework of the Mental Health Act and the Criminal Procedure (Mentally Impaired Persons) Act 2003 (the CP (MIP) Act).</w:t>
      </w:r>
    </w:p>
    <w:p w:rsidR="00A47CF6" w:rsidRPr="00666DF4" w:rsidRDefault="00A47CF6" w:rsidP="00760F51">
      <w:pPr>
        <w:rPr>
          <w:rFonts w:eastAsia="Century"/>
        </w:rPr>
      </w:pPr>
    </w:p>
    <w:p w:rsidR="00A47CF6" w:rsidRPr="00666DF4" w:rsidRDefault="00A47CF6" w:rsidP="00760F51">
      <w:r w:rsidRPr="00666DF4">
        <w:t>When managing special patients, forensic mental health services are required to balance the rights, treatment and rehabilitative needs of the individual patient against the safety of the public and the concerns of victims.</w:t>
      </w:r>
    </w:p>
    <w:p w:rsidR="00A47CF6" w:rsidRPr="00666DF4" w:rsidRDefault="00A47CF6" w:rsidP="00760F51">
      <w:pPr>
        <w:rPr>
          <w:rFonts w:eastAsia="Century"/>
        </w:rPr>
      </w:pPr>
    </w:p>
    <w:p w:rsidR="00A47CF6" w:rsidRPr="00666DF4" w:rsidRDefault="00A47CF6" w:rsidP="00760F51">
      <w:r w:rsidRPr="00666DF4">
        <w:t>The clinical management of special patients lies with the patient</w:t>
      </w:r>
      <w:r w:rsidR="00BF25EC">
        <w:t>’</w:t>
      </w:r>
      <w:r w:rsidRPr="00666DF4">
        <w:t>s responsible clinician. However, leave and change of legal status require consideration and approval by the Director of Mental Health and (depending on the legal status of the patient) the Minister of Health and/or the Attorney-General. This level of decision-making reflects the seriousness of special patients</w:t>
      </w:r>
      <w:r w:rsidR="00BF25EC">
        <w:t>’</w:t>
      </w:r>
      <w:r w:rsidRPr="00666DF4">
        <w:t xml:space="preserve"> status and the need to ensure that a wide range of factors are considered when making decisions about such patients.</w:t>
      </w:r>
    </w:p>
    <w:p w:rsidR="00A47CF6" w:rsidRPr="00666DF4" w:rsidRDefault="00A47CF6" w:rsidP="00760F51">
      <w:pPr>
        <w:rPr>
          <w:rFonts w:eastAsia="Century"/>
        </w:rPr>
      </w:pPr>
    </w:p>
    <w:p w:rsidR="00A47CF6" w:rsidRPr="00666DF4" w:rsidRDefault="00A47CF6" w:rsidP="00760F51">
      <w:r w:rsidRPr="00666DF4">
        <w:t xml:space="preserve">Special and restricted patients are detained in the care of one of five regional forensic psychiatry services throughout New Zealand under the jurisdiction of </w:t>
      </w:r>
      <w:proofErr w:type="spellStart"/>
      <w:r w:rsidRPr="00666DF4">
        <w:t>Waitemata</w:t>
      </w:r>
      <w:proofErr w:type="spellEnd"/>
      <w:r w:rsidRPr="00666DF4">
        <w:t>, Waikato, Capital &amp; Coast, Canterbury and Southern DHBs.</w:t>
      </w:r>
      <w:r w:rsidR="00760F51">
        <w:rPr>
          <w:rStyle w:val="FootnoteReference"/>
        </w:rPr>
        <w:footnoteReference w:id="28"/>
      </w:r>
      <w:r w:rsidR="00760F51">
        <w:t xml:space="preserve"> </w:t>
      </w:r>
      <w:r w:rsidRPr="00666DF4">
        <w:t>These services develop management plans to progressively reintegrate people into the community as treatment improves their mental health.</w:t>
      </w:r>
    </w:p>
    <w:p w:rsidR="00A47CF6" w:rsidRPr="00666DF4" w:rsidRDefault="00A47CF6" w:rsidP="00760F51">
      <w:pPr>
        <w:rPr>
          <w:rFonts w:eastAsia="Century"/>
        </w:rPr>
      </w:pPr>
    </w:p>
    <w:p w:rsidR="00A47CF6" w:rsidRPr="00760F51" w:rsidRDefault="00A47CF6" w:rsidP="00760F51">
      <w:r w:rsidRPr="00666DF4">
        <w:t>During 2016, there were 378 people with special patient status. On any given day, there were approximately 196 people with special patient status.</w:t>
      </w:r>
      <w:r w:rsidR="00760F51">
        <w:rPr>
          <w:rStyle w:val="FootnoteReference"/>
        </w:rPr>
        <w:footnoteReference w:id="29"/>
      </w:r>
    </w:p>
    <w:p w:rsidR="00A47CF6" w:rsidRPr="00666DF4" w:rsidRDefault="00A47CF6" w:rsidP="00760F51">
      <w:pPr>
        <w:rPr>
          <w:rFonts w:eastAsia="Century"/>
        </w:rPr>
      </w:pPr>
    </w:p>
    <w:p w:rsidR="00A47CF6" w:rsidRDefault="00A47CF6" w:rsidP="00760F51">
      <w:pPr>
        <w:pStyle w:val="Figure"/>
      </w:pPr>
      <w:bookmarkStart w:id="157" w:name="Figure_27:_Total_number_of_special_patie"/>
      <w:bookmarkStart w:id="158" w:name="_bookmark33"/>
      <w:bookmarkStart w:id="159" w:name="_Toc508707351"/>
      <w:bookmarkEnd w:id="157"/>
      <w:bookmarkEnd w:id="158"/>
      <w:r w:rsidRPr="00666DF4">
        <w:t>Figure 27: Total number of special patients, by DHB, 1 January to 31 December 2016</w:t>
      </w:r>
      <w:bookmarkEnd w:id="159"/>
    </w:p>
    <w:p w:rsidR="00760F51" w:rsidRPr="00760F51" w:rsidRDefault="00760F51" w:rsidP="00760F51">
      <w:pPr>
        <w:rPr>
          <w:rFonts w:eastAsia="Georgia"/>
        </w:rPr>
      </w:pPr>
      <w:r>
        <w:rPr>
          <w:noProof/>
          <w:lang w:eastAsia="en-NZ"/>
        </w:rPr>
        <w:drawing>
          <wp:inline distT="0" distB="0" distL="0" distR="0" wp14:anchorId="49CA4DE6" wp14:editId="3E49DEA4">
            <wp:extent cx="4671752" cy="2174781"/>
            <wp:effectExtent l="0" t="0" r="0" b="0"/>
            <wp:docPr id="85" name="Picture 85" title="Figure 27: Total number of special patients,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blip>
                    <a:stretch>
                      <a:fillRect/>
                    </a:stretch>
                  </pic:blipFill>
                  <pic:spPr>
                    <a:xfrm>
                      <a:off x="0" y="0"/>
                      <a:ext cx="4672729" cy="2175236"/>
                    </a:xfrm>
                    <a:prstGeom prst="rect">
                      <a:avLst/>
                    </a:prstGeom>
                  </pic:spPr>
                </pic:pic>
              </a:graphicData>
            </a:graphic>
          </wp:inline>
        </w:drawing>
      </w:r>
    </w:p>
    <w:p w:rsidR="00A47CF6" w:rsidRPr="00666DF4" w:rsidRDefault="00A47CF6" w:rsidP="00760F51">
      <w:pPr>
        <w:pStyle w:val="Source"/>
        <w:rPr>
          <w:rFonts w:eastAsia="Arial" w:cs="Arial"/>
          <w:szCs w:val="19"/>
        </w:rPr>
      </w:pPr>
      <w:r w:rsidRPr="00666DF4">
        <w:t>Source: PRIMHD collection, extracted 26 July 2017</w:t>
      </w:r>
    </w:p>
    <w:p w:rsidR="00A47CF6" w:rsidRPr="00666DF4" w:rsidRDefault="00A47CF6" w:rsidP="00760F51">
      <w:pPr>
        <w:rPr>
          <w:rFonts w:eastAsia="Arial"/>
        </w:rPr>
      </w:pPr>
    </w:p>
    <w:p w:rsidR="00A47CF6" w:rsidRPr="00666DF4" w:rsidRDefault="00A47CF6" w:rsidP="00760F51">
      <w:pPr>
        <w:pStyle w:val="Heading3"/>
        <w:rPr>
          <w:bCs/>
        </w:rPr>
      </w:pPr>
      <w:r w:rsidRPr="00666DF4">
        <w:t>Extended Forensic Care (EFC) special patients</w:t>
      </w:r>
    </w:p>
    <w:p w:rsidR="00A47CF6" w:rsidRPr="00666DF4" w:rsidRDefault="00BF25EC" w:rsidP="00760F51">
      <w:pPr>
        <w:keepLines/>
      </w:pPr>
      <w:r>
        <w:t>‘</w:t>
      </w:r>
      <w:r w:rsidR="00A47CF6" w:rsidRPr="00666DF4">
        <w:t>EFC special patients</w:t>
      </w:r>
      <w:r>
        <w:t>’</w:t>
      </w:r>
      <w:r w:rsidR="00A47CF6" w:rsidRPr="00666DF4">
        <w:t xml:space="preserve"> refers to patients who have been detained in a forensic mental health service. These special patients have been found not guilty by reason of insanity or unfit to stand trial and have been remanded to one of the five forensic mental health facilities in New Zealand under section 24(2)(a) of the CP (MIP) Act. Also included in these statistics are patients subject to a restricted patient order (section 55 of the Mental Health Act). In 2016, there were a total of 130</w:t>
      </w:r>
      <w:r w:rsidR="00760F51">
        <w:t> </w:t>
      </w:r>
      <w:r w:rsidR="00A47CF6" w:rsidRPr="00666DF4">
        <w:t>EFC special patients.</w:t>
      </w:r>
    </w:p>
    <w:p w:rsidR="00A47CF6" w:rsidRPr="00666DF4" w:rsidRDefault="00A47CF6" w:rsidP="00760F51">
      <w:pPr>
        <w:rPr>
          <w:rFonts w:eastAsia="Century"/>
        </w:rPr>
      </w:pPr>
    </w:p>
    <w:p w:rsidR="00A47CF6" w:rsidRPr="00666DF4" w:rsidRDefault="00A47CF6" w:rsidP="00760F51">
      <w:pPr>
        <w:pStyle w:val="Heading3"/>
        <w:rPr>
          <w:bCs/>
        </w:rPr>
      </w:pPr>
      <w:r w:rsidRPr="00666DF4">
        <w:t>Short-term Forensic Care (SFC) special patients</w:t>
      </w:r>
    </w:p>
    <w:p w:rsidR="00A47CF6" w:rsidRPr="00666DF4" w:rsidRDefault="00BF25EC" w:rsidP="00760F51">
      <w:r>
        <w:t>‘</w:t>
      </w:r>
      <w:r w:rsidR="00A47CF6" w:rsidRPr="00666DF4">
        <w:t>SFC special patients</w:t>
      </w:r>
      <w:r>
        <w:t>’</w:t>
      </w:r>
      <w:r w:rsidR="00A47CF6" w:rsidRPr="00666DF4">
        <w:t xml:space="preserve"> refers to patients transferred to a forensic mental health service from prison for compulsory mental health assessment and treatment (including those under a </w:t>
      </w:r>
      <w:r>
        <w:t>‘</w:t>
      </w:r>
      <w:r w:rsidR="00A47CF6" w:rsidRPr="00666DF4">
        <w:t>hybrid order</w:t>
      </w:r>
      <w:r>
        <w:t>’</w:t>
      </w:r>
      <w:r w:rsidR="00A47CF6" w:rsidRPr="00666DF4">
        <w:t>, see definition below). In 2016, there were a total of 195 SFC special patients.</w:t>
      </w:r>
    </w:p>
    <w:p w:rsidR="00760F51" w:rsidRDefault="00760F51" w:rsidP="00760F51"/>
    <w:p w:rsidR="00A47CF6" w:rsidRPr="00666DF4" w:rsidRDefault="00A47CF6" w:rsidP="00760F51">
      <w:r w:rsidRPr="00666DF4">
        <w:t>Once a person has been sentenced to a term of imprisonment, any compulsory mental health treatment order relating to the prisoner ceases to have effect. Remand prisoners may remain on a pre-existing compulsory treatment order, but it is unlawful to enforce compulsory treatment in the prison environment.</w:t>
      </w:r>
    </w:p>
    <w:p w:rsidR="00A47CF6" w:rsidRPr="00666DF4" w:rsidRDefault="00A47CF6" w:rsidP="00760F51">
      <w:pPr>
        <w:rPr>
          <w:rFonts w:eastAsia="Century"/>
        </w:rPr>
      </w:pPr>
    </w:p>
    <w:p w:rsidR="00A47CF6" w:rsidRPr="00666DF4" w:rsidRDefault="00A47CF6" w:rsidP="00760F51">
      <w:r w:rsidRPr="00666DF4">
        <w:t>If a mentally disordered prisoner requires compulsory assessment and/or treatment, section 45 of the Mental Health Act provides for their transfer to hospital. Section 46 allows for voluntary admission to hospital with the approval of the prison superintendent. Services must notify the Director of Mental Health of all such admissions. On advice from services, the Director can direct their return to prison under section 47 of the Mental Health Act.</w:t>
      </w:r>
    </w:p>
    <w:p w:rsidR="00A47CF6" w:rsidRPr="00666DF4" w:rsidRDefault="00A47CF6" w:rsidP="00760F51"/>
    <w:p w:rsidR="00A47CF6" w:rsidRPr="00666DF4" w:rsidRDefault="00A47CF6" w:rsidP="00760F51">
      <w:pPr>
        <w:pStyle w:val="Table"/>
        <w:rPr>
          <w:rFonts w:eastAsia="Georgia" w:cs="Georgia"/>
          <w:szCs w:val="19"/>
        </w:rPr>
      </w:pPr>
      <w:bookmarkStart w:id="160" w:name="Figure_28:_Percentage_of_Extended_Forens"/>
      <w:bookmarkStart w:id="161" w:name="Table_6:_Total_number_of_special_patient"/>
      <w:bookmarkStart w:id="162" w:name="_bookmark34"/>
      <w:bookmarkStart w:id="163" w:name="_Toc508707304"/>
      <w:bookmarkEnd w:id="160"/>
      <w:bookmarkEnd w:id="161"/>
      <w:bookmarkEnd w:id="162"/>
      <w:r w:rsidRPr="00666DF4">
        <w:t>Table 6: Total number of special patients, by type and DHB, 1 January to 31 December 2016</w:t>
      </w:r>
      <w:bookmarkEnd w:id="163"/>
    </w:p>
    <w:tbl>
      <w:tblPr>
        <w:tblW w:w="0" w:type="auto"/>
        <w:tblInd w:w="57" w:type="dxa"/>
        <w:tblLayout w:type="fixed"/>
        <w:tblCellMar>
          <w:left w:w="57" w:type="dxa"/>
          <w:right w:w="57" w:type="dxa"/>
        </w:tblCellMar>
        <w:tblLook w:val="01E0" w:firstRow="1" w:lastRow="1" w:firstColumn="1" w:lastColumn="1" w:noHBand="0" w:noVBand="0"/>
      </w:tblPr>
      <w:tblGrid>
        <w:gridCol w:w="3564"/>
        <w:gridCol w:w="1448"/>
        <w:gridCol w:w="1448"/>
        <w:gridCol w:w="1448"/>
        <w:gridCol w:w="1448"/>
      </w:tblGrid>
      <w:tr w:rsidR="00A47CF6" w:rsidRPr="00760F51" w:rsidTr="00760F51">
        <w:trPr>
          <w:cantSplit/>
        </w:trPr>
        <w:tc>
          <w:tcPr>
            <w:tcW w:w="3564" w:type="dxa"/>
            <w:tcBorders>
              <w:top w:val="single" w:sz="4" w:space="0" w:color="000000"/>
              <w:left w:val="nil"/>
              <w:bottom w:val="single" w:sz="4" w:space="0" w:color="000000"/>
              <w:right w:val="nil"/>
            </w:tcBorders>
          </w:tcPr>
          <w:p w:rsidR="00A47CF6" w:rsidRPr="00760F51" w:rsidRDefault="00A47CF6" w:rsidP="00760F51">
            <w:pPr>
              <w:pStyle w:val="TableText"/>
              <w:rPr>
                <w:rFonts w:eastAsia="Arial" w:cs="Arial"/>
                <w:b/>
                <w:szCs w:val="19"/>
              </w:rPr>
            </w:pPr>
            <w:r w:rsidRPr="00760F51">
              <w:rPr>
                <w:b/>
              </w:rPr>
              <w:t>Forensic service</w:t>
            </w:r>
          </w:p>
        </w:tc>
        <w:tc>
          <w:tcPr>
            <w:tcW w:w="1448" w:type="dxa"/>
            <w:tcBorders>
              <w:top w:val="single" w:sz="4" w:space="0" w:color="000000"/>
              <w:left w:val="nil"/>
              <w:bottom w:val="single" w:sz="4" w:space="0" w:color="000000"/>
              <w:right w:val="nil"/>
            </w:tcBorders>
          </w:tcPr>
          <w:p w:rsidR="00A47CF6" w:rsidRPr="00760F51" w:rsidRDefault="00A47CF6" w:rsidP="00760F51">
            <w:pPr>
              <w:pStyle w:val="TableText"/>
              <w:jc w:val="center"/>
              <w:rPr>
                <w:rFonts w:eastAsia="Arial" w:cs="Arial"/>
                <w:b/>
                <w:szCs w:val="19"/>
              </w:rPr>
            </w:pPr>
            <w:r w:rsidRPr="00760F51">
              <w:rPr>
                <w:b/>
              </w:rPr>
              <w:t>EFC special</w:t>
            </w:r>
            <w:r w:rsidR="00760F51" w:rsidRPr="00760F51">
              <w:rPr>
                <w:b/>
              </w:rPr>
              <w:t xml:space="preserve"> </w:t>
            </w:r>
            <w:r w:rsidRPr="00760F51">
              <w:rPr>
                <w:b/>
              </w:rPr>
              <w:t>patients</w:t>
            </w:r>
          </w:p>
        </w:tc>
        <w:tc>
          <w:tcPr>
            <w:tcW w:w="1448" w:type="dxa"/>
            <w:tcBorders>
              <w:top w:val="single" w:sz="4" w:space="0" w:color="000000"/>
              <w:left w:val="nil"/>
              <w:bottom w:val="single" w:sz="4" w:space="0" w:color="000000"/>
              <w:right w:val="nil"/>
            </w:tcBorders>
          </w:tcPr>
          <w:p w:rsidR="00A47CF6" w:rsidRPr="00760F51" w:rsidRDefault="00A47CF6" w:rsidP="00760F51">
            <w:pPr>
              <w:pStyle w:val="TableText"/>
              <w:jc w:val="center"/>
              <w:rPr>
                <w:rFonts w:eastAsia="Arial" w:cs="Arial"/>
                <w:b/>
                <w:szCs w:val="19"/>
              </w:rPr>
            </w:pPr>
            <w:r w:rsidRPr="00760F51">
              <w:rPr>
                <w:b/>
              </w:rPr>
              <w:t>SFC special</w:t>
            </w:r>
            <w:r w:rsidR="00760F51" w:rsidRPr="00760F51">
              <w:rPr>
                <w:b/>
              </w:rPr>
              <w:t xml:space="preserve"> </w:t>
            </w:r>
            <w:r w:rsidRPr="00760F51">
              <w:rPr>
                <w:b/>
              </w:rPr>
              <w:t>patients</w:t>
            </w:r>
          </w:p>
        </w:tc>
        <w:tc>
          <w:tcPr>
            <w:tcW w:w="1448" w:type="dxa"/>
            <w:tcBorders>
              <w:top w:val="single" w:sz="4" w:space="0" w:color="000000"/>
              <w:left w:val="nil"/>
              <w:bottom w:val="single" w:sz="4" w:space="0" w:color="000000"/>
              <w:right w:val="nil"/>
            </w:tcBorders>
          </w:tcPr>
          <w:p w:rsidR="00A47CF6" w:rsidRPr="00760F51" w:rsidRDefault="00A47CF6" w:rsidP="00760F51">
            <w:pPr>
              <w:pStyle w:val="TableText"/>
              <w:jc w:val="center"/>
              <w:rPr>
                <w:rFonts w:eastAsia="Arial" w:cs="Arial"/>
                <w:b/>
                <w:szCs w:val="19"/>
              </w:rPr>
            </w:pPr>
            <w:r w:rsidRPr="00760F51">
              <w:rPr>
                <w:b/>
              </w:rPr>
              <w:t>Other special</w:t>
            </w:r>
            <w:r w:rsidR="00760F51" w:rsidRPr="00760F51">
              <w:rPr>
                <w:b/>
              </w:rPr>
              <w:t xml:space="preserve"> </w:t>
            </w:r>
            <w:r w:rsidRPr="00760F51">
              <w:rPr>
                <w:b/>
              </w:rPr>
              <w:t>patients</w:t>
            </w:r>
          </w:p>
        </w:tc>
        <w:tc>
          <w:tcPr>
            <w:tcW w:w="1448" w:type="dxa"/>
            <w:tcBorders>
              <w:top w:val="single" w:sz="4" w:space="0" w:color="000000"/>
              <w:left w:val="nil"/>
              <w:bottom w:val="single" w:sz="4" w:space="0" w:color="000000"/>
              <w:right w:val="nil"/>
            </w:tcBorders>
          </w:tcPr>
          <w:p w:rsidR="00A47CF6" w:rsidRPr="00760F51" w:rsidRDefault="00A47CF6" w:rsidP="00760F51">
            <w:pPr>
              <w:pStyle w:val="TableText"/>
              <w:jc w:val="center"/>
              <w:rPr>
                <w:rFonts w:eastAsia="Arial" w:cs="Arial"/>
                <w:b/>
                <w:szCs w:val="19"/>
              </w:rPr>
            </w:pPr>
            <w:r w:rsidRPr="00760F51">
              <w:rPr>
                <w:b/>
              </w:rPr>
              <w:t>Total special</w:t>
            </w:r>
            <w:r w:rsidR="00760F51" w:rsidRPr="00760F51">
              <w:rPr>
                <w:b/>
              </w:rPr>
              <w:t xml:space="preserve"> </w:t>
            </w:r>
            <w:r w:rsidRPr="00760F51">
              <w:rPr>
                <w:b/>
              </w:rPr>
              <w:t>patients</w:t>
            </w:r>
          </w:p>
        </w:tc>
      </w:tr>
      <w:tr w:rsidR="00A47CF6" w:rsidRPr="00666DF4" w:rsidTr="00760F51">
        <w:trPr>
          <w:cantSplit/>
        </w:trPr>
        <w:tc>
          <w:tcPr>
            <w:tcW w:w="3564" w:type="dxa"/>
            <w:tcBorders>
              <w:top w:val="single" w:sz="4" w:space="0" w:color="000000"/>
              <w:left w:val="nil"/>
              <w:right w:val="nil"/>
            </w:tcBorders>
          </w:tcPr>
          <w:p w:rsidR="00A47CF6" w:rsidRPr="00666DF4" w:rsidRDefault="00A47CF6" w:rsidP="00760F51">
            <w:pPr>
              <w:pStyle w:val="TableText"/>
              <w:rPr>
                <w:rFonts w:eastAsia="Arial" w:cs="Arial"/>
                <w:szCs w:val="19"/>
              </w:rPr>
            </w:pPr>
            <w:r w:rsidRPr="00666DF4">
              <w:t>Canterbury District Health Board</w:t>
            </w:r>
          </w:p>
        </w:tc>
        <w:tc>
          <w:tcPr>
            <w:tcW w:w="1448" w:type="dxa"/>
            <w:tcBorders>
              <w:top w:val="single" w:sz="4" w:space="0" w:color="000000"/>
              <w:left w:val="nil"/>
              <w:right w:val="nil"/>
            </w:tcBorders>
          </w:tcPr>
          <w:p w:rsidR="00A47CF6" w:rsidRPr="00666DF4" w:rsidRDefault="00A47CF6" w:rsidP="00760F51">
            <w:pPr>
              <w:pStyle w:val="TableText"/>
              <w:tabs>
                <w:tab w:val="decimal" w:pos="774"/>
              </w:tabs>
              <w:rPr>
                <w:rFonts w:eastAsia="Arial" w:cs="Arial"/>
                <w:szCs w:val="19"/>
              </w:rPr>
            </w:pPr>
            <w:r w:rsidRPr="00666DF4">
              <w:t>13</w:t>
            </w:r>
          </w:p>
        </w:tc>
        <w:tc>
          <w:tcPr>
            <w:tcW w:w="1448" w:type="dxa"/>
            <w:tcBorders>
              <w:top w:val="single" w:sz="4" w:space="0" w:color="000000"/>
              <w:left w:val="nil"/>
              <w:right w:val="nil"/>
            </w:tcBorders>
          </w:tcPr>
          <w:p w:rsidR="00A47CF6" w:rsidRPr="00666DF4" w:rsidRDefault="00A47CF6" w:rsidP="00760F51">
            <w:pPr>
              <w:pStyle w:val="TableText"/>
              <w:tabs>
                <w:tab w:val="decimal" w:pos="774"/>
              </w:tabs>
              <w:rPr>
                <w:rFonts w:eastAsia="Arial" w:cs="Arial"/>
                <w:szCs w:val="19"/>
              </w:rPr>
            </w:pPr>
            <w:r w:rsidRPr="00666DF4">
              <w:t>23</w:t>
            </w:r>
          </w:p>
        </w:tc>
        <w:tc>
          <w:tcPr>
            <w:tcW w:w="1448" w:type="dxa"/>
            <w:tcBorders>
              <w:top w:val="single" w:sz="4" w:space="0" w:color="000000"/>
              <w:left w:val="nil"/>
              <w:right w:val="nil"/>
            </w:tcBorders>
          </w:tcPr>
          <w:p w:rsidR="00A47CF6" w:rsidRPr="00666DF4" w:rsidRDefault="00A47CF6" w:rsidP="00760F51">
            <w:pPr>
              <w:pStyle w:val="TableText"/>
              <w:tabs>
                <w:tab w:val="decimal" w:pos="774"/>
              </w:tabs>
              <w:rPr>
                <w:rFonts w:eastAsia="Arial" w:cs="Arial"/>
                <w:szCs w:val="19"/>
              </w:rPr>
            </w:pPr>
            <w:r w:rsidRPr="00666DF4">
              <w:t>14</w:t>
            </w:r>
          </w:p>
        </w:tc>
        <w:tc>
          <w:tcPr>
            <w:tcW w:w="1448" w:type="dxa"/>
            <w:tcBorders>
              <w:top w:val="single" w:sz="4" w:space="0" w:color="000000"/>
              <w:left w:val="nil"/>
              <w:right w:val="nil"/>
            </w:tcBorders>
          </w:tcPr>
          <w:p w:rsidR="00A47CF6" w:rsidRPr="00666DF4" w:rsidRDefault="00A47CF6" w:rsidP="00760F51">
            <w:pPr>
              <w:pStyle w:val="TableText"/>
              <w:tabs>
                <w:tab w:val="decimal" w:pos="774"/>
              </w:tabs>
              <w:rPr>
                <w:rFonts w:eastAsia="Arial" w:cs="Arial"/>
                <w:szCs w:val="19"/>
              </w:rPr>
            </w:pPr>
            <w:r w:rsidRPr="00666DF4">
              <w:t>41</w:t>
            </w:r>
          </w:p>
        </w:tc>
      </w:tr>
      <w:tr w:rsidR="00A47CF6" w:rsidRPr="00666DF4" w:rsidTr="00760F51">
        <w:trPr>
          <w:cantSplit/>
        </w:trPr>
        <w:tc>
          <w:tcPr>
            <w:tcW w:w="3564" w:type="dxa"/>
            <w:tcBorders>
              <w:left w:val="nil"/>
              <w:right w:val="nil"/>
            </w:tcBorders>
          </w:tcPr>
          <w:p w:rsidR="00A47CF6" w:rsidRPr="00666DF4" w:rsidRDefault="00A47CF6" w:rsidP="00760F51">
            <w:pPr>
              <w:pStyle w:val="TableText"/>
              <w:rPr>
                <w:rFonts w:eastAsia="Arial" w:cs="Arial"/>
                <w:szCs w:val="19"/>
              </w:rPr>
            </w:pPr>
            <w:r w:rsidRPr="00666DF4">
              <w:t>Capital &amp; Coast District Health Board</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34</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39</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18</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81</w:t>
            </w:r>
          </w:p>
        </w:tc>
      </w:tr>
      <w:tr w:rsidR="00A47CF6" w:rsidRPr="00666DF4" w:rsidTr="00760F51">
        <w:trPr>
          <w:cantSplit/>
        </w:trPr>
        <w:tc>
          <w:tcPr>
            <w:tcW w:w="3564" w:type="dxa"/>
            <w:tcBorders>
              <w:left w:val="nil"/>
              <w:right w:val="nil"/>
            </w:tcBorders>
          </w:tcPr>
          <w:p w:rsidR="00A47CF6" w:rsidRPr="00666DF4" w:rsidRDefault="00A47CF6" w:rsidP="00760F51">
            <w:pPr>
              <w:pStyle w:val="TableText"/>
              <w:rPr>
                <w:rFonts w:eastAsia="Arial" w:cs="Arial"/>
                <w:szCs w:val="19"/>
              </w:rPr>
            </w:pPr>
            <w:r w:rsidRPr="00666DF4">
              <w:t>Southern District Health Board</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13</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6</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10</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28</w:t>
            </w:r>
          </w:p>
        </w:tc>
      </w:tr>
      <w:tr w:rsidR="00A47CF6" w:rsidRPr="00666DF4" w:rsidTr="00760F51">
        <w:trPr>
          <w:cantSplit/>
        </w:trPr>
        <w:tc>
          <w:tcPr>
            <w:tcW w:w="3564" w:type="dxa"/>
            <w:tcBorders>
              <w:left w:val="nil"/>
              <w:right w:val="nil"/>
            </w:tcBorders>
          </w:tcPr>
          <w:p w:rsidR="00A47CF6" w:rsidRPr="00666DF4" w:rsidRDefault="00A47CF6" w:rsidP="00760F51">
            <w:pPr>
              <w:pStyle w:val="TableText"/>
              <w:rPr>
                <w:rFonts w:eastAsia="Arial" w:cs="Arial"/>
                <w:szCs w:val="19"/>
              </w:rPr>
            </w:pPr>
            <w:r w:rsidRPr="00666DF4">
              <w:t>Waikato District Health Board</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24</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44</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42</w:t>
            </w:r>
          </w:p>
        </w:tc>
        <w:tc>
          <w:tcPr>
            <w:tcW w:w="1448" w:type="dxa"/>
            <w:tcBorders>
              <w:left w:val="nil"/>
              <w:right w:val="nil"/>
            </w:tcBorders>
          </w:tcPr>
          <w:p w:rsidR="00A47CF6" w:rsidRPr="00666DF4" w:rsidRDefault="00A47CF6" w:rsidP="00760F51">
            <w:pPr>
              <w:pStyle w:val="TableText"/>
              <w:tabs>
                <w:tab w:val="decimal" w:pos="774"/>
              </w:tabs>
              <w:rPr>
                <w:rFonts w:eastAsia="Arial" w:cs="Arial"/>
                <w:szCs w:val="19"/>
              </w:rPr>
            </w:pPr>
            <w:r w:rsidRPr="00666DF4">
              <w:t>98</w:t>
            </w:r>
          </w:p>
        </w:tc>
      </w:tr>
      <w:tr w:rsidR="00A47CF6" w:rsidRPr="00666DF4" w:rsidTr="00760F51">
        <w:trPr>
          <w:cantSplit/>
        </w:trPr>
        <w:tc>
          <w:tcPr>
            <w:tcW w:w="3564" w:type="dxa"/>
            <w:tcBorders>
              <w:left w:val="nil"/>
              <w:bottom w:val="single" w:sz="4" w:space="0" w:color="000000"/>
              <w:right w:val="nil"/>
            </w:tcBorders>
          </w:tcPr>
          <w:p w:rsidR="00A47CF6" w:rsidRPr="00666DF4" w:rsidRDefault="00A47CF6" w:rsidP="00760F51">
            <w:pPr>
              <w:pStyle w:val="TableText"/>
              <w:rPr>
                <w:rFonts w:eastAsia="Arial" w:cs="Arial"/>
                <w:szCs w:val="19"/>
              </w:rPr>
            </w:pPr>
            <w:proofErr w:type="spellStart"/>
            <w:r w:rsidRPr="00666DF4">
              <w:t>Waitemata</w:t>
            </w:r>
            <w:proofErr w:type="spellEnd"/>
            <w:r w:rsidRPr="00666DF4">
              <w:t xml:space="preserve"> District Health Board</w:t>
            </w:r>
          </w:p>
        </w:tc>
        <w:tc>
          <w:tcPr>
            <w:tcW w:w="1448" w:type="dxa"/>
            <w:tcBorders>
              <w:left w:val="nil"/>
              <w:bottom w:val="single" w:sz="4" w:space="0" w:color="000000"/>
              <w:right w:val="nil"/>
            </w:tcBorders>
          </w:tcPr>
          <w:p w:rsidR="00A47CF6" w:rsidRPr="00666DF4" w:rsidRDefault="00A47CF6" w:rsidP="00760F51">
            <w:pPr>
              <w:pStyle w:val="TableText"/>
              <w:tabs>
                <w:tab w:val="decimal" w:pos="774"/>
              </w:tabs>
              <w:rPr>
                <w:rFonts w:eastAsia="Arial" w:cs="Arial"/>
                <w:szCs w:val="19"/>
              </w:rPr>
            </w:pPr>
            <w:r w:rsidRPr="00666DF4">
              <w:t>43</w:t>
            </w:r>
          </w:p>
        </w:tc>
        <w:tc>
          <w:tcPr>
            <w:tcW w:w="1448" w:type="dxa"/>
            <w:tcBorders>
              <w:left w:val="nil"/>
              <w:bottom w:val="single" w:sz="4" w:space="0" w:color="000000"/>
              <w:right w:val="nil"/>
            </w:tcBorders>
          </w:tcPr>
          <w:p w:rsidR="00A47CF6" w:rsidRPr="00666DF4" w:rsidRDefault="00A47CF6" w:rsidP="00760F51">
            <w:pPr>
              <w:pStyle w:val="TableText"/>
              <w:tabs>
                <w:tab w:val="decimal" w:pos="774"/>
              </w:tabs>
              <w:rPr>
                <w:rFonts w:eastAsia="Arial" w:cs="Arial"/>
                <w:szCs w:val="19"/>
              </w:rPr>
            </w:pPr>
            <w:r w:rsidRPr="00666DF4">
              <w:t>81</w:t>
            </w:r>
          </w:p>
        </w:tc>
        <w:tc>
          <w:tcPr>
            <w:tcW w:w="1448" w:type="dxa"/>
            <w:tcBorders>
              <w:left w:val="nil"/>
              <w:bottom w:val="single" w:sz="4" w:space="0" w:color="000000"/>
              <w:right w:val="nil"/>
            </w:tcBorders>
          </w:tcPr>
          <w:p w:rsidR="00A47CF6" w:rsidRPr="00666DF4" w:rsidRDefault="00A47CF6" w:rsidP="00760F51">
            <w:pPr>
              <w:pStyle w:val="TableText"/>
              <w:tabs>
                <w:tab w:val="decimal" w:pos="774"/>
              </w:tabs>
              <w:rPr>
                <w:rFonts w:eastAsia="Arial" w:cs="Arial"/>
                <w:szCs w:val="19"/>
              </w:rPr>
            </w:pPr>
            <w:r w:rsidRPr="00666DF4">
              <w:t>35</w:t>
            </w:r>
          </w:p>
        </w:tc>
        <w:tc>
          <w:tcPr>
            <w:tcW w:w="1448" w:type="dxa"/>
            <w:tcBorders>
              <w:left w:val="nil"/>
              <w:bottom w:val="single" w:sz="4" w:space="0" w:color="000000"/>
              <w:right w:val="nil"/>
            </w:tcBorders>
          </w:tcPr>
          <w:p w:rsidR="00A47CF6" w:rsidRPr="00666DF4" w:rsidRDefault="00A47CF6" w:rsidP="00760F51">
            <w:pPr>
              <w:pStyle w:val="TableText"/>
              <w:tabs>
                <w:tab w:val="decimal" w:pos="774"/>
              </w:tabs>
              <w:rPr>
                <w:rFonts w:eastAsia="Arial" w:cs="Arial"/>
                <w:szCs w:val="19"/>
              </w:rPr>
            </w:pPr>
            <w:r w:rsidRPr="00666DF4">
              <w:t>138</w:t>
            </w:r>
          </w:p>
        </w:tc>
      </w:tr>
    </w:tbl>
    <w:p w:rsidR="00A47CF6" w:rsidRPr="00666DF4" w:rsidRDefault="00A47CF6" w:rsidP="00760F51">
      <w:pPr>
        <w:pStyle w:val="Note"/>
        <w:ind w:right="0"/>
        <w:rPr>
          <w:rFonts w:eastAsia="Arial"/>
        </w:rPr>
      </w:pPr>
      <w:r w:rsidRPr="00666DF4">
        <w:rPr>
          <w:rFonts w:eastAsia="Arial"/>
        </w:rPr>
        <w:t>Note: Some people will be counted as special patients against more than one DHB if they have received treatment with more than one DHB. This means the total of this data is higher than the national total. Furthermore, certain special patient orders enable a Court to direct treatment outside a regional forensic service – this data has been excluded due to low numbers and to protect patient confidentiality.</w:t>
      </w:r>
    </w:p>
    <w:p w:rsidR="00A47CF6" w:rsidRPr="00666DF4" w:rsidRDefault="00A47CF6" w:rsidP="00760F51">
      <w:pPr>
        <w:pStyle w:val="Source"/>
        <w:rPr>
          <w:rFonts w:eastAsia="Arial" w:cs="Arial"/>
          <w:szCs w:val="19"/>
        </w:rPr>
      </w:pPr>
      <w:r w:rsidRPr="00666DF4">
        <w:t>Source: PRIMHD collection, extracted 26 July 2017</w:t>
      </w:r>
    </w:p>
    <w:p w:rsidR="00A47CF6" w:rsidRPr="00666DF4" w:rsidRDefault="00A47CF6" w:rsidP="00760F51">
      <w:pPr>
        <w:rPr>
          <w:rFonts w:eastAsia="Arial"/>
        </w:rPr>
      </w:pPr>
    </w:p>
    <w:p w:rsidR="00A47CF6" w:rsidRPr="00666DF4" w:rsidRDefault="00A47CF6" w:rsidP="00760F51">
      <w:pPr>
        <w:pStyle w:val="Figure"/>
        <w:rPr>
          <w:rFonts w:eastAsia="Georgia"/>
        </w:rPr>
      </w:pPr>
      <w:bookmarkStart w:id="164" w:name="_Toc508707352"/>
      <w:r w:rsidRPr="00666DF4">
        <w:rPr>
          <w:rFonts w:eastAsia="Georgia"/>
        </w:rPr>
        <w:t xml:space="preserve">Figure 28: Percentage of Extended Forensic Care, Short-term Forensic Care and </w:t>
      </w:r>
      <w:r w:rsidR="00BF25EC">
        <w:rPr>
          <w:rFonts w:eastAsia="Georgia"/>
        </w:rPr>
        <w:t>‘</w:t>
      </w:r>
      <w:r w:rsidRPr="00666DF4">
        <w:rPr>
          <w:rFonts w:eastAsia="Georgia"/>
        </w:rPr>
        <w:t>Other</w:t>
      </w:r>
      <w:r w:rsidR="00BF25EC">
        <w:rPr>
          <w:rFonts w:eastAsia="Georgia"/>
        </w:rPr>
        <w:t>’</w:t>
      </w:r>
      <w:r w:rsidRPr="00666DF4">
        <w:rPr>
          <w:rFonts w:eastAsia="Georgia"/>
        </w:rPr>
        <w:t xml:space="preserve"> legal statuses, within each DHB, 1 January to 31 December 2016</w:t>
      </w:r>
      <w:bookmarkEnd w:id="164"/>
    </w:p>
    <w:p w:rsidR="00A47CF6" w:rsidRPr="00666DF4" w:rsidRDefault="00760F51" w:rsidP="00760F51">
      <w:pPr>
        <w:rPr>
          <w:rFonts w:eastAsia="Arial"/>
        </w:rPr>
      </w:pPr>
      <w:r>
        <w:rPr>
          <w:noProof/>
          <w:lang w:eastAsia="en-NZ"/>
        </w:rPr>
        <w:drawing>
          <wp:inline distT="0" distB="0" distL="0" distR="0" wp14:anchorId="2F3BC604" wp14:editId="487E8676">
            <wp:extent cx="5503025" cy="2165934"/>
            <wp:effectExtent l="0" t="0" r="2540" b="6350"/>
            <wp:docPr id="86" name="Picture 86" title="Figure 28: Percentage of Extended Forensic Care, Short-term Forensic Care and ‘Other’ legal statuses, within each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blip>
                    <a:stretch>
                      <a:fillRect/>
                    </a:stretch>
                  </pic:blipFill>
                  <pic:spPr>
                    <a:xfrm>
                      <a:off x="0" y="0"/>
                      <a:ext cx="5508239" cy="2167986"/>
                    </a:xfrm>
                    <a:prstGeom prst="rect">
                      <a:avLst/>
                    </a:prstGeom>
                  </pic:spPr>
                </pic:pic>
              </a:graphicData>
            </a:graphic>
          </wp:inline>
        </w:drawing>
      </w:r>
    </w:p>
    <w:p w:rsidR="00A47CF6" w:rsidRPr="00666DF4" w:rsidRDefault="00A47CF6" w:rsidP="00760F51">
      <w:pPr>
        <w:pStyle w:val="Note"/>
        <w:rPr>
          <w:rFonts w:eastAsia="Arial"/>
        </w:rPr>
      </w:pPr>
      <w:r w:rsidRPr="00666DF4">
        <w:rPr>
          <w:rFonts w:eastAsia="Arial"/>
        </w:rPr>
        <w:t xml:space="preserve">Note: Unlike previous data in this section, the data used in this figure is based on a count of legal statuses rather than people. One special patient may have many legal statuses in a period, which could be in different categories but each special patient legal status can only be in one category, EFC, SFC or </w:t>
      </w:r>
      <w:r w:rsidR="00BF25EC">
        <w:rPr>
          <w:rFonts w:eastAsia="Arial"/>
        </w:rPr>
        <w:t>‘</w:t>
      </w:r>
      <w:r w:rsidRPr="00666DF4">
        <w:rPr>
          <w:rFonts w:eastAsia="Arial"/>
        </w:rPr>
        <w:t>Other</w:t>
      </w:r>
      <w:r w:rsidR="00BF25EC">
        <w:rPr>
          <w:rFonts w:eastAsia="Arial"/>
        </w:rPr>
        <w:t>’</w:t>
      </w:r>
      <w:r w:rsidRPr="00666DF4">
        <w:rPr>
          <w:rFonts w:eastAsia="Arial"/>
        </w:rPr>
        <w:t>. Please use caution when comparing the legal status counts with the counts of people with legal statuses.</w:t>
      </w:r>
    </w:p>
    <w:p w:rsidR="00A47CF6" w:rsidRPr="00666DF4" w:rsidRDefault="00A47CF6" w:rsidP="00760F51">
      <w:pPr>
        <w:pStyle w:val="Source"/>
        <w:rPr>
          <w:rFonts w:eastAsia="Arial" w:cs="Arial"/>
          <w:szCs w:val="19"/>
        </w:rPr>
      </w:pPr>
      <w:r w:rsidRPr="00666DF4">
        <w:t>Source: PRIMHD collection, extracted 26 July 2017</w:t>
      </w:r>
    </w:p>
    <w:p w:rsidR="00A47CF6" w:rsidRPr="00666DF4" w:rsidRDefault="00A47CF6" w:rsidP="00760F51">
      <w:pPr>
        <w:rPr>
          <w:rFonts w:eastAsia="Arial"/>
        </w:rPr>
      </w:pPr>
    </w:p>
    <w:p w:rsidR="00A47CF6" w:rsidRPr="00666DF4" w:rsidRDefault="00A47CF6" w:rsidP="00760F51">
      <w:r w:rsidRPr="00666DF4">
        <w:t>The CP (MIP) Act allows the Court to sentence a convicted offender to a term of imprisonment while also ordering their detention in hospital as a special patient (if mentally disordered). These</w:t>
      </w:r>
      <w:r w:rsidR="00760F51">
        <w:t xml:space="preserve"> </w:t>
      </w:r>
      <w:r w:rsidRPr="00666DF4">
        <w:t xml:space="preserve">orders are referred to as </w:t>
      </w:r>
      <w:r w:rsidRPr="00666DF4">
        <w:rPr>
          <w:b/>
        </w:rPr>
        <w:t xml:space="preserve">hybrid orders </w:t>
      </w:r>
      <w:r w:rsidRPr="00666DF4">
        <w:t>because they combine aspects of compulsory treatment and imprisonment. In 2016, there was one hybrid order made under section 34(1</w:t>
      </w:r>
      <w:proofErr w:type="gramStart"/>
      <w:r w:rsidRPr="00666DF4">
        <w:t>)(</w:t>
      </w:r>
      <w:proofErr w:type="gramEnd"/>
      <w:r w:rsidRPr="00666DF4">
        <w:t>a)(</w:t>
      </w:r>
      <w:proofErr w:type="spellStart"/>
      <w:r w:rsidRPr="00666DF4">
        <w:t>i</w:t>
      </w:r>
      <w:proofErr w:type="spellEnd"/>
      <w:r w:rsidRPr="00666DF4">
        <w:t>) of the CP (MIP) Act.</w:t>
      </w:r>
    </w:p>
    <w:p w:rsidR="00A47CF6" w:rsidRPr="00666DF4" w:rsidRDefault="00A47CF6" w:rsidP="00760F51">
      <w:pPr>
        <w:rPr>
          <w:rFonts w:eastAsia="Century"/>
        </w:rPr>
      </w:pPr>
    </w:p>
    <w:p w:rsidR="00A47CF6" w:rsidRPr="00666DF4" w:rsidRDefault="00A47CF6" w:rsidP="00760F51">
      <w:pPr>
        <w:pStyle w:val="Heading3"/>
        <w:rPr>
          <w:bCs/>
        </w:rPr>
      </w:pPr>
      <w:r w:rsidRPr="00666DF4">
        <w:t>Gender, age and ethnicity of special patients</w:t>
      </w:r>
    </w:p>
    <w:p w:rsidR="00A47CF6" w:rsidRPr="00666DF4" w:rsidRDefault="00A47CF6" w:rsidP="00760F51">
      <w:r w:rsidRPr="00666DF4">
        <w:t>In 2016, most people subject to a special patient legal status were male (87%). Special patients were seven times more likely to be male than female (13%).The most common age</w:t>
      </w:r>
      <w:r w:rsidR="00760F51">
        <w:t xml:space="preserve"> </w:t>
      </w:r>
      <w:r w:rsidRPr="00666DF4">
        <w:t>group for special patients was 25–29 years old (see Figure 29).</w:t>
      </w:r>
    </w:p>
    <w:p w:rsidR="00A47CF6" w:rsidRPr="00666DF4" w:rsidRDefault="00A47CF6" w:rsidP="00760F51"/>
    <w:p w:rsidR="00A47CF6" w:rsidRDefault="00A47CF6" w:rsidP="00760F51">
      <w:pPr>
        <w:pStyle w:val="Figure"/>
      </w:pPr>
      <w:bookmarkStart w:id="165" w:name="Figure_29:_Total_number_of_special_patie"/>
      <w:bookmarkStart w:id="166" w:name="Figure_30:_Total_number_of_special_patie"/>
      <w:bookmarkStart w:id="167" w:name="_bookmark35"/>
      <w:bookmarkStart w:id="168" w:name="_Toc508707353"/>
      <w:bookmarkEnd w:id="165"/>
      <w:bookmarkEnd w:id="166"/>
      <w:bookmarkEnd w:id="167"/>
      <w:r w:rsidRPr="00666DF4">
        <w:t>Figure 29: Total number of special patients, by age-group, 1 January to 31 December 2016</w:t>
      </w:r>
      <w:bookmarkEnd w:id="168"/>
    </w:p>
    <w:p w:rsidR="00760F51" w:rsidRPr="00760F51" w:rsidRDefault="00760F51" w:rsidP="00760F51">
      <w:pPr>
        <w:rPr>
          <w:rFonts w:eastAsia="Georgia"/>
        </w:rPr>
      </w:pPr>
      <w:r>
        <w:rPr>
          <w:noProof/>
          <w:lang w:eastAsia="en-NZ"/>
        </w:rPr>
        <w:drawing>
          <wp:inline distT="0" distB="0" distL="0" distR="0" wp14:anchorId="23C473E2" wp14:editId="53A42A4D">
            <wp:extent cx="4705003" cy="2149765"/>
            <wp:effectExtent l="0" t="0" r="635" b="3175"/>
            <wp:docPr id="87" name="Picture 87" title="Figure 29: Total number of special patients, by age-group,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blip>
                    <a:stretch>
                      <a:fillRect/>
                    </a:stretch>
                  </pic:blipFill>
                  <pic:spPr>
                    <a:xfrm>
                      <a:off x="0" y="0"/>
                      <a:ext cx="4704699" cy="2149626"/>
                    </a:xfrm>
                    <a:prstGeom prst="rect">
                      <a:avLst/>
                    </a:prstGeom>
                  </pic:spPr>
                </pic:pic>
              </a:graphicData>
            </a:graphic>
          </wp:inline>
        </w:drawing>
      </w:r>
    </w:p>
    <w:p w:rsidR="00A47CF6" w:rsidRPr="00666DF4" w:rsidRDefault="00A47CF6" w:rsidP="00760F51">
      <w:pPr>
        <w:pStyle w:val="Source"/>
        <w:rPr>
          <w:rFonts w:eastAsia="Arial" w:cs="Arial"/>
          <w:szCs w:val="19"/>
        </w:rPr>
      </w:pPr>
      <w:r w:rsidRPr="00666DF4">
        <w:t>Source: PRIMHD collection, extracted 26 July 2017</w:t>
      </w:r>
    </w:p>
    <w:p w:rsidR="00A47CF6" w:rsidRPr="00666DF4" w:rsidRDefault="00A47CF6" w:rsidP="00760F51">
      <w:pPr>
        <w:rPr>
          <w:rFonts w:eastAsia="Arial"/>
        </w:rPr>
      </w:pPr>
    </w:p>
    <w:p w:rsidR="00A47CF6" w:rsidRPr="00666DF4" w:rsidRDefault="00A47CF6" w:rsidP="00760F51">
      <w:pPr>
        <w:keepLines/>
      </w:pPr>
      <w:r w:rsidRPr="00666DF4">
        <w:t>As Figure 30 indicates, in 2016, the highest proportion of people subject to a special patient order were Māori (50 percent). However, the largest proportion of EFC special patients (those remanded</w:t>
      </w:r>
      <w:r w:rsidR="00BF25EC">
        <w:t xml:space="preserve"> </w:t>
      </w:r>
      <w:r w:rsidRPr="00666DF4">
        <w:t xml:space="preserve">to a forensic health facility) had an ethnicity classification of </w:t>
      </w:r>
      <w:r w:rsidR="00BF25EC">
        <w:t>‘</w:t>
      </w:r>
      <w:r w:rsidRPr="00666DF4">
        <w:t>other</w:t>
      </w:r>
      <w:r w:rsidR="00BF25EC">
        <w:t>’</w:t>
      </w:r>
      <w:r w:rsidRPr="00666DF4">
        <w:t>,</w:t>
      </w:r>
      <w:r w:rsidR="00760F51">
        <w:rPr>
          <w:rStyle w:val="FootnoteReference"/>
        </w:rPr>
        <w:footnoteReference w:id="30"/>
      </w:r>
      <w:r w:rsidR="00760F51">
        <w:t xml:space="preserve"> </w:t>
      </w:r>
      <w:r w:rsidRPr="00666DF4">
        <w:t xml:space="preserve">at 46 percent. Special patients classified as </w:t>
      </w:r>
      <w:r w:rsidR="00BF25EC">
        <w:t>‘</w:t>
      </w:r>
      <w:r w:rsidRPr="00666DF4">
        <w:t>other</w:t>
      </w:r>
      <w:r w:rsidR="00BF25EC">
        <w:t>’</w:t>
      </w:r>
      <w:r w:rsidRPr="00666DF4">
        <w:t xml:space="preserve"> made up 27 percent of the SFC special patient population. Māori special patients</w:t>
      </w:r>
      <w:r w:rsidR="00760F51">
        <w:t xml:space="preserve"> </w:t>
      </w:r>
      <w:r w:rsidRPr="00666DF4">
        <w:t>made up 36 percent of EFC special patients and 58 percent of SFC special patients (see Figure 31). This difference in proportion is likely to reflect the high proportion of Māori in the prison population.</w:t>
      </w:r>
    </w:p>
    <w:p w:rsidR="00A47CF6" w:rsidRPr="00666DF4" w:rsidRDefault="00A47CF6" w:rsidP="00760F51">
      <w:pPr>
        <w:rPr>
          <w:rFonts w:eastAsia="Century"/>
        </w:rPr>
      </w:pPr>
    </w:p>
    <w:p w:rsidR="00A47CF6" w:rsidRPr="00666DF4" w:rsidRDefault="00A47CF6" w:rsidP="00760F51">
      <w:pPr>
        <w:pStyle w:val="Figure"/>
        <w:rPr>
          <w:rFonts w:eastAsia="Georgia" w:cs="Georgia"/>
          <w:szCs w:val="19"/>
        </w:rPr>
      </w:pPr>
      <w:bookmarkStart w:id="169" w:name="_Toc508707354"/>
      <w:r w:rsidRPr="00666DF4">
        <w:t>Figure 30: Total number of special patients, by ethnicity, 1 January to 31 December 2016</w:t>
      </w:r>
      <w:bookmarkEnd w:id="169"/>
    </w:p>
    <w:p w:rsidR="00A47CF6" w:rsidRPr="00666DF4" w:rsidRDefault="00760F51" w:rsidP="00760F51">
      <w:pPr>
        <w:rPr>
          <w:rFonts w:eastAsia="Georgia"/>
        </w:rPr>
      </w:pPr>
      <w:r>
        <w:rPr>
          <w:noProof/>
          <w:lang w:eastAsia="en-NZ"/>
        </w:rPr>
        <w:drawing>
          <wp:inline distT="0" distB="0" distL="0" distR="0" wp14:anchorId="35F82D1A" wp14:editId="0CE705EE">
            <wp:extent cx="2502131" cy="2357950"/>
            <wp:effectExtent l="0" t="0" r="0" b="4445"/>
            <wp:docPr id="88" name="Picture 88" title="Figure 30: Total number of special patients, by ethnicity,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grayscl/>
                    </a:blip>
                    <a:srcRect l="4023"/>
                    <a:stretch/>
                  </pic:blipFill>
                  <pic:spPr bwMode="auto">
                    <a:xfrm>
                      <a:off x="0" y="0"/>
                      <a:ext cx="2505338" cy="2360972"/>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760F51">
      <w:pPr>
        <w:pStyle w:val="Source"/>
        <w:rPr>
          <w:rFonts w:eastAsia="Arial" w:cs="Arial"/>
          <w:szCs w:val="19"/>
        </w:rPr>
      </w:pPr>
      <w:r w:rsidRPr="00666DF4">
        <w:t>Source: PRIMHD collection, extracted 26 July 2017</w:t>
      </w:r>
    </w:p>
    <w:p w:rsidR="00A47CF6" w:rsidRPr="00666DF4" w:rsidRDefault="00A47CF6" w:rsidP="00760F51">
      <w:pPr>
        <w:rPr>
          <w:rFonts w:eastAsia="Century"/>
        </w:rPr>
      </w:pPr>
    </w:p>
    <w:p w:rsidR="00A47CF6" w:rsidRDefault="00A47CF6" w:rsidP="00760F51">
      <w:pPr>
        <w:pStyle w:val="Figure"/>
      </w:pPr>
      <w:bookmarkStart w:id="170" w:name="Figure_31:_Total_number_of_special_patie"/>
      <w:bookmarkStart w:id="171" w:name="_bookmark36"/>
      <w:bookmarkStart w:id="172" w:name="_Toc508707355"/>
      <w:bookmarkEnd w:id="170"/>
      <w:bookmarkEnd w:id="171"/>
      <w:r w:rsidRPr="00666DF4">
        <w:t>Figure 31: Total number of special patients, by ethnicity and special patient type, 1 January to 31 December 2016</w:t>
      </w:r>
      <w:bookmarkEnd w:id="172"/>
    </w:p>
    <w:p w:rsidR="00760F51" w:rsidRPr="00760F51" w:rsidRDefault="00760F51" w:rsidP="00760F51">
      <w:pPr>
        <w:rPr>
          <w:rFonts w:eastAsia="Georgia"/>
        </w:rPr>
      </w:pPr>
      <w:r>
        <w:rPr>
          <w:noProof/>
          <w:lang w:eastAsia="en-NZ"/>
        </w:rPr>
        <w:drawing>
          <wp:inline distT="0" distB="0" distL="0" distR="0" wp14:anchorId="18270CB6" wp14:editId="28E979F3">
            <wp:extent cx="4696691" cy="2128836"/>
            <wp:effectExtent l="0" t="0" r="8890" b="5080"/>
            <wp:docPr id="89" name="Picture 89" title="Figure 31: Total number of special patients, by ethnicity and special patient type,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blip>
                    <a:stretch>
                      <a:fillRect/>
                    </a:stretch>
                  </pic:blipFill>
                  <pic:spPr>
                    <a:xfrm>
                      <a:off x="0" y="0"/>
                      <a:ext cx="4694433" cy="2127812"/>
                    </a:xfrm>
                    <a:prstGeom prst="rect">
                      <a:avLst/>
                    </a:prstGeom>
                  </pic:spPr>
                </pic:pic>
              </a:graphicData>
            </a:graphic>
          </wp:inline>
        </w:drawing>
      </w:r>
    </w:p>
    <w:p w:rsidR="00760F51" w:rsidRDefault="00A47CF6" w:rsidP="00760F51">
      <w:pPr>
        <w:pStyle w:val="Note"/>
      </w:pPr>
      <w:r w:rsidRPr="00666DF4">
        <w:t>Note: A patient may be represented in one or more categories in this graph.</w:t>
      </w:r>
    </w:p>
    <w:p w:rsidR="00A47CF6" w:rsidRDefault="00A47CF6" w:rsidP="00760F51">
      <w:pPr>
        <w:pStyle w:val="Source"/>
      </w:pPr>
      <w:r w:rsidRPr="00666DF4">
        <w:t>Source: PRIMHD collection, extracted 26 July 2017</w:t>
      </w:r>
    </w:p>
    <w:p w:rsidR="00760F51" w:rsidRPr="00760F51" w:rsidRDefault="00760F51" w:rsidP="00760F51">
      <w:pPr>
        <w:rPr>
          <w:rFonts w:eastAsia="Arial"/>
        </w:rPr>
      </w:pPr>
    </w:p>
    <w:p w:rsidR="00A47CF6" w:rsidRPr="00666DF4" w:rsidRDefault="00A47CF6" w:rsidP="00760F51">
      <w:pPr>
        <w:pStyle w:val="Heading3"/>
        <w:rPr>
          <w:bCs/>
        </w:rPr>
      </w:pPr>
      <w:r w:rsidRPr="00666DF4">
        <w:t>Decisions regarding leave and change of legal status for special and restricted patients</w:t>
      </w:r>
    </w:p>
    <w:p w:rsidR="00A47CF6" w:rsidRPr="00666DF4" w:rsidRDefault="00A47CF6" w:rsidP="00B845F5">
      <w:pPr>
        <w:keepLines/>
      </w:pPr>
      <w:r w:rsidRPr="00666DF4">
        <w:t>The Director of Mental Health has a central role in managing special patients and restricted patients. The Director must be notified of the admission, discharge or transfer of special and restricted patients, and certain incidents involving these people (section 43 of the Mental Health Act). The Director may direct the transfer of such patients between DHBs under section 49 of the Mental Health Act, or grant leave for any period not</w:t>
      </w:r>
      <w:r w:rsidR="00B845F5">
        <w:t xml:space="preserve"> </w:t>
      </w:r>
      <w:r w:rsidRPr="00666DF4">
        <w:t>exceeding seven days for certain special and restricted patients (section 52).</w:t>
      </w:r>
    </w:p>
    <w:p w:rsidR="00A47CF6" w:rsidRPr="00666DF4" w:rsidRDefault="00A47CF6" w:rsidP="00B845F5">
      <w:pPr>
        <w:rPr>
          <w:rFonts w:eastAsia="Century"/>
        </w:rPr>
      </w:pPr>
    </w:p>
    <w:p w:rsidR="00A47CF6" w:rsidRPr="00666DF4" w:rsidRDefault="00A47CF6" w:rsidP="00B845F5">
      <w:r w:rsidRPr="00666DF4">
        <w:t>Leave is an important part of a special patient</w:t>
      </w:r>
      <w:r w:rsidR="00BF25EC">
        <w:t>’</w:t>
      </w:r>
      <w:r w:rsidRPr="00666DF4">
        <w:t>s rehabilitation and occurs in a careful stepwise manner. Patients usually begin by having walks on the hospital grounds escorted by forensic service staff. If appropriate, patients progress to unescorted ground leave and then to escorted and</w:t>
      </w:r>
      <w:r w:rsidR="00B845F5">
        <w:t xml:space="preserve"> </w:t>
      </w:r>
      <w:r w:rsidRPr="00666DF4">
        <w:t>unescorted community leave. This leave is typically used to attend appointments, work, rehabilitation programmes or to visit family. After increasing periods of successful unescorted leave, it may be appropriate for some individuals to progress to a less secure setting. Individuals may move to an open hospital unit and eventually reside in the community, often in supported accommodation or with family. It is important to note that not all special patients will be eligible for leave, and that there is no requirement for progression towards less secure conditions if this is not supported by risk assessment or progress.</w:t>
      </w:r>
    </w:p>
    <w:p w:rsidR="00A47CF6" w:rsidRPr="00666DF4" w:rsidRDefault="00A47CF6" w:rsidP="00B845F5">
      <w:pPr>
        <w:rPr>
          <w:rFonts w:eastAsia="Century"/>
        </w:rPr>
      </w:pPr>
    </w:p>
    <w:p w:rsidR="00A47CF6" w:rsidRPr="00666DF4" w:rsidRDefault="00A47CF6" w:rsidP="00B845F5">
      <w:r w:rsidRPr="00666DF4">
        <w:t>The Minister of Health grants periods of leave over seven days (section 50), which are available to certain categories of special patients. The Director briefs the Minister of Health when requests for leave are made. Initial ministerial section 50 leave is usually granted for a period of six months, with further ministerial leave applications of 12 months in duration.</w:t>
      </w:r>
    </w:p>
    <w:p w:rsidR="00A47CF6" w:rsidRPr="00666DF4" w:rsidRDefault="00A47CF6" w:rsidP="00B845F5">
      <w:pPr>
        <w:rPr>
          <w:rFonts w:eastAsia="Century"/>
        </w:rPr>
      </w:pPr>
    </w:p>
    <w:p w:rsidR="00A47CF6" w:rsidRPr="00666DF4" w:rsidRDefault="00A47CF6" w:rsidP="00B845F5">
      <w:r w:rsidRPr="00666DF4">
        <w:t>While on leave, special patients are subject to leave conditions and regular monitoring by their treating team. If a special patient breaches their leave conditions or their mental state requires they return</w:t>
      </w:r>
      <w:r w:rsidR="00B845F5">
        <w:t xml:space="preserve"> </w:t>
      </w:r>
      <w:r w:rsidRPr="00666DF4">
        <w:t xml:space="preserve">to hospital, leave may be revoked. If the patient is subject to ministerial long leave, the Director may recommend the Minister </w:t>
      </w:r>
      <w:proofErr w:type="gramStart"/>
      <w:r w:rsidRPr="00666DF4">
        <w:t>revoke</w:t>
      </w:r>
      <w:proofErr w:type="gramEnd"/>
      <w:r w:rsidRPr="00666DF4">
        <w:t xml:space="preserve"> leave.</w:t>
      </w:r>
    </w:p>
    <w:p w:rsidR="00A47CF6" w:rsidRPr="00666DF4" w:rsidRDefault="00A47CF6" w:rsidP="00B845F5"/>
    <w:p w:rsidR="00A47CF6" w:rsidRPr="00666DF4" w:rsidRDefault="00A47CF6" w:rsidP="00B845F5">
      <w:bookmarkStart w:id="173" w:name="Table_7:_Number_of_long-leave,_revocatio"/>
      <w:bookmarkStart w:id="174" w:name="_bookmark37"/>
      <w:bookmarkEnd w:id="173"/>
      <w:bookmarkEnd w:id="174"/>
      <w:r w:rsidRPr="00666DF4">
        <w:t>Special patients are subject to a high degree of oversight and are not able to exit forensic services or travel overseas without permission. During 2015, the Ministry of Health developed guidance on special patient safety (including public safety) and security. This work included a national incident process</w:t>
      </w:r>
      <w:r w:rsidR="00B845F5">
        <w:t xml:space="preserve"> </w:t>
      </w:r>
      <w:r w:rsidRPr="00666DF4">
        <w:t>to be followed by health services and New Zealand Police, as well as updated guidance on actions that forensic services and the Ministry should take when a special patient becomes absent without leave. The Ministry also updated its guidance on preventing special patients from travelling overseas without permission. Part of this work involved putting border alerts in place for any special patient granted unescorted leave in the community.</w:t>
      </w:r>
    </w:p>
    <w:p w:rsidR="00A47CF6" w:rsidRPr="00666DF4" w:rsidRDefault="00A47CF6" w:rsidP="00B845F5">
      <w:pPr>
        <w:rPr>
          <w:rFonts w:eastAsia="Century"/>
        </w:rPr>
      </w:pPr>
    </w:p>
    <w:p w:rsidR="00A47CF6" w:rsidRPr="00666DF4" w:rsidRDefault="00A47CF6" w:rsidP="00B845F5">
      <w:r w:rsidRPr="00666DF4">
        <w:t>Special patients found not guilty by reason of insanity may be considered for a change of legal status if it is determined that their detention as a special patient is no longer necessary to safeguard the interests of the person or the public. This will usually occur after several years of successfully living in the community on ministerial long leave. Services send applications for changes of legal status to the Director of Mental Health. After careful consideration, the Director makes a recommendation to the Minister about a person</w:t>
      </w:r>
      <w:r w:rsidR="00BF25EC">
        <w:t>’</w:t>
      </w:r>
      <w:r w:rsidRPr="00666DF4">
        <w:t>s legal status.</w:t>
      </w:r>
    </w:p>
    <w:p w:rsidR="00A47CF6" w:rsidRPr="00666DF4" w:rsidRDefault="00A47CF6" w:rsidP="00B845F5">
      <w:pPr>
        <w:rPr>
          <w:rFonts w:eastAsia="Century"/>
        </w:rPr>
      </w:pPr>
    </w:p>
    <w:p w:rsidR="00A47CF6" w:rsidRPr="00666DF4" w:rsidRDefault="00A47CF6" w:rsidP="00B845F5">
      <w:pPr>
        <w:rPr>
          <w:rFonts w:eastAsia="Century"/>
        </w:rPr>
      </w:pPr>
      <w:r w:rsidRPr="00666DF4">
        <w:rPr>
          <w:rFonts w:eastAsia="Century"/>
        </w:rPr>
        <w:t xml:space="preserve">Following a change of legal status, former special patients continue to be supported in the community by mental health services. Many remain under compulsory mental health treatment orders for an extended period of time. For further information about the management of special patients, refer to the publication </w:t>
      </w:r>
      <w:r w:rsidRPr="00666DF4">
        <w:rPr>
          <w:rFonts w:eastAsia="Georgia" w:cs="Georgia"/>
          <w:i/>
        </w:rPr>
        <w:t xml:space="preserve">Special Patients and Restricted Patients: Guidelines for Regional Forensic Mental Health Services </w:t>
      </w:r>
      <w:r w:rsidRPr="00666DF4">
        <w:rPr>
          <w:rFonts w:eastAsia="Century"/>
        </w:rPr>
        <w:t>on the Ministry of Health</w:t>
      </w:r>
      <w:r w:rsidR="00BF25EC">
        <w:rPr>
          <w:rFonts w:eastAsia="Century"/>
        </w:rPr>
        <w:t>’</w:t>
      </w:r>
      <w:r w:rsidRPr="00666DF4">
        <w:rPr>
          <w:rFonts w:eastAsia="Century"/>
        </w:rPr>
        <w:t>s website.</w:t>
      </w:r>
    </w:p>
    <w:p w:rsidR="00A47CF6" w:rsidRPr="00666DF4" w:rsidRDefault="00A47CF6" w:rsidP="00B845F5">
      <w:pPr>
        <w:rPr>
          <w:rFonts w:eastAsia="Century"/>
        </w:rPr>
      </w:pPr>
    </w:p>
    <w:p w:rsidR="00A47CF6" w:rsidRPr="00666DF4" w:rsidRDefault="00A47CF6" w:rsidP="00B845F5">
      <w:r w:rsidRPr="00666DF4">
        <w:t>Table 7 shows the numbers of section 50 long-leave, revocation and reclassification applications processed by the Office of the Director of Mental Health during 2016.</w:t>
      </w:r>
    </w:p>
    <w:p w:rsidR="00A47CF6" w:rsidRPr="00666DF4" w:rsidRDefault="00A47CF6" w:rsidP="00B845F5">
      <w:pPr>
        <w:rPr>
          <w:rFonts w:eastAsia="Century"/>
        </w:rPr>
      </w:pPr>
    </w:p>
    <w:p w:rsidR="00A47CF6" w:rsidRPr="00666DF4" w:rsidRDefault="00A47CF6" w:rsidP="00B845F5">
      <w:pPr>
        <w:pStyle w:val="Table"/>
        <w:rPr>
          <w:rFonts w:eastAsia="Georgia" w:cs="Georgia"/>
          <w:szCs w:val="19"/>
        </w:rPr>
      </w:pPr>
      <w:bookmarkStart w:id="175" w:name="_Toc508707305"/>
      <w:r w:rsidRPr="00666DF4">
        <w:t>Table 7: Number of long-leave, revocation and reclassification applications sent to the Minister of Health for special patients and restricted patients, 1 January to 31 December 2016*</w:t>
      </w:r>
      <w:bookmarkEnd w:id="175"/>
    </w:p>
    <w:tbl>
      <w:tblPr>
        <w:tblW w:w="0" w:type="auto"/>
        <w:tblInd w:w="57" w:type="dxa"/>
        <w:tblLayout w:type="fixed"/>
        <w:tblCellMar>
          <w:left w:w="57" w:type="dxa"/>
          <w:right w:w="57" w:type="dxa"/>
        </w:tblCellMar>
        <w:tblLook w:val="01E0" w:firstRow="1" w:lastRow="1" w:firstColumn="1" w:lastColumn="1" w:noHBand="0" w:noVBand="0"/>
      </w:tblPr>
      <w:tblGrid>
        <w:gridCol w:w="5954"/>
        <w:gridCol w:w="1273"/>
      </w:tblGrid>
      <w:tr w:rsidR="00A47CF6" w:rsidRPr="00B64CC8" w:rsidTr="00B64CC8">
        <w:trPr>
          <w:cantSplit/>
        </w:trPr>
        <w:tc>
          <w:tcPr>
            <w:tcW w:w="5954" w:type="dxa"/>
            <w:tcBorders>
              <w:top w:val="single" w:sz="4" w:space="0" w:color="000000"/>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Type of request</w:t>
            </w:r>
          </w:p>
        </w:tc>
        <w:tc>
          <w:tcPr>
            <w:tcW w:w="1273"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Number</w:t>
            </w:r>
          </w:p>
        </w:tc>
      </w:tr>
      <w:tr w:rsidR="00A47CF6" w:rsidRPr="00666DF4" w:rsidTr="00B64CC8">
        <w:trPr>
          <w:cantSplit/>
        </w:trPr>
        <w:tc>
          <w:tcPr>
            <w:tcW w:w="5954" w:type="dxa"/>
            <w:tcBorders>
              <w:top w:val="single" w:sz="4" w:space="0" w:color="000000"/>
              <w:left w:val="nil"/>
              <w:right w:val="nil"/>
            </w:tcBorders>
          </w:tcPr>
          <w:p w:rsidR="00A47CF6" w:rsidRPr="00666DF4" w:rsidRDefault="00A47CF6" w:rsidP="00B64CC8">
            <w:pPr>
              <w:pStyle w:val="TableText"/>
              <w:rPr>
                <w:rFonts w:eastAsia="Arial" w:cs="Arial"/>
                <w:szCs w:val="19"/>
              </w:rPr>
            </w:pPr>
            <w:r w:rsidRPr="00666DF4">
              <w:t>Initial ministerial section 50 leave applications</w:t>
            </w:r>
          </w:p>
        </w:tc>
        <w:tc>
          <w:tcPr>
            <w:tcW w:w="1273" w:type="dxa"/>
            <w:tcBorders>
              <w:top w:val="single" w:sz="4" w:space="0" w:color="000000"/>
              <w:left w:val="nil"/>
              <w:right w:val="nil"/>
            </w:tcBorders>
          </w:tcPr>
          <w:p w:rsidR="00A47CF6" w:rsidRPr="00666DF4" w:rsidRDefault="00A47CF6" w:rsidP="00B64CC8">
            <w:pPr>
              <w:pStyle w:val="TableText"/>
              <w:tabs>
                <w:tab w:val="decimal" w:pos="692"/>
              </w:tabs>
              <w:rPr>
                <w:rFonts w:eastAsia="Arial" w:cs="Arial"/>
                <w:szCs w:val="19"/>
              </w:rPr>
            </w:pPr>
            <w:r w:rsidRPr="00666DF4">
              <w:t>4</w:t>
            </w:r>
          </w:p>
        </w:tc>
      </w:tr>
      <w:tr w:rsidR="00A47CF6" w:rsidRPr="00666DF4" w:rsidTr="00B64CC8">
        <w:trPr>
          <w:cantSplit/>
        </w:trPr>
        <w:tc>
          <w:tcPr>
            <w:tcW w:w="5954" w:type="dxa"/>
            <w:tcBorders>
              <w:left w:val="nil"/>
              <w:right w:val="nil"/>
            </w:tcBorders>
          </w:tcPr>
          <w:p w:rsidR="00A47CF6" w:rsidRPr="00666DF4" w:rsidRDefault="00A47CF6" w:rsidP="00B64CC8">
            <w:pPr>
              <w:pStyle w:val="TableText"/>
              <w:rPr>
                <w:rFonts w:eastAsia="Arial" w:cs="Arial"/>
                <w:szCs w:val="19"/>
              </w:rPr>
            </w:pPr>
            <w:r w:rsidRPr="00666DF4">
              <w:t>Initial ministerial section 50 leave applications not approved</w:t>
            </w:r>
          </w:p>
        </w:tc>
        <w:tc>
          <w:tcPr>
            <w:tcW w:w="1273" w:type="dxa"/>
            <w:tcBorders>
              <w:left w:val="nil"/>
              <w:right w:val="nil"/>
            </w:tcBorders>
          </w:tcPr>
          <w:p w:rsidR="00A47CF6" w:rsidRPr="00666DF4" w:rsidRDefault="00A47CF6" w:rsidP="00B64CC8">
            <w:pPr>
              <w:pStyle w:val="TableText"/>
              <w:tabs>
                <w:tab w:val="decimal" w:pos="692"/>
              </w:tabs>
              <w:rPr>
                <w:rFonts w:eastAsia="Arial" w:cs="Arial"/>
                <w:szCs w:val="19"/>
              </w:rPr>
            </w:pPr>
            <w:r w:rsidRPr="00666DF4">
              <w:t>0</w:t>
            </w:r>
          </w:p>
        </w:tc>
      </w:tr>
      <w:tr w:rsidR="00A47CF6" w:rsidRPr="00666DF4" w:rsidTr="00B64CC8">
        <w:trPr>
          <w:cantSplit/>
        </w:trPr>
        <w:tc>
          <w:tcPr>
            <w:tcW w:w="5954" w:type="dxa"/>
            <w:tcBorders>
              <w:left w:val="nil"/>
              <w:right w:val="nil"/>
            </w:tcBorders>
          </w:tcPr>
          <w:p w:rsidR="00A47CF6" w:rsidRPr="00666DF4" w:rsidRDefault="00A47CF6" w:rsidP="00B64CC8">
            <w:pPr>
              <w:pStyle w:val="TableText"/>
              <w:rPr>
                <w:rFonts w:eastAsia="Arial" w:cs="Arial"/>
                <w:szCs w:val="19"/>
              </w:rPr>
            </w:pPr>
            <w:r w:rsidRPr="00666DF4">
              <w:t>Ministerial section 50 leave revocations</w:t>
            </w:r>
          </w:p>
        </w:tc>
        <w:tc>
          <w:tcPr>
            <w:tcW w:w="1273" w:type="dxa"/>
            <w:tcBorders>
              <w:left w:val="nil"/>
              <w:right w:val="nil"/>
            </w:tcBorders>
          </w:tcPr>
          <w:p w:rsidR="00A47CF6" w:rsidRPr="00666DF4" w:rsidRDefault="00A47CF6" w:rsidP="00B64CC8">
            <w:pPr>
              <w:pStyle w:val="TableText"/>
              <w:tabs>
                <w:tab w:val="decimal" w:pos="692"/>
              </w:tabs>
              <w:rPr>
                <w:rFonts w:eastAsia="Arial" w:cs="Arial"/>
                <w:szCs w:val="19"/>
              </w:rPr>
            </w:pPr>
            <w:r w:rsidRPr="00666DF4">
              <w:t>0</w:t>
            </w:r>
          </w:p>
        </w:tc>
      </w:tr>
      <w:tr w:rsidR="00A47CF6" w:rsidRPr="00666DF4" w:rsidTr="00B64CC8">
        <w:trPr>
          <w:cantSplit/>
        </w:trPr>
        <w:tc>
          <w:tcPr>
            <w:tcW w:w="5954" w:type="dxa"/>
            <w:tcBorders>
              <w:left w:val="nil"/>
              <w:right w:val="nil"/>
            </w:tcBorders>
          </w:tcPr>
          <w:p w:rsidR="00A47CF6" w:rsidRPr="00666DF4" w:rsidRDefault="00A47CF6" w:rsidP="00B64CC8">
            <w:pPr>
              <w:pStyle w:val="TableText"/>
              <w:rPr>
                <w:rFonts w:eastAsia="Arial" w:cs="Arial"/>
                <w:szCs w:val="19"/>
              </w:rPr>
            </w:pPr>
            <w:r w:rsidRPr="00666DF4">
              <w:t>Further ministerial section 50 leave applications</w:t>
            </w:r>
          </w:p>
        </w:tc>
        <w:tc>
          <w:tcPr>
            <w:tcW w:w="1273" w:type="dxa"/>
            <w:tcBorders>
              <w:left w:val="nil"/>
              <w:right w:val="nil"/>
            </w:tcBorders>
          </w:tcPr>
          <w:p w:rsidR="00A47CF6" w:rsidRPr="00666DF4" w:rsidRDefault="00A47CF6" w:rsidP="00B64CC8">
            <w:pPr>
              <w:pStyle w:val="TableText"/>
              <w:tabs>
                <w:tab w:val="decimal" w:pos="692"/>
              </w:tabs>
              <w:rPr>
                <w:rFonts w:eastAsia="Arial" w:cs="Arial"/>
                <w:szCs w:val="19"/>
              </w:rPr>
            </w:pPr>
            <w:r w:rsidRPr="00666DF4">
              <w:t>11</w:t>
            </w:r>
          </w:p>
        </w:tc>
      </w:tr>
      <w:tr w:rsidR="00A47CF6" w:rsidRPr="00666DF4" w:rsidTr="00B64CC8">
        <w:trPr>
          <w:cantSplit/>
        </w:trPr>
        <w:tc>
          <w:tcPr>
            <w:tcW w:w="5954" w:type="dxa"/>
            <w:tcBorders>
              <w:left w:val="nil"/>
              <w:right w:val="nil"/>
            </w:tcBorders>
          </w:tcPr>
          <w:p w:rsidR="00A47CF6" w:rsidRPr="00666DF4" w:rsidRDefault="00A47CF6" w:rsidP="00B64CC8">
            <w:pPr>
              <w:pStyle w:val="TableText"/>
              <w:rPr>
                <w:rFonts w:eastAsia="Arial" w:cs="Arial"/>
                <w:szCs w:val="19"/>
              </w:rPr>
            </w:pPr>
            <w:r w:rsidRPr="00666DF4">
              <w:t>Further ministerial section 50 applications not approved</w:t>
            </w:r>
          </w:p>
        </w:tc>
        <w:tc>
          <w:tcPr>
            <w:tcW w:w="1273" w:type="dxa"/>
            <w:tcBorders>
              <w:left w:val="nil"/>
              <w:right w:val="nil"/>
            </w:tcBorders>
          </w:tcPr>
          <w:p w:rsidR="00A47CF6" w:rsidRPr="00666DF4" w:rsidRDefault="00A47CF6" w:rsidP="00B64CC8">
            <w:pPr>
              <w:pStyle w:val="TableText"/>
              <w:tabs>
                <w:tab w:val="decimal" w:pos="692"/>
              </w:tabs>
              <w:rPr>
                <w:rFonts w:eastAsia="Arial" w:cs="Arial"/>
                <w:szCs w:val="19"/>
              </w:rPr>
            </w:pPr>
            <w:r w:rsidRPr="00666DF4">
              <w:t>0</w:t>
            </w:r>
          </w:p>
        </w:tc>
      </w:tr>
      <w:tr w:rsidR="00A47CF6" w:rsidRPr="00666DF4" w:rsidTr="00B64CC8">
        <w:trPr>
          <w:cantSplit/>
        </w:trPr>
        <w:tc>
          <w:tcPr>
            <w:tcW w:w="5954" w:type="dxa"/>
            <w:tcBorders>
              <w:left w:val="nil"/>
              <w:right w:val="nil"/>
            </w:tcBorders>
          </w:tcPr>
          <w:p w:rsidR="00A47CF6" w:rsidRPr="00666DF4" w:rsidRDefault="00A47CF6" w:rsidP="00B64CC8">
            <w:pPr>
              <w:pStyle w:val="TableText"/>
              <w:rPr>
                <w:rFonts w:eastAsia="Arial" w:cs="Arial"/>
                <w:szCs w:val="19"/>
              </w:rPr>
            </w:pPr>
            <w:r w:rsidRPr="00666DF4">
              <w:t>Change of legal status applications approved</w:t>
            </w:r>
          </w:p>
        </w:tc>
        <w:tc>
          <w:tcPr>
            <w:tcW w:w="1273" w:type="dxa"/>
            <w:tcBorders>
              <w:left w:val="nil"/>
              <w:right w:val="nil"/>
            </w:tcBorders>
          </w:tcPr>
          <w:p w:rsidR="00A47CF6" w:rsidRPr="00666DF4" w:rsidRDefault="00A47CF6" w:rsidP="00B64CC8">
            <w:pPr>
              <w:pStyle w:val="TableText"/>
              <w:tabs>
                <w:tab w:val="decimal" w:pos="692"/>
              </w:tabs>
              <w:rPr>
                <w:rFonts w:eastAsia="Arial" w:cs="Arial"/>
                <w:szCs w:val="19"/>
              </w:rPr>
            </w:pPr>
            <w:r w:rsidRPr="00666DF4">
              <w:t>6</w:t>
            </w:r>
          </w:p>
        </w:tc>
      </w:tr>
      <w:tr w:rsidR="00A47CF6" w:rsidRPr="00666DF4" w:rsidTr="00B64CC8">
        <w:trPr>
          <w:cantSplit/>
        </w:trPr>
        <w:tc>
          <w:tcPr>
            <w:tcW w:w="5954" w:type="dxa"/>
            <w:tcBorders>
              <w:left w:val="nil"/>
              <w:bottom w:val="single" w:sz="4" w:space="0" w:color="A7A9AC"/>
              <w:right w:val="nil"/>
            </w:tcBorders>
          </w:tcPr>
          <w:p w:rsidR="00A47CF6" w:rsidRPr="00666DF4" w:rsidRDefault="00A47CF6" w:rsidP="00B64CC8">
            <w:pPr>
              <w:pStyle w:val="TableText"/>
              <w:rPr>
                <w:rFonts w:eastAsia="Arial" w:cs="Arial"/>
                <w:szCs w:val="19"/>
              </w:rPr>
            </w:pPr>
            <w:r w:rsidRPr="00666DF4">
              <w:t>Change of legal status applications not approved</w:t>
            </w:r>
          </w:p>
        </w:tc>
        <w:tc>
          <w:tcPr>
            <w:tcW w:w="1273" w:type="dxa"/>
            <w:tcBorders>
              <w:left w:val="nil"/>
              <w:bottom w:val="single" w:sz="4" w:space="0" w:color="A7A9AC"/>
              <w:right w:val="nil"/>
            </w:tcBorders>
          </w:tcPr>
          <w:p w:rsidR="00A47CF6" w:rsidRPr="00666DF4" w:rsidRDefault="00A47CF6" w:rsidP="00B64CC8">
            <w:pPr>
              <w:pStyle w:val="TableText"/>
              <w:tabs>
                <w:tab w:val="decimal" w:pos="692"/>
              </w:tabs>
              <w:rPr>
                <w:rFonts w:eastAsia="Arial" w:cs="Arial"/>
                <w:szCs w:val="19"/>
              </w:rPr>
            </w:pPr>
            <w:r w:rsidRPr="00666DF4">
              <w:t>0</w:t>
            </w:r>
          </w:p>
        </w:tc>
      </w:tr>
      <w:tr w:rsidR="00A47CF6" w:rsidRPr="00B64CC8" w:rsidTr="00B64CC8">
        <w:trPr>
          <w:cantSplit/>
        </w:trPr>
        <w:tc>
          <w:tcPr>
            <w:tcW w:w="5954" w:type="dxa"/>
            <w:tcBorders>
              <w:top w:val="single" w:sz="4" w:space="0" w:color="A7A9AC"/>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Total</w:t>
            </w:r>
          </w:p>
        </w:tc>
        <w:tc>
          <w:tcPr>
            <w:tcW w:w="1273" w:type="dxa"/>
            <w:tcBorders>
              <w:top w:val="single" w:sz="4" w:space="0" w:color="A7A9AC"/>
              <w:left w:val="nil"/>
              <w:bottom w:val="single" w:sz="4" w:space="0" w:color="000000"/>
              <w:right w:val="nil"/>
            </w:tcBorders>
          </w:tcPr>
          <w:p w:rsidR="00A47CF6" w:rsidRPr="00B64CC8" w:rsidRDefault="00A47CF6" w:rsidP="00B64CC8">
            <w:pPr>
              <w:pStyle w:val="TableText"/>
              <w:tabs>
                <w:tab w:val="decimal" w:pos="692"/>
              </w:tabs>
              <w:rPr>
                <w:rFonts w:eastAsia="Arial" w:cs="Arial"/>
                <w:b/>
                <w:szCs w:val="19"/>
              </w:rPr>
            </w:pPr>
            <w:r w:rsidRPr="00B64CC8">
              <w:rPr>
                <w:b/>
              </w:rPr>
              <w:t>21</w:t>
            </w:r>
          </w:p>
        </w:tc>
      </w:tr>
    </w:tbl>
    <w:p w:rsidR="00A47CF6" w:rsidRPr="00666DF4" w:rsidRDefault="00A47CF6" w:rsidP="00B64CC8">
      <w:pPr>
        <w:pStyle w:val="Note"/>
        <w:rPr>
          <w:rFonts w:eastAsia="Arial" w:cs="Arial"/>
          <w:szCs w:val="19"/>
        </w:rPr>
      </w:pPr>
      <w:r w:rsidRPr="00666DF4">
        <w:t>Note: * Numbers do not include the number of applications that were withdrawn before they were received by the Minister.</w:t>
      </w:r>
    </w:p>
    <w:p w:rsidR="00A47CF6" w:rsidRPr="00666DF4" w:rsidRDefault="00A47CF6" w:rsidP="00B64CC8">
      <w:pPr>
        <w:pStyle w:val="Source"/>
        <w:rPr>
          <w:rFonts w:eastAsia="Arial" w:cs="Arial"/>
          <w:szCs w:val="19"/>
        </w:rPr>
      </w:pPr>
      <w:r w:rsidRPr="00666DF4">
        <w:t>Source: Office of the Director of Mental Health records</w:t>
      </w:r>
    </w:p>
    <w:p w:rsidR="00A47CF6" w:rsidRPr="00666DF4" w:rsidRDefault="00A47CF6" w:rsidP="00B64CC8">
      <w:pPr>
        <w:rPr>
          <w:rFonts w:eastAsia="Arial"/>
        </w:rPr>
      </w:pPr>
    </w:p>
    <w:p w:rsidR="00A47CF6" w:rsidRPr="00666DF4" w:rsidRDefault="00A47CF6" w:rsidP="00B64CC8">
      <w:pPr>
        <w:pStyle w:val="Heading2"/>
        <w:rPr>
          <w:bCs/>
        </w:rPr>
      </w:pPr>
      <w:bookmarkStart w:id="176" w:name="Table_8:_Outcomes_of_reportable_death_no"/>
      <w:bookmarkStart w:id="177" w:name="Mental_health_and_addiction_adverse_even"/>
      <w:bookmarkStart w:id="178" w:name="_bookmark38"/>
      <w:bookmarkStart w:id="179" w:name="_Toc508707285"/>
      <w:bookmarkEnd w:id="176"/>
      <w:bookmarkEnd w:id="177"/>
      <w:bookmarkEnd w:id="178"/>
      <w:r w:rsidRPr="00666DF4">
        <w:t>Mental health and addiction adverse event reporting</w:t>
      </w:r>
      <w:bookmarkEnd w:id="179"/>
    </w:p>
    <w:p w:rsidR="00A47CF6" w:rsidRPr="00666DF4" w:rsidRDefault="00A47CF6" w:rsidP="00B64CC8">
      <w:r w:rsidRPr="00666DF4">
        <w:t>There are two major national reporting mechanisms for adverse events relating to mental health and addiction.</w:t>
      </w:r>
    </w:p>
    <w:p w:rsidR="00A47CF6" w:rsidRPr="00666DF4" w:rsidRDefault="00B64CC8" w:rsidP="00B64CC8">
      <w:pPr>
        <w:spacing w:before="120"/>
        <w:ind w:left="567" w:hanging="567"/>
      </w:pPr>
      <w:r>
        <w:t>1.</w:t>
      </w:r>
      <w:r>
        <w:tab/>
      </w:r>
      <w:r w:rsidR="00A47CF6" w:rsidRPr="00666DF4">
        <w:t>District health boards (DHBs) are required to notify the Director of Mental Health of the death of any person or special patient under the Mental Health Act.</w:t>
      </w:r>
    </w:p>
    <w:p w:rsidR="00A47CF6" w:rsidRPr="00666DF4" w:rsidRDefault="00B64CC8" w:rsidP="00B64CC8">
      <w:pPr>
        <w:spacing w:before="120"/>
        <w:ind w:left="567" w:hanging="567"/>
      </w:pPr>
      <w:r>
        <w:t>2.</w:t>
      </w:r>
      <w:r>
        <w:tab/>
      </w:r>
      <w:r w:rsidR="00A47CF6" w:rsidRPr="00666DF4">
        <w:t>DHBs are required to report all Severity Assessment Code (SAC) 1 or 2 rated adverse events to</w:t>
      </w:r>
      <w:r w:rsidR="00BF25EC">
        <w:t xml:space="preserve"> </w:t>
      </w:r>
      <w:r w:rsidR="00A47CF6" w:rsidRPr="00666DF4">
        <w:t>the Health Quality &amp; Safety Commission (the Commission) in line with the National Adverse Events Reporting Policy.</w:t>
      </w:r>
      <w:r>
        <w:rPr>
          <w:rStyle w:val="FootnoteReference"/>
        </w:rPr>
        <w:footnoteReference w:id="31"/>
      </w:r>
      <w:r>
        <w:t xml:space="preserve"> </w:t>
      </w:r>
      <w:r w:rsidR="00A47CF6" w:rsidRPr="00666DF4">
        <w:t>Mental health and addiction services that are not funded by DHBs are encouraged but not required to report adverse events to the Commission (due to small numbers, this data is not reported here).</w:t>
      </w:r>
    </w:p>
    <w:p w:rsidR="00B64CC8" w:rsidRDefault="00B64CC8" w:rsidP="00B64CC8"/>
    <w:p w:rsidR="00A47CF6" w:rsidRPr="00666DF4" w:rsidRDefault="00A47CF6" w:rsidP="00B64CC8">
      <w:r w:rsidRPr="00666DF4">
        <w:t>Please note, deaths of people subject to the Mental Health Act may be reported to both agencies where the death meets the SAC1 criteria.</w:t>
      </w:r>
    </w:p>
    <w:p w:rsidR="00A47CF6" w:rsidRPr="00666DF4" w:rsidRDefault="00A47CF6" w:rsidP="00B64CC8">
      <w:pPr>
        <w:rPr>
          <w:rFonts w:eastAsia="Century"/>
        </w:rPr>
      </w:pPr>
    </w:p>
    <w:p w:rsidR="00A47CF6" w:rsidRPr="00666DF4" w:rsidRDefault="00A47CF6" w:rsidP="00B64CC8">
      <w:pPr>
        <w:pStyle w:val="Heading3"/>
        <w:rPr>
          <w:bCs/>
        </w:rPr>
      </w:pPr>
      <w:r w:rsidRPr="00666DF4">
        <w:t>Deaths reported to the Office of the Director of Mental Health</w:t>
      </w:r>
    </w:p>
    <w:p w:rsidR="00A47CF6" w:rsidRPr="00B64CC8" w:rsidRDefault="00A47CF6" w:rsidP="00B64CC8">
      <w:r w:rsidRPr="00666DF4">
        <w:t>Section 132 of the Mental Health Act requires the Director of Mental Health to be notified within</w:t>
      </w:r>
      <w:r w:rsidR="00BF25EC">
        <w:t xml:space="preserve"> </w:t>
      </w:r>
      <w:r w:rsidRPr="00666DF4">
        <w:t>14 days of the death of any person or special patient under the Mental Health Act. This notification must identify the apparent cause of death.</w:t>
      </w:r>
      <w:r w:rsidR="00B64CC8">
        <w:rPr>
          <w:rStyle w:val="FootnoteReference"/>
        </w:rPr>
        <w:footnoteReference w:id="32"/>
      </w:r>
    </w:p>
    <w:p w:rsidR="00A47CF6" w:rsidRPr="00666DF4" w:rsidRDefault="00A47CF6" w:rsidP="00B64CC8">
      <w:pPr>
        <w:rPr>
          <w:rFonts w:eastAsia="Century"/>
        </w:rPr>
      </w:pPr>
    </w:p>
    <w:p w:rsidR="00A47CF6" w:rsidRPr="00666DF4" w:rsidRDefault="00A47CF6" w:rsidP="00B64CC8">
      <w:pPr>
        <w:keepLines/>
      </w:pPr>
      <w:r w:rsidRPr="00666DF4">
        <w:t>If the circumstances surrounding a death cause concern, the relevant DHB may initiate an inquiry. The Director of Mental Health can also initiate an investigation under section 95 of the Mental Health Act, and in rare cases the Minister or Director-General of Health can initiate an inquiry under section 72 of the New Zealand Public Health and Disability Act 2000. The Director of Mental Health works to ensure that DHBs follow up on recommendations.</w:t>
      </w:r>
    </w:p>
    <w:p w:rsidR="00A47CF6" w:rsidRPr="00666DF4" w:rsidRDefault="00A47CF6" w:rsidP="00B64CC8">
      <w:pPr>
        <w:rPr>
          <w:rFonts w:eastAsia="Century"/>
        </w:rPr>
      </w:pPr>
    </w:p>
    <w:p w:rsidR="00A47CF6" w:rsidRPr="00666DF4" w:rsidRDefault="00A47CF6" w:rsidP="00B64CC8">
      <w:r w:rsidRPr="00666DF4">
        <w:t>In 2016, the Director of Mental Health received 52 death notifications related to people under the Mental Health Act (see Table 8). Eleven people were reported to have died by suspected suicide.</w:t>
      </w:r>
      <w:r w:rsidR="00B64CC8">
        <w:rPr>
          <w:rStyle w:val="FootnoteReference"/>
        </w:rPr>
        <w:footnoteReference w:id="33"/>
      </w:r>
      <w:r w:rsidR="00B64CC8">
        <w:t xml:space="preserve"> </w:t>
      </w:r>
      <w:r w:rsidRPr="00666DF4">
        <w:t>The remaining 41 were reported to have died by other means, including natural causes and illnesses unrelated to their mental health status.</w:t>
      </w:r>
    </w:p>
    <w:p w:rsidR="00A47CF6" w:rsidRPr="00666DF4" w:rsidRDefault="00A47CF6" w:rsidP="00B64CC8">
      <w:pPr>
        <w:rPr>
          <w:rFonts w:eastAsia="Century"/>
        </w:rPr>
      </w:pPr>
    </w:p>
    <w:p w:rsidR="00A47CF6" w:rsidRPr="00666DF4" w:rsidRDefault="00A47CF6" w:rsidP="00B64CC8">
      <w:pPr>
        <w:pStyle w:val="Table"/>
        <w:rPr>
          <w:rFonts w:eastAsia="Georgia" w:cs="Georgia"/>
          <w:szCs w:val="19"/>
        </w:rPr>
      </w:pPr>
      <w:bookmarkStart w:id="180" w:name="_Toc508707306"/>
      <w:r w:rsidRPr="00666DF4">
        <w:t>Table 8: Outcomes of reportable death notifications under section 132 of the Mental Health Act, 1 January to 31 December 2016</w:t>
      </w:r>
      <w:bookmarkEnd w:id="180"/>
    </w:p>
    <w:tbl>
      <w:tblPr>
        <w:tblW w:w="0" w:type="auto"/>
        <w:tblInd w:w="57" w:type="dxa"/>
        <w:tblLayout w:type="fixed"/>
        <w:tblCellMar>
          <w:left w:w="57" w:type="dxa"/>
          <w:right w:w="57" w:type="dxa"/>
        </w:tblCellMar>
        <w:tblLook w:val="01E0" w:firstRow="1" w:lastRow="1" w:firstColumn="1" w:lastColumn="1" w:noHBand="0" w:noVBand="0"/>
      </w:tblPr>
      <w:tblGrid>
        <w:gridCol w:w="3261"/>
        <w:gridCol w:w="1167"/>
      </w:tblGrid>
      <w:tr w:rsidR="00A47CF6" w:rsidRPr="00B64CC8" w:rsidTr="00B64CC8">
        <w:trPr>
          <w:cantSplit/>
        </w:trPr>
        <w:tc>
          <w:tcPr>
            <w:tcW w:w="3261" w:type="dxa"/>
            <w:tcBorders>
              <w:top w:val="single" w:sz="4" w:space="0" w:color="000000"/>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Reportable death outcome</w:t>
            </w:r>
          </w:p>
        </w:tc>
        <w:tc>
          <w:tcPr>
            <w:tcW w:w="1167"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Number</w:t>
            </w:r>
          </w:p>
        </w:tc>
      </w:tr>
      <w:tr w:rsidR="00A47CF6" w:rsidRPr="00666DF4" w:rsidTr="00B64CC8">
        <w:trPr>
          <w:cantSplit/>
        </w:trPr>
        <w:tc>
          <w:tcPr>
            <w:tcW w:w="3261" w:type="dxa"/>
            <w:tcBorders>
              <w:top w:val="single" w:sz="4" w:space="0" w:color="000000"/>
              <w:left w:val="nil"/>
              <w:right w:val="nil"/>
            </w:tcBorders>
          </w:tcPr>
          <w:p w:rsidR="00A47CF6" w:rsidRPr="00666DF4" w:rsidRDefault="00A47CF6" w:rsidP="00B64CC8">
            <w:pPr>
              <w:pStyle w:val="TableText"/>
              <w:rPr>
                <w:rFonts w:eastAsia="Arial" w:cs="Arial"/>
                <w:szCs w:val="19"/>
              </w:rPr>
            </w:pPr>
            <w:r w:rsidRPr="00666DF4">
              <w:t>Suspected suicide</w:t>
            </w:r>
          </w:p>
        </w:tc>
        <w:tc>
          <w:tcPr>
            <w:tcW w:w="1167" w:type="dxa"/>
            <w:tcBorders>
              <w:top w:val="single" w:sz="4" w:space="0" w:color="000000"/>
              <w:left w:val="nil"/>
              <w:right w:val="nil"/>
            </w:tcBorders>
          </w:tcPr>
          <w:p w:rsidR="00A47CF6" w:rsidRPr="00666DF4" w:rsidRDefault="00A47CF6" w:rsidP="00B64CC8">
            <w:pPr>
              <w:pStyle w:val="TableText"/>
              <w:jc w:val="center"/>
              <w:rPr>
                <w:rFonts w:eastAsia="Arial" w:cs="Arial"/>
                <w:szCs w:val="19"/>
              </w:rPr>
            </w:pPr>
            <w:r w:rsidRPr="00666DF4">
              <w:t>11</w:t>
            </w:r>
          </w:p>
        </w:tc>
      </w:tr>
      <w:tr w:rsidR="00A47CF6" w:rsidRPr="00666DF4" w:rsidTr="00B64CC8">
        <w:trPr>
          <w:cantSplit/>
        </w:trPr>
        <w:tc>
          <w:tcPr>
            <w:tcW w:w="3261" w:type="dxa"/>
            <w:tcBorders>
              <w:left w:val="nil"/>
              <w:bottom w:val="single" w:sz="4" w:space="0" w:color="A6A6A6" w:themeColor="background1" w:themeShade="A6"/>
              <w:right w:val="nil"/>
            </w:tcBorders>
          </w:tcPr>
          <w:p w:rsidR="00A47CF6" w:rsidRPr="00666DF4" w:rsidRDefault="00A47CF6" w:rsidP="00B64CC8">
            <w:pPr>
              <w:pStyle w:val="TableText"/>
              <w:rPr>
                <w:rFonts w:eastAsia="Arial" w:cs="Arial"/>
                <w:szCs w:val="19"/>
              </w:rPr>
            </w:pPr>
            <w:r w:rsidRPr="00666DF4">
              <w:t>Other deaths</w:t>
            </w:r>
          </w:p>
        </w:tc>
        <w:tc>
          <w:tcPr>
            <w:tcW w:w="1167" w:type="dxa"/>
            <w:tcBorders>
              <w:left w:val="nil"/>
              <w:bottom w:val="single" w:sz="4" w:space="0" w:color="A6A6A6" w:themeColor="background1" w:themeShade="A6"/>
              <w:right w:val="nil"/>
            </w:tcBorders>
          </w:tcPr>
          <w:p w:rsidR="00A47CF6" w:rsidRPr="00666DF4" w:rsidRDefault="00A47CF6" w:rsidP="00B64CC8">
            <w:pPr>
              <w:pStyle w:val="TableText"/>
              <w:jc w:val="center"/>
              <w:rPr>
                <w:rFonts w:eastAsia="Arial" w:cs="Arial"/>
                <w:szCs w:val="19"/>
              </w:rPr>
            </w:pPr>
            <w:r w:rsidRPr="00666DF4">
              <w:t>41</w:t>
            </w:r>
          </w:p>
        </w:tc>
      </w:tr>
      <w:tr w:rsidR="00A47CF6" w:rsidRPr="00B64CC8" w:rsidTr="00B64CC8">
        <w:trPr>
          <w:cantSplit/>
        </w:trPr>
        <w:tc>
          <w:tcPr>
            <w:tcW w:w="3261" w:type="dxa"/>
            <w:tcBorders>
              <w:top w:val="single" w:sz="4" w:space="0" w:color="A6A6A6" w:themeColor="background1" w:themeShade="A6"/>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Total</w:t>
            </w:r>
          </w:p>
        </w:tc>
        <w:tc>
          <w:tcPr>
            <w:tcW w:w="1167" w:type="dxa"/>
            <w:tcBorders>
              <w:top w:val="single" w:sz="4" w:space="0" w:color="A6A6A6" w:themeColor="background1" w:themeShade="A6"/>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52</w:t>
            </w:r>
          </w:p>
        </w:tc>
      </w:tr>
    </w:tbl>
    <w:p w:rsidR="00A47CF6" w:rsidRPr="00666DF4" w:rsidRDefault="00A47CF6" w:rsidP="00B64CC8">
      <w:pPr>
        <w:pStyle w:val="Source"/>
        <w:rPr>
          <w:rFonts w:eastAsia="Arial" w:cs="Arial"/>
          <w:szCs w:val="19"/>
        </w:rPr>
      </w:pPr>
      <w:r w:rsidRPr="00666DF4">
        <w:t>Source: Office of the Director of Mental Health records</w:t>
      </w:r>
    </w:p>
    <w:p w:rsidR="00A47CF6" w:rsidRPr="00666DF4" w:rsidRDefault="00A47CF6" w:rsidP="00B64CC8">
      <w:pPr>
        <w:rPr>
          <w:rFonts w:eastAsia="Arial"/>
        </w:rPr>
      </w:pPr>
    </w:p>
    <w:p w:rsidR="00A47CF6" w:rsidRPr="00666DF4" w:rsidRDefault="00A47CF6" w:rsidP="00B64CC8">
      <w:pPr>
        <w:pStyle w:val="Heading3"/>
        <w:rPr>
          <w:bCs/>
        </w:rPr>
      </w:pPr>
      <w:bookmarkStart w:id="181" w:name="Table_9:_Adverse_events_(relating_to_men"/>
      <w:bookmarkStart w:id="182" w:name="_bookmark39"/>
      <w:bookmarkEnd w:id="181"/>
      <w:bookmarkEnd w:id="182"/>
      <w:r w:rsidRPr="00666DF4">
        <w:t>Adverse events reported to the Health Quality &amp; Safety Commission</w:t>
      </w:r>
    </w:p>
    <w:p w:rsidR="00A47CF6" w:rsidRPr="00666DF4" w:rsidRDefault="00A47CF6" w:rsidP="00B64CC8">
      <w:r w:rsidRPr="00666DF4">
        <w:t>Adverse event reporting encourages health and disability services to identify and review instances with the aim of preventing similar events in the future. Reporting requirements exist to promote a reflective process for dealing with adverse events, helping to ensure better and safer health care for New Zealanders.</w:t>
      </w:r>
    </w:p>
    <w:p w:rsidR="00A47CF6" w:rsidRPr="00666DF4" w:rsidRDefault="00A47CF6" w:rsidP="00B64CC8">
      <w:pPr>
        <w:rPr>
          <w:rFonts w:eastAsia="Century"/>
        </w:rPr>
      </w:pPr>
    </w:p>
    <w:p w:rsidR="00A47CF6" w:rsidRPr="00666DF4" w:rsidRDefault="00A47CF6" w:rsidP="00B64CC8">
      <w:r w:rsidRPr="00666DF4">
        <w:t>In New Zealand, adverse events have been reported publically since 2006</w:t>
      </w:r>
      <w:r w:rsidR="00B64CC8">
        <w:t>.</w:t>
      </w:r>
      <w:r w:rsidR="00B64CC8">
        <w:rPr>
          <w:rStyle w:val="FootnoteReference"/>
        </w:rPr>
        <w:footnoteReference w:id="34"/>
      </w:r>
      <w:r w:rsidR="00B64CC8">
        <w:t xml:space="preserve"> </w:t>
      </w:r>
      <w:r w:rsidRPr="00666DF4">
        <w:t>Since reporting began, the number of adverse events reported by DHBs has increased. This is not necessarily because the frequency of adverse events has increased; we consider that DHBs have improved their reporting systems and cultures, reflecting a stronger culture of transparency and commitment to learning.</w:t>
      </w:r>
    </w:p>
    <w:p w:rsidR="00A47CF6" w:rsidRPr="00666DF4" w:rsidRDefault="00A47CF6" w:rsidP="00B64CC8">
      <w:pPr>
        <w:rPr>
          <w:rFonts w:eastAsia="Century"/>
        </w:rPr>
      </w:pPr>
    </w:p>
    <w:p w:rsidR="00A47CF6" w:rsidRPr="00666DF4" w:rsidRDefault="00A47CF6" w:rsidP="00B64CC8">
      <w:r w:rsidRPr="00666DF4">
        <w:t>The reporting of adverse events is one part of a broader safety framework within New Zealand to ensure health care is as safe as possible.</w:t>
      </w:r>
    </w:p>
    <w:p w:rsidR="00A47CF6" w:rsidRPr="00666DF4" w:rsidRDefault="00A47CF6" w:rsidP="00B64CC8">
      <w:pPr>
        <w:rPr>
          <w:rFonts w:eastAsia="Century"/>
        </w:rPr>
      </w:pPr>
    </w:p>
    <w:p w:rsidR="00A47CF6" w:rsidRPr="00666DF4" w:rsidRDefault="00A47CF6" w:rsidP="00B64CC8">
      <w:pPr>
        <w:pStyle w:val="Heading3"/>
        <w:rPr>
          <w:bCs/>
        </w:rPr>
      </w:pPr>
      <w:r w:rsidRPr="00666DF4">
        <w:t>Adverse events reported by DHB-funded mental health and addiction services</w:t>
      </w:r>
    </w:p>
    <w:p w:rsidR="00A47CF6" w:rsidRPr="00666DF4" w:rsidRDefault="00A47CF6" w:rsidP="00B64CC8">
      <w:r w:rsidRPr="00666DF4">
        <w:t>Table 9 provides a breakdown of adverse events relating to mental health behaviour reported by DHBs to the Commission during 2016; Table 10 shows the number of events reported by DHBs.</w:t>
      </w:r>
    </w:p>
    <w:p w:rsidR="00A47CF6" w:rsidRPr="00666DF4" w:rsidRDefault="00A47CF6" w:rsidP="00B64CC8">
      <w:pPr>
        <w:rPr>
          <w:rFonts w:eastAsia="Century"/>
        </w:rPr>
      </w:pPr>
    </w:p>
    <w:p w:rsidR="00A47CF6" w:rsidRPr="00666DF4" w:rsidRDefault="00A47CF6" w:rsidP="00B64CC8">
      <w:r w:rsidRPr="00666DF4">
        <w:t xml:space="preserve">Our ability to compare reports year-to-year is limited because the definition of adverse events has changed, as have the </w:t>
      </w:r>
      <w:r w:rsidR="00BC380C" w:rsidRPr="00666DF4">
        <w:t>parameters</w:t>
      </w:r>
      <w:r w:rsidRPr="00666DF4">
        <w:t xml:space="preserve"> around service-user contact prior to adverse events. Initial reporting requirements for inclusion in adverse event reports was initially defined as occurring within seven days of contact with a service. In the 2012 National Reportable Events policy, this criterion was voluntarily amended by DHB mental health and addiction services to include cases that had occurred within 28 days of contact with the service, allowing lessons to be learned from a wider set of events.</w:t>
      </w:r>
      <w:r w:rsidR="00B64CC8">
        <w:t xml:space="preserve"> </w:t>
      </w:r>
      <w:r w:rsidRPr="00666DF4">
        <w:t>Some providers have taken this even further and now report serious adverse events for any current community mental health service user, irrespective of time since their last contact with the service.</w:t>
      </w:r>
    </w:p>
    <w:p w:rsidR="00A47CF6" w:rsidRPr="00666DF4" w:rsidRDefault="00A47CF6" w:rsidP="00B64CC8">
      <w:pPr>
        <w:rPr>
          <w:rFonts w:eastAsia="Century"/>
        </w:rPr>
      </w:pPr>
    </w:p>
    <w:p w:rsidR="00A47CF6" w:rsidRPr="00666DF4" w:rsidRDefault="00A47CF6" w:rsidP="00B64CC8">
      <w:r w:rsidRPr="00666DF4">
        <w:t>It is also important to note that comparisons between individual DHBs are not straightforward. As noted above, high numbers can indicate that a DHB has a good reporting culture rather than a higher number of adverse events than other DHBs. DHBs that provide larger and more complex or regional mental health services may also report a higher number of adverse events.</w:t>
      </w:r>
    </w:p>
    <w:p w:rsidR="00A47CF6" w:rsidRPr="00666DF4" w:rsidRDefault="00A47CF6" w:rsidP="00B64CC8">
      <w:pPr>
        <w:rPr>
          <w:rFonts w:eastAsia="Century"/>
        </w:rPr>
      </w:pPr>
    </w:p>
    <w:p w:rsidR="00A47CF6" w:rsidRPr="00666DF4" w:rsidRDefault="00A47CF6" w:rsidP="00B64CC8">
      <w:pPr>
        <w:pStyle w:val="Table"/>
        <w:rPr>
          <w:rFonts w:eastAsia="Georgia" w:cs="Georgia"/>
          <w:szCs w:val="19"/>
        </w:rPr>
      </w:pPr>
      <w:bookmarkStart w:id="183" w:name="_Toc508707307"/>
      <w:r w:rsidRPr="00666DF4">
        <w:t>Table 9: Adverse events (relating to mental health behaviour) reported by DHBs to the Health Quality &amp; Safety Commission, 1 January to 31 December 2016</w:t>
      </w:r>
      <w:bookmarkEnd w:id="183"/>
    </w:p>
    <w:tbl>
      <w:tblPr>
        <w:tblW w:w="0" w:type="auto"/>
        <w:tblInd w:w="57" w:type="dxa"/>
        <w:tblLayout w:type="fixed"/>
        <w:tblCellMar>
          <w:left w:w="57" w:type="dxa"/>
          <w:right w:w="57" w:type="dxa"/>
        </w:tblCellMar>
        <w:tblLook w:val="01E0" w:firstRow="1" w:lastRow="1" w:firstColumn="1" w:lastColumn="1" w:noHBand="0" w:noVBand="0"/>
      </w:tblPr>
      <w:tblGrid>
        <w:gridCol w:w="2587"/>
        <w:gridCol w:w="1283"/>
        <w:gridCol w:w="1283"/>
        <w:gridCol w:w="2077"/>
        <w:gridCol w:w="1283"/>
      </w:tblGrid>
      <w:tr w:rsidR="00A47CF6" w:rsidRPr="00B64CC8" w:rsidTr="00B64CC8">
        <w:trPr>
          <w:cantSplit/>
        </w:trPr>
        <w:tc>
          <w:tcPr>
            <w:tcW w:w="2587" w:type="dxa"/>
            <w:tcBorders>
              <w:top w:val="single" w:sz="4" w:space="0" w:color="000000"/>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Type of event</w:t>
            </w:r>
          </w:p>
        </w:tc>
        <w:tc>
          <w:tcPr>
            <w:tcW w:w="1283"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Outpatient</w:t>
            </w:r>
          </w:p>
        </w:tc>
        <w:tc>
          <w:tcPr>
            <w:tcW w:w="1283"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Inpatient</w:t>
            </w:r>
          </w:p>
        </w:tc>
        <w:tc>
          <w:tcPr>
            <w:tcW w:w="2077"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On approved leave</w:t>
            </w:r>
          </w:p>
        </w:tc>
        <w:tc>
          <w:tcPr>
            <w:tcW w:w="1283" w:type="dxa"/>
            <w:tcBorders>
              <w:top w:val="single" w:sz="4" w:space="0" w:color="000000"/>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Total</w:t>
            </w:r>
          </w:p>
        </w:tc>
      </w:tr>
      <w:tr w:rsidR="00A47CF6" w:rsidRPr="00666DF4" w:rsidTr="00B64CC8">
        <w:trPr>
          <w:cantSplit/>
        </w:trPr>
        <w:tc>
          <w:tcPr>
            <w:tcW w:w="2587" w:type="dxa"/>
            <w:tcBorders>
              <w:top w:val="single" w:sz="4" w:space="0" w:color="000000"/>
              <w:left w:val="nil"/>
              <w:right w:val="nil"/>
            </w:tcBorders>
          </w:tcPr>
          <w:p w:rsidR="00A47CF6" w:rsidRPr="00666DF4" w:rsidRDefault="00A47CF6" w:rsidP="00B64CC8">
            <w:pPr>
              <w:pStyle w:val="TableText"/>
              <w:rPr>
                <w:rFonts w:eastAsia="Arial" w:cs="Arial"/>
                <w:szCs w:val="19"/>
              </w:rPr>
            </w:pPr>
            <w:r w:rsidRPr="00666DF4">
              <w:t>Suspected suicide</w:t>
            </w:r>
          </w:p>
        </w:tc>
        <w:tc>
          <w:tcPr>
            <w:tcW w:w="1283" w:type="dxa"/>
            <w:tcBorders>
              <w:top w:val="single" w:sz="4" w:space="0" w:color="000000"/>
              <w:left w:val="nil"/>
              <w:right w:val="nil"/>
            </w:tcBorders>
          </w:tcPr>
          <w:p w:rsidR="00A47CF6" w:rsidRPr="00666DF4" w:rsidRDefault="00A47CF6" w:rsidP="00B64CC8">
            <w:pPr>
              <w:pStyle w:val="TableText"/>
              <w:tabs>
                <w:tab w:val="decimal" w:pos="707"/>
              </w:tabs>
              <w:rPr>
                <w:rFonts w:eastAsia="Arial" w:cs="Arial"/>
                <w:szCs w:val="19"/>
              </w:rPr>
            </w:pPr>
            <w:r w:rsidRPr="00666DF4">
              <w:t>172</w:t>
            </w:r>
          </w:p>
        </w:tc>
        <w:tc>
          <w:tcPr>
            <w:tcW w:w="1283" w:type="dxa"/>
            <w:tcBorders>
              <w:top w:val="single" w:sz="4" w:space="0" w:color="000000"/>
              <w:left w:val="nil"/>
              <w:right w:val="nil"/>
            </w:tcBorders>
          </w:tcPr>
          <w:p w:rsidR="00A47CF6" w:rsidRPr="00666DF4" w:rsidRDefault="00A47CF6" w:rsidP="00B64CC8">
            <w:pPr>
              <w:pStyle w:val="TableText"/>
              <w:tabs>
                <w:tab w:val="decimal" w:pos="707"/>
              </w:tabs>
              <w:rPr>
                <w:rFonts w:eastAsia="Arial" w:cs="Arial"/>
                <w:szCs w:val="19"/>
              </w:rPr>
            </w:pPr>
            <w:r w:rsidRPr="00666DF4">
              <w:t>4</w:t>
            </w:r>
          </w:p>
        </w:tc>
        <w:tc>
          <w:tcPr>
            <w:tcW w:w="2077" w:type="dxa"/>
            <w:tcBorders>
              <w:top w:val="single" w:sz="4" w:space="0" w:color="000000"/>
              <w:left w:val="nil"/>
              <w:right w:val="nil"/>
            </w:tcBorders>
          </w:tcPr>
          <w:p w:rsidR="00A47CF6" w:rsidRPr="00666DF4" w:rsidRDefault="00A47CF6" w:rsidP="00B64CC8">
            <w:pPr>
              <w:pStyle w:val="TableText"/>
              <w:jc w:val="center"/>
              <w:rPr>
                <w:rFonts w:eastAsia="Arial" w:cs="Arial"/>
                <w:szCs w:val="19"/>
              </w:rPr>
            </w:pPr>
            <w:r w:rsidRPr="00666DF4">
              <w:t>4</w:t>
            </w:r>
          </w:p>
        </w:tc>
        <w:tc>
          <w:tcPr>
            <w:tcW w:w="1283" w:type="dxa"/>
            <w:tcBorders>
              <w:top w:val="single" w:sz="4" w:space="0" w:color="000000"/>
              <w:left w:val="nil"/>
              <w:right w:val="nil"/>
            </w:tcBorders>
          </w:tcPr>
          <w:p w:rsidR="00A47CF6" w:rsidRPr="00666DF4" w:rsidRDefault="00A47CF6" w:rsidP="00B64CC8">
            <w:pPr>
              <w:pStyle w:val="TableText"/>
              <w:tabs>
                <w:tab w:val="decimal" w:pos="738"/>
              </w:tabs>
              <w:rPr>
                <w:rFonts w:eastAsia="Arial" w:cs="Arial"/>
                <w:szCs w:val="19"/>
              </w:rPr>
            </w:pPr>
            <w:r w:rsidRPr="00666DF4">
              <w:t>180</w:t>
            </w:r>
          </w:p>
        </w:tc>
      </w:tr>
      <w:tr w:rsidR="00A47CF6" w:rsidRPr="00666DF4" w:rsidTr="00B64CC8">
        <w:trPr>
          <w:cantSplit/>
        </w:trPr>
        <w:tc>
          <w:tcPr>
            <w:tcW w:w="2587" w:type="dxa"/>
            <w:tcBorders>
              <w:left w:val="nil"/>
              <w:right w:val="nil"/>
            </w:tcBorders>
          </w:tcPr>
          <w:p w:rsidR="00A47CF6" w:rsidRPr="00666DF4" w:rsidRDefault="00A47CF6" w:rsidP="00B64CC8">
            <w:pPr>
              <w:pStyle w:val="TableText"/>
              <w:rPr>
                <w:rFonts w:eastAsia="Arial" w:cs="Arial"/>
                <w:szCs w:val="19"/>
              </w:rPr>
            </w:pPr>
            <w:r w:rsidRPr="00666DF4">
              <w:t>Serious self-harm</w:t>
            </w:r>
          </w:p>
        </w:tc>
        <w:tc>
          <w:tcPr>
            <w:tcW w:w="1283" w:type="dxa"/>
            <w:tcBorders>
              <w:left w:val="nil"/>
              <w:right w:val="nil"/>
            </w:tcBorders>
          </w:tcPr>
          <w:p w:rsidR="00A47CF6" w:rsidRPr="00666DF4" w:rsidRDefault="00A47CF6" w:rsidP="00B64CC8">
            <w:pPr>
              <w:pStyle w:val="TableText"/>
              <w:tabs>
                <w:tab w:val="decimal" w:pos="707"/>
              </w:tabs>
              <w:rPr>
                <w:rFonts w:eastAsia="Arial" w:cs="Arial"/>
                <w:szCs w:val="19"/>
              </w:rPr>
            </w:pPr>
            <w:r w:rsidRPr="00666DF4">
              <w:t>11</w:t>
            </w:r>
          </w:p>
        </w:tc>
        <w:tc>
          <w:tcPr>
            <w:tcW w:w="1283" w:type="dxa"/>
            <w:tcBorders>
              <w:left w:val="nil"/>
              <w:right w:val="nil"/>
            </w:tcBorders>
          </w:tcPr>
          <w:p w:rsidR="00A47CF6" w:rsidRPr="00666DF4" w:rsidRDefault="00A47CF6" w:rsidP="00B64CC8">
            <w:pPr>
              <w:pStyle w:val="TableText"/>
              <w:tabs>
                <w:tab w:val="decimal" w:pos="707"/>
              </w:tabs>
              <w:rPr>
                <w:rFonts w:eastAsia="Arial" w:cs="Arial"/>
                <w:szCs w:val="19"/>
              </w:rPr>
            </w:pPr>
            <w:r w:rsidRPr="00666DF4">
              <w:t>6</w:t>
            </w:r>
          </w:p>
        </w:tc>
        <w:tc>
          <w:tcPr>
            <w:tcW w:w="2077" w:type="dxa"/>
            <w:tcBorders>
              <w:left w:val="nil"/>
              <w:right w:val="nil"/>
            </w:tcBorders>
          </w:tcPr>
          <w:p w:rsidR="00A47CF6" w:rsidRPr="00666DF4" w:rsidRDefault="00A47CF6" w:rsidP="00B64CC8">
            <w:pPr>
              <w:pStyle w:val="TableText"/>
              <w:jc w:val="center"/>
              <w:rPr>
                <w:rFonts w:eastAsia="Arial" w:cs="Arial"/>
                <w:szCs w:val="19"/>
              </w:rPr>
            </w:pPr>
            <w:r w:rsidRPr="00666DF4">
              <w:t>1</w:t>
            </w:r>
          </w:p>
        </w:tc>
        <w:tc>
          <w:tcPr>
            <w:tcW w:w="1283" w:type="dxa"/>
            <w:tcBorders>
              <w:left w:val="nil"/>
              <w:right w:val="nil"/>
            </w:tcBorders>
          </w:tcPr>
          <w:p w:rsidR="00A47CF6" w:rsidRPr="00666DF4" w:rsidRDefault="00A47CF6" w:rsidP="00B64CC8">
            <w:pPr>
              <w:pStyle w:val="TableText"/>
              <w:tabs>
                <w:tab w:val="decimal" w:pos="738"/>
              </w:tabs>
              <w:rPr>
                <w:rFonts w:eastAsia="Arial" w:cs="Arial"/>
                <w:szCs w:val="19"/>
              </w:rPr>
            </w:pPr>
            <w:r w:rsidRPr="00666DF4">
              <w:t>18</w:t>
            </w:r>
          </w:p>
        </w:tc>
      </w:tr>
      <w:tr w:rsidR="00A47CF6" w:rsidRPr="00666DF4" w:rsidTr="00B64CC8">
        <w:trPr>
          <w:cantSplit/>
        </w:trPr>
        <w:tc>
          <w:tcPr>
            <w:tcW w:w="2587" w:type="dxa"/>
            <w:tcBorders>
              <w:left w:val="nil"/>
              <w:bottom w:val="single" w:sz="4" w:space="0" w:color="A7A9AC"/>
              <w:right w:val="nil"/>
            </w:tcBorders>
          </w:tcPr>
          <w:p w:rsidR="00A47CF6" w:rsidRPr="00666DF4" w:rsidRDefault="00A47CF6" w:rsidP="00B64CC8">
            <w:pPr>
              <w:pStyle w:val="TableText"/>
              <w:rPr>
                <w:rFonts w:eastAsia="Arial" w:cs="Arial"/>
                <w:szCs w:val="19"/>
              </w:rPr>
            </w:pPr>
            <w:r w:rsidRPr="00666DF4">
              <w:t>Serious adverse behaviour</w:t>
            </w:r>
          </w:p>
        </w:tc>
        <w:tc>
          <w:tcPr>
            <w:tcW w:w="1283" w:type="dxa"/>
            <w:tcBorders>
              <w:left w:val="nil"/>
              <w:bottom w:val="single" w:sz="4" w:space="0" w:color="A7A9AC"/>
              <w:right w:val="nil"/>
            </w:tcBorders>
          </w:tcPr>
          <w:p w:rsidR="00A47CF6" w:rsidRPr="00666DF4" w:rsidRDefault="00A47CF6" w:rsidP="00B64CC8">
            <w:pPr>
              <w:pStyle w:val="TableText"/>
              <w:tabs>
                <w:tab w:val="decimal" w:pos="707"/>
              </w:tabs>
              <w:rPr>
                <w:rFonts w:eastAsia="Arial" w:cs="Arial"/>
                <w:szCs w:val="19"/>
              </w:rPr>
            </w:pPr>
            <w:r w:rsidRPr="00666DF4">
              <w:t>6</w:t>
            </w:r>
          </w:p>
        </w:tc>
        <w:tc>
          <w:tcPr>
            <w:tcW w:w="1283" w:type="dxa"/>
            <w:tcBorders>
              <w:left w:val="nil"/>
              <w:bottom w:val="single" w:sz="4" w:space="0" w:color="A7A9AC"/>
              <w:right w:val="nil"/>
            </w:tcBorders>
          </w:tcPr>
          <w:p w:rsidR="00A47CF6" w:rsidRPr="00666DF4" w:rsidRDefault="00A47CF6" w:rsidP="00B64CC8">
            <w:pPr>
              <w:pStyle w:val="TableText"/>
              <w:tabs>
                <w:tab w:val="decimal" w:pos="707"/>
              </w:tabs>
              <w:rPr>
                <w:rFonts w:eastAsia="Arial" w:cs="Arial"/>
                <w:szCs w:val="19"/>
              </w:rPr>
            </w:pPr>
            <w:r w:rsidRPr="00666DF4">
              <w:t>6</w:t>
            </w:r>
          </w:p>
        </w:tc>
        <w:tc>
          <w:tcPr>
            <w:tcW w:w="2077" w:type="dxa"/>
            <w:tcBorders>
              <w:left w:val="nil"/>
              <w:bottom w:val="single" w:sz="4" w:space="0" w:color="A7A9AC"/>
              <w:right w:val="nil"/>
            </w:tcBorders>
          </w:tcPr>
          <w:p w:rsidR="00A47CF6" w:rsidRPr="00666DF4" w:rsidRDefault="00A47CF6" w:rsidP="00B64CC8">
            <w:pPr>
              <w:pStyle w:val="TableText"/>
              <w:jc w:val="center"/>
              <w:rPr>
                <w:rFonts w:eastAsia="Arial" w:cs="Arial"/>
                <w:szCs w:val="19"/>
              </w:rPr>
            </w:pPr>
            <w:r w:rsidRPr="00666DF4">
              <w:t>0</w:t>
            </w:r>
          </w:p>
        </w:tc>
        <w:tc>
          <w:tcPr>
            <w:tcW w:w="1283" w:type="dxa"/>
            <w:tcBorders>
              <w:left w:val="nil"/>
              <w:bottom w:val="single" w:sz="4" w:space="0" w:color="A7A9AC"/>
              <w:right w:val="nil"/>
            </w:tcBorders>
          </w:tcPr>
          <w:p w:rsidR="00A47CF6" w:rsidRPr="00666DF4" w:rsidRDefault="00A47CF6" w:rsidP="00B64CC8">
            <w:pPr>
              <w:pStyle w:val="TableText"/>
              <w:tabs>
                <w:tab w:val="decimal" w:pos="738"/>
              </w:tabs>
              <w:rPr>
                <w:rFonts w:eastAsia="Arial" w:cs="Arial"/>
                <w:szCs w:val="19"/>
              </w:rPr>
            </w:pPr>
            <w:r w:rsidRPr="00666DF4">
              <w:t>12</w:t>
            </w:r>
          </w:p>
        </w:tc>
      </w:tr>
      <w:tr w:rsidR="00A47CF6" w:rsidRPr="00B64CC8" w:rsidTr="00B64CC8">
        <w:trPr>
          <w:cantSplit/>
        </w:trPr>
        <w:tc>
          <w:tcPr>
            <w:tcW w:w="2587" w:type="dxa"/>
            <w:tcBorders>
              <w:top w:val="single" w:sz="4" w:space="0" w:color="A7A9AC"/>
              <w:left w:val="nil"/>
              <w:bottom w:val="single" w:sz="4" w:space="0" w:color="000000"/>
              <w:right w:val="nil"/>
            </w:tcBorders>
          </w:tcPr>
          <w:p w:rsidR="00A47CF6" w:rsidRPr="00B64CC8" w:rsidRDefault="00A47CF6" w:rsidP="00B64CC8">
            <w:pPr>
              <w:pStyle w:val="TableText"/>
              <w:rPr>
                <w:rFonts w:eastAsia="Arial" w:cs="Arial"/>
                <w:b/>
                <w:szCs w:val="19"/>
              </w:rPr>
            </w:pPr>
            <w:r w:rsidRPr="00B64CC8">
              <w:rPr>
                <w:b/>
              </w:rPr>
              <w:t>Total</w:t>
            </w:r>
          </w:p>
        </w:tc>
        <w:tc>
          <w:tcPr>
            <w:tcW w:w="1283" w:type="dxa"/>
            <w:tcBorders>
              <w:top w:val="single" w:sz="4" w:space="0" w:color="A7A9AC"/>
              <w:left w:val="nil"/>
              <w:bottom w:val="single" w:sz="4" w:space="0" w:color="000000"/>
              <w:right w:val="nil"/>
            </w:tcBorders>
          </w:tcPr>
          <w:p w:rsidR="00A47CF6" w:rsidRPr="00B64CC8" w:rsidRDefault="00A47CF6" w:rsidP="00B64CC8">
            <w:pPr>
              <w:pStyle w:val="TableText"/>
              <w:tabs>
                <w:tab w:val="decimal" w:pos="707"/>
              </w:tabs>
              <w:rPr>
                <w:rFonts w:eastAsia="Arial" w:cs="Arial"/>
                <w:b/>
                <w:szCs w:val="19"/>
              </w:rPr>
            </w:pPr>
            <w:r w:rsidRPr="00B64CC8">
              <w:rPr>
                <w:b/>
              </w:rPr>
              <w:t>189</w:t>
            </w:r>
          </w:p>
        </w:tc>
        <w:tc>
          <w:tcPr>
            <w:tcW w:w="1283" w:type="dxa"/>
            <w:tcBorders>
              <w:top w:val="single" w:sz="4" w:space="0" w:color="A7A9AC"/>
              <w:left w:val="nil"/>
              <w:bottom w:val="single" w:sz="4" w:space="0" w:color="000000"/>
              <w:right w:val="nil"/>
            </w:tcBorders>
          </w:tcPr>
          <w:p w:rsidR="00A47CF6" w:rsidRPr="00B64CC8" w:rsidRDefault="00A47CF6" w:rsidP="00B64CC8">
            <w:pPr>
              <w:pStyle w:val="TableText"/>
              <w:tabs>
                <w:tab w:val="decimal" w:pos="707"/>
              </w:tabs>
              <w:rPr>
                <w:rFonts w:eastAsia="Arial" w:cs="Arial"/>
                <w:b/>
                <w:szCs w:val="19"/>
              </w:rPr>
            </w:pPr>
            <w:r w:rsidRPr="00B64CC8">
              <w:rPr>
                <w:b/>
              </w:rPr>
              <w:t>16</w:t>
            </w:r>
          </w:p>
        </w:tc>
        <w:tc>
          <w:tcPr>
            <w:tcW w:w="2077" w:type="dxa"/>
            <w:tcBorders>
              <w:top w:val="single" w:sz="4" w:space="0" w:color="A7A9AC"/>
              <w:left w:val="nil"/>
              <w:bottom w:val="single" w:sz="4" w:space="0" w:color="000000"/>
              <w:right w:val="nil"/>
            </w:tcBorders>
          </w:tcPr>
          <w:p w:rsidR="00A47CF6" w:rsidRPr="00B64CC8" w:rsidRDefault="00A47CF6" w:rsidP="00B64CC8">
            <w:pPr>
              <w:pStyle w:val="TableText"/>
              <w:jc w:val="center"/>
              <w:rPr>
                <w:rFonts w:eastAsia="Arial" w:cs="Arial"/>
                <w:b/>
                <w:szCs w:val="19"/>
              </w:rPr>
            </w:pPr>
            <w:r w:rsidRPr="00B64CC8">
              <w:rPr>
                <w:b/>
              </w:rPr>
              <w:t>5</w:t>
            </w:r>
          </w:p>
        </w:tc>
        <w:tc>
          <w:tcPr>
            <w:tcW w:w="1283" w:type="dxa"/>
            <w:tcBorders>
              <w:top w:val="single" w:sz="4" w:space="0" w:color="A7A9AC"/>
              <w:left w:val="nil"/>
              <w:bottom w:val="single" w:sz="4" w:space="0" w:color="000000"/>
              <w:right w:val="nil"/>
            </w:tcBorders>
          </w:tcPr>
          <w:p w:rsidR="00A47CF6" w:rsidRPr="00B64CC8" w:rsidRDefault="00A47CF6" w:rsidP="00B64CC8">
            <w:pPr>
              <w:pStyle w:val="TableText"/>
              <w:tabs>
                <w:tab w:val="decimal" w:pos="738"/>
              </w:tabs>
              <w:rPr>
                <w:rFonts w:eastAsia="Arial" w:cs="Arial"/>
                <w:b/>
                <w:szCs w:val="19"/>
              </w:rPr>
            </w:pPr>
            <w:r w:rsidRPr="00B64CC8">
              <w:rPr>
                <w:b/>
              </w:rPr>
              <w:t>210</w:t>
            </w:r>
          </w:p>
        </w:tc>
      </w:tr>
    </w:tbl>
    <w:p w:rsidR="00A47CF6" w:rsidRPr="00666DF4" w:rsidRDefault="00A47CF6" w:rsidP="00B64CC8">
      <w:pPr>
        <w:pStyle w:val="Source"/>
        <w:rPr>
          <w:rFonts w:eastAsia="Arial" w:cs="Arial"/>
          <w:szCs w:val="19"/>
        </w:rPr>
      </w:pPr>
      <w:r w:rsidRPr="00666DF4">
        <w:t>Source: Health Quality &amp; Safety Commission adverse event data, 2017</w:t>
      </w:r>
    </w:p>
    <w:p w:rsidR="00A47CF6" w:rsidRPr="00666DF4" w:rsidRDefault="00A47CF6" w:rsidP="00B64CC8">
      <w:pPr>
        <w:rPr>
          <w:rFonts w:eastAsia="Arial"/>
        </w:rPr>
      </w:pPr>
    </w:p>
    <w:p w:rsidR="00A47CF6" w:rsidRPr="00666DF4" w:rsidRDefault="00A47CF6" w:rsidP="00B64CC8">
      <w:pPr>
        <w:pStyle w:val="Table"/>
        <w:rPr>
          <w:rFonts w:eastAsia="Georgia" w:cs="Georgia"/>
          <w:szCs w:val="19"/>
        </w:rPr>
      </w:pPr>
      <w:bookmarkStart w:id="184" w:name="Table_10:_Mental_health_adverse_events_r"/>
      <w:bookmarkStart w:id="185" w:name="Death_by_suicide_"/>
      <w:bookmarkStart w:id="186" w:name="_bookmark40"/>
      <w:bookmarkStart w:id="187" w:name="_Toc508707308"/>
      <w:bookmarkEnd w:id="184"/>
      <w:bookmarkEnd w:id="185"/>
      <w:bookmarkEnd w:id="186"/>
      <w:r w:rsidRPr="00666DF4">
        <w:t>Table 10: Mental health adverse events reported to the Health Quality &amp; Safety Commission, by DHB, 1 January to 31 December 2016</w:t>
      </w:r>
      <w:bookmarkEnd w:id="187"/>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68"/>
        <w:gridCol w:w="1985"/>
        <w:gridCol w:w="850"/>
        <w:gridCol w:w="2268"/>
        <w:gridCol w:w="1985"/>
      </w:tblGrid>
      <w:tr w:rsidR="00B64CC8" w:rsidRPr="00B64CC8" w:rsidTr="00260CEF">
        <w:trPr>
          <w:cantSplit/>
        </w:trPr>
        <w:tc>
          <w:tcPr>
            <w:tcW w:w="2268" w:type="dxa"/>
            <w:tcBorders>
              <w:top w:val="single" w:sz="4" w:space="0" w:color="auto"/>
              <w:bottom w:val="single" w:sz="4" w:space="0" w:color="auto"/>
            </w:tcBorders>
          </w:tcPr>
          <w:p w:rsidR="00B64CC8" w:rsidRPr="00B64CC8" w:rsidRDefault="00B64CC8" w:rsidP="00B64CC8">
            <w:pPr>
              <w:pStyle w:val="TableText"/>
              <w:rPr>
                <w:b/>
              </w:rPr>
            </w:pPr>
            <w:r w:rsidRPr="00B64CC8">
              <w:rPr>
                <w:b/>
              </w:rPr>
              <w:t>DHB</w:t>
            </w:r>
          </w:p>
        </w:tc>
        <w:tc>
          <w:tcPr>
            <w:tcW w:w="1985" w:type="dxa"/>
            <w:tcBorders>
              <w:top w:val="single" w:sz="4" w:space="0" w:color="auto"/>
              <w:bottom w:val="single" w:sz="4" w:space="0" w:color="auto"/>
            </w:tcBorders>
          </w:tcPr>
          <w:p w:rsidR="00B64CC8" w:rsidRPr="00B64CC8" w:rsidRDefault="00B64CC8" w:rsidP="00B64CC8">
            <w:pPr>
              <w:pStyle w:val="TableText"/>
              <w:jc w:val="center"/>
              <w:rPr>
                <w:rFonts w:eastAsia="Arial" w:cs="Arial"/>
                <w:b/>
                <w:szCs w:val="19"/>
              </w:rPr>
            </w:pPr>
            <w:r w:rsidRPr="00B64CC8">
              <w:rPr>
                <w:b/>
              </w:rPr>
              <w:t>Number of events</w:t>
            </w:r>
          </w:p>
        </w:tc>
        <w:tc>
          <w:tcPr>
            <w:tcW w:w="850" w:type="dxa"/>
            <w:tcBorders>
              <w:top w:val="nil"/>
              <w:bottom w:val="nil"/>
            </w:tcBorders>
          </w:tcPr>
          <w:p w:rsidR="00B64CC8" w:rsidRPr="00B64CC8" w:rsidRDefault="00B64CC8" w:rsidP="00B64CC8">
            <w:pPr>
              <w:pStyle w:val="TableText"/>
              <w:rPr>
                <w:rFonts w:eastAsia="Arial" w:cs="Arial"/>
                <w:b/>
                <w:szCs w:val="19"/>
              </w:rPr>
            </w:pPr>
          </w:p>
        </w:tc>
        <w:tc>
          <w:tcPr>
            <w:tcW w:w="2268" w:type="dxa"/>
            <w:tcBorders>
              <w:top w:val="single" w:sz="4" w:space="0" w:color="auto"/>
              <w:bottom w:val="single" w:sz="4" w:space="0" w:color="auto"/>
            </w:tcBorders>
          </w:tcPr>
          <w:p w:rsidR="00B64CC8" w:rsidRPr="00B64CC8" w:rsidRDefault="00B64CC8" w:rsidP="00B64CC8">
            <w:pPr>
              <w:pStyle w:val="TableText"/>
              <w:rPr>
                <w:b/>
              </w:rPr>
            </w:pPr>
            <w:r w:rsidRPr="00B64CC8">
              <w:rPr>
                <w:b/>
              </w:rPr>
              <w:t>DHB</w:t>
            </w:r>
          </w:p>
        </w:tc>
        <w:tc>
          <w:tcPr>
            <w:tcW w:w="1985" w:type="dxa"/>
            <w:tcBorders>
              <w:top w:val="single" w:sz="4" w:space="0" w:color="auto"/>
              <w:bottom w:val="single" w:sz="4" w:space="0" w:color="auto"/>
            </w:tcBorders>
          </w:tcPr>
          <w:p w:rsidR="00B64CC8" w:rsidRPr="00B64CC8" w:rsidRDefault="00B64CC8" w:rsidP="00260CEF">
            <w:pPr>
              <w:pStyle w:val="TableText"/>
              <w:jc w:val="center"/>
              <w:rPr>
                <w:rFonts w:eastAsia="Arial" w:cs="Arial"/>
                <w:b/>
                <w:szCs w:val="19"/>
              </w:rPr>
            </w:pPr>
            <w:r w:rsidRPr="00B64CC8">
              <w:rPr>
                <w:b/>
              </w:rPr>
              <w:t>Number of events</w:t>
            </w:r>
          </w:p>
        </w:tc>
      </w:tr>
      <w:tr w:rsidR="00B64CC8" w:rsidRPr="00B64CC8" w:rsidTr="00260CEF">
        <w:trPr>
          <w:cantSplit/>
        </w:trPr>
        <w:tc>
          <w:tcPr>
            <w:tcW w:w="2268" w:type="dxa"/>
            <w:tcBorders>
              <w:top w:val="single" w:sz="4" w:space="0" w:color="auto"/>
            </w:tcBorders>
          </w:tcPr>
          <w:p w:rsidR="00B64CC8" w:rsidRPr="00B64CC8" w:rsidRDefault="00B64CC8" w:rsidP="00B64CC8">
            <w:pPr>
              <w:pStyle w:val="TableText"/>
            </w:pPr>
            <w:r w:rsidRPr="00B64CC8">
              <w:t>Auckland</w:t>
            </w:r>
          </w:p>
        </w:tc>
        <w:tc>
          <w:tcPr>
            <w:tcW w:w="1985" w:type="dxa"/>
            <w:tcBorders>
              <w:top w:val="single" w:sz="4" w:space="0" w:color="auto"/>
            </w:tcBorders>
          </w:tcPr>
          <w:p w:rsidR="00B64CC8" w:rsidRPr="00B64CC8" w:rsidRDefault="00B64CC8" w:rsidP="00B64CC8">
            <w:pPr>
              <w:pStyle w:val="TableText"/>
              <w:tabs>
                <w:tab w:val="decimal" w:pos="1013"/>
              </w:tabs>
              <w:rPr>
                <w:rFonts w:eastAsia="Arial" w:cs="Arial"/>
                <w:szCs w:val="19"/>
              </w:rPr>
            </w:pPr>
            <w:r w:rsidRPr="00B64CC8">
              <w:t>19</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Borders>
              <w:top w:val="single" w:sz="4" w:space="0" w:color="auto"/>
            </w:tcBorders>
          </w:tcPr>
          <w:p w:rsidR="00B64CC8" w:rsidRPr="00B64CC8" w:rsidRDefault="00B64CC8" w:rsidP="00B64CC8">
            <w:pPr>
              <w:pStyle w:val="TableText"/>
            </w:pPr>
            <w:r w:rsidRPr="00B64CC8">
              <w:t>Northland</w:t>
            </w:r>
          </w:p>
        </w:tc>
        <w:tc>
          <w:tcPr>
            <w:tcW w:w="1985" w:type="dxa"/>
            <w:tcBorders>
              <w:top w:val="single" w:sz="4" w:space="0" w:color="auto"/>
            </w:tcBorders>
          </w:tcPr>
          <w:p w:rsidR="00B64CC8" w:rsidRPr="00B64CC8" w:rsidRDefault="00B64CC8" w:rsidP="00260CEF">
            <w:pPr>
              <w:pStyle w:val="TableText"/>
              <w:tabs>
                <w:tab w:val="decimal" w:pos="984"/>
              </w:tabs>
              <w:rPr>
                <w:rFonts w:eastAsia="Arial" w:cs="Arial"/>
                <w:szCs w:val="19"/>
              </w:rPr>
            </w:pPr>
            <w:r w:rsidRPr="00B64CC8">
              <w:t>7</w:t>
            </w:r>
          </w:p>
        </w:tc>
      </w:tr>
      <w:tr w:rsidR="00B64CC8" w:rsidRPr="00B64CC8" w:rsidTr="00260CEF">
        <w:trPr>
          <w:cantSplit/>
        </w:trPr>
        <w:tc>
          <w:tcPr>
            <w:tcW w:w="2268" w:type="dxa"/>
          </w:tcPr>
          <w:p w:rsidR="00B64CC8" w:rsidRPr="00B64CC8" w:rsidRDefault="00B64CC8" w:rsidP="00B64CC8">
            <w:pPr>
              <w:pStyle w:val="TableText"/>
            </w:pPr>
            <w:r w:rsidRPr="00B64CC8">
              <w:t>Bay of Plenty</w:t>
            </w:r>
          </w:p>
        </w:tc>
        <w:tc>
          <w:tcPr>
            <w:tcW w:w="1985" w:type="dxa"/>
          </w:tcPr>
          <w:p w:rsidR="00B64CC8" w:rsidRPr="00B64CC8" w:rsidRDefault="00B64CC8" w:rsidP="00B64CC8">
            <w:pPr>
              <w:pStyle w:val="TableText"/>
              <w:tabs>
                <w:tab w:val="decimal" w:pos="1013"/>
              </w:tabs>
              <w:rPr>
                <w:rFonts w:eastAsia="Arial" w:cs="Arial"/>
                <w:szCs w:val="19"/>
              </w:rPr>
            </w:pPr>
            <w:r w:rsidRPr="00B64CC8">
              <w:t>10</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r w:rsidRPr="00B64CC8">
              <w:t>South Canterbury</w:t>
            </w:r>
          </w:p>
        </w:tc>
        <w:tc>
          <w:tcPr>
            <w:tcW w:w="1985" w:type="dxa"/>
          </w:tcPr>
          <w:p w:rsidR="00B64CC8" w:rsidRPr="00B64CC8" w:rsidRDefault="00B64CC8" w:rsidP="00260CEF">
            <w:pPr>
              <w:pStyle w:val="TableText"/>
              <w:tabs>
                <w:tab w:val="decimal" w:pos="984"/>
              </w:tabs>
              <w:rPr>
                <w:rFonts w:eastAsia="Arial" w:cs="Arial"/>
                <w:szCs w:val="19"/>
              </w:rPr>
            </w:pPr>
            <w:r w:rsidRPr="00B64CC8">
              <w:t>0</w:t>
            </w:r>
          </w:p>
        </w:tc>
      </w:tr>
      <w:tr w:rsidR="00B64CC8" w:rsidRPr="00B64CC8" w:rsidTr="00260CEF">
        <w:trPr>
          <w:cantSplit/>
        </w:trPr>
        <w:tc>
          <w:tcPr>
            <w:tcW w:w="2268" w:type="dxa"/>
          </w:tcPr>
          <w:p w:rsidR="00B64CC8" w:rsidRPr="00B64CC8" w:rsidRDefault="00B64CC8" w:rsidP="00B64CC8">
            <w:pPr>
              <w:pStyle w:val="TableText"/>
            </w:pPr>
            <w:r w:rsidRPr="00B64CC8">
              <w:t>Canterbury</w:t>
            </w:r>
          </w:p>
        </w:tc>
        <w:tc>
          <w:tcPr>
            <w:tcW w:w="1985" w:type="dxa"/>
          </w:tcPr>
          <w:p w:rsidR="00B64CC8" w:rsidRPr="00B64CC8" w:rsidRDefault="00B64CC8" w:rsidP="00B64CC8">
            <w:pPr>
              <w:pStyle w:val="TableText"/>
              <w:tabs>
                <w:tab w:val="decimal" w:pos="1013"/>
              </w:tabs>
              <w:rPr>
                <w:rFonts w:eastAsia="Arial" w:cs="Arial"/>
                <w:szCs w:val="19"/>
              </w:rPr>
            </w:pPr>
            <w:r w:rsidRPr="00B64CC8">
              <w:t>24</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r w:rsidRPr="00B64CC8">
              <w:t>Southern</w:t>
            </w:r>
          </w:p>
        </w:tc>
        <w:tc>
          <w:tcPr>
            <w:tcW w:w="1985" w:type="dxa"/>
          </w:tcPr>
          <w:p w:rsidR="00B64CC8" w:rsidRPr="00B64CC8" w:rsidRDefault="00B64CC8" w:rsidP="00260CEF">
            <w:pPr>
              <w:pStyle w:val="TableText"/>
              <w:tabs>
                <w:tab w:val="decimal" w:pos="984"/>
              </w:tabs>
              <w:rPr>
                <w:rFonts w:eastAsia="Arial" w:cs="Arial"/>
                <w:szCs w:val="19"/>
              </w:rPr>
            </w:pPr>
            <w:r w:rsidRPr="00B64CC8">
              <w:t>20</w:t>
            </w:r>
          </w:p>
        </w:tc>
      </w:tr>
      <w:tr w:rsidR="00B64CC8" w:rsidRPr="00B64CC8" w:rsidTr="00260CEF">
        <w:trPr>
          <w:cantSplit/>
        </w:trPr>
        <w:tc>
          <w:tcPr>
            <w:tcW w:w="2268" w:type="dxa"/>
          </w:tcPr>
          <w:p w:rsidR="00B64CC8" w:rsidRPr="00B64CC8" w:rsidRDefault="00B64CC8" w:rsidP="00B64CC8">
            <w:pPr>
              <w:pStyle w:val="TableText"/>
            </w:pPr>
            <w:r w:rsidRPr="00B64CC8">
              <w:t>Capital &amp; Coast</w:t>
            </w:r>
          </w:p>
        </w:tc>
        <w:tc>
          <w:tcPr>
            <w:tcW w:w="1985" w:type="dxa"/>
          </w:tcPr>
          <w:p w:rsidR="00B64CC8" w:rsidRPr="00B64CC8" w:rsidRDefault="00B64CC8" w:rsidP="00B64CC8">
            <w:pPr>
              <w:pStyle w:val="TableText"/>
              <w:tabs>
                <w:tab w:val="decimal" w:pos="1013"/>
              </w:tabs>
              <w:rPr>
                <w:rFonts w:eastAsia="Arial" w:cs="Arial"/>
                <w:szCs w:val="19"/>
              </w:rPr>
            </w:pPr>
            <w:r w:rsidRPr="00B64CC8">
              <w:t>17</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proofErr w:type="spellStart"/>
            <w:r w:rsidRPr="00B64CC8">
              <w:rPr>
                <w:rFonts w:ascii="Calibri" w:hAnsi="Calibri"/>
              </w:rPr>
              <w:t>Tair</w:t>
            </w:r>
            <w:r w:rsidRPr="00B64CC8">
              <w:rPr>
                <w:rFonts w:ascii="Times New Roman" w:hAnsi="Times New Roman"/>
              </w:rPr>
              <w:t>ā</w:t>
            </w:r>
            <w:r w:rsidRPr="00B64CC8">
              <w:rPr>
                <w:rFonts w:ascii="Calibri" w:hAnsi="Calibri"/>
              </w:rPr>
              <w:t>whiti</w:t>
            </w:r>
            <w:proofErr w:type="spellEnd"/>
          </w:p>
        </w:tc>
        <w:tc>
          <w:tcPr>
            <w:tcW w:w="1985" w:type="dxa"/>
          </w:tcPr>
          <w:p w:rsidR="00B64CC8" w:rsidRPr="00B64CC8" w:rsidRDefault="00B64CC8" w:rsidP="00260CEF">
            <w:pPr>
              <w:pStyle w:val="TableText"/>
              <w:tabs>
                <w:tab w:val="decimal" w:pos="984"/>
              </w:tabs>
              <w:rPr>
                <w:rFonts w:eastAsia="Arial" w:cs="Arial"/>
                <w:szCs w:val="19"/>
              </w:rPr>
            </w:pPr>
            <w:r w:rsidRPr="00B64CC8">
              <w:t>2</w:t>
            </w:r>
          </w:p>
        </w:tc>
      </w:tr>
      <w:tr w:rsidR="00B64CC8" w:rsidRPr="00B64CC8" w:rsidTr="00260CEF">
        <w:trPr>
          <w:cantSplit/>
        </w:trPr>
        <w:tc>
          <w:tcPr>
            <w:tcW w:w="2268" w:type="dxa"/>
          </w:tcPr>
          <w:p w:rsidR="00B64CC8" w:rsidRPr="00B64CC8" w:rsidRDefault="00B64CC8" w:rsidP="00B64CC8">
            <w:pPr>
              <w:pStyle w:val="TableText"/>
            </w:pPr>
            <w:r w:rsidRPr="00B64CC8">
              <w:t xml:space="preserve">Counties </w:t>
            </w:r>
            <w:proofErr w:type="spellStart"/>
            <w:r w:rsidRPr="00B64CC8">
              <w:t>Manukau</w:t>
            </w:r>
            <w:proofErr w:type="spellEnd"/>
          </w:p>
        </w:tc>
        <w:tc>
          <w:tcPr>
            <w:tcW w:w="1985" w:type="dxa"/>
          </w:tcPr>
          <w:p w:rsidR="00B64CC8" w:rsidRPr="00B64CC8" w:rsidRDefault="00B64CC8" w:rsidP="00B64CC8">
            <w:pPr>
              <w:pStyle w:val="TableText"/>
              <w:tabs>
                <w:tab w:val="decimal" w:pos="1013"/>
              </w:tabs>
              <w:rPr>
                <w:rFonts w:eastAsia="Arial" w:cs="Arial"/>
                <w:szCs w:val="19"/>
              </w:rPr>
            </w:pPr>
            <w:r w:rsidRPr="00B64CC8">
              <w:t>14</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proofErr w:type="spellStart"/>
            <w:r w:rsidRPr="00B64CC8">
              <w:t>Taranaki</w:t>
            </w:r>
            <w:proofErr w:type="spellEnd"/>
          </w:p>
        </w:tc>
        <w:tc>
          <w:tcPr>
            <w:tcW w:w="1985" w:type="dxa"/>
          </w:tcPr>
          <w:p w:rsidR="00B64CC8" w:rsidRPr="00B64CC8" w:rsidRDefault="00B64CC8" w:rsidP="00260CEF">
            <w:pPr>
              <w:pStyle w:val="TableText"/>
              <w:tabs>
                <w:tab w:val="decimal" w:pos="984"/>
              </w:tabs>
              <w:rPr>
                <w:rFonts w:eastAsia="Arial" w:cs="Arial"/>
                <w:szCs w:val="19"/>
              </w:rPr>
            </w:pPr>
            <w:r w:rsidRPr="00B64CC8">
              <w:t>4</w:t>
            </w:r>
          </w:p>
        </w:tc>
      </w:tr>
      <w:tr w:rsidR="00B64CC8" w:rsidRPr="00B64CC8" w:rsidTr="00260CEF">
        <w:trPr>
          <w:cantSplit/>
        </w:trPr>
        <w:tc>
          <w:tcPr>
            <w:tcW w:w="2268" w:type="dxa"/>
          </w:tcPr>
          <w:p w:rsidR="00B64CC8" w:rsidRPr="00B64CC8" w:rsidRDefault="00B64CC8" w:rsidP="00B64CC8">
            <w:pPr>
              <w:pStyle w:val="TableText"/>
              <w:rPr>
                <w:rFonts w:eastAsia="Arial" w:cs="Arial"/>
                <w:szCs w:val="19"/>
              </w:rPr>
            </w:pPr>
            <w:r w:rsidRPr="00B64CC8">
              <w:rPr>
                <w:rFonts w:eastAsia="Arial" w:cs="Arial"/>
                <w:szCs w:val="19"/>
              </w:rPr>
              <w:t>Hawke’s Bay</w:t>
            </w:r>
          </w:p>
        </w:tc>
        <w:tc>
          <w:tcPr>
            <w:tcW w:w="1985" w:type="dxa"/>
          </w:tcPr>
          <w:p w:rsidR="00B64CC8" w:rsidRPr="00B64CC8" w:rsidRDefault="00B64CC8" w:rsidP="00B64CC8">
            <w:pPr>
              <w:pStyle w:val="TableText"/>
              <w:tabs>
                <w:tab w:val="decimal" w:pos="1013"/>
              </w:tabs>
              <w:rPr>
                <w:rFonts w:eastAsia="Arial" w:cs="Arial"/>
                <w:szCs w:val="19"/>
              </w:rPr>
            </w:pPr>
            <w:r w:rsidRPr="00B64CC8">
              <w:rPr>
                <w:rFonts w:eastAsia="Arial" w:cs="Arial"/>
                <w:szCs w:val="19"/>
              </w:rPr>
              <w:t>3</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r w:rsidRPr="00B64CC8">
              <w:t>Waikato</w:t>
            </w:r>
          </w:p>
        </w:tc>
        <w:tc>
          <w:tcPr>
            <w:tcW w:w="1985" w:type="dxa"/>
          </w:tcPr>
          <w:p w:rsidR="00B64CC8" w:rsidRPr="00B64CC8" w:rsidRDefault="00B64CC8" w:rsidP="00260CEF">
            <w:pPr>
              <w:pStyle w:val="TableText"/>
              <w:tabs>
                <w:tab w:val="decimal" w:pos="984"/>
              </w:tabs>
              <w:rPr>
                <w:rFonts w:eastAsia="Arial" w:cs="Arial"/>
                <w:szCs w:val="19"/>
              </w:rPr>
            </w:pPr>
            <w:r w:rsidRPr="00B64CC8">
              <w:t>20</w:t>
            </w:r>
          </w:p>
        </w:tc>
      </w:tr>
      <w:tr w:rsidR="00B64CC8" w:rsidRPr="00B64CC8" w:rsidTr="00260CEF">
        <w:trPr>
          <w:cantSplit/>
        </w:trPr>
        <w:tc>
          <w:tcPr>
            <w:tcW w:w="2268" w:type="dxa"/>
          </w:tcPr>
          <w:p w:rsidR="00B64CC8" w:rsidRPr="00B64CC8" w:rsidRDefault="00B64CC8" w:rsidP="00B64CC8">
            <w:pPr>
              <w:pStyle w:val="TableText"/>
            </w:pPr>
            <w:r w:rsidRPr="00B64CC8">
              <w:t>Hutt Valley</w:t>
            </w:r>
          </w:p>
        </w:tc>
        <w:tc>
          <w:tcPr>
            <w:tcW w:w="1985" w:type="dxa"/>
          </w:tcPr>
          <w:p w:rsidR="00B64CC8" w:rsidRPr="00B64CC8" w:rsidRDefault="00B64CC8" w:rsidP="00B64CC8">
            <w:pPr>
              <w:pStyle w:val="TableText"/>
              <w:tabs>
                <w:tab w:val="decimal" w:pos="1013"/>
              </w:tabs>
              <w:rPr>
                <w:rFonts w:eastAsia="Arial" w:cs="Arial"/>
                <w:szCs w:val="19"/>
              </w:rPr>
            </w:pPr>
            <w:r w:rsidRPr="00B64CC8">
              <w:t>10</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proofErr w:type="spellStart"/>
            <w:r w:rsidRPr="00B64CC8">
              <w:t>Wairarapa</w:t>
            </w:r>
            <w:proofErr w:type="spellEnd"/>
          </w:p>
        </w:tc>
        <w:tc>
          <w:tcPr>
            <w:tcW w:w="1985" w:type="dxa"/>
          </w:tcPr>
          <w:p w:rsidR="00B64CC8" w:rsidRPr="00B64CC8" w:rsidRDefault="00B64CC8" w:rsidP="00260CEF">
            <w:pPr>
              <w:pStyle w:val="TableText"/>
              <w:tabs>
                <w:tab w:val="decimal" w:pos="984"/>
              </w:tabs>
              <w:rPr>
                <w:rFonts w:eastAsia="Arial" w:cs="Arial"/>
                <w:szCs w:val="19"/>
              </w:rPr>
            </w:pPr>
            <w:r w:rsidRPr="00B64CC8">
              <w:t>5</w:t>
            </w:r>
          </w:p>
        </w:tc>
      </w:tr>
      <w:tr w:rsidR="00B64CC8" w:rsidRPr="00B64CC8" w:rsidTr="00260CEF">
        <w:trPr>
          <w:cantSplit/>
        </w:trPr>
        <w:tc>
          <w:tcPr>
            <w:tcW w:w="2268" w:type="dxa"/>
          </w:tcPr>
          <w:p w:rsidR="00B64CC8" w:rsidRPr="00B64CC8" w:rsidRDefault="00B64CC8" w:rsidP="00B64CC8">
            <w:pPr>
              <w:pStyle w:val="TableText"/>
            </w:pPr>
            <w:r w:rsidRPr="00B64CC8">
              <w:t>Lakes</w:t>
            </w:r>
          </w:p>
        </w:tc>
        <w:tc>
          <w:tcPr>
            <w:tcW w:w="1985" w:type="dxa"/>
          </w:tcPr>
          <w:p w:rsidR="00B64CC8" w:rsidRPr="00B64CC8" w:rsidRDefault="00B64CC8" w:rsidP="00B64CC8">
            <w:pPr>
              <w:pStyle w:val="TableText"/>
              <w:tabs>
                <w:tab w:val="decimal" w:pos="1013"/>
              </w:tabs>
              <w:rPr>
                <w:rFonts w:eastAsia="Arial" w:cs="Arial"/>
                <w:szCs w:val="19"/>
              </w:rPr>
            </w:pPr>
            <w:r w:rsidRPr="00B64CC8">
              <w:t>8</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proofErr w:type="spellStart"/>
            <w:r w:rsidRPr="00B64CC8">
              <w:t>Waitemata</w:t>
            </w:r>
            <w:proofErr w:type="spellEnd"/>
          </w:p>
        </w:tc>
        <w:tc>
          <w:tcPr>
            <w:tcW w:w="1985" w:type="dxa"/>
          </w:tcPr>
          <w:p w:rsidR="00B64CC8" w:rsidRPr="00B64CC8" w:rsidRDefault="00B64CC8" w:rsidP="00260CEF">
            <w:pPr>
              <w:pStyle w:val="TableText"/>
              <w:tabs>
                <w:tab w:val="decimal" w:pos="984"/>
              </w:tabs>
              <w:rPr>
                <w:rFonts w:eastAsia="Arial" w:cs="Arial"/>
                <w:szCs w:val="19"/>
              </w:rPr>
            </w:pPr>
            <w:r w:rsidRPr="00B64CC8">
              <w:t>14</w:t>
            </w:r>
          </w:p>
        </w:tc>
      </w:tr>
      <w:tr w:rsidR="00B64CC8" w:rsidRPr="00B64CC8" w:rsidTr="00260CEF">
        <w:trPr>
          <w:cantSplit/>
        </w:trPr>
        <w:tc>
          <w:tcPr>
            <w:tcW w:w="2268" w:type="dxa"/>
          </w:tcPr>
          <w:p w:rsidR="00B64CC8" w:rsidRPr="00B64CC8" w:rsidRDefault="00B64CC8" w:rsidP="00B64CC8">
            <w:pPr>
              <w:pStyle w:val="TableText"/>
            </w:pPr>
            <w:proofErr w:type="spellStart"/>
            <w:r w:rsidRPr="00B64CC8">
              <w:t>MidCentral</w:t>
            </w:r>
            <w:proofErr w:type="spellEnd"/>
          </w:p>
        </w:tc>
        <w:tc>
          <w:tcPr>
            <w:tcW w:w="1985" w:type="dxa"/>
          </w:tcPr>
          <w:p w:rsidR="00B64CC8" w:rsidRPr="00B64CC8" w:rsidRDefault="00B64CC8" w:rsidP="00B64CC8">
            <w:pPr>
              <w:pStyle w:val="TableText"/>
              <w:tabs>
                <w:tab w:val="decimal" w:pos="1013"/>
              </w:tabs>
              <w:rPr>
                <w:rFonts w:eastAsia="Arial" w:cs="Arial"/>
                <w:szCs w:val="19"/>
              </w:rPr>
            </w:pPr>
            <w:r w:rsidRPr="00B64CC8">
              <w:t>22</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Pr>
          <w:p w:rsidR="00B64CC8" w:rsidRPr="00B64CC8" w:rsidRDefault="00B64CC8" w:rsidP="00B64CC8">
            <w:pPr>
              <w:pStyle w:val="TableText"/>
            </w:pPr>
            <w:r w:rsidRPr="00B64CC8">
              <w:t>West Coast</w:t>
            </w:r>
          </w:p>
        </w:tc>
        <w:tc>
          <w:tcPr>
            <w:tcW w:w="1985" w:type="dxa"/>
          </w:tcPr>
          <w:p w:rsidR="00B64CC8" w:rsidRPr="00B64CC8" w:rsidRDefault="00B64CC8" w:rsidP="00260CEF">
            <w:pPr>
              <w:pStyle w:val="TableText"/>
              <w:tabs>
                <w:tab w:val="decimal" w:pos="984"/>
              </w:tabs>
              <w:rPr>
                <w:rFonts w:eastAsia="Arial" w:cs="Arial"/>
                <w:szCs w:val="19"/>
              </w:rPr>
            </w:pPr>
            <w:r w:rsidRPr="00B64CC8">
              <w:t>3</w:t>
            </w:r>
          </w:p>
        </w:tc>
      </w:tr>
      <w:tr w:rsidR="00B64CC8" w:rsidRPr="00B64CC8" w:rsidTr="00260CEF">
        <w:trPr>
          <w:cantSplit/>
        </w:trPr>
        <w:tc>
          <w:tcPr>
            <w:tcW w:w="2268" w:type="dxa"/>
            <w:tcBorders>
              <w:bottom w:val="single" w:sz="4" w:space="0" w:color="auto"/>
            </w:tcBorders>
          </w:tcPr>
          <w:p w:rsidR="00B64CC8" w:rsidRPr="00B64CC8" w:rsidRDefault="00B64CC8" w:rsidP="00B64CC8">
            <w:pPr>
              <w:pStyle w:val="TableText"/>
            </w:pPr>
            <w:r w:rsidRPr="00B64CC8">
              <w:t>Nelson Marlborough</w:t>
            </w:r>
          </w:p>
        </w:tc>
        <w:tc>
          <w:tcPr>
            <w:tcW w:w="1985" w:type="dxa"/>
            <w:tcBorders>
              <w:bottom w:val="single" w:sz="4" w:space="0" w:color="auto"/>
            </w:tcBorders>
          </w:tcPr>
          <w:p w:rsidR="00B64CC8" w:rsidRPr="00B64CC8" w:rsidRDefault="00B64CC8" w:rsidP="00B64CC8">
            <w:pPr>
              <w:pStyle w:val="TableText"/>
              <w:tabs>
                <w:tab w:val="decimal" w:pos="1013"/>
              </w:tabs>
              <w:rPr>
                <w:rFonts w:eastAsia="Arial" w:cs="Arial"/>
                <w:szCs w:val="19"/>
              </w:rPr>
            </w:pPr>
            <w:r w:rsidRPr="00B64CC8">
              <w:t>5</w:t>
            </w:r>
          </w:p>
        </w:tc>
        <w:tc>
          <w:tcPr>
            <w:tcW w:w="850" w:type="dxa"/>
            <w:tcBorders>
              <w:top w:val="nil"/>
              <w:bottom w:val="nil"/>
            </w:tcBorders>
          </w:tcPr>
          <w:p w:rsidR="00B64CC8" w:rsidRPr="00B64CC8" w:rsidRDefault="00B64CC8" w:rsidP="00B64CC8">
            <w:pPr>
              <w:pStyle w:val="TableText"/>
              <w:rPr>
                <w:rFonts w:eastAsia="Arial" w:cs="Arial"/>
                <w:szCs w:val="19"/>
              </w:rPr>
            </w:pPr>
          </w:p>
        </w:tc>
        <w:tc>
          <w:tcPr>
            <w:tcW w:w="2268" w:type="dxa"/>
            <w:tcBorders>
              <w:bottom w:val="single" w:sz="4" w:space="0" w:color="A6A6A6" w:themeColor="background1" w:themeShade="A6"/>
            </w:tcBorders>
          </w:tcPr>
          <w:p w:rsidR="00B64CC8" w:rsidRPr="00B64CC8" w:rsidRDefault="00B64CC8" w:rsidP="00B64CC8">
            <w:pPr>
              <w:pStyle w:val="TableText"/>
            </w:pPr>
            <w:proofErr w:type="spellStart"/>
            <w:r w:rsidRPr="00B64CC8">
              <w:t>Whanganui</w:t>
            </w:r>
            <w:proofErr w:type="spellEnd"/>
          </w:p>
        </w:tc>
        <w:tc>
          <w:tcPr>
            <w:tcW w:w="1985" w:type="dxa"/>
            <w:tcBorders>
              <w:bottom w:val="single" w:sz="4" w:space="0" w:color="A6A6A6" w:themeColor="background1" w:themeShade="A6"/>
            </w:tcBorders>
          </w:tcPr>
          <w:p w:rsidR="00B64CC8" w:rsidRPr="00B64CC8" w:rsidRDefault="00B64CC8" w:rsidP="00260CEF">
            <w:pPr>
              <w:pStyle w:val="TableText"/>
              <w:tabs>
                <w:tab w:val="decimal" w:pos="984"/>
              </w:tabs>
              <w:rPr>
                <w:rFonts w:eastAsia="Arial" w:cs="Arial"/>
                <w:szCs w:val="19"/>
              </w:rPr>
            </w:pPr>
            <w:r w:rsidRPr="00B64CC8">
              <w:t>3</w:t>
            </w:r>
          </w:p>
        </w:tc>
      </w:tr>
      <w:tr w:rsidR="00B64CC8" w:rsidRPr="00B64CC8" w:rsidTr="00260CEF">
        <w:trPr>
          <w:cantSplit/>
        </w:trPr>
        <w:tc>
          <w:tcPr>
            <w:tcW w:w="2268" w:type="dxa"/>
            <w:tcBorders>
              <w:top w:val="single" w:sz="4" w:space="0" w:color="auto"/>
              <w:bottom w:val="nil"/>
            </w:tcBorders>
          </w:tcPr>
          <w:p w:rsidR="00B64CC8" w:rsidRPr="00B64CC8" w:rsidRDefault="00B64CC8" w:rsidP="00B64CC8">
            <w:pPr>
              <w:pStyle w:val="TableText"/>
              <w:rPr>
                <w:b/>
              </w:rPr>
            </w:pPr>
          </w:p>
        </w:tc>
        <w:tc>
          <w:tcPr>
            <w:tcW w:w="1985" w:type="dxa"/>
            <w:tcBorders>
              <w:top w:val="single" w:sz="4" w:space="0" w:color="auto"/>
              <w:bottom w:val="nil"/>
            </w:tcBorders>
          </w:tcPr>
          <w:p w:rsidR="00B64CC8" w:rsidRPr="00B64CC8" w:rsidRDefault="00B64CC8" w:rsidP="00B64CC8">
            <w:pPr>
              <w:pStyle w:val="TableText"/>
              <w:tabs>
                <w:tab w:val="decimal" w:pos="1013"/>
              </w:tabs>
              <w:rPr>
                <w:b/>
              </w:rPr>
            </w:pPr>
          </w:p>
        </w:tc>
        <w:tc>
          <w:tcPr>
            <w:tcW w:w="850" w:type="dxa"/>
            <w:tcBorders>
              <w:top w:val="nil"/>
              <w:bottom w:val="nil"/>
            </w:tcBorders>
          </w:tcPr>
          <w:p w:rsidR="00B64CC8" w:rsidRPr="00B64CC8" w:rsidRDefault="00B64CC8" w:rsidP="00B64CC8">
            <w:pPr>
              <w:pStyle w:val="TableText"/>
              <w:rPr>
                <w:b/>
              </w:rPr>
            </w:pPr>
          </w:p>
        </w:tc>
        <w:tc>
          <w:tcPr>
            <w:tcW w:w="2268" w:type="dxa"/>
            <w:tcBorders>
              <w:top w:val="single" w:sz="4" w:space="0" w:color="A6A6A6" w:themeColor="background1" w:themeShade="A6"/>
              <w:bottom w:val="single" w:sz="4" w:space="0" w:color="auto"/>
            </w:tcBorders>
          </w:tcPr>
          <w:p w:rsidR="00B64CC8" w:rsidRPr="00B64CC8" w:rsidRDefault="00B64CC8" w:rsidP="00B64CC8">
            <w:pPr>
              <w:pStyle w:val="TableText"/>
              <w:rPr>
                <w:rFonts w:eastAsia="Arial" w:cs="Arial"/>
                <w:b/>
                <w:szCs w:val="19"/>
              </w:rPr>
            </w:pPr>
            <w:r w:rsidRPr="00B64CC8">
              <w:rPr>
                <w:b/>
              </w:rPr>
              <w:t>New Zealand total</w:t>
            </w:r>
          </w:p>
        </w:tc>
        <w:tc>
          <w:tcPr>
            <w:tcW w:w="1985" w:type="dxa"/>
            <w:tcBorders>
              <w:top w:val="single" w:sz="4" w:space="0" w:color="A6A6A6" w:themeColor="background1" w:themeShade="A6"/>
              <w:bottom w:val="single" w:sz="4" w:space="0" w:color="auto"/>
            </w:tcBorders>
          </w:tcPr>
          <w:p w:rsidR="00B64CC8" w:rsidRPr="00B64CC8" w:rsidRDefault="00B64CC8" w:rsidP="00260CEF">
            <w:pPr>
              <w:pStyle w:val="TableText"/>
              <w:tabs>
                <w:tab w:val="decimal" w:pos="984"/>
              </w:tabs>
              <w:rPr>
                <w:rFonts w:eastAsia="Arial" w:cs="Arial"/>
                <w:b/>
                <w:szCs w:val="19"/>
              </w:rPr>
            </w:pPr>
            <w:r>
              <w:rPr>
                <w:rFonts w:eastAsia="Arial" w:cs="Arial"/>
                <w:b/>
                <w:szCs w:val="19"/>
              </w:rPr>
              <w:t>210</w:t>
            </w:r>
          </w:p>
        </w:tc>
      </w:tr>
    </w:tbl>
    <w:p w:rsidR="00A47CF6" w:rsidRPr="00666DF4" w:rsidRDefault="00A47CF6" w:rsidP="00B64CC8">
      <w:pPr>
        <w:pStyle w:val="Source"/>
        <w:rPr>
          <w:rFonts w:eastAsia="Arial" w:cs="Arial"/>
          <w:szCs w:val="19"/>
        </w:rPr>
      </w:pPr>
      <w:r w:rsidRPr="00666DF4">
        <w:t>Source: Health Quality &amp; Safety Commission adverse event data, 2017</w:t>
      </w:r>
    </w:p>
    <w:p w:rsidR="00A47CF6" w:rsidRPr="00666DF4" w:rsidRDefault="00A47CF6" w:rsidP="00260CEF">
      <w:pPr>
        <w:rPr>
          <w:rFonts w:eastAsia="Arial"/>
        </w:rPr>
      </w:pPr>
    </w:p>
    <w:p w:rsidR="00A47CF6" w:rsidRPr="00666DF4" w:rsidRDefault="00A47CF6" w:rsidP="00260CEF">
      <w:r w:rsidRPr="00666DF4">
        <w:t>Please see Appendix 4 for an update from the Commission on recent developments in adverse events reporting and service quality and improvement initiatives.</w:t>
      </w:r>
    </w:p>
    <w:p w:rsidR="00A47CF6" w:rsidRPr="00666DF4" w:rsidRDefault="00A47CF6" w:rsidP="00260CEF">
      <w:pPr>
        <w:rPr>
          <w:rFonts w:eastAsia="Century"/>
        </w:rPr>
      </w:pPr>
    </w:p>
    <w:p w:rsidR="00A47CF6" w:rsidRPr="00666DF4" w:rsidRDefault="00A47CF6" w:rsidP="00260CEF">
      <w:pPr>
        <w:pStyle w:val="Heading2"/>
        <w:rPr>
          <w:bCs/>
        </w:rPr>
      </w:pPr>
      <w:bookmarkStart w:id="188" w:name="_Toc508707286"/>
      <w:r w:rsidRPr="00666DF4">
        <w:t>Death by suicide</w:t>
      </w:r>
      <w:bookmarkEnd w:id="188"/>
    </w:p>
    <w:p w:rsidR="00A47CF6" w:rsidRPr="00666DF4" w:rsidRDefault="00A47CF6" w:rsidP="00260CEF">
      <w:pPr>
        <w:keepNext/>
        <w:rPr>
          <w:rFonts w:eastAsia="Garamond"/>
        </w:rPr>
      </w:pPr>
      <w:r w:rsidRPr="00666DF4">
        <w:rPr>
          <w:rFonts w:eastAsia="Garamond"/>
        </w:rPr>
        <w:t xml:space="preserve">Suicide is a serious concern for New Zealand. Around 500 New Zealanders die by suicide every year. Suicide affects the lives of many – </w:t>
      </w:r>
      <w:proofErr w:type="spellStart"/>
      <w:r w:rsidRPr="00666DF4">
        <w:rPr>
          <w:rFonts w:eastAsia="Garamond"/>
        </w:rPr>
        <w:t>whānau</w:t>
      </w:r>
      <w:proofErr w:type="spellEnd"/>
      <w:r w:rsidRPr="00666DF4">
        <w:rPr>
          <w:rFonts w:eastAsia="Garamond"/>
        </w:rPr>
        <w:t>, families, friends, colleagues and communities.</w:t>
      </w:r>
    </w:p>
    <w:p w:rsidR="00A47CF6" w:rsidRPr="00666DF4" w:rsidRDefault="00A47CF6" w:rsidP="00260CEF">
      <w:pPr>
        <w:keepNext/>
        <w:rPr>
          <w:rFonts w:eastAsia="Garamond"/>
        </w:rPr>
      </w:pPr>
    </w:p>
    <w:p w:rsidR="00A47CF6" w:rsidRPr="00666DF4" w:rsidRDefault="00A47CF6" w:rsidP="00260CEF">
      <w:r w:rsidRPr="00666DF4">
        <w:t>This section provides a brief overview of suicide deaths and deaths of undetermined intent, with a particular focus on people who had contact with specialist mental health services (including services treating people with alcohol and other drugs (AOD) addiction) in the year prior to their death.</w:t>
      </w:r>
      <w:r w:rsidR="00260CEF">
        <w:rPr>
          <w:rStyle w:val="FootnoteReference"/>
        </w:rPr>
        <w:footnoteReference w:id="35"/>
      </w:r>
      <w:r w:rsidR="00260CEF">
        <w:t xml:space="preserve"> </w:t>
      </w:r>
      <w:r w:rsidRPr="00666DF4">
        <w:t xml:space="preserve">People with no history of mental health service use in the year prior to death are referred to as </w:t>
      </w:r>
      <w:r w:rsidR="00BF25EC">
        <w:t>‘</w:t>
      </w:r>
      <w:r w:rsidRPr="00666DF4">
        <w:t>non-service users</w:t>
      </w:r>
      <w:r w:rsidR="00BF25EC">
        <w:t>’</w:t>
      </w:r>
      <w:r w:rsidRPr="00666DF4">
        <w:t xml:space="preserve"> here, although it is acknowledged that some non-service users</w:t>
      </w:r>
      <w:r w:rsidR="00260CEF">
        <w:t xml:space="preserve"> </w:t>
      </w:r>
      <w:r w:rsidRPr="00666DF4">
        <w:t>may have used mental health or AOD services at some earlier time in their lives. This overview uses data from 2014 as it can take several years for a coroner</w:t>
      </w:r>
      <w:r w:rsidR="00BF25EC">
        <w:t>’</w:t>
      </w:r>
      <w:r w:rsidRPr="00666DF4">
        <w:t>s investigation into a suicide to be completed.</w:t>
      </w:r>
    </w:p>
    <w:p w:rsidR="00260CEF" w:rsidRDefault="00260CEF" w:rsidP="00260CEF"/>
    <w:p w:rsidR="00A47CF6" w:rsidRPr="00666DF4" w:rsidRDefault="00A47CF6" w:rsidP="00260CEF">
      <w:r w:rsidRPr="00666DF4">
        <w:t>In summary, in 2014:</w:t>
      </w:r>
    </w:p>
    <w:p w:rsidR="00A47CF6" w:rsidRPr="00666DF4" w:rsidRDefault="00A47CF6" w:rsidP="00260CEF">
      <w:pPr>
        <w:pStyle w:val="Bullet"/>
      </w:pPr>
      <w:r w:rsidRPr="00666DF4">
        <w:t>510 people died by suicide. A further 22 deaths of undetermined intent</w:t>
      </w:r>
      <w:r w:rsidR="00260CEF">
        <w:rPr>
          <w:rStyle w:val="FootnoteReference"/>
        </w:rPr>
        <w:footnoteReference w:id="36"/>
      </w:r>
      <w:r w:rsidR="00260CEF">
        <w:t xml:space="preserve"> </w:t>
      </w:r>
      <w:r w:rsidRPr="00666DF4">
        <w:t>were recorded in the mortality database</w:t>
      </w:r>
    </w:p>
    <w:p w:rsidR="00A47CF6" w:rsidRPr="00666DF4" w:rsidRDefault="00A47CF6" w:rsidP="00260CEF">
      <w:pPr>
        <w:pStyle w:val="Bullet"/>
      </w:pPr>
      <w:r w:rsidRPr="00666DF4">
        <w:t>approximately 46 percent of those who died by suicide or undetermined intent (among those aged 10–64) were mental health service users</w:t>
      </w:r>
    </w:p>
    <w:p w:rsidR="00A47CF6" w:rsidRPr="00666DF4" w:rsidRDefault="00A47CF6" w:rsidP="00260CEF">
      <w:pPr>
        <w:pStyle w:val="Bullet"/>
      </w:pPr>
      <w:r w:rsidRPr="00666DF4">
        <w:t>mental disorders are one of the factors that can increase the likelihood of suicidal behaviour</w:t>
      </w:r>
    </w:p>
    <w:p w:rsidR="00A47CF6" w:rsidRPr="00666DF4" w:rsidRDefault="00A47CF6" w:rsidP="00260CEF">
      <w:pPr>
        <w:pStyle w:val="Bullet"/>
      </w:pPr>
      <w:proofErr w:type="gramStart"/>
      <w:r w:rsidRPr="00666DF4">
        <w:t>males</w:t>
      </w:r>
      <w:proofErr w:type="gramEnd"/>
      <w:r w:rsidRPr="00666DF4">
        <w:t xml:space="preserve"> were more likely to die by suicide than females.</w:t>
      </w:r>
    </w:p>
    <w:p w:rsidR="00A47CF6" w:rsidRPr="00666DF4" w:rsidRDefault="00A47CF6" w:rsidP="00260CEF">
      <w:pPr>
        <w:rPr>
          <w:rFonts w:eastAsia="Century"/>
        </w:rPr>
      </w:pPr>
    </w:p>
    <w:p w:rsidR="00A47CF6" w:rsidRPr="00260CEF" w:rsidRDefault="00A47CF6" w:rsidP="00260CEF">
      <w:pPr>
        <w:rPr>
          <w:rFonts w:eastAsia="Century"/>
        </w:rPr>
      </w:pPr>
      <w:r w:rsidRPr="00260CEF">
        <w:rPr>
          <w:rFonts w:eastAsia="Century"/>
        </w:rPr>
        <w:t>New Zealand</w:t>
      </w:r>
      <w:r w:rsidR="00BF25EC" w:rsidRPr="00260CEF">
        <w:rPr>
          <w:rFonts w:eastAsia="Century"/>
        </w:rPr>
        <w:t>’</w:t>
      </w:r>
      <w:r w:rsidRPr="00260CEF">
        <w:rPr>
          <w:rFonts w:eastAsia="Century"/>
        </w:rPr>
        <w:t xml:space="preserve">s national strategy to address suicide is the </w:t>
      </w:r>
      <w:r w:rsidRPr="00260CEF">
        <w:rPr>
          <w:rFonts w:eastAsia="Georgia" w:cs="Georgia"/>
          <w:i/>
        </w:rPr>
        <w:t xml:space="preserve">New Zealand Suicide Prevention Strategy 2006–2016 </w:t>
      </w:r>
      <w:r w:rsidRPr="00260CEF">
        <w:rPr>
          <w:rFonts w:eastAsia="Century"/>
        </w:rPr>
        <w:t xml:space="preserve">(Associate Minister of Health 2006). The </w:t>
      </w:r>
      <w:r w:rsidRPr="00260CEF">
        <w:rPr>
          <w:rFonts w:eastAsia="Georgia" w:cs="Georgia"/>
          <w:i/>
        </w:rPr>
        <w:t xml:space="preserve">New Zealand </w:t>
      </w:r>
      <w:hyperlink r:id="rId59">
        <w:r w:rsidRPr="00260CEF">
          <w:rPr>
            <w:rFonts w:eastAsia="Georgia" w:cs="Georgia"/>
            <w:i/>
          </w:rPr>
          <w:t>Suicide Prevention Action Plan 2013–</w:t>
        </w:r>
      </w:hyperlink>
      <w:hyperlink r:id="rId60">
        <w:r w:rsidRPr="00260CEF">
          <w:rPr>
            <w:rFonts w:eastAsia="Georgia" w:cs="Georgia"/>
            <w:i/>
          </w:rPr>
          <w:t>2016</w:t>
        </w:r>
      </w:hyperlink>
      <w:r w:rsidRPr="00260CEF">
        <w:rPr>
          <w:rFonts w:eastAsia="Georgia" w:cs="Georgia"/>
          <w:i/>
        </w:rPr>
        <w:t xml:space="preserve"> </w:t>
      </w:r>
      <w:r w:rsidRPr="00260CEF">
        <w:rPr>
          <w:rFonts w:eastAsia="Century"/>
        </w:rPr>
        <w:t>(Ministry of Health 2013a) implements this strategy and reflects the Government</w:t>
      </w:r>
      <w:r w:rsidR="00BF25EC" w:rsidRPr="00260CEF">
        <w:rPr>
          <w:rFonts w:eastAsia="Century"/>
        </w:rPr>
        <w:t>’</w:t>
      </w:r>
      <w:r w:rsidRPr="00260CEF">
        <w:rPr>
          <w:rFonts w:eastAsia="Century"/>
        </w:rPr>
        <w:t>s commitment to addressing New Zealand</w:t>
      </w:r>
      <w:r w:rsidR="00BF25EC" w:rsidRPr="00260CEF">
        <w:rPr>
          <w:rFonts w:eastAsia="Century"/>
        </w:rPr>
        <w:t>’</w:t>
      </w:r>
      <w:r w:rsidRPr="00260CEF">
        <w:rPr>
          <w:rFonts w:eastAsia="Century"/>
        </w:rPr>
        <w:t>s unacceptably high suicide rates.</w:t>
      </w:r>
    </w:p>
    <w:p w:rsidR="00A47CF6" w:rsidRPr="00666DF4" w:rsidRDefault="00A47CF6" w:rsidP="00260CEF">
      <w:pPr>
        <w:rPr>
          <w:rFonts w:eastAsia="Century"/>
        </w:rPr>
      </w:pPr>
    </w:p>
    <w:p w:rsidR="00A47CF6" w:rsidRPr="00666DF4" w:rsidRDefault="00A47CF6" w:rsidP="00260CEF">
      <w:bookmarkStart w:id="189" w:name="Table_11:_Number_and_age-standardised_ra"/>
      <w:bookmarkStart w:id="190" w:name="_bookmark41"/>
      <w:bookmarkEnd w:id="189"/>
      <w:bookmarkEnd w:id="190"/>
      <w:r w:rsidRPr="00666DF4">
        <w:t>The Government allocated $25 million over four years to implement the Action Plan, which sets out 30 actions, including expanding existing services to make them more accessible and able to support communities in preventing suicide.</w:t>
      </w:r>
    </w:p>
    <w:p w:rsidR="00260CEF" w:rsidRDefault="00260CEF" w:rsidP="00260CEF"/>
    <w:p w:rsidR="00A47CF6" w:rsidRPr="00666DF4" w:rsidRDefault="00A47CF6" w:rsidP="00260CEF">
      <w:r w:rsidRPr="00666DF4">
        <w:t>Initial consultation to inform the new draft suicide prevention strategy occurred in 2016. The draft suicide prevention strategy was released for public consultation in 2017.</w:t>
      </w:r>
    </w:p>
    <w:p w:rsidR="00A47CF6" w:rsidRPr="00666DF4" w:rsidRDefault="00A47CF6" w:rsidP="00260CEF">
      <w:pPr>
        <w:rPr>
          <w:rFonts w:eastAsia="Century"/>
        </w:rPr>
      </w:pPr>
    </w:p>
    <w:p w:rsidR="00A47CF6" w:rsidRPr="00666DF4" w:rsidRDefault="00A47CF6" w:rsidP="00260CEF">
      <w:pPr>
        <w:pStyle w:val="Heading3"/>
        <w:rPr>
          <w:rFonts w:eastAsia="Georgia" w:cs="Georgia"/>
          <w:szCs w:val="28"/>
        </w:rPr>
      </w:pPr>
      <w:r w:rsidRPr="00666DF4">
        <w:t>Prevalence of suicide in the population</w:t>
      </w:r>
    </w:p>
    <w:p w:rsidR="00A47CF6" w:rsidRPr="00260CEF" w:rsidRDefault="00A47CF6" w:rsidP="00260CEF">
      <w:pPr>
        <w:keepNext/>
      </w:pPr>
      <w:r w:rsidRPr="00666DF4">
        <w:t>At the time the data was extracted, there were 510 suicides recorded</w:t>
      </w:r>
      <w:r w:rsidR="00BF25EC">
        <w:t xml:space="preserve"> </w:t>
      </w:r>
      <w:r w:rsidRPr="00666DF4">
        <w:t>in the mortality database for 2014.</w:t>
      </w:r>
      <w:r w:rsidR="00260CEF">
        <w:rPr>
          <w:rStyle w:val="FootnoteReference"/>
        </w:rPr>
        <w:footnoteReference w:id="37"/>
      </w:r>
      <w:r w:rsidR="00260CEF">
        <w:t xml:space="preserve"> </w:t>
      </w:r>
      <w:r w:rsidRPr="00666DF4">
        <w:t>A further 22 deaths of undetermined intent were recorded and are included in this report.</w:t>
      </w:r>
      <w:r w:rsidR="00BF25EC">
        <w:t xml:space="preserve"> </w:t>
      </w:r>
      <w:r w:rsidRPr="00666DF4">
        <w:t>Of this initial total of 532 deaths, 64 involved people aged 65 years and over. The following discussion excludes these deaths.</w:t>
      </w:r>
      <w:r w:rsidR="00260CEF">
        <w:rPr>
          <w:rStyle w:val="FootnoteReference"/>
        </w:rPr>
        <w:footnoteReference w:id="38"/>
      </w:r>
    </w:p>
    <w:p w:rsidR="00260CEF" w:rsidRDefault="00260CEF" w:rsidP="00260CEF"/>
    <w:p w:rsidR="00A47CF6" w:rsidRPr="00666DF4" w:rsidRDefault="00A47CF6" w:rsidP="00260CEF">
      <w:r w:rsidRPr="00666DF4">
        <w:t>Table 11 sets out statistics on the remaining 468 deaths. Of these 468 people, 213 (46 percent) had had contact with specialist mental health services in the year</w:t>
      </w:r>
      <w:r w:rsidR="00260CEF">
        <w:t xml:space="preserve"> </w:t>
      </w:r>
      <w:r w:rsidRPr="00666DF4">
        <w:t>prior to death.</w:t>
      </w:r>
    </w:p>
    <w:p w:rsidR="00A47CF6" w:rsidRPr="00666DF4" w:rsidRDefault="00A47CF6" w:rsidP="00260CEF">
      <w:pPr>
        <w:rPr>
          <w:rFonts w:eastAsia="Georgia"/>
        </w:rPr>
      </w:pPr>
    </w:p>
    <w:p w:rsidR="00A47CF6" w:rsidRPr="00666DF4" w:rsidRDefault="00A47CF6" w:rsidP="00260CEF">
      <w:r w:rsidRPr="00666DF4">
        <w:t>Suicide has no single cause – it is usually the end result of interactions between many different</w:t>
      </w:r>
      <w:r w:rsidR="00BF25EC">
        <w:t xml:space="preserve"> </w:t>
      </w:r>
      <w:r w:rsidRPr="00666DF4">
        <w:t>factors that impact different people in different ways. Mental disorders (in particular, mood disorders, substance use disorders and antisocial behaviours) are one of the factors that can increase the likelihood of suicidal behaviour (</w:t>
      </w:r>
      <w:proofErr w:type="spellStart"/>
      <w:r w:rsidRPr="00666DF4">
        <w:t>Beautrais</w:t>
      </w:r>
      <w:proofErr w:type="spellEnd"/>
      <w:r w:rsidRPr="00666DF4">
        <w:t xml:space="preserve"> et al 2005).</w:t>
      </w:r>
    </w:p>
    <w:p w:rsidR="00A47CF6" w:rsidRPr="00666DF4" w:rsidRDefault="00A47CF6" w:rsidP="00260CEF">
      <w:pPr>
        <w:rPr>
          <w:rFonts w:eastAsia="Century"/>
        </w:rPr>
      </w:pPr>
    </w:p>
    <w:p w:rsidR="00A47CF6" w:rsidRPr="00666DF4" w:rsidRDefault="00A47CF6" w:rsidP="00260CEF">
      <w:pPr>
        <w:pStyle w:val="Table"/>
        <w:rPr>
          <w:rFonts w:eastAsia="Georgia"/>
        </w:rPr>
      </w:pPr>
      <w:bookmarkStart w:id="191" w:name="_Toc508707309"/>
      <w:r w:rsidRPr="00666DF4">
        <w:rPr>
          <w:rFonts w:eastAsia="Georgia"/>
        </w:rPr>
        <w:t>Table 11: Number and age-standardised rate of suicide, by service use, people aged 10–64 years, 2014</w:t>
      </w:r>
      <w:bookmarkEnd w:id="191"/>
    </w:p>
    <w:tbl>
      <w:tblPr>
        <w:tblW w:w="0" w:type="auto"/>
        <w:tblInd w:w="57" w:type="dxa"/>
        <w:tblLayout w:type="fixed"/>
        <w:tblCellMar>
          <w:left w:w="57" w:type="dxa"/>
          <w:right w:w="57" w:type="dxa"/>
        </w:tblCellMar>
        <w:tblLook w:val="01E0" w:firstRow="1" w:lastRow="1" w:firstColumn="1" w:lastColumn="1" w:noHBand="0" w:noVBand="0"/>
      </w:tblPr>
      <w:tblGrid>
        <w:gridCol w:w="3969"/>
        <w:gridCol w:w="1560"/>
        <w:gridCol w:w="2976"/>
      </w:tblGrid>
      <w:tr w:rsidR="00A47CF6" w:rsidRPr="00260CEF" w:rsidTr="00260CEF">
        <w:trPr>
          <w:cantSplit/>
        </w:trPr>
        <w:tc>
          <w:tcPr>
            <w:tcW w:w="3969" w:type="dxa"/>
            <w:tcBorders>
              <w:top w:val="single" w:sz="4" w:space="0" w:color="000000"/>
              <w:left w:val="nil"/>
              <w:bottom w:val="single" w:sz="4" w:space="0" w:color="auto"/>
              <w:right w:val="nil"/>
            </w:tcBorders>
          </w:tcPr>
          <w:p w:rsidR="00A47CF6" w:rsidRPr="00260CEF" w:rsidRDefault="00A47CF6" w:rsidP="00260CEF">
            <w:pPr>
              <w:pStyle w:val="TableText"/>
              <w:rPr>
                <w:b/>
              </w:rPr>
            </w:pPr>
          </w:p>
        </w:tc>
        <w:tc>
          <w:tcPr>
            <w:tcW w:w="1560" w:type="dxa"/>
            <w:tcBorders>
              <w:top w:val="single" w:sz="4" w:space="0" w:color="000000"/>
              <w:left w:val="nil"/>
              <w:bottom w:val="single" w:sz="4" w:space="0" w:color="auto"/>
              <w:right w:val="nil"/>
            </w:tcBorders>
          </w:tcPr>
          <w:p w:rsidR="00A47CF6" w:rsidRPr="00260CEF" w:rsidRDefault="00A47CF6" w:rsidP="00260CEF">
            <w:pPr>
              <w:pStyle w:val="TableText"/>
              <w:jc w:val="center"/>
              <w:rPr>
                <w:rFonts w:eastAsia="Arial" w:cs="Arial"/>
                <w:b/>
                <w:szCs w:val="19"/>
              </w:rPr>
            </w:pPr>
            <w:r w:rsidRPr="00260CEF">
              <w:rPr>
                <w:b/>
              </w:rPr>
              <w:t>Number</w:t>
            </w:r>
          </w:p>
        </w:tc>
        <w:tc>
          <w:tcPr>
            <w:tcW w:w="2976" w:type="dxa"/>
            <w:tcBorders>
              <w:top w:val="single" w:sz="4" w:space="0" w:color="000000"/>
              <w:left w:val="nil"/>
              <w:bottom w:val="single" w:sz="4" w:space="0" w:color="auto"/>
              <w:right w:val="nil"/>
            </w:tcBorders>
          </w:tcPr>
          <w:p w:rsidR="00A47CF6" w:rsidRPr="00260CEF" w:rsidRDefault="00A47CF6" w:rsidP="00260CEF">
            <w:pPr>
              <w:pStyle w:val="TableText"/>
              <w:jc w:val="center"/>
              <w:rPr>
                <w:rFonts w:eastAsia="Arial" w:cs="Arial"/>
                <w:b/>
                <w:sz w:val="11"/>
                <w:szCs w:val="11"/>
              </w:rPr>
            </w:pPr>
            <w:r w:rsidRPr="00260CEF">
              <w:rPr>
                <w:b/>
              </w:rPr>
              <w:t xml:space="preserve">Age-standardised </w:t>
            </w:r>
            <w:proofErr w:type="spellStart"/>
            <w:r w:rsidRPr="00260CEF">
              <w:rPr>
                <w:b/>
              </w:rPr>
              <w:t>rate</w:t>
            </w:r>
            <w:r w:rsidRPr="00260CEF">
              <w:rPr>
                <w:vertAlign w:val="superscript"/>
              </w:rPr>
              <w:t>a</w:t>
            </w:r>
            <w:proofErr w:type="spellEnd"/>
          </w:p>
        </w:tc>
      </w:tr>
      <w:tr w:rsidR="00A47CF6" w:rsidRPr="00666DF4" w:rsidTr="00260CEF">
        <w:trPr>
          <w:cantSplit/>
        </w:trPr>
        <w:tc>
          <w:tcPr>
            <w:tcW w:w="8505" w:type="dxa"/>
            <w:gridSpan w:val="3"/>
            <w:tcBorders>
              <w:top w:val="single" w:sz="4" w:space="0" w:color="auto"/>
              <w:left w:val="nil"/>
              <w:bottom w:val="nil"/>
              <w:right w:val="nil"/>
            </w:tcBorders>
            <w:shd w:val="clear" w:color="auto" w:fill="auto"/>
          </w:tcPr>
          <w:p w:rsidR="00A47CF6" w:rsidRPr="00260CEF" w:rsidRDefault="00A47CF6" w:rsidP="00260CEF">
            <w:pPr>
              <w:pStyle w:val="TableText"/>
              <w:rPr>
                <w:rFonts w:eastAsia="Arial" w:cs="Arial"/>
                <w:b/>
                <w:szCs w:val="19"/>
              </w:rPr>
            </w:pPr>
            <w:r w:rsidRPr="00260CEF">
              <w:rPr>
                <w:b/>
              </w:rPr>
              <w:t>Deaths due to intentional self-harm</w:t>
            </w:r>
          </w:p>
        </w:tc>
      </w:tr>
      <w:tr w:rsidR="00A47CF6" w:rsidRPr="00666DF4" w:rsidTr="00260CEF">
        <w:trPr>
          <w:cantSplit/>
        </w:trPr>
        <w:tc>
          <w:tcPr>
            <w:tcW w:w="3969" w:type="dxa"/>
            <w:tcBorders>
              <w:top w:val="nil"/>
              <w:left w:val="nil"/>
              <w:right w:val="nil"/>
            </w:tcBorders>
            <w:shd w:val="clear" w:color="auto" w:fill="auto"/>
          </w:tcPr>
          <w:p w:rsidR="00A47CF6" w:rsidRPr="00666DF4" w:rsidRDefault="00A47CF6" w:rsidP="00260CEF">
            <w:pPr>
              <w:pStyle w:val="TableText"/>
              <w:rPr>
                <w:rFonts w:eastAsia="Arial" w:cs="Arial"/>
                <w:sz w:val="11"/>
                <w:szCs w:val="11"/>
              </w:rPr>
            </w:pPr>
            <w:r w:rsidRPr="00666DF4">
              <w:t xml:space="preserve">Service </w:t>
            </w:r>
            <w:proofErr w:type="spellStart"/>
            <w:r w:rsidRPr="00666DF4">
              <w:t>users</w:t>
            </w:r>
            <w:r w:rsidRPr="00260CEF">
              <w:rPr>
                <w:vertAlign w:val="superscript"/>
              </w:rPr>
              <w:t>b</w:t>
            </w:r>
            <w:proofErr w:type="spellEnd"/>
          </w:p>
        </w:tc>
        <w:tc>
          <w:tcPr>
            <w:tcW w:w="1560" w:type="dxa"/>
            <w:tcBorders>
              <w:top w:val="nil"/>
              <w:left w:val="nil"/>
              <w:right w:val="nil"/>
            </w:tcBorders>
            <w:shd w:val="clear" w:color="auto" w:fill="auto"/>
          </w:tcPr>
          <w:p w:rsidR="00A47CF6" w:rsidRPr="00666DF4" w:rsidRDefault="00A47CF6" w:rsidP="00260CEF">
            <w:pPr>
              <w:pStyle w:val="TableText"/>
              <w:tabs>
                <w:tab w:val="decimal" w:pos="975"/>
              </w:tabs>
              <w:rPr>
                <w:rFonts w:eastAsia="Arial" w:cs="Arial"/>
                <w:szCs w:val="19"/>
              </w:rPr>
            </w:pPr>
            <w:r w:rsidRPr="00666DF4">
              <w:t>204</w:t>
            </w:r>
          </w:p>
        </w:tc>
        <w:tc>
          <w:tcPr>
            <w:tcW w:w="2976" w:type="dxa"/>
            <w:tcBorders>
              <w:top w:val="nil"/>
              <w:left w:val="nil"/>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136.2</w:t>
            </w:r>
          </w:p>
        </w:tc>
      </w:tr>
      <w:tr w:rsidR="00A47CF6" w:rsidRPr="00666DF4" w:rsidTr="00260CEF">
        <w:trPr>
          <w:cantSplit/>
        </w:trPr>
        <w:tc>
          <w:tcPr>
            <w:tcW w:w="3969" w:type="dxa"/>
            <w:tcBorders>
              <w:left w:val="nil"/>
              <w:right w:val="nil"/>
            </w:tcBorders>
            <w:shd w:val="clear" w:color="auto" w:fill="auto"/>
          </w:tcPr>
          <w:p w:rsidR="00A47CF6" w:rsidRPr="00666DF4" w:rsidRDefault="00A47CF6" w:rsidP="00260CEF">
            <w:pPr>
              <w:pStyle w:val="TableText"/>
              <w:rPr>
                <w:rFonts w:eastAsia="Arial" w:cs="Arial"/>
                <w:szCs w:val="19"/>
              </w:rPr>
            </w:pPr>
            <w:r w:rsidRPr="00666DF4">
              <w:t>Non-service users</w:t>
            </w:r>
          </w:p>
        </w:tc>
        <w:tc>
          <w:tcPr>
            <w:tcW w:w="1560" w:type="dxa"/>
            <w:tcBorders>
              <w:left w:val="nil"/>
              <w:right w:val="nil"/>
            </w:tcBorders>
            <w:shd w:val="clear" w:color="auto" w:fill="auto"/>
          </w:tcPr>
          <w:p w:rsidR="00A47CF6" w:rsidRPr="00666DF4" w:rsidRDefault="00A47CF6" w:rsidP="00260CEF">
            <w:pPr>
              <w:pStyle w:val="TableText"/>
              <w:tabs>
                <w:tab w:val="decimal" w:pos="975"/>
              </w:tabs>
              <w:rPr>
                <w:rFonts w:eastAsia="Arial" w:cs="Arial"/>
                <w:szCs w:val="19"/>
              </w:rPr>
            </w:pPr>
            <w:r w:rsidRPr="00666DF4">
              <w:t>244</w:t>
            </w:r>
          </w:p>
        </w:tc>
        <w:tc>
          <w:tcPr>
            <w:tcW w:w="2976" w:type="dxa"/>
            <w:tcBorders>
              <w:left w:val="nil"/>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6.3</w:t>
            </w:r>
          </w:p>
        </w:tc>
      </w:tr>
      <w:tr w:rsidR="00A47CF6" w:rsidRPr="00666DF4" w:rsidTr="00260CEF">
        <w:trPr>
          <w:cantSplit/>
        </w:trPr>
        <w:tc>
          <w:tcPr>
            <w:tcW w:w="3969"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rPr>
                <w:rFonts w:eastAsia="Arial" w:cs="Arial"/>
                <w:szCs w:val="19"/>
              </w:rPr>
            </w:pPr>
            <w:r w:rsidRPr="00666DF4">
              <w:t>Total</w:t>
            </w:r>
          </w:p>
        </w:tc>
        <w:tc>
          <w:tcPr>
            <w:tcW w:w="1560"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975"/>
              </w:tabs>
              <w:rPr>
                <w:rFonts w:eastAsia="Arial" w:cs="Arial"/>
                <w:szCs w:val="19"/>
              </w:rPr>
            </w:pPr>
            <w:r w:rsidRPr="00666DF4">
              <w:t>448</w:t>
            </w:r>
          </w:p>
        </w:tc>
        <w:tc>
          <w:tcPr>
            <w:tcW w:w="2976"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11.3</w:t>
            </w:r>
          </w:p>
        </w:tc>
      </w:tr>
      <w:tr w:rsidR="00A47CF6" w:rsidRPr="00666DF4" w:rsidTr="00260CEF">
        <w:trPr>
          <w:cantSplit/>
        </w:trPr>
        <w:tc>
          <w:tcPr>
            <w:tcW w:w="8505" w:type="dxa"/>
            <w:gridSpan w:val="3"/>
            <w:tcBorders>
              <w:top w:val="single" w:sz="4" w:space="0" w:color="A6A6A6" w:themeColor="background1" w:themeShade="A6"/>
              <w:left w:val="nil"/>
              <w:bottom w:val="nil"/>
              <w:right w:val="nil"/>
            </w:tcBorders>
            <w:shd w:val="clear" w:color="auto" w:fill="auto"/>
          </w:tcPr>
          <w:p w:rsidR="00A47CF6" w:rsidRPr="00260CEF" w:rsidRDefault="00A47CF6" w:rsidP="00260CEF">
            <w:pPr>
              <w:pStyle w:val="TableText"/>
              <w:rPr>
                <w:rFonts w:eastAsia="Arial" w:cs="Arial"/>
                <w:b/>
                <w:szCs w:val="19"/>
              </w:rPr>
            </w:pPr>
            <w:r w:rsidRPr="00260CEF">
              <w:rPr>
                <w:b/>
              </w:rPr>
              <w:t>Deaths of undetermined intent</w:t>
            </w:r>
          </w:p>
        </w:tc>
      </w:tr>
      <w:tr w:rsidR="00A47CF6" w:rsidRPr="00666DF4" w:rsidTr="00260CEF">
        <w:trPr>
          <w:cantSplit/>
        </w:trPr>
        <w:tc>
          <w:tcPr>
            <w:tcW w:w="3969" w:type="dxa"/>
            <w:tcBorders>
              <w:top w:val="nil"/>
              <w:left w:val="nil"/>
              <w:right w:val="nil"/>
            </w:tcBorders>
            <w:shd w:val="clear" w:color="auto" w:fill="auto"/>
          </w:tcPr>
          <w:p w:rsidR="00A47CF6" w:rsidRPr="00666DF4" w:rsidRDefault="00A47CF6" w:rsidP="00260CEF">
            <w:pPr>
              <w:pStyle w:val="TableText"/>
              <w:rPr>
                <w:rFonts w:eastAsia="Arial" w:cs="Arial"/>
                <w:szCs w:val="19"/>
              </w:rPr>
            </w:pPr>
            <w:r w:rsidRPr="00666DF4">
              <w:t>Service users</w:t>
            </w:r>
          </w:p>
        </w:tc>
        <w:tc>
          <w:tcPr>
            <w:tcW w:w="1560" w:type="dxa"/>
            <w:tcBorders>
              <w:top w:val="nil"/>
              <w:left w:val="nil"/>
              <w:right w:val="nil"/>
            </w:tcBorders>
            <w:shd w:val="clear" w:color="auto" w:fill="auto"/>
          </w:tcPr>
          <w:p w:rsidR="00A47CF6" w:rsidRPr="00666DF4" w:rsidRDefault="00A47CF6" w:rsidP="00260CEF">
            <w:pPr>
              <w:pStyle w:val="TableText"/>
              <w:tabs>
                <w:tab w:val="decimal" w:pos="962"/>
              </w:tabs>
              <w:rPr>
                <w:rFonts w:eastAsia="Arial" w:cs="Arial"/>
                <w:szCs w:val="19"/>
              </w:rPr>
            </w:pPr>
            <w:r w:rsidRPr="00666DF4">
              <w:t>9</w:t>
            </w:r>
          </w:p>
        </w:tc>
        <w:tc>
          <w:tcPr>
            <w:tcW w:w="2976" w:type="dxa"/>
            <w:tcBorders>
              <w:top w:val="nil"/>
              <w:left w:val="nil"/>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6.2</w:t>
            </w:r>
          </w:p>
        </w:tc>
      </w:tr>
      <w:tr w:rsidR="00A47CF6" w:rsidRPr="00666DF4" w:rsidTr="00260CEF">
        <w:trPr>
          <w:cantSplit/>
        </w:trPr>
        <w:tc>
          <w:tcPr>
            <w:tcW w:w="3969" w:type="dxa"/>
            <w:tcBorders>
              <w:left w:val="nil"/>
              <w:right w:val="nil"/>
            </w:tcBorders>
            <w:shd w:val="clear" w:color="auto" w:fill="auto"/>
          </w:tcPr>
          <w:p w:rsidR="00A47CF6" w:rsidRPr="00666DF4" w:rsidRDefault="00A47CF6" w:rsidP="00260CEF">
            <w:pPr>
              <w:pStyle w:val="TableText"/>
              <w:rPr>
                <w:rFonts w:eastAsia="Arial" w:cs="Arial"/>
                <w:szCs w:val="19"/>
              </w:rPr>
            </w:pPr>
            <w:r w:rsidRPr="00666DF4">
              <w:t>Non-service users</w:t>
            </w:r>
          </w:p>
        </w:tc>
        <w:tc>
          <w:tcPr>
            <w:tcW w:w="1560" w:type="dxa"/>
            <w:tcBorders>
              <w:left w:val="nil"/>
              <w:right w:val="nil"/>
            </w:tcBorders>
            <w:shd w:val="clear" w:color="auto" w:fill="auto"/>
          </w:tcPr>
          <w:p w:rsidR="00A47CF6" w:rsidRPr="00666DF4" w:rsidRDefault="00A47CF6" w:rsidP="00260CEF">
            <w:pPr>
              <w:pStyle w:val="TableText"/>
              <w:tabs>
                <w:tab w:val="decimal" w:pos="962"/>
              </w:tabs>
              <w:rPr>
                <w:rFonts w:eastAsia="Arial" w:cs="Arial"/>
                <w:szCs w:val="19"/>
              </w:rPr>
            </w:pPr>
            <w:r w:rsidRPr="00666DF4">
              <w:t>11</w:t>
            </w:r>
          </w:p>
        </w:tc>
        <w:tc>
          <w:tcPr>
            <w:tcW w:w="2976" w:type="dxa"/>
            <w:tcBorders>
              <w:left w:val="nil"/>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0.2</w:t>
            </w:r>
          </w:p>
        </w:tc>
      </w:tr>
      <w:tr w:rsidR="00A47CF6" w:rsidRPr="00666DF4" w:rsidTr="00260CEF">
        <w:trPr>
          <w:cantSplit/>
        </w:trPr>
        <w:tc>
          <w:tcPr>
            <w:tcW w:w="3969"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rPr>
                <w:rFonts w:eastAsia="Arial" w:cs="Arial"/>
                <w:szCs w:val="19"/>
              </w:rPr>
            </w:pPr>
            <w:r w:rsidRPr="00666DF4">
              <w:t>Total</w:t>
            </w:r>
          </w:p>
        </w:tc>
        <w:tc>
          <w:tcPr>
            <w:tcW w:w="1560"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962"/>
              </w:tabs>
              <w:rPr>
                <w:rFonts w:eastAsia="Arial" w:cs="Arial"/>
                <w:szCs w:val="19"/>
              </w:rPr>
            </w:pPr>
            <w:r w:rsidRPr="00666DF4">
              <w:t>20</w:t>
            </w:r>
          </w:p>
        </w:tc>
        <w:tc>
          <w:tcPr>
            <w:tcW w:w="2976"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0.5</w:t>
            </w:r>
          </w:p>
        </w:tc>
      </w:tr>
      <w:tr w:rsidR="00A47CF6" w:rsidRPr="00666DF4" w:rsidTr="00260CEF">
        <w:trPr>
          <w:cantSplit/>
        </w:trPr>
        <w:tc>
          <w:tcPr>
            <w:tcW w:w="8505" w:type="dxa"/>
            <w:gridSpan w:val="3"/>
            <w:tcBorders>
              <w:top w:val="single" w:sz="4" w:space="0" w:color="A6A6A6" w:themeColor="background1" w:themeShade="A6"/>
              <w:left w:val="nil"/>
              <w:bottom w:val="nil"/>
              <w:right w:val="nil"/>
            </w:tcBorders>
            <w:shd w:val="clear" w:color="auto" w:fill="auto"/>
          </w:tcPr>
          <w:p w:rsidR="00A47CF6" w:rsidRPr="00260CEF" w:rsidRDefault="00A47CF6" w:rsidP="00260CEF">
            <w:pPr>
              <w:pStyle w:val="TableText"/>
              <w:rPr>
                <w:rFonts w:eastAsia="Arial" w:cs="Arial"/>
                <w:b/>
                <w:szCs w:val="19"/>
              </w:rPr>
            </w:pPr>
            <w:r w:rsidRPr="00260CEF">
              <w:rPr>
                <w:b/>
              </w:rPr>
              <w:t>Total deaths</w:t>
            </w:r>
          </w:p>
        </w:tc>
      </w:tr>
      <w:tr w:rsidR="00A47CF6" w:rsidRPr="00666DF4" w:rsidTr="00260CEF">
        <w:trPr>
          <w:cantSplit/>
        </w:trPr>
        <w:tc>
          <w:tcPr>
            <w:tcW w:w="3969" w:type="dxa"/>
            <w:tcBorders>
              <w:top w:val="nil"/>
              <w:left w:val="nil"/>
              <w:right w:val="nil"/>
            </w:tcBorders>
            <w:shd w:val="clear" w:color="auto" w:fill="auto"/>
          </w:tcPr>
          <w:p w:rsidR="00A47CF6" w:rsidRPr="00666DF4" w:rsidRDefault="00A47CF6" w:rsidP="00260CEF">
            <w:pPr>
              <w:pStyle w:val="TableText"/>
              <w:rPr>
                <w:rFonts w:eastAsia="Arial" w:cs="Arial"/>
                <w:szCs w:val="19"/>
              </w:rPr>
            </w:pPr>
            <w:r w:rsidRPr="00666DF4">
              <w:t>Service users</w:t>
            </w:r>
          </w:p>
        </w:tc>
        <w:tc>
          <w:tcPr>
            <w:tcW w:w="1560" w:type="dxa"/>
            <w:tcBorders>
              <w:top w:val="nil"/>
              <w:left w:val="nil"/>
              <w:right w:val="nil"/>
            </w:tcBorders>
            <w:shd w:val="clear" w:color="auto" w:fill="auto"/>
          </w:tcPr>
          <w:p w:rsidR="00A47CF6" w:rsidRPr="00666DF4" w:rsidRDefault="00A47CF6" w:rsidP="00260CEF">
            <w:pPr>
              <w:pStyle w:val="TableText"/>
              <w:tabs>
                <w:tab w:val="decimal" w:pos="936"/>
              </w:tabs>
              <w:rPr>
                <w:rFonts w:eastAsia="Arial" w:cs="Arial"/>
                <w:szCs w:val="19"/>
              </w:rPr>
            </w:pPr>
            <w:r w:rsidRPr="00666DF4">
              <w:t>213</w:t>
            </w:r>
          </w:p>
        </w:tc>
        <w:tc>
          <w:tcPr>
            <w:tcW w:w="2976" w:type="dxa"/>
            <w:tcBorders>
              <w:top w:val="nil"/>
              <w:left w:val="nil"/>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142.4</w:t>
            </w:r>
          </w:p>
        </w:tc>
      </w:tr>
      <w:tr w:rsidR="00A47CF6" w:rsidRPr="00666DF4" w:rsidTr="00260CEF">
        <w:trPr>
          <w:cantSplit/>
        </w:trPr>
        <w:tc>
          <w:tcPr>
            <w:tcW w:w="3969"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rPr>
                <w:rFonts w:eastAsia="Arial" w:cs="Arial"/>
                <w:szCs w:val="19"/>
              </w:rPr>
            </w:pPr>
            <w:r w:rsidRPr="00666DF4">
              <w:t>Non-service users</w:t>
            </w:r>
          </w:p>
        </w:tc>
        <w:tc>
          <w:tcPr>
            <w:tcW w:w="1560"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936"/>
              </w:tabs>
              <w:rPr>
                <w:rFonts w:eastAsia="Arial" w:cs="Arial"/>
                <w:szCs w:val="19"/>
              </w:rPr>
            </w:pPr>
            <w:r w:rsidRPr="00666DF4">
              <w:t>255</w:t>
            </w:r>
          </w:p>
        </w:tc>
        <w:tc>
          <w:tcPr>
            <w:tcW w:w="2976" w:type="dxa"/>
            <w:tcBorders>
              <w:left w:val="nil"/>
              <w:bottom w:val="single" w:sz="4" w:space="0" w:color="A6A6A6" w:themeColor="background1" w:themeShade="A6"/>
              <w:right w:val="nil"/>
            </w:tcBorders>
            <w:shd w:val="clear" w:color="auto" w:fill="auto"/>
          </w:tcPr>
          <w:p w:rsidR="00A47CF6" w:rsidRPr="00666DF4" w:rsidRDefault="00A47CF6" w:rsidP="00260CEF">
            <w:pPr>
              <w:pStyle w:val="TableText"/>
              <w:tabs>
                <w:tab w:val="decimal" w:pos="1502"/>
              </w:tabs>
              <w:rPr>
                <w:rFonts w:eastAsia="Arial" w:cs="Arial"/>
                <w:szCs w:val="19"/>
              </w:rPr>
            </w:pPr>
            <w:r w:rsidRPr="00666DF4">
              <w:t>6.5</w:t>
            </w:r>
          </w:p>
        </w:tc>
      </w:tr>
      <w:tr w:rsidR="00A47CF6" w:rsidRPr="00260CEF" w:rsidTr="00260CEF">
        <w:trPr>
          <w:cantSplit/>
        </w:trPr>
        <w:tc>
          <w:tcPr>
            <w:tcW w:w="3969" w:type="dxa"/>
            <w:tcBorders>
              <w:top w:val="single" w:sz="4" w:space="0" w:color="A6A6A6" w:themeColor="background1" w:themeShade="A6"/>
              <w:left w:val="nil"/>
              <w:bottom w:val="single" w:sz="4" w:space="0" w:color="000000"/>
              <w:right w:val="nil"/>
            </w:tcBorders>
          </w:tcPr>
          <w:p w:rsidR="00A47CF6" w:rsidRPr="00260CEF" w:rsidRDefault="00A47CF6" w:rsidP="00260CEF">
            <w:pPr>
              <w:pStyle w:val="TableText"/>
              <w:rPr>
                <w:rFonts w:eastAsia="Arial" w:cs="Arial"/>
                <w:b/>
                <w:szCs w:val="19"/>
              </w:rPr>
            </w:pPr>
            <w:r w:rsidRPr="00260CEF">
              <w:rPr>
                <w:b/>
              </w:rPr>
              <w:t>Total</w:t>
            </w:r>
          </w:p>
        </w:tc>
        <w:tc>
          <w:tcPr>
            <w:tcW w:w="1560" w:type="dxa"/>
            <w:tcBorders>
              <w:top w:val="single" w:sz="4" w:space="0" w:color="A6A6A6" w:themeColor="background1" w:themeShade="A6"/>
              <w:left w:val="nil"/>
              <w:bottom w:val="single" w:sz="4" w:space="0" w:color="000000"/>
              <w:right w:val="nil"/>
            </w:tcBorders>
          </w:tcPr>
          <w:p w:rsidR="00A47CF6" w:rsidRPr="00260CEF" w:rsidRDefault="00A47CF6" w:rsidP="00260CEF">
            <w:pPr>
              <w:pStyle w:val="TableText"/>
              <w:tabs>
                <w:tab w:val="decimal" w:pos="936"/>
              </w:tabs>
              <w:rPr>
                <w:rFonts w:eastAsia="Arial" w:cs="Arial"/>
                <w:b/>
                <w:szCs w:val="19"/>
              </w:rPr>
            </w:pPr>
            <w:r w:rsidRPr="00260CEF">
              <w:rPr>
                <w:b/>
              </w:rPr>
              <w:t>468</w:t>
            </w:r>
          </w:p>
        </w:tc>
        <w:tc>
          <w:tcPr>
            <w:tcW w:w="2976" w:type="dxa"/>
            <w:tcBorders>
              <w:top w:val="single" w:sz="4" w:space="0" w:color="A6A6A6" w:themeColor="background1" w:themeShade="A6"/>
              <w:left w:val="nil"/>
              <w:bottom w:val="single" w:sz="4" w:space="0" w:color="000000"/>
              <w:right w:val="nil"/>
            </w:tcBorders>
          </w:tcPr>
          <w:p w:rsidR="00A47CF6" w:rsidRPr="00260CEF" w:rsidRDefault="00A47CF6" w:rsidP="00260CEF">
            <w:pPr>
              <w:pStyle w:val="TableText"/>
              <w:tabs>
                <w:tab w:val="decimal" w:pos="1502"/>
              </w:tabs>
              <w:rPr>
                <w:rFonts w:eastAsia="Arial" w:cs="Arial"/>
                <w:b/>
                <w:szCs w:val="19"/>
              </w:rPr>
            </w:pPr>
            <w:r w:rsidRPr="00260CEF">
              <w:rPr>
                <w:b/>
              </w:rPr>
              <w:t>11.4</w:t>
            </w:r>
          </w:p>
        </w:tc>
      </w:tr>
    </w:tbl>
    <w:p w:rsidR="00260CEF" w:rsidRDefault="00A47CF6" w:rsidP="00260CEF">
      <w:pPr>
        <w:pStyle w:val="Note"/>
        <w:rPr>
          <w:rFonts w:eastAsia="Arial"/>
        </w:rPr>
      </w:pPr>
      <w:r w:rsidRPr="00666DF4">
        <w:rPr>
          <w:rFonts w:eastAsia="Arial"/>
        </w:rPr>
        <w:t>Notes:</w:t>
      </w:r>
    </w:p>
    <w:p w:rsidR="00A47CF6" w:rsidRPr="00666DF4" w:rsidRDefault="00A47CF6" w:rsidP="00260CEF">
      <w:pPr>
        <w:pStyle w:val="TableText"/>
        <w:ind w:left="284" w:hanging="284"/>
        <w:rPr>
          <w:rFonts w:eastAsia="Arial"/>
        </w:rPr>
      </w:pPr>
      <w:proofErr w:type="spellStart"/>
      <w:proofErr w:type="gramStart"/>
      <w:r w:rsidRPr="00260CEF">
        <w:rPr>
          <w:rStyle w:val="NoteChar"/>
          <w:rFonts w:eastAsia="Arial"/>
        </w:rPr>
        <w:t>a</w:t>
      </w:r>
      <w:proofErr w:type="spellEnd"/>
      <w:proofErr w:type="gramEnd"/>
      <w:r w:rsidR="00260CEF">
        <w:rPr>
          <w:rStyle w:val="NoteChar"/>
          <w:rFonts w:eastAsia="Arial"/>
        </w:rPr>
        <w:tab/>
      </w:r>
      <w:r w:rsidRPr="00666DF4">
        <w:rPr>
          <w:rFonts w:eastAsia="Arial"/>
        </w:rPr>
        <w:t>Age-standardised rate is per 100,000, standardised to the WHO standard population aged 0–64 years.</w:t>
      </w:r>
    </w:p>
    <w:p w:rsidR="00A47CF6" w:rsidRPr="00666DF4" w:rsidRDefault="00A47CF6" w:rsidP="00260CEF">
      <w:pPr>
        <w:pStyle w:val="Note"/>
        <w:ind w:left="284" w:hanging="284"/>
        <w:rPr>
          <w:rFonts w:eastAsia="Arial" w:cs="Arial"/>
          <w:szCs w:val="19"/>
        </w:rPr>
      </w:pPr>
      <w:proofErr w:type="gramStart"/>
      <w:r w:rsidRPr="00260CEF">
        <w:rPr>
          <w:rStyle w:val="NoteChar"/>
        </w:rPr>
        <w:t>b</w:t>
      </w:r>
      <w:proofErr w:type="gramEnd"/>
      <w:r w:rsidR="00260CEF">
        <w:rPr>
          <w:rStyle w:val="NoteChar"/>
        </w:rPr>
        <w:tab/>
      </w:r>
      <w:r w:rsidRPr="00666DF4">
        <w:t>Service user denominator excludes service users of unknown age.</w:t>
      </w:r>
    </w:p>
    <w:p w:rsidR="00A47CF6" w:rsidRPr="00666DF4" w:rsidRDefault="00A47CF6" w:rsidP="00260CEF">
      <w:pPr>
        <w:pStyle w:val="Source"/>
        <w:rPr>
          <w:rFonts w:eastAsia="Arial" w:cs="Arial"/>
          <w:szCs w:val="19"/>
        </w:rPr>
      </w:pPr>
      <w:r w:rsidRPr="00666DF4">
        <w:t>Source: Ministry of Health mortality database data, extracted on 17 July 2017</w:t>
      </w:r>
    </w:p>
    <w:p w:rsidR="00A47CF6" w:rsidRPr="00666DF4" w:rsidRDefault="00A47CF6" w:rsidP="00260CEF">
      <w:pPr>
        <w:rPr>
          <w:rFonts w:eastAsia="Arial"/>
        </w:rPr>
      </w:pPr>
    </w:p>
    <w:p w:rsidR="00A47CF6" w:rsidRPr="00666DF4" w:rsidRDefault="00A47CF6" w:rsidP="00260CEF">
      <w:pPr>
        <w:pStyle w:val="Heading3"/>
        <w:rPr>
          <w:bCs/>
        </w:rPr>
      </w:pPr>
      <w:bookmarkStart w:id="192" w:name="Figure_32:_Age-standardised_rate_of_suic"/>
      <w:bookmarkStart w:id="193" w:name="Table_12:_Number_and_age-standardised_ra"/>
      <w:bookmarkStart w:id="194" w:name="_bookmark42"/>
      <w:bookmarkEnd w:id="192"/>
      <w:bookmarkEnd w:id="193"/>
      <w:bookmarkEnd w:id="194"/>
      <w:r w:rsidRPr="00666DF4">
        <w:t>Changes in number of suicides over time</w:t>
      </w:r>
    </w:p>
    <w:p w:rsidR="00A47CF6" w:rsidRPr="00666DF4" w:rsidRDefault="00A47CF6" w:rsidP="00260CEF">
      <w:pPr>
        <w:keepNext/>
      </w:pPr>
      <w:r w:rsidRPr="00666DF4">
        <w:t>Figure 32 shows the changes in the rates of suicide by service users and non-service users between 2001 and 2014.</w:t>
      </w:r>
    </w:p>
    <w:p w:rsidR="00A47CF6" w:rsidRPr="00666DF4" w:rsidRDefault="00A47CF6" w:rsidP="00260CEF">
      <w:pPr>
        <w:keepNext/>
        <w:rPr>
          <w:rFonts w:eastAsia="Century"/>
        </w:rPr>
      </w:pPr>
    </w:p>
    <w:p w:rsidR="00A47CF6" w:rsidRPr="00666DF4" w:rsidRDefault="00A47CF6" w:rsidP="00260CEF">
      <w:pPr>
        <w:pStyle w:val="Figure"/>
        <w:rPr>
          <w:rFonts w:eastAsia="Georgia"/>
        </w:rPr>
      </w:pPr>
      <w:bookmarkStart w:id="195" w:name="_Toc508707356"/>
      <w:r w:rsidRPr="00666DF4">
        <w:rPr>
          <w:rFonts w:eastAsia="Georgia"/>
        </w:rPr>
        <w:t>Figure 32: Age-standardised rate of suicide, by service use, people aged 10–64 years</w:t>
      </w:r>
      <w:proofErr w:type="gramStart"/>
      <w:r w:rsidRPr="00666DF4">
        <w:rPr>
          <w:rFonts w:eastAsia="Georgia"/>
        </w:rPr>
        <w:t>,</w:t>
      </w:r>
      <w:proofErr w:type="gramEnd"/>
      <w:r w:rsidR="00260CEF">
        <w:rPr>
          <w:rFonts w:eastAsia="Georgia"/>
        </w:rPr>
        <w:br/>
      </w:r>
      <w:r w:rsidRPr="00666DF4">
        <w:rPr>
          <w:rFonts w:eastAsia="Georgia"/>
        </w:rPr>
        <w:t>2001–2014</w:t>
      </w:r>
      <w:bookmarkEnd w:id="195"/>
    </w:p>
    <w:p w:rsidR="00A47CF6" w:rsidRPr="00666DF4" w:rsidRDefault="00260CEF" w:rsidP="00260CEF">
      <w:pPr>
        <w:rPr>
          <w:rFonts w:eastAsia="Georgia"/>
        </w:rPr>
      </w:pPr>
      <w:r>
        <w:rPr>
          <w:noProof/>
          <w:lang w:eastAsia="en-NZ"/>
        </w:rPr>
        <w:drawing>
          <wp:inline distT="0" distB="0" distL="0" distR="0" wp14:anchorId="50DADB17" wp14:editId="4F5CC3E1">
            <wp:extent cx="4705003" cy="2234673"/>
            <wp:effectExtent l="0" t="0" r="635" b="0"/>
            <wp:docPr id="90" name="Picture 90" title="Figure 32: Age-standardised rate of suicide, by service use, people aged 10–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blip>
                    <a:stretch>
                      <a:fillRect/>
                    </a:stretch>
                  </pic:blipFill>
                  <pic:spPr>
                    <a:xfrm>
                      <a:off x="0" y="0"/>
                      <a:ext cx="4706559" cy="2235412"/>
                    </a:xfrm>
                    <a:prstGeom prst="rect">
                      <a:avLst/>
                    </a:prstGeom>
                  </pic:spPr>
                </pic:pic>
              </a:graphicData>
            </a:graphic>
          </wp:inline>
        </w:drawing>
      </w:r>
    </w:p>
    <w:p w:rsidR="00A47CF6" w:rsidRPr="00666DF4" w:rsidRDefault="00A47CF6" w:rsidP="00260CEF">
      <w:pPr>
        <w:pStyle w:val="Note"/>
        <w:rPr>
          <w:rFonts w:eastAsia="Arial"/>
        </w:rPr>
      </w:pPr>
      <w:r w:rsidRPr="00666DF4">
        <w:rPr>
          <w:rFonts w:eastAsia="Arial"/>
        </w:rPr>
        <w:t>Notes:</w:t>
      </w:r>
      <w:r w:rsidR="00BF25EC">
        <w:rPr>
          <w:rFonts w:eastAsia="Arial"/>
        </w:rPr>
        <w:t xml:space="preserve"> </w:t>
      </w:r>
      <w:r w:rsidRPr="00666DF4">
        <w:rPr>
          <w:rFonts w:eastAsia="Arial"/>
        </w:rPr>
        <w:t>Age-standardised rate is per 100,000, standardised to the WHO standard population aged 0–64 years.</w:t>
      </w:r>
    </w:p>
    <w:p w:rsidR="00A47CF6" w:rsidRPr="00666DF4" w:rsidRDefault="00A47CF6" w:rsidP="00260CEF">
      <w:pPr>
        <w:pStyle w:val="Note"/>
        <w:rPr>
          <w:rFonts w:eastAsia="Arial" w:cs="Arial"/>
          <w:szCs w:val="19"/>
        </w:rPr>
      </w:pPr>
      <w:r w:rsidRPr="00666DF4">
        <w:t>The service user population is much smaller than the non-service user population, and will therefore produce rates more prone to fluctuation from year to year.</w:t>
      </w:r>
    </w:p>
    <w:p w:rsidR="00A47CF6" w:rsidRPr="00666DF4" w:rsidRDefault="00A47CF6" w:rsidP="00260CEF">
      <w:pPr>
        <w:pStyle w:val="Source"/>
        <w:rPr>
          <w:rFonts w:eastAsia="Arial" w:cs="Arial"/>
          <w:szCs w:val="19"/>
        </w:rPr>
      </w:pPr>
      <w:r w:rsidRPr="00666DF4">
        <w:t>Source: Ministry of Health mortality database data, extracted on 17 July 2017</w:t>
      </w:r>
    </w:p>
    <w:p w:rsidR="00A47CF6" w:rsidRPr="00666DF4" w:rsidRDefault="00A47CF6" w:rsidP="00260CEF">
      <w:pPr>
        <w:rPr>
          <w:rFonts w:eastAsia="Arial"/>
        </w:rPr>
      </w:pPr>
    </w:p>
    <w:p w:rsidR="00A47CF6" w:rsidRPr="00666DF4" w:rsidRDefault="00A47CF6" w:rsidP="00260CEF">
      <w:pPr>
        <w:pStyle w:val="Heading3"/>
        <w:rPr>
          <w:bCs/>
        </w:rPr>
      </w:pPr>
      <w:r w:rsidRPr="00666DF4">
        <w:t>Gender and age in relation to suicide</w:t>
      </w:r>
    </w:p>
    <w:p w:rsidR="00A47CF6" w:rsidRPr="00666DF4" w:rsidRDefault="00A47CF6" w:rsidP="00260CEF">
      <w:r w:rsidRPr="00666DF4">
        <w:t>As Table 12 and Figure 33 show, 2.8 times more males than females died by suicide in 2014. Of the service users who died by suicide in 2014, 32 percent were female and 68 percent were male.</w:t>
      </w:r>
    </w:p>
    <w:p w:rsidR="00A47CF6" w:rsidRPr="00666DF4" w:rsidRDefault="00A47CF6" w:rsidP="00260CEF">
      <w:pPr>
        <w:rPr>
          <w:rFonts w:eastAsia="Century"/>
        </w:rPr>
      </w:pPr>
    </w:p>
    <w:p w:rsidR="00A47CF6" w:rsidRPr="00666DF4" w:rsidRDefault="00A47CF6" w:rsidP="00260CEF">
      <w:r w:rsidRPr="00666DF4">
        <w:t>When considering these numbers, it is important to note that because these age-specific rates are derived from a small service-user population, they are highly variable over time.</w:t>
      </w:r>
    </w:p>
    <w:p w:rsidR="00A47CF6" w:rsidRPr="00666DF4" w:rsidRDefault="00A47CF6" w:rsidP="00260CEF">
      <w:pPr>
        <w:rPr>
          <w:rFonts w:eastAsia="Century"/>
        </w:rPr>
      </w:pPr>
    </w:p>
    <w:p w:rsidR="00A47CF6" w:rsidRPr="00666DF4" w:rsidRDefault="00A47CF6" w:rsidP="00260CEF">
      <w:pPr>
        <w:pStyle w:val="Table"/>
        <w:rPr>
          <w:rFonts w:eastAsia="Georgia"/>
        </w:rPr>
      </w:pPr>
      <w:bookmarkStart w:id="196" w:name="_Toc508707310"/>
      <w:r w:rsidRPr="00666DF4">
        <w:rPr>
          <w:rFonts w:eastAsia="Georgia"/>
        </w:rPr>
        <w:t>Table 12: Number and age-standardised rate of suicide, by service use and gender, people aged 10–64 years, 2014</w:t>
      </w:r>
      <w:bookmarkEnd w:id="196"/>
    </w:p>
    <w:tbl>
      <w:tblPr>
        <w:tblW w:w="9356" w:type="dxa"/>
        <w:tblInd w:w="57" w:type="dxa"/>
        <w:tblLayout w:type="fixed"/>
        <w:tblCellMar>
          <w:left w:w="57" w:type="dxa"/>
          <w:right w:w="57" w:type="dxa"/>
        </w:tblCellMar>
        <w:tblLook w:val="01E0" w:firstRow="1" w:lastRow="1" w:firstColumn="1" w:lastColumn="1" w:noHBand="0" w:noVBand="0"/>
      </w:tblPr>
      <w:tblGrid>
        <w:gridCol w:w="1398"/>
        <w:gridCol w:w="1161"/>
        <w:gridCol w:w="1162"/>
        <w:gridCol w:w="532"/>
        <w:gridCol w:w="1134"/>
        <w:gridCol w:w="1134"/>
        <w:gridCol w:w="567"/>
        <w:gridCol w:w="1134"/>
        <w:gridCol w:w="1134"/>
      </w:tblGrid>
      <w:tr w:rsidR="00260CEF" w:rsidRPr="00260CEF" w:rsidTr="00D51366">
        <w:trPr>
          <w:cantSplit/>
        </w:trPr>
        <w:tc>
          <w:tcPr>
            <w:tcW w:w="1398" w:type="dxa"/>
            <w:vMerge w:val="restart"/>
            <w:tcBorders>
              <w:top w:val="single" w:sz="4" w:space="0" w:color="000000"/>
              <w:left w:val="nil"/>
            </w:tcBorders>
          </w:tcPr>
          <w:p w:rsidR="00260CEF" w:rsidRPr="00260CEF" w:rsidRDefault="00260CEF" w:rsidP="00260CEF">
            <w:pPr>
              <w:pStyle w:val="TableText"/>
              <w:rPr>
                <w:rFonts w:eastAsia="Arial" w:cs="Arial"/>
                <w:b/>
                <w:szCs w:val="19"/>
              </w:rPr>
            </w:pPr>
            <w:r w:rsidRPr="00260CEF">
              <w:rPr>
                <w:b/>
              </w:rPr>
              <w:t>Gender</w:t>
            </w:r>
          </w:p>
        </w:tc>
        <w:tc>
          <w:tcPr>
            <w:tcW w:w="2323" w:type="dxa"/>
            <w:gridSpan w:val="2"/>
            <w:tcBorders>
              <w:top w:val="single" w:sz="4" w:space="0" w:color="000000"/>
              <w:bottom w:val="single" w:sz="4" w:space="0" w:color="auto"/>
            </w:tcBorders>
          </w:tcPr>
          <w:p w:rsidR="00260CEF" w:rsidRPr="00260CEF" w:rsidRDefault="00260CEF" w:rsidP="00260CEF">
            <w:pPr>
              <w:pStyle w:val="TableText"/>
              <w:jc w:val="center"/>
              <w:rPr>
                <w:rFonts w:eastAsia="Arial" w:cs="Arial"/>
                <w:b/>
                <w:szCs w:val="19"/>
              </w:rPr>
            </w:pPr>
            <w:r w:rsidRPr="00260CEF">
              <w:rPr>
                <w:b/>
              </w:rPr>
              <w:t>Service users</w:t>
            </w:r>
          </w:p>
        </w:tc>
        <w:tc>
          <w:tcPr>
            <w:tcW w:w="532" w:type="dxa"/>
            <w:tcBorders>
              <w:top w:val="single" w:sz="4" w:space="0" w:color="000000"/>
              <w:bottom w:val="nil"/>
              <w:right w:val="nil"/>
            </w:tcBorders>
          </w:tcPr>
          <w:p w:rsidR="00260CEF" w:rsidRPr="00260CEF" w:rsidRDefault="00260CEF" w:rsidP="00260CEF">
            <w:pPr>
              <w:pStyle w:val="TableText"/>
              <w:rPr>
                <w:b/>
              </w:rPr>
            </w:pPr>
          </w:p>
        </w:tc>
        <w:tc>
          <w:tcPr>
            <w:tcW w:w="2268" w:type="dxa"/>
            <w:gridSpan w:val="2"/>
            <w:tcBorders>
              <w:top w:val="single" w:sz="4" w:space="0" w:color="000000"/>
              <w:left w:val="nil"/>
              <w:bottom w:val="single" w:sz="4" w:space="0" w:color="auto"/>
            </w:tcBorders>
          </w:tcPr>
          <w:p w:rsidR="00260CEF" w:rsidRPr="00260CEF" w:rsidRDefault="00260CEF" w:rsidP="00260CEF">
            <w:pPr>
              <w:pStyle w:val="TableText"/>
              <w:jc w:val="center"/>
              <w:rPr>
                <w:rFonts w:eastAsia="Arial" w:cs="Arial"/>
                <w:b/>
                <w:szCs w:val="19"/>
              </w:rPr>
            </w:pPr>
            <w:r w:rsidRPr="00260CEF">
              <w:rPr>
                <w:b/>
              </w:rPr>
              <w:t>Non-service users</w:t>
            </w:r>
          </w:p>
        </w:tc>
        <w:tc>
          <w:tcPr>
            <w:tcW w:w="567" w:type="dxa"/>
            <w:tcBorders>
              <w:top w:val="single" w:sz="4" w:space="0" w:color="auto"/>
              <w:bottom w:val="nil"/>
            </w:tcBorders>
          </w:tcPr>
          <w:p w:rsidR="00260CEF" w:rsidRPr="00260CEF" w:rsidRDefault="00260CEF" w:rsidP="00260CEF">
            <w:pPr>
              <w:pStyle w:val="TableText"/>
              <w:rPr>
                <w:b/>
              </w:rPr>
            </w:pPr>
          </w:p>
        </w:tc>
        <w:tc>
          <w:tcPr>
            <w:tcW w:w="2268" w:type="dxa"/>
            <w:gridSpan w:val="2"/>
            <w:tcBorders>
              <w:top w:val="single" w:sz="4" w:space="0" w:color="000000"/>
              <w:bottom w:val="single" w:sz="4" w:space="0" w:color="auto"/>
              <w:right w:val="nil"/>
            </w:tcBorders>
          </w:tcPr>
          <w:p w:rsidR="00260CEF" w:rsidRPr="00260CEF" w:rsidRDefault="00260CEF" w:rsidP="00260CEF">
            <w:pPr>
              <w:pStyle w:val="TableText"/>
              <w:jc w:val="center"/>
              <w:rPr>
                <w:rFonts w:eastAsia="Arial" w:cs="Arial"/>
                <w:b/>
                <w:szCs w:val="19"/>
              </w:rPr>
            </w:pPr>
            <w:r w:rsidRPr="00260CEF">
              <w:rPr>
                <w:b/>
              </w:rPr>
              <w:t>Total</w:t>
            </w:r>
          </w:p>
        </w:tc>
      </w:tr>
      <w:tr w:rsidR="00260CEF" w:rsidRPr="00260CEF" w:rsidTr="00D51366">
        <w:trPr>
          <w:cantSplit/>
        </w:trPr>
        <w:tc>
          <w:tcPr>
            <w:tcW w:w="1398" w:type="dxa"/>
            <w:vMerge/>
            <w:tcBorders>
              <w:left w:val="nil"/>
              <w:bottom w:val="single" w:sz="4" w:space="0" w:color="000000"/>
            </w:tcBorders>
          </w:tcPr>
          <w:p w:rsidR="00260CEF" w:rsidRPr="00260CEF" w:rsidRDefault="00260CEF" w:rsidP="00260CEF">
            <w:pPr>
              <w:pStyle w:val="TableText"/>
              <w:rPr>
                <w:b/>
              </w:rPr>
            </w:pPr>
          </w:p>
        </w:tc>
        <w:tc>
          <w:tcPr>
            <w:tcW w:w="1161" w:type="dxa"/>
            <w:tcBorders>
              <w:top w:val="single" w:sz="4" w:space="0" w:color="auto"/>
              <w:bottom w:val="single" w:sz="4" w:space="0" w:color="000000"/>
              <w:right w:val="nil"/>
            </w:tcBorders>
          </w:tcPr>
          <w:p w:rsidR="00260CEF" w:rsidRPr="00260CEF" w:rsidRDefault="00260CEF" w:rsidP="00260CEF">
            <w:pPr>
              <w:pStyle w:val="TableText"/>
              <w:jc w:val="center"/>
              <w:rPr>
                <w:rFonts w:eastAsia="Arial" w:cs="Arial"/>
                <w:b/>
                <w:szCs w:val="19"/>
              </w:rPr>
            </w:pPr>
            <w:r w:rsidRPr="00260CEF">
              <w:rPr>
                <w:b/>
              </w:rPr>
              <w:t>Number</w:t>
            </w:r>
          </w:p>
        </w:tc>
        <w:tc>
          <w:tcPr>
            <w:tcW w:w="1162" w:type="dxa"/>
            <w:tcBorders>
              <w:top w:val="single" w:sz="4" w:space="0" w:color="auto"/>
              <w:left w:val="nil"/>
              <w:bottom w:val="single" w:sz="4" w:space="0" w:color="000000"/>
            </w:tcBorders>
          </w:tcPr>
          <w:p w:rsidR="00260CEF" w:rsidRPr="00260CEF" w:rsidRDefault="00260CEF" w:rsidP="00260CEF">
            <w:pPr>
              <w:pStyle w:val="TableText"/>
              <w:jc w:val="center"/>
              <w:rPr>
                <w:rFonts w:eastAsia="Arial" w:cs="Arial"/>
                <w:b/>
                <w:szCs w:val="19"/>
              </w:rPr>
            </w:pPr>
            <w:r w:rsidRPr="00260CEF">
              <w:rPr>
                <w:b/>
              </w:rPr>
              <w:t>ASR</w:t>
            </w:r>
          </w:p>
        </w:tc>
        <w:tc>
          <w:tcPr>
            <w:tcW w:w="532" w:type="dxa"/>
            <w:tcBorders>
              <w:top w:val="nil"/>
              <w:left w:val="nil"/>
            </w:tcBorders>
          </w:tcPr>
          <w:p w:rsidR="00260CEF" w:rsidRPr="00260CEF" w:rsidRDefault="00260CEF" w:rsidP="00260CEF">
            <w:pPr>
              <w:pStyle w:val="TableText"/>
              <w:rPr>
                <w:b/>
              </w:rPr>
            </w:pPr>
          </w:p>
        </w:tc>
        <w:tc>
          <w:tcPr>
            <w:tcW w:w="1134" w:type="dxa"/>
            <w:tcBorders>
              <w:top w:val="single" w:sz="4" w:space="0" w:color="auto"/>
              <w:left w:val="nil"/>
              <w:bottom w:val="single" w:sz="4" w:space="0" w:color="000000"/>
              <w:right w:val="nil"/>
            </w:tcBorders>
          </w:tcPr>
          <w:p w:rsidR="00260CEF" w:rsidRPr="00260CEF" w:rsidRDefault="00260CEF" w:rsidP="00260CEF">
            <w:pPr>
              <w:pStyle w:val="TableText"/>
              <w:jc w:val="center"/>
              <w:rPr>
                <w:rFonts w:eastAsia="Arial" w:cs="Arial"/>
                <w:b/>
                <w:szCs w:val="19"/>
              </w:rPr>
            </w:pPr>
            <w:r w:rsidRPr="00260CEF">
              <w:rPr>
                <w:b/>
              </w:rPr>
              <w:t>Number</w:t>
            </w:r>
          </w:p>
        </w:tc>
        <w:tc>
          <w:tcPr>
            <w:tcW w:w="1134" w:type="dxa"/>
            <w:tcBorders>
              <w:top w:val="single" w:sz="4" w:space="0" w:color="auto"/>
              <w:left w:val="nil"/>
              <w:bottom w:val="single" w:sz="4" w:space="0" w:color="000000"/>
            </w:tcBorders>
          </w:tcPr>
          <w:p w:rsidR="00260CEF" w:rsidRPr="00260CEF" w:rsidRDefault="00260CEF" w:rsidP="00260CEF">
            <w:pPr>
              <w:pStyle w:val="TableText"/>
              <w:jc w:val="center"/>
              <w:rPr>
                <w:rFonts w:eastAsia="Arial" w:cs="Arial"/>
                <w:b/>
                <w:szCs w:val="19"/>
              </w:rPr>
            </w:pPr>
            <w:r w:rsidRPr="00260CEF">
              <w:rPr>
                <w:b/>
              </w:rPr>
              <w:t>ASR</w:t>
            </w:r>
          </w:p>
        </w:tc>
        <w:tc>
          <w:tcPr>
            <w:tcW w:w="567" w:type="dxa"/>
            <w:tcBorders>
              <w:top w:val="nil"/>
            </w:tcBorders>
          </w:tcPr>
          <w:p w:rsidR="00260CEF" w:rsidRPr="00260CEF" w:rsidRDefault="00260CEF" w:rsidP="00260CEF">
            <w:pPr>
              <w:pStyle w:val="TableText"/>
              <w:rPr>
                <w:b/>
              </w:rPr>
            </w:pPr>
          </w:p>
        </w:tc>
        <w:tc>
          <w:tcPr>
            <w:tcW w:w="1134" w:type="dxa"/>
            <w:tcBorders>
              <w:top w:val="single" w:sz="4" w:space="0" w:color="auto"/>
              <w:bottom w:val="single" w:sz="4" w:space="0" w:color="000000"/>
              <w:right w:val="nil"/>
            </w:tcBorders>
          </w:tcPr>
          <w:p w:rsidR="00260CEF" w:rsidRPr="00260CEF" w:rsidRDefault="00260CEF" w:rsidP="00260CEF">
            <w:pPr>
              <w:pStyle w:val="TableText"/>
              <w:jc w:val="center"/>
              <w:rPr>
                <w:rFonts w:eastAsia="Arial" w:cs="Arial"/>
                <w:b/>
                <w:szCs w:val="19"/>
              </w:rPr>
            </w:pPr>
            <w:r w:rsidRPr="00260CEF">
              <w:rPr>
                <w:b/>
              </w:rPr>
              <w:t>Number</w:t>
            </w:r>
          </w:p>
        </w:tc>
        <w:tc>
          <w:tcPr>
            <w:tcW w:w="1134" w:type="dxa"/>
            <w:tcBorders>
              <w:top w:val="single" w:sz="4" w:space="0" w:color="auto"/>
              <w:left w:val="nil"/>
              <w:bottom w:val="single" w:sz="4" w:space="0" w:color="000000"/>
              <w:right w:val="nil"/>
            </w:tcBorders>
          </w:tcPr>
          <w:p w:rsidR="00260CEF" w:rsidRPr="00260CEF" w:rsidRDefault="00260CEF" w:rsidP="00260CEF">
            <w:pPr>
              <w:pStyle w:val="TableText"/>
              <w:jc w:val="center"/>
              <w:rPr>
                <w:rFonts w:eastAsia="Arial" w:cs="Arial"/>
                <w:b/>
                <w:szCs w:val="19"/>
              </w:rPr>
            </w:pPr>
            <w:r w:rsidRPr="00260CEF">
              <w:rPr>
                <w:b/>
              </w:rPr>
              <w:t>ASR</w:t>
            </w:r>
          </w:p>
        </w:tc>
      </w:tr>
      <w:tr w:rsidR="00260CEF" w:rsidRPr="00666DF4" w:rsidTr="00D51366">
        <w:trPr>
          <w:cantSplit/>
        </w:trPr>
        <w:tc>
          <w:tcPr>
            <w:tcW w:w="1398" w:type="dxa"/>
            <w:tcBorders>
              <w:top w:val="single" w:sz="4" w:space="0" w:color="000000"/>
              <w:left w:val="nil"/>
            </w:tcBorders>
          </w:tcPr>
          <w:p w:rsidR="00260CEF" w:rsidRPr="00666DF4" w:rsidRDefault="00260CEF" w:rsidP="00260CEF">
            <w:pPr>
              <w:pStyle w:val="TableText"/>
              <w:rPr>
                <w:rFonts w:eastAsia="Arial" w:cs="Arial"/>
                <w:szCs w:val="19"/>
              </w:rPr>
            </w:pPr>
            <w:r w:rsidRPr="00666DF4">
              <w:t>Males</w:t>
            </w:r>
          </w:p>
        </w:tc>
        <w:tc>
          <w:tcPr>
            <w:tcW w:w="1161" w:type="dxa"/>
            <w:tcBorders>
              <w:top w:val="single" w:sz="4" w:space="0" w:color="000000"/>
              <w:right w:val="nil"/>
            </w:tcBorders>
          </w:tcPr>
          <w:p w:rsidR="00260CEF" w:rsidRPr="00666DF4" w:rsidRDefault="00260CEF" w:rsidP="00D51366">
            <w:pPr>
              <w:pStyle w:val="TableText"/>
              <w:tabs>
                <w:tab w:val="decimal" w:pos="626"/>
              </w:tabs>
              <w:rPr>
                <w:rFonts w:eastAsia="Arial" w:cs="Arial"/>
                <w:szCs w:val="19"/>
              </w:rPr>
            </w:pPr>
            <w:r w:rsidRPr="00666DF4">
              <w:t>145</w:t>
            </w:r>
          </w:p>
        </w:tc>
        <w:tc>
          <w:tcPr>
            <w:tcW w:w="1162" w:type="dxa"/>
            <w:tcBorders>
              <w:top w:val="single" w:sz="4" w:space="0" w:color="000000"/>
              <w:left w:val="nil"/>
            </w:tcBorders>
          </w:tcPr>
          <w:p w:rsidR="00260CEF" w:rsidRPr="00666DF4" w:rsidRDefault="00260CEF" w:rsidP="00D51366">
            <w:pPr>
              <w:pStyle w:val="TableText"/>
              <w:tabs>
                <w:tab w:val="decimal" w:pos="645"/>
              </w:tabs>
              <w:rPr>
                <w:rFonts w:eastAsia="Arial" w:cs="Arial"/>
                <w:szCs w:val="19"/>
              </w:rPr>
            </w:pPr>
            <w:r w:rsidRPr="00666DF4">
              <w:t>181.6</w:t>
            </w:r>
          </w:p>
        </w:tc>
        <w:tc>
          <w:tcPr>
            <w:tcW w:w="532" w:type="dxa"/>
            <w:tcBorders>
              <w:left w:val="nil"/>
            </w:tcBorders>
          </w:tcPr>
          <w:p w:rsidR="00260CEF" w:rsidRPr="00666DF4" w:rsidRDefault="00260CEF" w:rsidP="00260CEF">
            <w:pPr>
              <w:pStyle w:val="TableText"/>
            </w:pPr>
          </w:p>
        </w:tc>
        <w:tc>
          <w:tcPr>
            <w:tcW w:w="1134" w:type="dxa"/>
            <w:tcBorders>
              <w:top w:val="single" w:sz="4" w:space="0" w:color="000000"/>
              <w:left w:val="nil"/>
              <w:right w:val="nil"/>
            </w:tcBorders>
          </w:tcPr>
          <w:p w:rsidR="00260CEF" w:rsidRPr="00666DF4" w:rsidRDefault="00260CEF" w:rsidP="00D51366">
            <w:pPr>
              <w:pStyle w:val="TableText"/>
              <w:tabs>
                <w:tab w:val="decimal" w:pos="533"/>
              </w:tabs>
              <w:rPr>
                <w:rFonts w:eastAsia="Arial" w:cs="Arial"/>
                <w:szCs w:val="19"/>
              </w:rPr>
            </w:pPr>
            <w:r w:rsidRPr="00666DF4">
              <w:t>200</w:t>
            </w:r>
          </w:p>
        </w:tc>
        <w:tc>
          <w:tcPr>
            <w:tcW w:w="1134" w:type="dxa"/>
            <w:tcBorders>
              <w:top w:val="single" w:sz="4" w:space="0" w:color="000000"/>
              <w:left w:val="nil"/>
            </w:tcBorders>
          </w:tcPr>
          <w:p w:rsidR="00260CEF" w:rsidRPr="00666DF4" w:rsidRDefault="00260CEF" w:rsidP="00D51366">
            <w:pPr>
              <w:pStyle w:val="TableText"/>
              <w:tabs>
                <w:tab w:val="decimal" w:pos="512"/>
              </w:tabs>
              <w:rPr>
                <w:rFonts w:eastAsia="Arial" w:cs="Arial"/>
                <w:szCs w:val="19"/>
              </w:rPr>
            </w:pPr>
            <w:r w:rsidRPr="00666DF4">
              <w:t>10.4</w:t>
            </w:r>
          </w:p>
        </w:tc>
        <w:tc>
          <w:tcPr>
            <w:tcW w:w="567" w:type="dxa"/>
          </w:tcPr>
          <w:p w:rsidR="00260CEF" w:rsidRPr="00666DF4" w:rsidRDefault="00260CEF" w:rsidP="00260CEF">
            <w:pPr>
              <w:pStyle w:val="TableText"/>
            </w:pPr>
          </w:p>
        </w:tc>
        <w:tc>
          <w:tcPr>
            <w:tcW w:w="1134" w:type="dxa"/>
            <w:tcBorders>
              <w:top w:val="single" w:sz="4" w:space="0" w:color="000000"/>
              <w:right w:val="nil"/>
            </w:tcBorders>
          </w:tcPr>
          <w:p w:rsidR="00260CEF" w:rsidRPr="00666DF4" w:rsidRDefault="00260CEF" w:rsidP="00D51366">
            <w:pPr>
              <w:pStyle w:val="TableText"/>
              <w:tabs>
                <w:tab w:val="decimal" w:pos="631"/>
              </w:tabs>
              <w:rPr>
                <w:rFonts w:eastAsia="Arial" w:cs="Arial"/>
                <w:szCs w:val="19"/>
              </w:rPr>
            </w:pPr>
            <w:r w:rsidRPr="00666DF4">
              <w:t>345</w:t>
            </w:r>
          </w:p>
        </w:tc>
        <w:tc>
          <w:tcPr>
            <w:tcW w:w="1134" w:type="dxa"/>
            <w:tcBorders>
              <w:top w:val="single" w:sz="4" w:space="0" w:color="000000"/>
              <w:left w:val="nil"/>
              <w:right w:val="nil"/>
            </w:tcBorders>
          </w:tcPr>
          <w:p w:rsidR="00260CEF" w:rsidRPr="00666DF4" w:rsidRDefault="00260CEF" w:rsidP="00D51366">
            <w:pPr>
              <w:pStyle w:val="TableText"/>
              <w:tabs>
                <w:tab w:val="decimal" w:pos="505"/>
              </w:tabs>
              <w:rPr>
                <w:rFonts w:eastAsia="Arial" w:cs="Arial"/>
                <w:szCs w:val="19"/>
              </w:rPr>
            </w:pPr>
            <w:r w:rsidRPr="00666DF4">
              <w:t>17.2</w:t>
            </w:r>
          </w:p>
        </w:tc>
      </w:tr>
      <w:tr w:rsidR="00260CEF" w:rsidRPr="00666DF4" w:rsidTr="00D51366">
        <w:trPr>
          <w:cantSplit/>
        </w:trPr>
        <w:tc>
          <w:tcPr>
            <w:tcW w:w="1398" w:type="dxa"/>
            <w:tcBorders>
              <w:left w:val="nil"/>
              <w:bottom w:val="single" w:sz="4" w:space="0" w:color="auto"/>
            </w:tcBorders>
          </w:tcPr>
          <w:p w:rsidR="00260CEF" w:rsidRPr="00666DF4" w:rsidRDefault="00260CEF" w:rsidP="00260CEF">
            <w:pPr>
              <w:pStyle w:val="TableText"/>
              <w:rPr>
                <w:rFonts w:eastAsia="Arial" w:cs="Arial"/>
                <w:szCs w:val="19"/>
              </w:rPr>
            </w:pPr>
            <w:r w:rsidRPr="00666DF4">
              <w:t>Females</w:t>
            </w:r>
          </w:p>
        </w:tc>
        <w:tc>
          <w:tcPr>
            <w:tcW w:w="1161" w:type="dxa"/>
            <w:tcBorders>
              <w:bottom w:val="single" w:sz="4" w:space="0" w:color="auto"/>
              <w:right w:val="nil"/>
            </w:tcBorders>
          </w:tcPr>
          <w:p w:rsidR="00260CEF" w:rsidRPr="00666DF4" w:rsidRDefault="00260CEF" w:rsidP="00D51366">
            <w:pPr>
              <w:pStyle w:val="TableText"/>
              <w:tabs>
                <w:tab w:val="decimal" w:pos="626"/>
              </w:tabs>
              <w:rPr>
                <w:rFonts w:eastAsia="Arial" w:cs="Arial"/>
                <w:szCs w:val="19"/>
              </w:rPr>
            </w:pPr>
            <w:r w:rsidRPr="00666DF4">
              <w:t>68</w:t>
            </w:r>
          </w:p>
        </w:tc>
        <w:tc>
          <w:tcPr>
            <w:tcW w:w="1162" w:type="dxa"/>
            <w:tcBorders>
              <w:left w:val="nil"/>
              <w:bottom w:val="single" w:sz="4" w:space="0" w:color="auto"/>
            </w:tcBorders>
          </w:tcPr>
          <w:p w:rsidR="00260CEF" w:rsidRPr="00666DF4" w:rsidRDefault="00260CEF" w:rsidP="00D51366">
            <w:pPr>
              <w:pStyle w:val="TableText"/>
              <w:tabs>
                <w:tab w:val="decimal" w:pos="645"/>
              </w:tabs>
              <w:rPr>
                <w:rFonts w:eastAsia="Arial" w:cs="Arial"/>
                <w:szCs w:val="19"/>
              </w:rPr>
            </w:pPr>
            <w:r w:rsidRPr="00666DF4">
              <w:t>96.3</w:t>
            </w:r>
          </w:p>
        </w:tc>
        <w:tc>
          <w:tcPr>
            <w:tcW w:w="532" w:type="dxa"/>
            <w:tcBorders>
              <w:left w:val="nil"/>
              <w:bottom w:val="single" w:sz="4" w:space="0" w:color="auto"/>
            </w:tcBorders>
          </w:tcPr>
          <w:p w:rsidR="00260CEF" w:rsidRPr="00666DF4" w:rsidRDefault="00260CEF" w:rsidP="00260CEF">
            <w:pPr>
              <w:pStyle w:val="TableText"/>
            </w:pPr>
          </w:p>
        </w:tc>
        <w:tc>
          <w:tcPr>
            <w:tcW w:w="1134" w:type="dxa"/>
            <w:tcBorders>
              <w:left w:val="nil"/>
              <w:bottom w:val="single" w:sz="4" w:space="0" w:color="auto"/>
              <w:right w:val="nil"/>
            </w:tcBorders>
          </w:tcPr>
          <w:p w:rsidR="00260CEF" w:rsidRPr="00666DF4" w:rsidRDefault="00260CEF" w:rsidP="00D51366">
            <w:pPr>
              <w:pStyle w:val="TableText"/>
              <w:tabs>
                <w:tab w:val="decimal" w:pos="533"/>
              </w:tabs>
              <w:rPr>
                <w:rFonts w:eastAsia="Arial" w:cs="Arial"/>
                <w:szCs w:val="19"/>
              </w:rPr>
            </w:pPr>
            <w:r w:rsidRPr="00666DF4">
              <w:t>55</w:t>
            </w:r>
          </w:p>
        </w:tc>
        <w:tc>
          <w:tcPr>
            <w:tcW w:w="1134" w:type="dxa"/>
            <w:tcBorders>
              <w:left w:val="nil"/>
              <w:bottom w:val="single" w:sz="4" w:space="0" w:color="auto"/>
            </w:tcBorders>
          </w:tcPr>
          <w:p w:rsidR="00260CEF" w:rsidRPr="00666DF4" w:rsidRDefault="00260CEF" w:rsidP="00D51366">
            <w:pPr>
              <w:pStyle w:val="TableText"/>
              <w:tabs>
                <w:tab w:val="decimal" w:pos="512"/>
              </w:tabs>
              <w:rPr>
                <w:rFonts w:eastAsia="Arial" w:cs="Arial"/>
                <w:szCs w:val="19"/>
              </w:rPr>
            </w:pPr>
            <w:r w:rsidRPr="00666DF4">
              <w:t>2.8</w:t>
            </w:r>
          </w:p>
        </w:tc>
        <w:tc>
          <w:tcPr>
            <w:tcW w:w="567" w:type="dxa"/>
            <w:tcBorders>
              <w:bottom w:val="single" w:sz="4" w:space="0" w:color="auto"/>
            </w:tcBorders>
          </w:tcPr>
          <w:p w:rsidR="00260CEF" w:rsidRPr="00666DF4" w:rsidRDefault="00260CEF" w:rsidP="00260CEF">
            <w:pPr>
              <w:pStyle w:val="TableText"/>
            </w:pPr>
          </w:p>
        </w:tc>
        <w:tc>
          <w:tcPr>
            <w:tcW w:w="1134" w:type="dxa"/>
            <w:tcBorders>
              <w:bottom w:val="single" w:sz="4" w:space="0" w:color="auto"/>
              <w:right w:val="nil"/>
            </w:tcBorders>
          </w:tcPr>
          <w:p w:rsidR="00260CEF" w:rsidRPr="00666DF4" w:rsidRDefault="00260CEF" w:rsidP="00D51366">
            <w:pPr>
              <w:pStyle w:val="TableText"/>
              <w:tabs>
                <w:tab w:val="decimal" w:pos="631"/>
              </w:tabs>
              <w:rPr>
                <w:rFonts w:eastAsia="Arial" w:cs="Arial"/>
                <w:szCs w:val="19"/>
              </w:rPr>
            </w:pPr>
            <w:r w:rsidRPr="00666DF4">
              <w:t>123</w:t>
            </w:r>
          </w:p>
        </w:tc>
        <w:tc>
          <w:tcPr>
            <w:tcW w:w="1134" w:type="dxa"/>
            <w:tcBorders>
              <w:left w:val="nil"/>
              <w:bottom w:val="single" w:sz="4" w:space="0" w:color="auto"/>
              <w:right w:val="nil"/>
            </w:tcBorders>
          </w:tcPr>
          <w:p w:rsidR="00260CEF" w:rsidRPr="00666DF4" w:rsidRDefault="00260CEF" w:rsidP="00D51366">
            <w:pPr>
              <w:pStyle w:val="TableText"/>
              <w:tabs>
                <w:tab w:val="decimal" w:pos="505"/>
              </w:tabs>
              <w:rPr>
                <w:rFonts w:eastAsia="Arial" w:cs="Arial"/>
                <w:szCs w:val="19"/>
              </w:rPr>
            </w:pPr>
            <w:r w:rsidRPr="00666DF4">
              <w:t>5.8</w:t>
            </w:r>
          </w:p>
        </w:tc>
      </w:tr>
      <w:tr w:rsidR="00260CEF" w:rsidRPr="00D51366" w:rsidTr="00D51366">
        <w:trPr>
          <w:cantSplit/>
        </w:trPr>
        <w:tc>
          <w:tcPr>
            <w:tcW w:w="1398" w:type="dxa"/>
            <w:tcBorders>
              <w:top w:val="single" w:sz="4" w:space="0" w:color="auto"/>
              <w:left w:val="nil"/>
              <w:bottom w:val="single" w:sz="4" w:space="0" w:color="000000"/>
            </w:tcBorders>
          </w:tcPr>
          <w:p w:rsidR="00260CEF" w:rsidRPr="00D51366" w:rsidRDefault="00260CEF" w:rsidP="00260CEF">
            <w:pPr>
              <w:pStyle w:val="TableText"/>
              <w:rPr>
                <w:rFonts w:eastAsia="Arial" w:cs="Arial"/>
                <w:b/>
                <w:szCs w:val="19"/>
              </w:rPr>
            </w:pPr>
            <w:r w:rsidRPr="00D51366">
              <w:rPr>
                <w:b/>
              </w:rPr>
              <w:t>Total</w:t>
            </w:r>
          </w:p>
        </w:tc>
        <w:tc>
          <w:tcPr>
            <w:tcW w:w="1161" w:type="dxa"/>
            <w:tcBorders>
              <w:top w:val="single" w:sz="4" w:space="0" w:color="auto"/>
              <w:bottom w:val="single" w:sz="4" w:space="0" w:color="000000"/>
              <w:right w:val="nil"/>
            </w:tcBorders>
          </w:tcPr>
          <w:p w:rsidR="00260CEF" w:rsidRPr="00D51366" w:rsidRDefault="00260CEF" w:rsidP="00D51366">
            <w:pPr>
              <w:pStyle w:val="TableText"/>
              <w:tabs>
                <w:tab w:val="decimal" w:pos="626"/>
              </w:tabs>
              <w:rPr>
                <w:rFonts w:eastAsia="Arial" w:cs="Arial"/>
                <w:b/>
                <w:szCs w:val="19"/>
              </w:rPr>
            </w:pPr>
            <w:r w:rsidRPr="00D51366">
              <w:rPr>
                <w:b/>
              </w:rPr>
              <w:t>213</w:t>
            </w:r>
          </w:p>
        </w:tc>
        <w:tc>
          <w:tcPr>
            <w:tcW w:w="1162" w:type="dxa"/>
            <w:tcBorders>
              <w:top w:val="single" w:sz="4" w:space="0" w:color="auto"/>
              <w:left w:val="nil"/>
              <w:bottom w:val="single" w:sz="4" w:space="0" w:color="000000"/>
            </w:tcBorders>
          </w:tcPr>
          <w:p w:rsidR="00260CEF" w:rsidRPr="00D51366" w:rsidRDefault="00260CEF" w:rsidP="00D51366">
            <w:pPr>
              <w:pStyle w:val="TableText"/>
              <w:tabs>
                <w:tab w:val="decimal" w:pos="645"/>
              </w:tabs>
              <w:rPr>
                <w:rFonts w:eastAsia="Arial" w:cs="Arial"/>
                <w:b/>
                <w:szCs w:val="19"/>
              </w:rPr>
            </w:pPr>
            <w:r w:rsidRPr="00D51366">
              <w:rPr>
                <w:b/>
              </w:rPr>
              <w:t>142.4</w:t>
            </w:r>
          </w:p>
        </w:tc>
        <w:tc>
          <w:tcPr>
            <w:tcW w:w="532" w:type="dxa"/>
            <w:tcBorders>
              <w:top w:val="single" w:sz="4" w:space="0" w:color="auto"/>
              <w:left w:val="nil"/>
              <w:bottom w:val="single" w:sz="4" w:space="0" w:color="auto"/>
            </w:tcBorders>
          </w:tcPr>
          <w:p w:rsidR="00260CEF" w:rsidRPr="00D51366" w:rsidRDefault="00260CEF" w:rsidP="00260CEF">
            <w:pPr>
              <w:pStyle w:val="TableText"/>
              <w:rPr>
                <w:b/>
              </w:rPr>
            </w:pPr>
          </w:p>
        </w:tc>
        <w:tc>
          <w:tcPr>
            <w:tcW w:w="1134" w:type="dxa"/>
            <w:tcBorders>
              <w:top w:val="single" w:sz="4" w:space="0" w:color="auto"/>
              <w:left w:val="nil"/>
              <w:bottom w:val="single" w:sz="4" w:space="0" w:color="000000"/>
              <w:right w:val="nil"/>
            </w:tcBorders>
          </w:tcPr>
          <w:p w:rsidR="00260CEF" w:rsidRPr="00D51366" w:rsidRDefault="00260CEF" w:rsidP="00D51366">
            <w:pPr>
              <w:pStyle w:val="TableText"/>
              <w:tabs>
                <w:tab w:val="decimal" w:pos="533"/>
              </w:tabs>
              <w:rPr>
                <w:rFonts w:eastAsia="Arial" w:cs="Arial"/>
                <w:b/>
                <w:szCs w:val="19"/>
              </w:rPr>
            </w:pPr>
            <w:r w:rsidRPr="00D51366">
              <w:rPr>
                <w:b/>
              </w:rPr>
              <w:t>255</w:t>
            </w:r>
          </w:p>
        </w:tc>
        <w:tc>
          <w:tcPr>
            <w:tcW w:w="1134" w:type="dxa"/>
            <w:tcBorders>
              <w:top w:val="single" w:sz="4" w:space="0" w:color="auto"/>
              <w:left w:val="nil"/>
              <w:bottom w:val="single" w:sz="4" w:space="0" w:color="000000"/>
            </w:tcBorders>
          </w:tcPr>
          <w:p w:rsidR="00260CEF" w:rsidRPr="00D51366" w:rsidRDefault="00260CEF" w:rsidP="00D51366">
            <w:pPr>
              <w:pStyle w:val="TableText"/>
              <w:tabs>
                <w:tab w:val="decimal" w:pos="512"/>
              </w:tabs>
              <w:rPr>
                <w:rFonts w:eastAsia="Arial" w:cs="Arial"/>
                <w:b/>
                <w:szCs w:val="19"/>
              </w:rPr>
            </w:pPr>
            <w:r w:rsidRPr="00D51366">
              <w:rPr>
                <w:b/>
              </w:rPr>
              <w:t>6.5</w:t>
            </w:r>
          </w:p>
        </w:tc>
        <w:tc>
          <w:tcPr>
            <w:tcW w:w="567" w:type="dxa"/>
            <w:tcBorders>
              <w:top w:val="single" w:sz="4" w:space="0" w:color="auto"/>
              <w:bottom w:val="single" w:sz="4" w:space="0" w:color="auto"/>
            </w:tcBorders>
          </w:tcPr>
          <w:p w:rsidR="00260CEF" w:rsidRPr="00D51366" w:rsidRDefault="00260CEF" w:rsidP="00260CEF">
            <w:pPr>
              <w:pStyle w:val="TableText"/>
              <w:rPr>
                <w:b/>
              </w:rPr>
            </w:pPr>
          </w:p>
        </w:tc>
        <w:tc>
          <w:tcPr>
            <w:tcW w:w="1134" w:type="dxa"/>
            <w:tcBorders>
              <w:top w:val="single" w:sz="4" w:space="0" w:color="auto"/>
              <w:bottom w:val="single" w:sz="4" w:space="0" w:color="000000"/>
              <w:right w:val="nil"/>
            </w:tcBorders>
          </w:tcPr>
          <w:p w:rsidR="00260CEF" w:rsidRPr="00D51366" w:rsidRDefault="00260CEF" w:rsidP="00D51366">
            <w:pPr>
              <w:pStyle w:val="TableText"/>
              <w:tabs>
                <w:tab w:val="decimal" w:pos="631"/>
              </w:tabs>
              <w:rPr>
                <w:rFonts w:eastAsia="Arial" w:cs="Arial"/>
                <w:b/>
                <w:szCs w:val="19"/>
              </w:rPr>
            </w:pPr>
            <w:r w:rsidRPr="00D51366">
              <w:rPr>
                <w:b/>
              </w:rPr>
              <w:t>468</w:t>
            </w:r>
          </w:p>
        </w:tc>
        <w:tc>
          <w:tcPr>
            <w:tcW w:w="1134" w:type="dxa"/>
            <w:tcBorders>
              <w:top w:val="single" w:sz="4" w:space="0" w:color="auto"/>
              <w:left w:val="nil"/>
              <w:bottom w:val="single" w:sz="4" w:space="0" w:color="000000"/>
              <w:right w:val="nil"/>
            </w:tcBorders>
          </w:tcPr>
          <w:p w:rsidR="00260CEF" w:rsidRPr="00D51366" w:rsidRDefault="00260CEF" w:rsidP="00D51366">
            <w:pPr>
              <w:pStyle w:val="TableText"/>
              <w:tabs>
                <w:tab w:val="decimal" w:pos="505"/>
              </w:tabs>
              <w:rPr>
                <w:rFonts w:eastAsia="Arial" w:cs="Arial"/>
                <w:b/>
                <w:szCs w:val="19"/>
              </w:rPr>
            </w:pPr>
            <w:r w:rsidRPr="00D51366">
              <w:rPr>
                <w:b/>
              </w:rPr>
              <w:t>11.4</w:t>
            </w:r>
          </w:p>
        </w:tc>
      </w:tr>
    </w:tbl>
    <w:p w:rsidR="00A47CF6" w:rsidRPr="00666DF4" w:rsidRDefault="00A47CF6" w:rsidP="00D51366">
      <w:pPr>
        <w:pStyle w:val="Note"/>
        <w:rPr>
          <w:rFonts w:eastAsia="Arial" w:cs="Arial"/>
          <w:szCs w:val="19"/>
        </w:rPr>
      </w:pPr>
      <w:r w:rsidRPr="00666DF4">
        <w:t>Notes: ASR = Age-standardised rate.</w:t>
      </w:r>
    </w:p>
    <w:p w:rsidR="00A47CF6" w:rsidRPr="00666DF4" w:rsidRDefault="00A47CF6" w:rsidP="00D51366">
      <w:pPr>
        <w:pStyle w:val="Note"/>
        <w:rPr>
          <w:rFonts w:eastAsia="Arial"/>
        </w:rPr>
      </w:pPr>
      <w:r w:rsidRPr="00666DF4">
        <w:rPr>
          <w:rFonts w:eastAsia="Arial"/>
        </w:rPr>
        <w:t>Includes deaths of undetermined intent. Age-standardised rate is per 100,000, standardised to the WHO standard population aged 0–64 years.</w:t>
      </w:r>
    </w:p>
    <w:p w:rsidR="00A47CF6" w:rsidRPr="00666DF4" w:rsidRDefault="00A47CF6" w:rsidP="00D51366">
      <w:pPr>
        <w:pStyle w:val="Note"/>
        <w:rPr>
          <w:rFonts w:eastAsia="Arial" w:cs="Arial"/>
          <w:szCs w:val="19"/>
        </w:rPr>
      </w:pPr>
      <w:r w:rsidRPr="00666DF4">
        <w:t>Service user denominator excludes service users of unknown age.</w:t>
      </w:r>
    </w:p>
    <w:p w:rsidR="00A47CF6" w:rsidRPr="00666DF4" w:rsidRDefault="00A47CF6" w:rsidP="00D51366">
      <w:pPr>
        <w:pStyle w:val="Source"/>
        <w:rPr>
          <w:rFonts w:eastAsia="Arial" w:cs="Arial"/>
          <w:szCs w:val="19"/>
        </w:rPr>
      </w:pPr>
      <w:r w:rsidRPr="00666DF4">
        <w:t>Source: Ministry of Health mortality database data, extracted on 17 July 2017</w:t>
      </w:r>
    </w:p>
    <w:p w:rsidR="00A47CF6" w:rsidRPr="00666DF4" w:rsidRDefault="00A47CF6" w:rsidP="00D51366">
      <w:pPr>
        <w:rPr>
          <w:rFonts w:eastAsia="Arial"/>
        </w:rPr>
      </w:pPr>
    </w:p>
    <w:p w:rsidR="00A47CF6" w:rsidRDefault="00A47CF6" w:rsidP="00D51366">
      <w:pPr>
        <w:pStyle w:val="Figure"/>
        <w:rPr>
          <w:rFonts w:eastAsia="Georgia"/>
        </w:rPr>
      </w:pPr>
      <w:bookmarkStart w:id="197" w:name="Figure_33:_Age-specific_rate_of_suicide,"/>
      <w:bookmarkStart w:id="198" w:name="Table_13:_Number_and_age-specific_rate_o"/>
      <w:bookmarkStart w:id="199" w:name="_bookmark43"/>
      <w:bookmarkStart w:id="200" w:name="_Toc508707357"/>
      <w:bookmarkEnd w:id="197"/>
      <w:bookmarkEnd w:id="198"/>
      <w:bookmarkEnd w:id="199"/>
      <w:r w:rsidRPr="00666DF4">
        <w:rPr>
          <w:rFonts w:eastAsia="Georgia"/>
        </w:rPr>
        <w:t>Figure 33: Age-specific rate of suicide, by age group, gender and service use, people aged 10–64 years, 2014</w:t>
      </w:r>
      <w:bookmarkEnd w:id="200"/>
    </w:p>
    <w:p w:rsidR="00D51366" w:rsidRPr="00D51366" w:rsidRDefault="00D51366" w:rsidP="00D51366">
      <w:pPr>
        <w:rPr>
          <w:rFonts w:eastAsia="Georgia"/>
        </w:rPr>
      </w:pPr>
      <w:r>
        <w:rPr>
          <w:noProof/>
          <w:lang w:eastAsia="en-NZ"/>
        </w:rPr>
        <w:drawing>
          <wp:inline distT="0" distB="0" distL="0" distR="0" wp14:anchorId="2997C149" wp14:editId="3B9FBC20">
            <wp:extent cx="5594466" cy="2176933"/>
            <wp:effectExtent l="0" t="0" r="6350" b="0"/>
            <wp:docPr id="91" name="Picture 91" title="Figure 33: Age-specific rate of suicide, by age group, gender and service use, people aged 10–64 year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grayscl/>
                    </a:blip>
                    <a:srcRect t="2797"/>
                    <a:stretch/>
                  </pic:blipFill>
                  <pic:spPr bwMode="auto">
                    <a:xfrm>
                      <a:off x="0" y="0"/>
                      <a:ext cx="5599308" cy="2178817"/>
                    </a:xfrm>
                    <a:prstGeom prst="rect">
                      <a:avLst/>
                    </a:prstGeom>
                    <a:ln>
                      <a:noFill/>
                    </a:ln>
                    <a:extLst>
                      <a:ext uri="{53640926-AAD7-44D8-BBD7-CCE9431645EC}">
                        <a14:shadowObscured xmlns:a14="http://schemas.microsoft.com/office/drawing/2010/main"/>
                      </a:ext>
                    </a:extLst>
                  </pic:spPr>
                </pic:pic>
              </a:graphicData>
            </a:graphic>
          </wp:inline>
        </w:drawing>
      </w:r>
    </w:p>
    <w:p w:rsidR="00A47CF6" w:rsidRPr="00666DF4" w:rsidRDefault="00A47CF6" w:rsidP="00D51366">
      <w:pPr>
        <w:pStyle w:val="Source"/>
        <w:rPr>
          <w:rFonts w:eastAsia="Arial" w:cs="Arial"/>
          <w:szCs w:val="19"/>
        </w:rPr>
      </w:pPr>
      <w:r w:rsidRPr="00666DF4">
        <w:t>Source: Ministry of Health mortality database data, extracted on 17 July 2017</w:t>
      </w:r>
    </w:p>
    <w:p w:rsidR="00A47CF6" w:rsidRPr="00666DF4" w:rsidRDefault="00A47CF6" w:rsidP="00D51366">
      <w:pPr>
        <w:rPr>
          <w:rFonts w:eastAsia="Arial"/>
        </w:rPr>
      </w:pPr>
    </w:p>
    <w:p w:rsidR="00A47CF6" w:rsidRPr="00666DF4" w:rsidRDefault="00A47CF6" w:rsidP="00D51366">
      <w:r w:rsidRPr="00666DF4">
        <w:t>As Table 13 shows, the rate of suicide among female service users was highest for those aged</w:t>
      </w:r>
      <w:r w:rsidR="00D51366">
        <w:t xml:space="preserve"> </w:t>
      </w:r>
      <w:r w:rsidRPr="00666DF4">
        <w:t>50–54 years, at 345.6 per 100,000. The rate of suicide among male service users was highest for those aged 60–64 years, at 478.3 per 100,000.</w:t>
      </w:r>
    </w:p>
    <w:p w:rsidR="00A47CF6" w:rsidRPr="00666DF4" w:rsidRDefault="00A47CF6" w:rsidP="00D51366">
      <w:pPr>
        <w:rPr>
          <w:rFonts w:eastAsia="Century"/>
        </w:rPr>
      </w:pPr>
    </w:p>
    <w:p w:rsidR="00A47CF6" w:rsidRPr="00666DF4" w:rsidRDefault="00A47CF6" w:rsidP="00D51366">
      <w:r w:rsidRPr="00666DF4">
        <w:t>For female non-service users, the rate of suicide was highest in those aged 45–49 years, at 5.7</w:t>
      </w:r>
      <w:r w:rsidR="00D51366">
        <w:t> </w:t>
      </w:r>
      <w:r w:rsidRPr="00666DF4">
        <w:t>per 100,000 ASR. For male non-service users, the rate of suicide was highest in those aged 55–59 years, at</w:t>
      </w:r>
      <w:r w:rsidR="00D51366">
        <w:t xml:space="preserve"> </w:t>
      </w:r>
      <w:r w:rsidRPr="00666DF4">
        <w:t>16.6 per 100,000 ASR.</w:t>
      </w:r>
    </w:p>
    <w:p w:rsidR="00A47CF6" w:rsidRPr="00666DF4" w:rsidRDefault="00A47CF6" w:rsidP="00D51366">
      <w:pPr>
        <w:rPr>
          <w:rFonts w:eastAsia="Century"/>
        </w:rPr>
      </w:pPr>
    </w:p>
    <w:p w:rsidR="00A47CF6" w:rsidRPr="00666DF4" w:rsidRDefault="00A47CF6" w:rsidP="00D51366">
      <w:pPr>
        <w:pStyle w:val="Table"/>
        <w:rPr>
          <w:rFonts w:eastAsia="Georgia"/>
        </w:rPr>
      </w:pPr>
      <w:bookmarkStart w:id="201" w:name="_Toc508707311"/>
      <w:r w:rsidRPr="00666DF4">
        <w:rPr>
          <w:rFonts w:eastAsia="Georgia"/>
        </w:rPr>
        <w:t>Table 13: Number and age-specific rate of suicide, by age group, gender and service use, people aged 10–64 years, 2014</w:t>
      </w:r>
      <w:bookmarkEnd w:id="201"/>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922"/>
        <w:gridCol w:w="851"/>
        <w:gridCol w:w="355"/>
        <w:gridCol w:w="1062"/>
        <w:gridCol w:w="779"/>
        <w:gridCol w:w="355"/>
        <w:gridCol w:w="850"/>
        <w:gridCol w:w="849"/>
        <w:gridCol w:w="352"/>
        <w:gridCol w:w="926"/>
        <w:gridCol w:w="637"/>
      </w:tblGrid>
      <w:tr w:rsidR="000E35D2" w:rsidRPr="00D51366" w:rsidTr="000E35D2">
        <w:trPr>
          <w:cantSplit/>
        </w:trPr>
        <w:tc>
          <w:tcPr>
            <w:tcW w:w="1418" w:type="dxa"/>
            <w:vMerge w:val="restart"/>
          </w:tcPr>
          <w:p w:rsidR="000E35D2" w:rsidRPr="00D51366" w:rsidRDefault="000E35D2" w:rsidP="00841614">
            <w:pPr>
              <w:pStyle w:val="TableText"/>
              <w:rPr>
                <w:rFonts w:eastAsia="Arial" w:cs="Arial"/>
                <w:b/>
                <w:szCs w:val="18"/>
              </w:rPr>
            </w:pPr>
            <w:r w:rsidRPr="00D51366">
              <w:rPr>
                <w:b/>
              </w:rPr>
              <w:t>Age (years)</w:t>
            </w:r>
          </w:p>
        </w:tc>
        <w:tc>
          <w:tcPr>
            <w:tcW w:w="3969" w:type="dxa"/>
            <w:gridSpan w:val="5"/>
            <w:tcBorders>
              <w:bottom w:val="single" w:sz="4" w:space="0" w:color="auto"/>
            </w:tcBorders>
          </w:tcPr>
          <w:p w:rsidR="000E35D2" w:rsidRPr="00D51366" w:rsidRDefault="000E35D2" w:rsidP="00D51366">
            <w:pPr>
              <w:pStyle w:val="TableText"/>
              <w:jc w:val="center"/>
              <w:rPr>
                <w:rFonts w:eastAsia="Arial" w:cs="Arial"/>
                <w:b/>
                <w:szCs w:val="18"/>
              </w:rPr>
            </w:pPr>
            <w:r w:rsidRPr="00D51366">
              <w:rPr>
                <w:b/>
              </w:rPr>
              <w:t>Service users</w:t>
            </w:r>
          </w:p>
        </w:tc>
        <w:tc>
          <w:tcPr>
            <w:tcW w:w="355" w:type="dxa"/>
            <w:tcBorders>
              <w:top w:val="single" w:sz="4" w:space="0" w:color="auto"/>
              <w:bottom w:val="nil"/>
            </w:tcBorders>
          </w:tcPr>
          <w:p w:rsidR="000E35D2" w:rsidRPr="00D51366" w:rsidRDefault="000E35D2" w:rsidP="000E35D2">
            <w:pPr>
              <w:pStyle w:val="TableText"/>
              <w:rPr>
                <w:b/>
              </w:rPr>
            </w:pPr>
          </w:p>
        </w:tc>
        <w:tc>
          <w:tcPr>
            <w:tcW w:w="3614" w:type="dxa"/>
            <w:gridSpan w:val="5"/>
          </w:tcPr>
          <w:p w:rsidR="000E35D2" w:rsidRPr="00D51366" w:rsidRDefault="000E35D2" w:rsidP="00D51366">
            <w:pPr>
              <w:pStyle w:val="TableText"/>
              <w:jc w:val="center"/>
              <w:rPr>
                <w:rFonts w:eastAsia="Arial" w:cs="Arial"/>
                <w:b/>
                <w:szCs w:val="18"/>
              </w:rPr>
            </w:pPr>
            <w:r w:rsidRPr="00D51366">
              <w:rPr>
                <w:b/>
              </w:rPr>
              <w:t>Non-service users</w:t>
            </w:r>
          </w:p>
        </w:tc>
      </w:tr>
      <w:tr w:rsidR="000E35D2" w:rsidRPr="00D51366" w:rsidTr="000E35D2">
        <w:trPr>
          <w:cantSplit/>
        </w:trPr>
        <w:tc>
          <w:tcPr>
            <w:tcW w:w="1418" w:type="dxa"/>
            <w:vMerge/>
          </w:tcPr>
          <w:p w:rsidR="000E35D2" w:rsidRPr="00D51366" w:rsidRDefault="000E35D2" w:rsidP="00841614">
            <w:pPr>
              <w:pStyle w:val="TableText"/>
              <w:rPr>
                <w:b/>
              </w:rPr>
            </w:pPr>
          </w:p>
        </w:tc>
        <w:tc>
          <w:tcPr>
            <w:tcW w:w="1773" w:type="dxa"/>
            <w:gridSpan w:val="2"/>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b/>
              </w:rPr>
              <w:t>Female</w:t>
            </w:r>
          </w:p>
        </w:tc>
        <w:tc>
          <w:tcPr>
            <w:tcW w:w="355" w:type="dxa"/>
            <w:tcBorders>
              <w:top w:val="single" w:sz="4" w:space="0" w:color="auto"/>
              <w:bottom w:val="nil"/>
            </w:tcBorders>
          </w:tcPr>
          <w:p w:rsidR="000E35D2" w:rsidRPr="00D51366" w:rsidRDefault="000E35D2" w:rsidP="000E35D2">
            <w:pPr>
              <w:pStyle w:val="TableText"/>
              <w:rPr>
                <w:rFonts w:eastAsia="Arial" w:cs="Arial"/>
                <w:b/>
                <w:szCs w:val="18"/>
              </w:rPr>
            </w:pPr>
          </w:p>
        </w:tc>
        <w:tc>
          <w:tcPr>
            <w:tcW w:w="1841" w:type="dxa"/>
            <w:gridSpan w:val="2"/>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rFonts w:eastAsia="Arial" w:cs="Arial"/>
                <w:b/>
                <w:szCs w:val="18"/>
              </w:rPr>
              <w:t>Male</w:t>
            </w:r>
          </w:p>
        </w:tc>
        <w:tc>
          <w:tcPr>
            <w:tcW w:w="355" w:type="dxa"/>
            <w:tcBorders>
              <w:top w:val="nil"/>
              <w:bottom w:val="nil"/>
            </w:tcBorders>
          </w:tcPr>
          <w:p w:rsidR="000E35D2" w:rsidRPr="00D51366" w:rsidRDefault="000E35D2" w:rsidP="000E35D2">
            <w:pPr>
              <w:pStyle w:val="TableText"/>
              <w:rPr>
                <w:b/>
              </w:rPr>
            </w:pPr>
          </w:p>
        </w:tc>
        <w:tc>
          <w:tcPr>
            <w:tcW w:w="1699" w:type="dxa"/>
            <w:gridSpan w:val="2"/>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b/>
              </w:rPr>
              <w:t>Female</w:t>
            </w:r>
          </w:p>
        </w:tc>
        <w:tc>
          <w:tcPr>
            <w:tcW w:w="352" w:type="dxa"/>
            <w:tcBorders>
              <w:bottom w:val="nil"/>
            </w:tcBorders>
          </w:tcPr>
          <w:p w:rsidR="000E35D2" w:rsidRPr="00D51366" w:rsidRDefault="000E35D2" w:rsidP="000E35D2">
            <w:pPr>
              <w:pStyle w:val="TableText"/>
              <w:rPr>
                <w:b/>
              </w:rPr>
            </w:pPr>
          </w:p>
        </w:tc>
        <w:tc>
          <w:tcPr>
            <w:tcW w:w="1563" w:type="dxa"/>
            <w:gridSpan w:val="2"/>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b/>
              </w:rPr>
              <w:t>Male</w:t>
            </w:r>
          </w:p>
        </w:tc>
      </w:tr>
      <w:tr w:rsidR="000E35D2" w:rsidRPr="00D51366" w:rsidTr="000E35D2">
        <w:trPr>
          <w:cantSplit/>
        </w:trPr>
        <w:tc>
          <w:tcPr>
            <w:tcW w:w="1418" w:type="dxa"/>
            <w:vMerge/>
          </w:tcPr>
          <w:p w:rsidR="000E35D2" w:rsidRPr="00D51366" w:rsidRDefault="000E35D2" w:rsidP="00841614">
            <w:pPr>
              <w:pStyle w:val="TableText"/>
              <w:rPr>
                <w:b/>
              </w:rPr>
            </w:pPr>
          </w:p>
        </w:tc>
        <w:tc>
          <w:tcPr>
            <w:tcW w:w="922"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Number</w:t>
            </w:r>
          </w:p>
        </w:tc>
        <w:tc>
          <w:tcPr>
            <w:tcW w:w="851"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ASR</w:t>
            </w:r>
          </w:p>
        </w:tc>
        <w:tc>
          <w:tcPr>
            <w:tcW w:w="355" w:type="dxa"/>
            <w:tcBorders>
              <w:top w:val="nil"/>
              <w:bottom w:val="nil"/>
            </w:tcBorders>
          </w:tcPr>
          <w:p w:rsidR="000E35D2" w:rsidRPr="00D51366" w:rsidRDefault="000E35D2" w:rsidP="000E35D2">
            <w:pPr>
              <w:pStyle w:val="TableText"/>
              <w:rPr>
                <w:b/>
              </w:rPr>
            </w:pPr>
          </w:p>
        </w:tc>
        <w:tc>
          <w:tcPr>
            <w:tcW w:w="1062"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Number</w:t>
            </w:r>
          </w:p>
        </w:tc>
        <w:tc>
          <w:tcPr>
            <w:tcW w:w="779" w:type="dxa"/>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b/>
              </w:rPr>
              <w:t>ASR</w:t>
            </w:r>
          </w:p>
        </w:tc>
        <w:tc>
          <w:tcPr>
            <w:tcW w:w="355" w:type="dxa"/>
            <w:tcBorders>
              <w:top w:val="nil"/>
              <w:bottom w:val="nil"/>
            </w:tcBorders>
          </w:tcPr>
          <w:p w:rsidR="000E35D2" w:rsidRPr="00D51366" w:rsidRDefault="000E35D2" w:rsidP="000E35D2">
            <w:pPr>
              <w:pStyle w:val="TableText"/>
              <w:rPr>
                <w:b/>
              </w:rPr>
            </w:pPr>
          </w:p>
        </w:tc>
        <w:tc>
          <w:tcPr>
            <w:tcW w:w="850"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Number</w:t>
            </w:r>
          </w:p>
        </w:tc>
        <w:tc>
          <w:tcPr>
            <w:tcW w:w="849"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ASR</w:t>
            </w:r>
          </w:p>
        </w:tc>
        <w:tc>
          <w:tcPr>
            <w:tcW w:w="352" w:type="dxa"/>
            <w:tcBorders>
              <w:top w:val="nil"/>
              <w:bottom w:val="nil"/>
            </w:tcBorders>
          </w:tcPr>
          <w:p w:rsidR="000E35D2" w:rsidRPr="00D51366" w:rsidRDefault="000E35D2" w:rsidP="000E35D2">
            <w:pPr>
              <w:pStyle w:val="TableText"/>
              <w:rPr>
                <w:b/>
              </w:rPr>
            </w:pPr>
          </w:p>
        </w:tc>
        <w:tc>
          <w:tcPr>
            <w:tcW w:w="926" w:type="dxa"/>
            <w:tcBorders>
              <w:top w:val="single" w:sz="4" w:space="0" w:color="auto"/>
              <w:bottom w:val="single" w:sz="4" w:space="0" w:color="auto"/>
            </w:tcBorders>
          </w:tcPr>
          <w:p w:rsidR="000E35D2" w:rsidRPr="00D51366" w:rsidRDefault="000E35D2" w:rsidP="00D51366">
            <w:pPr>
              <w:pStyle w:val="TableText"/>
              <w:jc w:val="center"/>
              <w:rPr>
                <w:b/>
              </w:rPr>
            </w:pPr>
            <w:r w:rsidRPr="00D51366">
              <w:rPr>
                <w:b/>
              </w:rPr>
              <w:t>Number</w:t>
            </w:r>
          </w:p>
        </w:tc>
        <w:tc>
          <w:tcPr>
            <w:tcW w:w="637" w:type="dxa"/>
            <w:tcBorders>
              <w:top w:val="single" w:sz="4" w:space="0" w:color="auto"/>
              <w:bottom w:val="single" w:sz="4" w:space="0" w:color="auto"/>
            </w:tcBorders>
          </w:tcPr>
          <w:p w:rsidR="000E35D2" w:rsidRPr="00D51366" w:rsidRDefault="000E35D2" w:rsidP="00D51366">
            <w:pPr>
              <w:pStyle w:val="TableText"/>
              <w:jc w:val="center"/>
              <w:rPr>
                <w:rFonts w:eastAsia="Arial" w:cs="Arial"/>
                <w:b/>
                <w:szCs w:val="18"/>
              </w:rPr>
            </w:pPr>
            <w:r w:rsidRPr="00D51366">
              <w:rPr>
                <w:b/>
              </w:rPr>
              <w:t>ASR</w:t>
            </w:r>
          </w:p>
        </w:tc>
      </w:tr>
      <w:tr w:rsidR="000E35D2" w:rsidRPr="00D51366" w:rsidTr="000E35D2">
        <w:trPr>
          <w:cantSplit/>
        </w:trPr>
        <w:tc>
          <w:tcPr>
            <w:tcW w:w="1418" w:type="dxa"/>
            <w:tcBorders>
              <w:top w:val="single" w:sz="4" w:space="0" w:color="auto"/>
              <w:bottom w:val="nil"/>
            </w:tcBorders>
          </w:tcPr>
          <w:p w:rsidR="000E35D2" w:rsidRPr="00D51366" w:rsidRDefault="000E35D2" w:rsidP="00D51366">
            <w:pPr>
              <w:pStyle w:val="TableText"/>
              <w:rPr>
                <w:rFonts w:eastAsia="Arial" w:cs="Arial"/>
                <w:szCs w:val="18"/>
              </w:rPr>
            </w:pPr>
            <w:r w:rsidRPr="00D51366">
              <w:t>10</w:t>
            </w:r>
            <w:r>
              <w:t>–</w:t>
            </w:r>
            <w:r w:rsidRPr="00D51366">
              <w:t>14</w:t>
            </w:r>
          </w:p>
        </w:tc>
        <w:tc>
          <w:tcPr>
            <w:tcW w:w="922" w:type="dxa"/>
            <w:tcBorders>
              <w:top w:val="single" w:sz="4" w:space="0" w:color="auto"/>
              <w:bottom w:val="nil"/>
            </w:tcBorders>
          </w:tcPr>
          <w:p w:rsidR="000E35D2" w:rsidRPr="00D51366" w:rsidRDefault="000E35D2" w:rsidP="000E35D2">
            <w:pPr>
              <w:pStyle w:val="TableText"/>
              <w:tabs>
                <w:tab w:val="decimal" w:pos="515"/>
              </w:tabs>
              <w:rPr>
                <w:rFonts w:eastAsia="Arial" w:cs="Arial"/>
                <w:szCs w:val="18"/>
              </w:rPr>
            </w:pPr>
            <w:r w:rsidRPr="00D51366">
              <w:t>1</w:t>
            </w:r>
          </w:p>
        </w:tc>
        <w:tc>
          <w:tcPr>
            <w:tcW w:w="851" w:type="dxa"/>
            <w:tcBorders>
              <w:top w:val="single" w:sz="4" w:space="0" w:color="auto"/>
              <w:bottom w:val="nil"/>
            </w:tcBorders>
          </w:tcPr>
          <w:p w:rsidR="000E35D2" w:rsidRPr="00D51366" w:rsidRDefault="000E35D2" w:rsidP="000E35D2">
            <w:pPr>
              <w:pStyle w:val="TableText"/>
              <w:tabs>
                <w:tab w:val="decimal" w:pos="483"/>
              </w:tabs>
              <w:rPr>
                <w:rFonts w:eastAsia="Arial" w:cs="Arial"/>
                <w:szCs w:val="18"/>
              </w:rPr>
            </w:pPr>
            <w:r w:rsidRPr="00D51366">
              <w:t>24.0</w:t>
            </w:r>
          </w:p>
        </w:tc>
        <w:tc>
          <w:tcPr>
            <w:tcW w:w="355" w:type="dxa"/>
            <w:tcBorders>
              <w:top w:val="single" w:sz="4" w:space="0" w:color="auto"/>
              <w:bottom w:val="nil"/>
            </w:tcBorders>
          </w:tcPr>
          <w:p w:rsidR="000E35D2" w:rsidRPr="00D51366" w:rsidRDefault="000E35D2" w:rsidP="00841614">
            <w:pPr>
              <w:pStyle w:val="TableText"/>
            </w:pPr>
          </w:p>
        </w:tc>
        <w:tc>
          <w:tcPr>
            <w:tcW w:w="1062" w:type="dxa"/>
            <w:tcBorders>
              <w:top w:val="single" w:sz="4" w:space="0" w:color="auto"/>
              <w:bottom w:val="nil"/>
            </w:tcBorders>
          </w:tcPr>
          <w:p w:rsidR="000E35D2" w:rsidRPr="00D51366" w:rsidRDefault="000E35D2" w:rsidP="000E35D2">
            <w:pPr>
              <w:pStyle w:val="TableText"/>
              <w:tabs>
                <w:tab w:val="decimal" w:pos="599"/>
              </w:tabs>
              <w:rPr>
                <w:rFonts w:eastAsia="Arial" w:cs="Arial"/>
                <w:szCs w:val="18"/>
              </w:rPr>
            </w:pPr>
            <w:r w:rsidRPr="00D51366">
              <w:t>1</w:t>
            </w:r>
          </w:p>
        </w:tc>
        <w:tc>
          <w:tcPr>
            <w:tcW w:w="779" w:type="dxa"/>
            <w:tcBorders>
              <w:top w:val="single" w:sz="4" w:space="0" w:color="auto"/>
              <w:bottom w:val="nil"/>
            </w:tcBorders>
          </w:tcPr>
          <w:p w:rsidR="000E35D2" w:rsidRPr="00D51366" w:rsidRDefault="000E35D2" w:rsidP="000E35D2">
            <w:pPr>
              <w:pStyle w:val="TableText"/>
              <w:tabs>
                <w:tab w:val="decimal" w:pos="388"/>
              </w:tabs>
              <w:rPr>
                <w:rFonts w:eastAsia="Arial" w:cs="Arial"/>
                <w:szCs w:val="18"/>
              </w:rPr>
            </w:pPr>
            <w:r w:rsidRPr="00D51366">
              <w:t>18.3</w:t>
            </w:r>
          </w:p>
        </w:tc>
        <w:tc>
          <w:tcPr>
            <w:tcW w:w="355" w:type="dxa"/>
            <w:tcBorders>
              <w:top w:val="single" w:sz="4" w:space="0" w:color="auto"/>
              <w:bottom w:val="nil"/>
            </w:tcBorders>
          </w:tcPr>
          <w:p w:rsidR="000E35D2" w:rsidRPr="00D51366" w:rsidRDefault="000E35D2" w:rsidP="00841614">
            <w:pPr>
              <w:pStyle w:val="TableText"/>
            </w:pPr>
          </w:p>
        </w:tc>
        <w:tc>
          <w:tcPr>
            <w:tcW w:w="850" w:type="dxa"/>
            <w:tcBorders>
              <w:top w:val="single" w:sz="4" w:space="0" w:color="auto"/>
              <w:bottom w:val="nil"/>
            </w:tcBorders>
          </w:tcPr>
          <w:p w:rsidR="000E35D2" w:rsidRPr="00D51366" w:rsidRDefault="000E35D2" w:rsidP="000E35D2">
            <w:pPr>
              <w:pStyle w:val="TableText"/>
              <w:tabs>
                <w:tab w:val="decimal" w:pos="380"/>
              </w:tabs>
              <w:rPr>
                <w:rFonts w:eastAsia="Arial" w:cs="Arial"/>
                <w:szCs w:val="18"/>
              </w:rPr>
            </w:pPr>
            <w:r w:rsidRPr="00D51366">
              <w:t>2</w:t>
            </w:r>
          </w:p>
        </w:tc>
        <w:tc>
          <w:tcPr>
            <w:tcW w:w="849" w:type="dxa"/>
            <w:tcBorders>
              <w:top w:val="single" w:sz="4" w:space="0" w:color="auto"/>
              <w:bottom w:val="nil"/>
            </w:tcBorders>
          </w:tcPr>
          <w:p w:rsidR="000E35D2" w:rsidRPr="00D51366" w:rsidRDefault="000E35D2" w:rsidP="000E35D2">
            <w:pPr>
              <w:pStyle w:val="TableText"/>
              <w:tabs>
                <w:tab w:val="decimal" w:pos="355"/>
              </w:tabs>
              <w:rPr>
                <w:rFonts w:eastAsia="Arial" w:cs="Arial"/>
                <w:szCs w:val="18"/>
              </w:rPr>
            </w:pPr>
            <w:r w:rsidRPr="00D51366">
              <w:t>1.4</w:t>
            </w:r>
          </w:p>
        </w:tc>
        <w:tc>
          <w:tcPr>
            <w:tcW w:w="352" w:type="dxa"/>
            <w:tcBorders>
              <w:top w:val="single" w:sz="4" w:space="0" w:color="auto"/>
              <w:bottom w:val="nil"/>
            </w:tcBorders>
          </w:tcPr>
          <w:p w:rsidR="000E35D2" w:rsidRPr="00D51366" w:rsidRDefault="000E35D2" w:rsidP="00841614">
            <w:pPr>
              <w:pStyle w:val="TableText"/>
            </w:pPr>
          </w:p>
        </w:tc>
        <w:tc>
          <w:tcPr>
            <w:tcW w:w="926" w:type="dxa"/>
            <w:tcBorders>
              <w:top w:val="single" w:sz="4" w:space="0" w:color="auto"/>
              <w:bottom w:val="nil"/>
            </w:tcBorders>
          </w:tcPr>
          <w:p w:rsidR="000E35D2" w:rsidRPr="00D51366" w:rsidRDefault="000E35D2" w:rsidP="000E35D2">
            <w:pPr>
              <w:pStyle w:val="TableText"/>
              <w:tabs>
                <w:tab w:val="decimal" w:pos="423"/>
              </w:tabs>
              <w:rPr>
                <w:rFonts w:eastAsia="Arial" w:cs="Arial"/>
                <w:szCs w:val="18"/>
              </w:rPr>
            </w:pPr>
            <w:r w:rsidRPr="00D51366">
              <w:t>2</w:t>
            </w:r>
          </w:p>
        </w:tc>
        <w:tc>
          <w:tcPr>
            <w:tcW w:w="637" w:type="dxa"/>
            <w:tcBorders>
              <w:top w:val="single" w:sz="4" w:space="0" w:color="auto"/>
              <w:bottom w:val="nil"/>
            </w:tcBorders>
          </w:tcPr>
          <w:p w:rsidR="000E35D2" w:rsidRPr="00D51366" w:rsidRDefault="000E35D2" w:rsidP="000E35D2">
            <w:pPr>
              <w:pStyle w:val="TableText"/>
              <w:tabs>
                <w:tab w:val="decimal" w:pos="257"/>
              </w:tabs>
              <w:rPr>
                <w:rFonts w:eastAsia="Arial" w:cs="Arial"/>
                <w:szCs w:val="18"/>
              </w:rPr>
            </w:pPr>
            <w:r w:rsidRPr="00D51366">
              <w:t>1.4</w:t>
            </w:r>
          </w:p>
        </w:tc>
      </w:tr>
      <w:tr w:rsidR="000E35D2" w:rsidRPr="00D51366" w:rsidTr="000E35D2">
        <w:trPr>
          <w:cantSplit/>
        </w:trPr>
        <w:tc>
          <w:tcPr>
            <w:tcW w:w="1418" w:type="dxa"/>
            <w:tcBorders>
              <w:top w:val="nil"/>
            </w:tcBorders>
          </w:tcPr>
          <w:p w:rsidR="000E35D2" w:rsidRPr="00D51366" w:rsidRDefault="000E35D2" w:rsidP="00841614">
            <w:pPr>
              <w:pStyle w:val="TableText"/>
              <w:rPr>
                <w:rFonts w:eastAsia="Arial" w:cs="Arial"/>
                <w:szCs w:val="18"/>
              </w:rPr>
            </w:pPr>
            <w:r w:rsidRPr="00D51366">
              <w:rPr>
                <w:rFonts w:eastAsia="Arial" w:cs="Arial"/>
                <w:bCs/>
                <w:szCs w:val="18"/>
              </w:rPr>
              <w:t>15–19</w:t>
            </w:r>
          </w:p>
        </w:tc>
        <w:tc>
          <w:tcPr>
            <w:tcW w:w="922" w:type="dxa"/>
            <w:tcBorders>
              <w:top w:val="nil"/>
            </w:tcBorders>
          </w:tcPr>
          <w:p w:rsidR="000E35D2" w:rsidRPr="00D51366" w:rsidRDefault="000E35D2" w:rsidP="000E35D2">
            <w:pPr>
              <w:pStyle w:val="TableText"/>
              <w:tabs>
                <w:tab w:val="decimal" w:pos="515"/>
              </w:tabs>
              <w:rPr>
                <w:rFonts w:eastAsia="Arial" w:cs="Arial"/>
                <w:szCs w:val="18"/>
              </w:rPr>
            </w:pPr>
            <w:r w:rsidRPr="00D51366">
              <w:t>5</w:t>
            </w:r>
          </w:p>
        </w:tc>
        <w:tc>
          <w:tcPr>
            <w:tcW w:w="851" w:type="dxa"/>
            <w:tcBorders>
              <w:top w:val="nil"/>
            </w:tcBorders>
          </w:tcPr>
          <w:p w:rsidR="000E35D2" w:rsidRPr="00D51366" w:rsidRDefault="000E35D2" w:rsidP="000E35D2">
            <w:pPr>
              <w:pStyle w:val="TableText"/>
              <w:tabs>
                <w:tab w:val="decimal" w:pos="483"/>
              </w:tabs>
              <w:rPr>
                <w:rFonts w:eastAsia="Arial" w:cs="Arial"/>
                <w:szCs w:val="18"/>
              </w:rPr>
            </w:pPr>
            <w:r w:rsidRPr="00D51366">
              <w:t>49.6</w:t>
            </w:r>
          </w:p>
        </w:tc>
        <w:tc>
          <w:tcPr>
            <w:tcW w:w="355" w:type="dxa"/>
            <w:tcBorders>
              <w:top w:val="nil"/>
            </w:tcBorders>
          </w:tcPr>
          <w:p w:rsidR="000E35D2" w:rsidRPr="00D51366" w:rsidRDefault="000E35D2" w:rsidP="00841614">
            <w:pPr>
              <w:pStyle w:val="TableText"/>
            </w:pPr>
          </w:p>
        </w:tc>
        <w:tc>
          <w:tcPr>
            <w:tcW w:w="1062" w:type="dxa"/>
            <w:tcBorders>
              <w:top w:val="nil"/>
            </w:tcBorders>
          </w:tcPr>
          <w:p w:rsidR="000E35D2" w:rsidRPr="00D51366" w:rsidRDefault="000E35D2" w:rsidP="000E35D2">
            <w:pPr>
              <w:pStyle w:val="TableText"/>
              <w:tabs>
                <w:tab w:val="decimal" w:pos="599"/>
              </w:tabs>
              <w:rPr>
                <w:rFonts w:eastAsia="Arial" w:cs="Arial"/>
                <w:szCs w:val="18"/>
              </w:rPr>
            </w:pPr>
            <w:r w:rsidRPr="00D51366">
              <w:t>6</w:t>
            </w:r>
          </w:p>
        </w:tc>
        <w:tc>
          <w:tcPr>
            <w:tcW w:w="779" w:type="dxa"/>
            <w:tcBorders>
              <w:top w:val="nil"/>
            </w:tcBorders>
          </w:tcPr>
          <w:p w:rsidR="000E35D2" w:rsidRPr="00D51366" w:rsidRDefault="000E35D2" w:rsidP="000E35D2">
            <w:pPr>
              <w:pStyle w:val="TableText"/>
              <w:tabs>
                <w:tab w:val="decimal" w:pos="388"/>
              </w:tabs>
              <w:rPr>
                <w:rFonts w:eastAsia="Arial" w:cs="Arial"/>
                <w:szCs w:val="18"/>
              </w:rPr>
            </w:pPr>
            <w:r w:rsidRPr="00D51366">
              <w:t>66.5</w:t>
            </w:r>
          </w:p>
        </w:tc>
        <w:tc>
          <w:tcPr>
            <w:tcW w:w="355" w:type="dxa"/>
            <w:tcBorders>
              <w:top w:val="nil"/>
              <w:bottom w:val="nil"/>
            </w:tcBorders>
          </w:tcPr>
          <w:p w:rsidR="000E35D2" w:rsidRPr="00D51366" w:rsidRDefault="000E35D2" w:rsidP="00841614">
            <w:pPr>
              <w:pStyle w:val="TableText"/>
            </w:pPr>
          </w:p>
        </w:tc>
        <w:tc>
          <w:tcPr>
            <w:tcW w:w="850" w:type="dxa"/>
            <w:tcBorders>
              <w:top w:val="nil"/>
            </w:tcBorders>
          </w:tcPr>
          <w:p w:rsidR="000E35D2" w:rsidRPr="00D51366" w:rsidRDefault="000E35D2" w:rsidP="000E35D2">
            <w:pPr>
              <w:pStyle w:val="TableText"/>
              <w:tabs>
                <w:tab w:val="decimal" w:pos="380"/>
              </w:tabs>
              <w:rPr>
                <w:rFonts w:eastAsia="Arial" w:cs="Arial"/>
                <w:szCs w:val="18"/>
              </w:rPr>
            </w:pPr>
            <w:r w:rsidRPr="00D51366">
              <w:t>7</w:t>
            </w:r>
          </w:p>
        </w:tc>
        <w:tc>
          <w:tcPr>
            <w:tcW w:w="849" w:type="dxa"/>
            <w:tcBorders>
              <w:top w:val="nil"/>
            </w:tcBorders>
          </w:tcPr>
          <w:p w:rsidR="000E35D2" w:rsidRPr="00D51366" w:rsidRDefault="000E35D2" w:rsidP="000E35D2">
            <w:pPr>
              <w:pStyle w:val="TableText"/>
              <w:tabs>
                <w:tab w:val="decimal" w:pos="355"/>
              </w:tabs>
              <w:rPr>
                <w:rFonts w:eastAsia="Arial" w:cs="Arial"/>
                <w:szCs w:val="18"/>
              </w:rPr>
            </w:pPr>
            <w:r w:rsidRPr="00D51366">
              <w:t>4.9</w:t>
            </w:r>
          </w:p>
        </w:tc>
        <w:tc>
          <w:tcPr>
            <w:tcW w:w="352" w:type="dxa"/>
            <w:tcBorders>
              <w:top w:val="nil"/>
            </w:tcBorders>
          </w:tcPr>
          <w:p w:rsidR="000E35D2" w:rsidRPr="00D51366" w:rsidRDefault="000E35D2" w:rsidP="00841614">
            <w:pPr>
              <w:pStyle w:val="TableText"/>
            </w:pPr>
          </w:p>
        </w:tc>
        <w:tc>
          <w:tcPr>
            <w:tcW w:w="926" w:type="dxa"/>
            <w:tcBorders>
              <w:top w:val="nil"/>
            </w:tcBorders>
          </w:tcPr>
          <w:p w:rsidR="000E35D2" w:rsidRPr="00D51366" w:rsidRDefault="000E35D2" w:rsidP="000E35D2">
            <w:pPr>
              <w:pStyle w:val="TableText"/>
              <w:tabs>
                <w:tab w:val="decimal" w:pos="423"/>
              </w:tabs>
              <w:rPr>
                <w:rFonts w:eastAsia="Arial" w:cs="Arial"/>
                <w:szCs w:val="18"/>
              </w:rPr>
            </w:pPr>
            <w:r w:rsidRPr="00D51366">
              <w:t>23</w:t>
            </w:r>
          </w:p>
        </w:tc>
        <w:tc>
          <w:tcPr>
            <w:tcW w:w="637" w:type="dxa"/>
            <w:tcBorders>
              <w:top w:val="nil"/>
            </w:tcBorders>
          </w:tcPr>
          <w:p w:rsidR="000E35D2" w:rsidRPr="00D51366" w:rsidRDefault="000E35D2" w:rsidP="000E35D2">
            <w:pPr>
              <w:pStyle w:val="TableText"/>
              <w:tabs>
                <w:tab w:val="decimal" w:pos="257"/>
              </w:tabs>
              <w:rPr>
                <w:rFonts w:eastAsia="Arial" w:cs="Arial"/>
                <w:szCs w:val="18"/>
              </w:rPr>
            </w:pPr>
            <w:r w:rsidRPr="00D51366">
              <w:t>15.1</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20–24</w:t>
            </w:r>
          </w:p>
        </w:tc>
        <w:tc>
          <w:tcPr>
            <w:tcW w:w="922" w:type="dxa"/>
          </w:tcPr>
          <w:p w:rsidR="000E35D2" w:rsidRPr="00D51366" w:rsidRDefault="000E35D2" w:rsidP="000E35D2">
            <w:pPr>
              <w:pStyle w:val="TableText"/>
              <w:tabs>
                <w:tab w:val="decimal" w:pos="515"/>
              </w:tabs>
              <w:rPr>
                <w:rFonts w:eastAsia="Arial" w:cs="Arial"/>
                <w:szCs w:val="18"/>
              </w:rPr>
            </w:pPr>
            <w:r w:rsidRPr="00D51366">
              <w:t>3</w:t>
            </w:r>
          </w:p>
        </w:tc>
        <w:tc>
          <w:tcPr>
            <w:tcW w:w="851" w:type="dxa"/>
          </w:tcPr>
          <w:p w:rsidR="000E35D2" w:rsidRPr="00D51366" w:rsidRDefault="000E35D2" w:rsidP="000E35D2">
            <w:pPr>
              <w:pStyle w:val="TableText"/>
              <w:tabs>
                <w:tab w:val="decimal" w:pos="483"/>
              </w:tabs>
              <w:rPr>
                <w:rFonts w:eastAsia="Arial" w:cs="Arial"/>
                <w:szCs w:val="18"/>
              </w:rPr>
            </w:pPr>
            <w:r w:rsidRPr="00D51366">
              <w:t>47.6</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16</w:t>
            </w:r>
          </w:p>
        </w:tc>
        <w:tc>
          <w:tcPr>
            <w:tcW w:w="779" w:type="dxa"/>
          </w:tcPr>
          <w:p w:rsidR="000E35D2" w:rsidRPr="00D51366" w:rsidRDefault="000E35D2" w:rsidP="000E35D2">
            <w:pPr>
              <w:pStyle w:val="TableText"/>
              <w:tabs>
                <w:tab w:val="decimal" w:pos="388"/>
              </w:tabs>
              <w:rPr>
                <w:rFonts w:eastAsia="Arial" w:cs="Arial"/>
                <w:szCs w:val="18"/>
              </w:rPr>
            </w:pPr>
            <w:r w:rsidRPr="00D51366">
              <w:t>191.6</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7</w:t>
            </w:r>
          </w:p>
        </w:tc>
        <w:tc>
          <w:tcPr>
            <w:tcW w:w="849" w:type="dxa"/>
          </w:tcPr>
          <w:p w:rsidR="000E35D2" w:rsidRPr="00D51366" w:rsidRDefault="000E35D2" w:rsidP="000E35D2">
            <w:pPr>
              <w:pStyle w:val="TableText"/>
              <w:tabs>
                <w:tab w:val="decimal" w:pos="355"/>
              </w:tabs>
              <w:rPr>
                <w:rFonts w:eastAsia="Arial" w:cs="Arial"/>
                <w:szCs w:val="18"/>
              </w:rPr>
            </w:pPr>
            <w:r w:rsidRPr="00D51366">
              <w:t>4.6</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25</w:t>
            </w:r>
          </w:p>
        </w:tc>
        <w:tc>
          <w:tcPr>
            <w:tcW w:w="637" w:type="dxa"/>
          </w:tcPr>
          <w:p w:rsidR="000E35D2" w:rsidRPr="00D51366" w:rsidRDefault="000E35D2" w:rsidP="000E35D2">
            <w:pPr>
              <w:pStyle w:val="TableText"/>
              <w:tabs>
                <w:tab w:val="decimal" w:pos="257"/>
              </w:tabs>
              <w:rPr>
                <w:rFonts w:eastAsia="Arial" w:cs="Arial"/>
                <w:szCs w:val="18"/>
              </w:rPr>
            </w:pPr>
            <w:r w:rsidRPr="00D51366">
              <w:t>15.8</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25–29</w:t>
            </w:r>
          </w:p>
        </w:tc>
        <w:tc>
          <w:tcPr>
            <w:tcW w:w="922" w:type="dxa"/>
          </w:tcPr>
          <w:p w:rsidR="000E35D2" w:rsidRPr="00D51366" w:rsidRDefault="000E35D2" w:rsidP="000E35D2">
            <w:pPr>
              <w:pStyle w:val="TableText"/>
              <w:tabs>
                <w:tab w:val="decimal" w:pos="515"/>
              </w:tabs>
              <w:rPr>
                <w:rFonts w:eastAsia="Arial" w:cs="Arial"/>
                <w:szCs w:val="18"/>
              </w:rPr>
            </w:pPr>
            <w:r w:rsidRPr="00D51366">
              <w:t>9</w:t>
            </w:r>
          </w:p>
        </w:tc>
        <w:tc>
          <w:tcPr>
            <w:tcW w:w="851" w:type="dxa"/>
          </w:tcPr>
          <w:p w:rsidR="000E35D2" w:rsidRPr="00D51366" w:rsidRDefault="000E35D2" w:rsidP="000E35D2">
            <w:pPr>
              <w:pStyle w:val="TableText"/>
              <w:tabs>
                <w:tab w:val="decimal" w:pos="483"/>
              </w:tabs>
              <w:rPr>
                <w:rFonts w:eastAsia="Arial" w:cs="Arial"/>
                <w:szCs w:val="18"/>
              </w:rPr>
            </w:pPr>
            <w:r w:rsidRPr="00D51366">
              <w:t>156.7</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22</w:t>
            </w:r>
          </w:p>
        </w:tc>
        <w:tc>
          <w:tcPr>
            <w:tcW w:w="779" w:type="dxa"/>
          </w:tcPr>
          <w:p w:rsidR="000E35D2" w:rsidRPr="00D51366" w:rsidRDefault="000E35D2" w:rsidP="000E35D2">
            <w:pPr>
              <w:pStyle w:val="TableText"/>
              <w:tabs>
                <w:tab w:val="decimal" w:pos="388"/>
              </w:tabs>
              <w:rPr>
                <w:rFonts w:eastAsia="Arial" w:cs="Arial"/>
                <w:szCs w:val="18"/>
              </w:rPr>
            </w:pPr>
            <w:r w:rsidRPr="00D51366">
              <w:t>303.3</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2</w:t>
            </w:r>
          </w:p>
        </w:tc>
        <w:tc>
          <w:tcPr>
            <w:tcW w:w="849" w:type="dxa"/>
          </w:tcPr>
          <w:p w:rsidR="000E35D2" w:rsidRPr="00D51366" w:rsidRDefault="000E35D2" w:rsidP="000E35D2">
            <w:pPr>
              <w:pStyle w:val="TableText"/>
              <w:tabs>
                <w:tab w:val="decimal" w:pos="355"/>
              </w:tabs>
              <w:rPr>
                <w:rFonts w:eastAsia="Arial" w:cs="Arial"/>
                <w:szCs w:val="18"/>
              </w:rPr>
            </w:pPr>
            <w:r w:rsidRPr="00D51366">
              <w:t>1.4</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18</w:t>
            </w:r>
          </w:p>
        </w:tc>
        <w:tc>
          <w:tcPr>
            <w:tcW w:w="637" w:type="dxa"/>
          </w:tcPr>
          <w:p w:rsidR="000E35D2" w:rsidRPr="00D51366" w:rsidRDefault="000E35D2" w:rsidP="000E35D2">
            <w:pPr>
              <w:pStyle w:val="TableText"/>
              <w:tabs>
                <w:tab w:val="decimal" w:pos="257"/>
              </w:tabs>
              <w:rPr>
                <w:rFonts w:eastAsia="Arial" w:cs="Arial"/>
                <w:szCs w:val="18"/>
              </w:rPr>
            </w:pPr>
            <w:r w:rsidRPr="00D51366">
              <w:t>13.2</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30–34</w:t>
            </w:r>
          </w:p>
        </w:tc>
        <w:tc>
          <w:tcPr>
            <w:tcW w:w="922" w:type="dxa"/>
          </w:tcPr>
          <w:p w:rsidR="000E35D2" w:rsidRPr="00D51366" w:rsidRDefault="000E35D2" w:rsidP="000E35D2">
            <w:pPr>
              <w:pStyle w:val="TableText"/>
              <w:tabs>
                <w:tab w:val="decimal" w:pos="515"/>
              </w:tabs>
              <w:rPr>
                <w:rFonts w:eastAsia="Arial" w:cs="Arial"/>
                <w:szCs w:val="18"/>
              </w:rPr>
            </w:pPr>
            <w:r w:rsidRPr="00D51366">
              <w:t>6</w:t>
            </w:r>
          </w:p>
        </w:tc>
        <w:tc>
          <w:tcPr>
            <w:tcW w:w="851" w:type="dxa"/>
          </w:tcPr>
          <w:p w:rsidR="000E35D2" w:rsidRPr="00D51366" w:rsidRDefault="000E35D2" w:rsidP="000E35D2">
            <w:pPr>
              <w:pStyle w:val="TableText"/>
              <w:tabs>
                <w:tab w:val="decimal" w:pos="483"/>
              </w:tabs>
              <w:rPr>
                <w:rFonts w:eastAsia="Arial" w:cs="Arial"/>
                <w:szCs w:val="18"/>
              </w:rPr>
            </w:pPr>
            <w:r w:rsidRPr="00D51366">
              <w:t>118.6</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15</w:t>
            </w:r>
          </w:p>
        </w:tc>
        <w:tc>
          <w:tcPr>
            <w:tcW w:w="779" w:type="dxa"/>
          </w:tcPr>
          <w:p w:rsidR="000E35D2" w:rsidRPr="00D51366" w:rsidRDefault="000E35D2" w:rsidP="000E35D2">
            <w:pPr>
              <w:pStyle w:val="TableText"/>
              <w:tabs>
                <w:tab w:val="decimal" w:pos="388"/>
              </w:tabs>
              <w:rPr>
                <w:rFonts w:eastAsia="Arial" w:cs="Arial"/>
                <w:szCs w:val="18"/>
              </w:rPr>
            </w:pPr>
            <w:r w:rsidRPr="00D51366">
              <w:t>237.1</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6</w:t>
            </w:r>
          </w:p>
        </w:tc>
        <w:tc>
          <w:tcPr>
            <w:tcW w:w="849" w:type="dxa"/>
          </w:tcPr>
          <w:p w:rsidR="000E35D2" w:rsidRPr="00D51366" w:rsidRDefault="000E35D2" w:rsidP="000E35D2">
            <w:pPr>
              <w:pStyle w:val="TableText"/>
              <w:tabs>
                <w:tab w:val="decimal" w:pos="355"/>
              </w:tabs>
              <w:rPr>
                <w:rFonts w:eastAsia="Arial" w:cs="Arial"/>
                <w:szCs w:val="18"/>
              </w:rPr>
            </w:pPr>
            <w:r w:rsidRPr="00D51366">
              <w:t>4.3</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21</w:t>
            </w:r>
          </w:p>
        </w:tc>
        <w:tc>
          <w:tcPr>
            <w:tcW w:w="637" w:type="dxa"/>
          </w:tcPr>
          <w:p w:rsidR="000E35D2" w:rsidRPr="00D51366" w:rsidRDefault="000E35D2" w:rsidP="000E35D2">
            <w:pPr>
              <w:pStyle w:val="TableText"/>
              <w:tabs>
                <w:tab w:val="decimal" w:pos="257"/>
              </w:tabs>
              <w:rPr>
                <w:rFonts w:eastAsia="Arial" w:cs="Arial"/>
                <w:szCs w:val="18"/>
              </w:rPr>
            </w:pPr>
            <w:r w:rsidRPr="00D51366">
              <w:t>16.5</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35–39</w:t>
            </w:r>
          </w:p>
        </w:tc>
        <w:tc>
          <w:tcPr>
            <w:tcW w:w="922" w:type="dxa"/>
          </w:tcPr>
          <w:p w:rsidR="000E35D2" w:rsidRPr="00D51366" w:rsidRDefault="000E35D2" w:rsidP="000E35D2">
            <w:pPr>
              <w:pStyle w:val="TableText"/>
              <w:tabs>
                <w:tab w:val="decimal" w:pos="515"/>
              </w:tabs>
              <w:rPr>
                <w:rFonts w:eastAsia="Arial" w:cs="Arial"/>
                <w:szCs w:val="18"/>
              </w:rPr>
            </w:pPr>
            <w:r w:rsidRPr="00D51366">
              <w:t>2</w:t>
            </w:r>
          </w:p>
        </w:tc>
        <w:tc>
          <w:tcPr>
            <w:tcW w:w="851" w:type="dxa"/>
          </w:tcPr>
          <w:p w:rsidR="000E35D2" w:rsidRPr="00D51366" w:rsidRDefault="000E35D2" w:rsidP="000E35D2">
            <w:pPr>
              <w:pStyle w:val="TableText"/>
              <w:tabs>
                <w:tab w:val="decimal" w:pos="483"/>
              </w:tabs>
              <w:rPr>
                <w:rFonts w:eastAsia="Arial" w:cs="Arial"/>
                <w:szCs w:val="18"/>
              </w:rPr>
            </w:pPr>
            <w:r w:rsidRPr="00D51366">
              <w:t>40.4</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16</w:t>
            </w:r>
          </w:p>
        </w:tc>
        <w:tc>
          <w:tcPr>
            <w:tcW w:w="779" w:type="dxa"/>
          </w:tcPr>
          <w:p w:rsidR="000E35D2" w:rsidRPr="00D51366" w:rsidRDefault="000E35D2" w:rsidP="000E35D2">
            <w:pPr>
              <w:pStyle w:val="TableText"/>
              <w:tabs>
                <w:tab w:val="decimal" w:pos="388"/>
              </w:tabs>
              <w:rPr>
                <w:rFonts w:eastAsia="Arial" w:cs="Arial"/>
                <w:szCs w:val="18"/>
              </w:rPr>
            </w:pPr>
            <w:r w:rsidRPr="00D51366">
              <w:t>274.7</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5</w:t>
            </w:r>
          </w:p>
        </w:tc>
        <w:tc>
          <w:tcPr>
            <w:tcW w:w="849" w:type="dxa"/>
          </w:tcPr>
          <w:p w:rsidR="000E35D2" w:rsidRPr="00D51366" w:rsidRDefault="000E35D2" w:rsidP="000E35D2">
            <w:pPr>
              <w:pStyle w:val="TableText"/>
              <w:tabs>
                <w:tab w:val="decimal" w:pos="355"/>
              </w:tabs>
              <w:rPr>
                <w:rFonts w:eastAsia="Arial" w:cs="Arial"/>
                <w:szCs w:val="18"/>
              </w:rPr>
            </w:pPr>
            <w:r w:rsidRPr="00D51366">
              <w:t>3.6</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16</w:t>
            </w:r>
          </w:p>
        </w:tc>
        <w:tc>
          <w:tcPr>
            <w:tcW w:w="637" w:type="dxa"/>
          </w:tcPr>
          <w:p w:rsidR="000E35D2" w:rsidRPr="00D51366" w:rsidRDefault="000E35D2" w:rsidP="000E35D2">
            <w:pPr>
              <w:pStyle w:val="TableText"/>
              <w:tabs>
                <w:tab w:val="decimal" w:pos="257"/>
              </w:tabs>
              <w:rPr>
                <w:rFonts w:eastAsia="Arial" w:cs="Arial"/>
                <w:szCs w:val="18"/>
              </w:rPr>
            </w:pPr>
            <w:r w:rsidRPr="00D51366">
              <w:t>12.9</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40–44</w:t>
            </w:r>
          </w:p>
        </w:tc>
        <w:tc>
          <w:tcPr>
            <w:tcW w:w="922" w:type="dxa"/>
          </w:tcPr>
          <w:p w:rsidR="000E35D2" w:rsidRPr="00D51366" w:rsidRDefault="000E35D2" w:rsidP="000E35D2">
            <w:pPr>
              <w:pStyle w:val="TableText"/>
              <w:tabs>
                <w:tab w:val="decimal" w:pos="515"/>
              </w:tabs>
              <w:rPr>
                <w:rFonts w:eastAsia="Arial" w:cs="Arial"/>
                <w:szCs w:val="18"/>
              </w:rPr>
            </w:pPr>
            <w:r w:rsidRPr="00D51366">
              <w:t>14</w:t>
            </w:r>
          </w:p>
        </w:tc>
        <w:tc>
          <w:tcPr>
            <w:tcW w:w="851" w:type="dxa"/>
          </w:tcPr>
          <w:p w:rsidR="000E35D2" w:rsidRPr="00D51366" w:rsidRDefault="000E35D2" w:rsidP="000E35D2">
            <w:pPr>
              <w:pStyle w:val="TableText"/>
              <w:tabs>
                <w:tab w:val="decimal" w:pos="483"/>
              </w:tabs>
              <w:rPr>
                <w:rFonts w:eastAsia="Arial" w:cs="Arial"/>
                <w:szCs w:val="18"/>
              </w:rPr>
            </w:pPr>
            <w:r w:rsidRPr="00D51366">
              <w:t>261.9</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16</w:t>
            </w:r>
          </w:p>
        </w:tc>
        <w:tc>
          <w:tcPr>
            <w:tcW w:w="779" w:type="dxa"/>
          </w:tcPr>
          <w:p w:rsidR="000E35D2" w:rsidRPr="00D51366" w:rsidRDefault="000E35D2" w:rsidP="000E35D2">
            <w:pPr>
              <w:pStyle w:val="TableText"/>
              <w:tabs>
                <w:tab w:val="decimal" w:pos="388"/>
              </w:tabs>
              <w:rPr>
                <w:rFonts w:eastAsia="Arial" w:cs="Arial"/>
                <w:szCs w:val="18"/>
              </w:rPr>
            </w:pPr>
            <w:r w:rsidRPr="00D51366">
              <w:t>254.8</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5</w:t>
            </w:r>
          </w:p>
        </w:tc>
        <w:tc>
          <w:tcPr>
            <w:tcW w:w="849" w:type="dxa"/>
          </w:tcPr>
          <w:p w:rsidR="000E35D2" w:rsidRPr="00D51366" w:rsidRDefault="000E35D2" w:rsidP="000E35D2">
            <w:pPr>
              <w:pStyle w:val="TableText"/>
              <w:tabs>
                <w:tab w:val="decimal" w:pos="355"/>
              </w:tabs>
              <w:rPr>
                <w:rFonts w:eastAsia="Arial" w:cs="Arial"/>
                <w:szCs w:val="18"/>
              </w:rPr>
            </w:pPr>
            <w:r w:rsidRPr="00D51366">
              <w:t>3.1</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23</w:t>
            </w:r>
          </w:p>
        </w:tc>
        <w:tc>
          <w:tcPr>
            <w:tcW w:w="637" w:type="dxa"/>
          </w:tcPr>
          <w:p w:rsidR="000E35D2" w:rsidRPr="00D51366" w:rsidRDefault="000E35D2" w:rsidP="000E35D2">
            <w:pPr>
              <w:pStyle w:val="TableText"/>
              <w:tabs>
                <w:tab w:val="decimal" w:pos="257"/>
              </w:tabs>
              <w:rPr>
                <w:rFonts w:eastAsia="Arial" w:cs="Arial"/>
                <w:szCs w:val="18"/>
              </w:rPr>
            </w:pPr>
            <w:r w:rsidRPr="00D51366">
              <w:t>16.2</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45–49</w:t>
            </w:r>
          </w:p>
        </w:tc>
        <w:tc>
          <w:tcPr>
            <w:tcW w:w="922" w:type="dxa"/>
          </w:tcPr>
          <w:p w:rsidR="000E35D2" w:rsidRPr="00D51366" w:rsidRDefault="000E35D2" w:rsidP="000E35D2">
            <w:pPr>
              <w:pStyle w:val="TableText"/>
              <w:tabs>
                <w:tab w:val="decimal" w:pos="515"/>
              </w:tabs>
              <w:rPr>
                <w:rFonts w:eastAsia="Arial" w:cs="Arial"/>
                <w:szCs w:val="18"/>
              </w:rPr>
            </w:pPr>
            <w:r w:rsidRPr="00D51366">
              <w:t>6</w:t>
            </w:r>
          </w:p>
        </w:tc>
        <w:tc>
          <w:tcPr>
            <w:tcW w:w="851" w:type="dxa"/>
          </w:tcPr>
          <w:p w:rsidR="000E35D2" w:rsidRPr="00D51366" w:rsidRDefault="000E35D2" w:rsidP="000E35D2">
            <w:pPr>
              <w:pStyle w:val="TableText"/>
              <w:tabs>
                <w:tab w:val="decimal" w:pos="483"/>
              </w:tabs>
              <w:rPr>
                <w:rFonts w:eastAsia="Arial" w:cs="Arial"/>
                <w:szCs w:val="18"/>
              </w:rPr>
            </w:pPr>
            <w:r w:rsidRPr="00D51366">
              <w:t>123.8</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15</w:t>
            </w:r>
          </w:p>
        </w:tc>
        <w:tc>
          <w:tcPr>
            <w:tcW w:w="779" w:type="dxa"/>
          </w:tcPr>
          <w:p w:rsidR="000E35D2" w:rsidRPr="00D51366" w:rsidRDefault="000E35D2" w:rsidP="000E35D2">
            <w:pPr>
              <w:pStyle w:val="TableText"/>
              <w:tabs>
                <w:tab w:val="decimal" w:pos="388"/>
              </w:tabs>
              <w:rPr>
                <w:rFonts w:eastAsia="Arial" w:cs="Arial"/>
                <w:szCs w:val="18"/>
              </w:rPr>
            </w:pPr>
            <w:r w:rsidRPr="00D51366">
              <w:t>259.7</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9</w:t>
            </w:r>
          </w:p>
        </w:tc>
        <w:tc>
          <w:tcPr>
            <w:tcW w:w="849" w:type="dxa"/>
          </w:tcPr>
          <w:p w:rsidR="000E35D2" w:rsidRPr="00D51366" w:rsidRDefault="000E35D2" w:rsidP="000E35D2">
            <w:pPr>
              <w:pStyle w:val="TableText"/>
              <w:tabs>
                <w:tab w:val="decimal" w:pos="355"/>
              </w:tabs>
              <w:rPr>
                <w:rFonts w:eastAsia="Arial" w:cs="Arial"/>
                <w:szCs w:val="18"/>
              </w:rPr>
            </w:pPr>
            <w:r w:rsidRPr="00D51366">
              <w:t>5.7</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15</w:t>
            </w:r>
          </w:p>
        </w:tc>
        <w:tc>
          <w:tcPr>
            <w:tcW w:w="637" w:type="dxa"/>
          </w:tcPr>
          <w:p w:rsidR="000E35D2" w:rsidRPr="00D51366" w:rsidRDefault="000E35D2" w:rsidP="000E35D2">
            <w:pPr>
              <w:pStyle w:val="TableText"/>
              <w:tabs>
                <w:tab w:val="decimal" w:pos="257"/>
              </w:tabs>
              <w:rPr>
                <w:rFonts w:eastAsia="Arial" w:cs="Arial"/>
                <w:szCs w:val="18"/>
              </w:rPr>
            </w:pPr>
            <w:r w:rsidRPr="00D51366">
              <w:t>10.4</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50–54</w:t>
            </w:r>
          </w:p>
        </w:tc>
        <w:tc>
          <w:tcPr>
            <w:tcW w:w="922" w:type="dxa"/>
          </w:tcPr>
          <w:p w:rsidR="000E35D2" w:rsidRPr="00D51366" w:rsidRDefault="000E35D2" w:rsidP="000E35D2">
            <w:pPr>
              <w:pStyle w:val="TableText"/>
              <w:tabs>
                <w:tab w:val="decimal" w:pos="515"/>
              </w:tabs>
              <w:rPr>
                <w:rFonts w:eastAsia="Arial" w:cs="Arial"/>
                <w:szCs w:val="18"/>
              </w:rPr>
            </w:pPr>
            <w:r w:rsidRPr="00D51366">
              <w:t>15</w:t>
            </w:r>
          </w:p>
        </w:tc>
        <w:tc>
          <w:tcPr>
            <w:tcW w:w="851" w:type="dxa"/>
          </w:tcPr>
          <w:p w:rsidR="000E35D2" w:rsidRPr="00D51366" w:rsidRDefault="000E35D2" w:rsidP="000E35D2">
            <w:pPr>
              <w:pStyle w:val="TableText"/>
              <w:tabs>
                <w:tab w:val="decimal" w:pos="483"/>
              </w:tabs>
              <w:rPr>
                <w:rFonts w:eastAsia="Arial" w:cs="Arial"/>
                <w:szCs w:val="18"/>
              </w:rPr>
            </w:pPr>
            <w:r w:rsidRPr="00D51366">
              <w:t>345.6</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17</w:t>
            </w:r>
          </w:p>
        </w:tc>
        <w:tc>
          <w:tcPr>
            <w:tcW w:w="779" w:type="dxa"/>
          </w:tcPr>
          <w:p w:rsidR="000E35D2" w:rsidRPr="00D51366" w:rsidRDefault="000E35D2" w:rsidP="000E35D2">
            <w:pPr>
              <w:pStyle w:val="TableText"/>
              <w:tabs>
                <w:tab w:val="decimal" w:pos="388"/>
              </w:tabs>
              <w:rPr>
                <w:rFonts w:eastAsia="Arial" w:cs="Arial"/>
                <w:szCs w:val="18"/>
              </w:rPr>
            </w:pPr>
            <w:r w:rsidRPr="00D51366">
              <w:t>352.9</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3</w:t>
            </w:r>
          </w:p>
        </w:tc>
        <w:tc>
          <w:tcPr>
            <w:tcW w:w="849" w:type="dxa"/>
          </w:tcPr>
          <w:p w:rsidR="000E35D2" w:rsidRPr="00D51366" w:rsidRDefault="000E35D2" w:rsidP="000E35D2">
            <w:pPr>
              <w:pStyle w:val="TableText"/>
              <w:tabs>
                <w:tab w:val="decimal" w:pos="355"/>
              </w:tabs>
              <w:rPr>
                <w:rFonts w:eastAsia="Arial" w:cs="Arial"/>
                <w:szCs w:val="18"/>
              </w:rPr>
            </w:pPr>
            <w:r w:rsidRPr="00D51366">
              <w:t>1.9</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17</w:t>
            </w:r>
          </w:p>
        </w:tc>
        <w:tc>
          <w:tcPr>
            <w:tcW w:w="637" w:type="dxa"/>
          </w:tcPr>
          <w:p w:rsidR="000E35D2" w:rsidRPr="00D51366" w:rsidRDefault="000E35D2" w:rsidP="000E35D2">
            <w:pPr>
              <w:pStyle w:val="TableText"/>
              <w:tabs>
                <w:tab w:val="decimal" w:pos="257"/>
              </w:tabs>
              <w:rPr>
                <w:rFonts w:eastAsia="Arial" w:cs="Arial"/>
                <w:szCs w:val="18"/>
              </w:rPr>
            </w:pPr>
            <w:r w:rsidRPr="00D51366">
              <w:t>11.4</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55–59</w:t>
            </w:r>
          </w:p>
        </w:tc>
        <w:tc>
          <w:tcPr>
            <w:tcW w:w="922" w:type="dxa"/>
          </w:tcPr>
          <w:p w:rsidR="000E35D2" w:rsidRPr="00D51366" w:rsidRDefault="000E35D2" w:rsidP="000E35D2">
            <w:pPr>
              <w:pStyle w:val="TableText"/>
              <w:tabs>
                <w:tab w:val="decimal" w:pos="515"/>
              </w:tabs>
              <w:rPr>
                <w:rFonts w:eastAsia="Arial" w:cs="Arial"/>
                <w:szCs w:val="18"/>
              </w:rPr>
            </w:pPr>
            <w:r w:rsidRPr="00D51366">
              <w:t>4</w:t>
            </w:r>
          </w:p>
        </w:tc>
        <w:tc>
          <w:tcPr>
            <w:tcW w:w="851" w:type="dxa"/>
          </w:tcPr>
          <w:p w:rsidR="000E35D2" w:rsidRPr="00D51366" w:rsidRDefault="000E35D2" w:rsidP="000E35D2">
            <w:pPr>
              <w:pStyle w:val="TableText"/>
              <w:tabs>
                <w:tab w:val="decimal" w:pos="483"/>
              </w:tabs>
              <w:rPr>
                <w:rFonts w:eastAsia="Arial" w:cs="Arial"/>
                <w:szCs w:val="18"/>
              </w:rPr>
            </w:pPr>
            <w:r w:rsidRPr="00D51366">
              <w:t>124.3</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10</w:t>
            </w:r>
          </w:p>
        </w:tc>
        <w:tc>
          <w:tcPr>
            <w:tcW w:w="779" w:type="dxa"/>
          </w:tcPr>
          <w:p w:rsidR="000E35D2" w:rsidRPr="00D51366" w:rsidRDefault="000E35D2" w:rsidP="000E35D2">
            <w:pPr>
              <w:pStyle w:val="TableText"/>
              <w:tabs>
                <w:tab w:val="decimal" w:pos="388"/>
              </w:tabs>
              <w:rPr>
                <w:rFonts w:eastAsia="Arial" w:cs="Arial"/>
                <w:szCs w:val="18"/>
              </w:rPr>
            </w:pPr>
            <w:r w:rsidRPr="00D51366">
              <w:t>281.8</w:t>
            </w:r>
          </w:p>
        </w:tc>
        <w:tc>
          <w:tcPr>
            <w:tcW w:w="355" w:type="dxa"/>
            <w:tcBorders>
              <w:top w:val="nil"/>
              <w:bottom w:val="nil"/>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3</w:t>
            </w:r>
          </w:p>
        </w:tc>
        <w:tc>
          <w:tcPr>
            <w:tcW w:w="849" w:type="dxa"/>
          </w:tcPr>
          <w:p w:rsidR="000E35D2" w:rsidRPr="00D51366" w:rsidRDefault="000E35D2" w:rsidP="000E35D2">
            <w:pPr>
              <w:pStyle w:val="TableText"/>
              <w:tabs>
                <w:tab w:val="decimal" w:pos="355"/>
              </w:tabs>
              <w:rPr>
                <w:rFonts w:eastAsia="Arial" w:cs="Arial"/>
                <w:szCs w:val="18"/>
              </w:rPr>
            </w:pPr>
            <w:r w:rsidRPr="00D51366">
              <w:t>2.1</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22</w:t>
            </w:r>
          </w:p>
        </w:tc>
        <w:tc>
          <w:tcPr>
            <w:tcW w:w="637" w:type="dxa"/>
          </w:tcPr>
          <w:p w:rsidR="000E35D2" w:rsidRPr="00D51366" w:rsidRDefault="000E35D2" w:rsidP="000E35D2">
            <w:pPr>
              <w:pStyle w:val="TableText"/>
              <w:tabs>
                <w:tab w:val="decimal" w:pos="257"/>
              </w:tabs>
              <w:rPr>
                <w:rFonts w:eastAsia="Arial" w:cs="Arial"/>
                <w:szCs w:val="18"/>
              </w:rPr>
            </w:pPr>
            <w:r w:rsidRPr="00D51366">
              <w:t>16.6</w:t>
            </w:r>
          </w:p>
        </w:tc>
      </w:tr>
      <w:tr w:rsidR="000E35D2" w:rsidRPr="00D51366" w:rsidTr="000E35D2">
        <w:trPr>
          <w:cantSplit/>
        </w:trPr>
        <w:tc>
          <w:tcPr>
            <w:tcW w:w="1418" w:type="dxa"/>
          </w:tcPr>
          <w:p w:rsidR="000E35D2" w:rsidRPr="00D51366" w:rsidRDefault="000E35D2" w:rsidP="00841614">
            <w:pPr>
              <w:pStyle w:val="TableText"/>
              <w:rPr>
                <w:rFonts w:eastAsia="Arial" w:cs="Arial"/>
                <w:szCs w:val="18"/>
              </w:rPr>
            </w:pPr>
            <w:r w:rsidRPr="00D51366">
              <w:rPr>
                <w:rFonts w:eastAsia="Arial" w:cs="Arial"/>
                <w:bCs/>
                <w:szCs w:val="18"/>
              </w:rPr>
              <w:t>60–64</w:t>
            </w:r>
          </w:p>
        </w:tc>
        <w:tc>
          <w:tcPr>
            <w:tcW w:w="922" w:type="dxa"/>
          </w:tcPr>
          <w:p w:rsidR="000E35D2" w:rsidRPr="00D51366" w:rsidRDefault="000E35D2" w:rsidP="000E35D2">
            <w:pPr>
              <w:pStyle w:val="TableText"/>
              <w:tabs>
                <w:tab w:val="decimal" w:pos="515"/>
              </w:tabs>
              <w:rPr>
                <w:rFonts w:eastAsia="Arial" w:cs="Arial"/>
                <w:szCs w:val="18"/>
              </w:rPr>
            </w:pPr>
            <w:r w:rsidRPr="00D51366">
              <w:t>3</w:t>
            </w:r>
          </w:p>
        </w:tc>
        <w:tc>
          <w:tcPr>
            <w:tcW w:w="851" w:type="dxa"/>
          </w:tcPr>
          <w:p w:rsidR="000E35D2" w:rsidRPr="00D51366" w:rsidRDefault="000E35D2" w:rsidP="000E35D2">
            <w:pPr>
              <w:pStyle w:val="TableText"/>
              <w:tabs>
                <w:tab w:val="decimal" w:pos="483"/>
              </w:tabs>
              <w:rPr>
                <w:rFonts w:eastAsia="Arial" w:cs="Arial"/>
                <w:szCs w:val="18"/>
              </w:rPr>
            </w:pPr>
            <w:r w:rsidRPr="00D51366">
              <w:t>131.9</w:t>
            </w:r>
          </w:p>
        </w:tc>
        <w:tc>
          <w:tcPr>
            <w:tcW w:w="355" w:type="dxa"/>
          </w:tcPr>
          <w:p w:rsidR="000E35D2" w:rsidRPr="00D51366" w:rsidRDefault="000E35D2" w:rsidP="00841614">
            <w:pPr>
              <w:pStyle w:val="TableText"/>
            </w:pPr>
          </w:p>
        </w:tc>
        <w:tc>
          <w:tcPr>
            <w:tcW w:w="1062" w:type="dxa"/>
          </w:tcPr>
          <w:p w:rsidR="000E35D2" w:rsidRPr="00D51366" w:rsidRDefault="000E35D2" w:rsidP="000E35D2">
            <w:pPr>
              <w:pStyle w:val="TableText"/>
              <w:tabs>
                <w:tab w:val="decimal" w:pos="599"/>
              </w:tabs>
              <w:rPr>
                <w:rFonts w:eastAsia="Arial" w:cs="Arial"/>
                <w:szCs w:val="18"/>
              </w:rPr>
            </w:pPr>
            <w:r w:rsidRPr="00D51366">
              <w:t>11</w:t>
            </w:r>
          </w:p>
        </w:tc>
        <w:tc>
          <w:tcPr>
            <w:tcW w:w="779" w:type="dxa"/>
          </w:tcPr>
          <w:p w:rsidR="000E35D2" w:rsidRPr="00D51366" w:rsidRDefault="000E35D2" w:rsidP="000E35D2">
            <w:pPr>
              <w:pStyle w:val="TableText"/>
              <w:tabs>
                <w:tab w:val="decimal" w:pos="388"/>
              </w:tabs>
              <w:rPr>
                <w:rFonts w:eastAsia="Arial" w:cs="Arial"/>
                <w:szCs w:val="18"/>
              </w:rPr>
            </w:pPr>
            <w:r w:rsidRPr="00D51366">
              <w:t>478.3</w:t>
            </w:r>
          </w:p>
        </w:tc>
        <w:tc>
          <w:tcPr>
            <w:tcW w:w="355" w:type="dxa"/>
            <w:tcBorders>
              <w:top w:val="nil"/>
              <w:bottom w:val="single" w:sz="4" w:space="0" w:color="auto"/>
            </w:tcBorders>
          </w:tcPr>
          <w:p w:rsidR="000E35D2" w:rsidRPr="00D51366" w:rsidRDefault="000E35D2" w:rsidP="00841614">
            <w:pPr>
              <w:pStyle w:val="TableText"/>
            </w:pPr>
          </w:p>
        </w:tc>
        <w:tc>
          <w:tcPr>
            <w:tcW w:w="850" w:type="dxa"/>
          </w:tcPr>
          <w:p w:rsidR="000E35D2" w:rsidRPr="00D51366" w:rsidRDefault="000E35D2" w:rsidP="000E35D2">
            <w:pPr>
              <w:pStyle w:val="TableText"/>
              <w:tabs>
                <w:tab w:val="decimal" w:pos="380"/>
              </w:tabs>
              <w:rPr>
                <w:rFonts w:eastAsia="Arial" w:cs="Arial"/>
                <w:szCs w:val="18"/>
              </w:rPr>
            </w:pPr>
            <w:r w:rsidRPr="00D51366">
              <w:t>6</w:t>
            </w:r>
          </w:p>
        </w:tc>
        <w:tc>
          <w:tcPr>
            <w:tcW w:w="849" w:type="dxa"/>
          </w:tcPr>
          <w:p w:rsidR="000E35D2" w:rsidRPr="00D51366" w:rsidRDefault="000E35D2" w:rsidP="000E35D2">
            <w:pPr>
              <w:pStyle w:val="TableText"/>
              <w:tabs>
                <w:tab w:val="decimal" w:pos="355"/>
              </w:tabs>
              <w:rPr>
                <w:rFonts w:eastAsia="Arial" w:cs="Arial"/>
                <w:szCs w:val="18"/>
              </w:rPr>
            </w:pPr>
            <w:r w:rsidRPr="00D51366">
              <w:t>4.9</w:t>
            </w:r>
          </w:p>
        </w:tc>
        <w:tc>
          <w:tcPr>
            <w:tcW w:w="352" w:type="dxa"/>
          </w:tcPr>
          <w:p w:rsidR="000E35D2" w:rsidRPr="00D51366" w:rsidRDefault="000E35D2" w:rsidP="00841614">
            <w:pPr>
              <w:pStyle w:val="TableText"/>
            </w:pPr>
          </w:p>
        </w:tc>
        <w:tc>
          <w:tcPr>
            <w:tcW w:w="926" w:type="dxa"/>
          </w:tcPr>
          <w:p w:rsidR="000E35D2" w:rsidRPr="00D51366" w:rsidRDefault="000E35D2" w:rsidP="000E35D2">
            <w:pPr>
              <w:pStyle w:val="TableText"/>
              <w:tabs>
                <w:tab w:val="decimal" w:pos="423"/>
              </w:tabs>
              <w:rPr>
                <w:rFonts w:eastAsia="Arial" w:cs="Arial"/>
                <w:szCs w:val="18"/>
              </w:rPr>
            </w:pPr>
            <w:r w:rsidRPr="00D51366">
              <w:t>18</w:t>
            </w:r>
          </w:p>
        </w:tc>
        <w:tc>
          <w:tcPr>
            <w:tcW w:w="637" w:type="dxa"/>
          </w:tcPr>
          <w:p w:rsidR="000E35D2" w:rsidRPr="00D51366" w:rsidRDefault="000E35D2" w:rsidP="000E35D2">
            <w:pPr>
              <w:pStyle w:val="TableText"/>
              <w:tabs>
                <w:tab w:val="decimal" w:pos="257"/>
              </w:tabs>
              <w:rPr>
                <w:rFonts w:eastAsia="Arial" w:cs="Arial"/>
                <w:szCs w:val="18"/>
              </w:rPr>
            </w:pPr>
            <w:r w:rsidRPr="00D51366">
              <w:t>15.3</w:t>
            </w:r>
          </w:p>
        </w:tc>
      </w:tr>
    </w:tbl>
    <w:p w:rsidR="00A47CF6" w:rsidRPr="00666DF4" w:rsidRDefault="00A47CF6" w:rsidP="000E35D2">
      <w:pPr>
        <w:pStyle w:val="Note"/>
        <w:rPr>
          <w:rFonts w:eastAsia="Arial" w:cs="Arial"/>
          <w:szCs w:val="19"/>
        </w:rPr>
      </w:pPr>
      <w:r w:rsidRPr="00666DF4">
        <w:t>Note: Includes deaths of undetermined intent.</w:t>
      </w:r>
    </w:p>
    <w:p w:rsidR="00A47CF6" w:rsidRPr="00666DF4" w:rsidRDefault="00A47CF6" w:rsidP="000E35D2">
      <w:pPr>
        <w:pStyle w:val="Source"/>
        <w:rPr>
          <w:rFonts w:eastAsia="Arial" w:cs="Arial"/>
          <w:szCs w:val="19"/>
        </w:rPr>
      </w:pPr>
      <w:r w:rsidRPr="00666DF4">
        <w:t>Source: Ministry of Health mortality database data, extracted on 17 July 2017</w:t>
      </w:r>
    </w:p>
    <w:p w:rsidR="00A47CF6" w:rsidRPr="00666DF4" w:rsidRDefault="00A47CF6" w:rsidP="000E35D2">
      <w:pPr>
        <w:rPr>
          <w:rFonts w:eastAsia="Arial"/>
        </w:rPr>
      </w:pPr>
    </w:p>
    <w:p w:rsidR="00A47CF6" w:rsidRPr="00666DF4" w:rsidRDefault="00A47CF6" w:rsidP="000E35D2">
      <w:pPr>
        <w:pStyle w:val="Heading3"/>
        <w:rPr>
          <w:bCs/>
        </w:rPr>
      </w:pPr>
      <w:bookmarkStart w:id="202" w:name="Table_14:_Number_and_age-standardised_ra"/>
      <w:bookmarkStart w:id="203" w:name="_bookmark44"/>
      <w:bookmarkEnd w:id="202"/>
      <w:bookmarkEnd w:id="203"/>
      <w:r w:rsidRPr="00666DF4">
        <w:t>Ethnicity and suicide</w:t>
      </w:r>
    </w:p>
    <w:p w:rsidR="00A47CF6" w:rsidRPr="00666DF4" w:rsidRDefault="00A47CF6" w:rsidP="000E35D2">
      <w:pPr>
        <w:keepLines/>
      </w:pPr>
      <w:r w:rsidRPr="00666DF4">
        <w:t>As Table 14 indicates, among people using mental health services in 2014, the age-standardised rate of suicide was higher for Māori (87.6 per 100,000 service users) than for Pacific peoples (65</w:t>
      </w:r>
      <w:r w:rsidR="000E35D2">
        <w:t> </w:t>
      </w:r>
      <w:r w:rsidRPr="00666DF4">
        <w:t>per 100,000 service users). The age-standardised rate of suicide for those in the category of other ethnicities was</w:t>
      </w:r>
      <w:r w:rsidR="000E35D2">
        <w:t xml:space="preserve"> </w:t>
      </w:r>
      <w:r w:rsidRPr="00666DF4">
        <w:t>164.3 per 100,000 service users. The suicide rate for non-service users in 2014 among Māori was higher than among non-Māori.</w:t>
      </w:r>
    </w:p>
    <w:p w:rsidR="00A47CF6" w:rsidRPr="00666DF4" w:rsidRDefault="00A47CF6" w:rsidP="000E35D2">
      <w:pPr>
        <w:rPr>
          <w:rFonts w:eastAsia="Century"/>
        </w:rPr>
      </w:pPr>
    </w:p>
    <w:p w:rsidR="00A47CF6" w:rsidRPr="00666DF4" w:rsidRDefault="00A47CF6" w:rsidP="000E35D2">
      <w:r w:rsidRPr="00666DF4">
        <w:t>It should be noted that the suicide rate for Pacific peoples is highly variable over time.</w:t>
      </w:r>
    </w:p>
    <w:p w:rsidR="00A47CF6" w:rsidRPr="00666DF4" w:rsidRDefault="00A47CF6" w:rsidP="000E35D2">
      <w:pPr>
        <w:rPr>
          <w:rFonts w:eastAsia="Century"/>
        </w:rPr>
      </w:pPr>
    </w:p>
    <w:p w:rsidR="00A47CF6" w:rsidRPr="00666DF4" w:rsidRDefault="00A47CF6" w:rsidP="000E35D2">
      <w:pPr>
        <w:pStyle w:val="Table"/>
        <w:rPr>
          <w:rFonts w:eastAsia="Georgia"/>
        </w:rPr>
      </w:pPr>
      <w:bookmarkStart w:id="204" w:name="_Toc508707312"/>
      <w:r w:rsidRPr="00666DF4">
        <w:rPr>
          <w:rFonts w:eastAsia="Georgia"/>
        </w:rPr>
        <w:t>Table 14: Number and age-standardised rate of suicide and deaths of undetermined intent, by ethnicity and service use, people aged 10–64 years, 2014</w:t>
      </w:r>
      <w:bookmarkEnd w:id="204"/>
    </w:p>
    <w:tbl>
      <w:tblPr>
        <w:tblW w:w="9356" w:type="dxa"/>
        <w:tblInd w:w="57" w:type="dxa"/>
        <w:tblLayout w:type="fixed"/>
        <w:tblCellMar>
          <w:left w:w="57" w:type="dxa"/>
          <w:right w:w="57" w:type="dxa"/>
        </w:tblCellMar>
        <w:tblLook w:val="01E0" w:firstRow="1" w:lastRow="1" w:firstColumn="1" w:lastColumn="1" w:noHBand="0" w:noVBand="0"/>
      </w:tblPr>
      <w:tblGrid>
        <w:gridCol w:w="1276"/>
        <w:gridCol w:w="1418"/>
        <w:gridCol w:w="914"/>
        <w:gridCol w:w="543"/>
        <w:gridCol w:w="1519"/>
        <w:gridCol w:w="814"/>
        <w:gridCol w:w="450"/>
        <w:gridCol w:w="1571"/>
        <w:gridCol w:w="851"/>
      </w:tblGrid>
      <w:tr w:rsidR="000E35D2" w:rsidRPr="00666DF4" w:rsidTr="009D3A65">
        <w:trPr>
          <w:cantSplit/>
        </w:trPr>
        <w:tc>
          <w:tcPr>
            <w:tcW w:w="1276" w:type="dxa"/>
            <w:vMerge w:val="restart"/>
            <w:tcBorders>
              <w:top w:val="single" w:sz="4" w:space="0" w:color="auto"/>
              <w:left w:val="nil"/>
            </w:tcBorders>
          </w:tcPr>
          <w:p w:rsidR="000E35D2" w:rsidRPr="000E35D2" w:rsidRDefault="000E35D2" w:rsidP="000E35D2">
            <w:pPr>
              <w:pStyle w:val="TableText"/>
              <w:rPr>
                <w:rFonts w:eastAsia="Arial" w:cs="Arial"/>
                <w:b/>
                <w:szCs w:val="19"/>
              </w:rPr>
            </w:pPr>
            <w:r w:rsidRPr="000E35D2">
              <w:rPr>
                <w:b/>
              </w:rPr>
              <w:t>Ethnicity</w:t>
            </w:r>
          </w:p>
        </w:tc>
        <w:tc>
          <w:tcPr>
            <w:tcW w:w="2332" w:type="dxa"/>
            <w:gridSpan w:val="2"/>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Service users</w:t>
            </w:r>
          </w:p>
        </w:tc>
        <w:tc>
          <w:tcPr>
            <w:tcW w:w="543" w:type="dxa"/>
            <w:tcBorders>
              <w:top w:val="single" w:sz="4" w:space="0" w:color="auto"/>
              <w:bottom w:val="nil"/>
            </w:tcBorders>
          </w:tcPr>
          <w:p w:rsidR="000E35D2" w:rsidRPr="000E35D2" w:rsidRDefault="000E35D2" w:rsidP="009D3A65">
            <w:pPr>
              <w:pStyle w:val="TableText"/>
              <w:jc w:val="center"/>
              <w:rPr>
                <w:b/>
              </w:rPr>
            </w:pPr>
          </w:p>
        </w:tc>
        <w:tc>
          <w:tcPr>
            <w:tcW w:w="2333" w:type="dxa"/>
            <w:gridSpan w:val="2"/>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Non-service users</w:t>
            </w:r>
          </w:p>
        </w:tc>
        <w:tc>
          <w:tcPr>
            <w:tcW w:w="450" w:type="dxa"/>
            <w:tcBorders>
              <w:top w:val="single" w:sz="4" w:space="0" w:color="auto"/>
              <w:bottom w:val="nil"/>
            </w:tcBorders>
          </w:tcPr>
          <w:p w:rsidR="000E35D2" w:rsidRPr="000E35D2" w:rsidRDefault="000E35D2" w:rsidP="009D3A65">
            <w:pPr>
              <w:pStyle w:val="TableText"/>
              <w:jc w:val="center"/>
              <w:rPr>
                <w:b/>
              </w:rPr>
            </w:pPr>
          </w:p>
        </w:tc>
        <w:tc>
          <w:tcPr>
            <w:tcW w:w="2422" w:type="dxa"/>
            <w:gridSpan w:val="2"/>
            <w:tcBorders>
              <w:top w:val="single" w:sz="4" w:space="0" w:color="auto"/>
              <w:bottom w:val="single" w:sz="4" w:space="0" w:color="auto"/>
              <w:right w:val="nil"/>
            </w:tcBorders>
          </w:tcPr>
          <w:p w:rsidR="000E35D2" w:rsidRPr="000E35D2" w:rsidRDefault="000E35D2" w:rsidP="009D3A65">
            <w:pPr>
              <w:pStyle w:val="TableText"/>
              <w:jc w:val="center"/>
              <w:rPr>
                <w:rFonts w:eastAsia="Arial" w:cs="Arial"/>
                <w:b/>
                <w:szCs w:val="19"/>
              </w:rPr>
            </w:pPr>
            <w:r w:rsidRPr="000E35D2">
              <w:rPr>
                <w:b/>
              </w:rPr>
              <w:t>Total</w:t>
            </w:r>
          </w:p>
        </w:tc>
      </w:tr>
      <w:tr w:rsidR="000E35D2" w:rsidRPr="00666DF4" w:rsidTr="009D3A65">
        <w:trPr>
          <w:cantSplit/>
        </w:trPr>
        <w:tc>
          <w:tcPr>
            <w:tcW w:w="1276" w:type="dxa"/>
            <w:vMerge/>
            <w:tcBorders>
              <w:left w:val="nil"/>
              <w:bottom w:val="single" w:sz="4" w:space="0" w:color="auto"/>
            </w:tcBorders>
          </w:tcPr>
          <w:p w:rsidR="000E35D2" w:rsidRPr="000E35D2" w:rsidRDefault="000E35D2" w:rsidP="000E35D2">
            <w:pPr>
              <w:pStyle w:val="TableText"/>
              <w:rPr>
                <w:b/>
              </w:rPr>
            </w:pPr>
          </w:p>
        </w:tc>
        <w:tc>
          <w:tcPr>
            <w:tcW w:w="1418" w:type="dxa"/>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Number of deaths</w:t>
            </w:r>
          </w:p>
        </w:tc>
        <w:tc>
          <w:tcPr>
            <w:tcW w:w="914" w:type="dxa"/>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ASR</w:t>
            </w:r>
          </w:p>
        </w:tc>
        <w:tc>
          <w:tcPr>
            <w:tcW w:w="543" w:type="dxa"/>
            <w:tcBorders>
              <w:top w:val="nil"/>
              <w:bottom w:val="single" w:sz="4" w:space="0" w:color="auto"/>
            </w:tcBorders>
          </w:tcPr>
          <w:p w:rsidR="000E35D2" w:rsidRPr="000E35D2" w:rsidRDefault="000E35D2" w:rsidP="009D3A65">
            <w:pPr>
              <w:pStyle w:val="TableText"/>
              <w:jc w:val="center"/>
              <w:rPr>
                <w:b/>
              </w:rPr>
            </w:pPr>
          </w:p>
        </w:tc>
        <w:tc>
          <w:tcPr>
            <w:tcW w:w="1519" w:type="dxa"/>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Number of deaths</w:t>
            </w:r>
          </w:p>
        </w:tc>
        <w:tc>
          <w:tcPr>
            <w:tcW w:w="814" w:type="dxa"/>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ASR</w:t>
            </w:r>
          </w:p>
        </w:tc>
        <w:tc>
          <w:tcPr>
            <w:tcW w:w="450" w:type="dxa"/>
            <w:tcBorders>
              <w:top w:val="nil"/>
              <w:bottom w:val="single" w:sz="4" w:space="0" w:color="auto"/>
            </w:tcBorders>
          </w:tcPr>
          <w:p w:rsidR="000E35D2" w:rsidRPr="000E35D2" w:rsidRDefault="000E35D2" w:rsidP="009D3A65">
            <w:pPr>
              <w:pStyle w:val="TableText"/>
              <w:jc w:val="center"/>
              <w:rPr>
                <w:b/>
              </w:rPr>
            </w:pPr>
          </w:p>
        </w:tc>
        <w:tc>
          <w:tcPr>
            <w:tcW w:w="1571" w:type="dxa"/>
            <w:tcBorders>
              <w:top w:val="single" w:sz="4" w:space="0" w:color="auto"/>
              <w:bottom w:val="single" w:sz="4" w:space="0" w:color="auto"/>
            </w:tcBorders>
          </w:tcPr>
          <w:p w:rsidR="000E35D2" w:rsidRPr="000E35D2" w:rsidRDefault="000E35D2" w:rsidP="009D3A65">
            <w:pPr>
              <w:pStyle w:val="TableText"/>
              <w:jc w:val="center"/>
              <w:rPr>
                <w:rFonts w:eastAsia="Arial" w:cs="Arial"/>
                <w:b/>
                <w:szCs w:val="19"/>
              </w:rPr>
            </w:pPr>
            <w:r w:rsidRPr="000E35D2">
              <w:rPr>
                <w:b/>
              </w:rPr>
              <w:t>Number of deaths</w:t>
            </w:r>
          </w:p>
        </w:tc>
        <w:tc>
          <w:tcPr>
            <w:tcW w:w="851" w:type="dxa"/>
            <w:tcBorders>
              <w:top w:val="single" w:sz="4" w:space="0" w:color="auto"/>
              <w:bottom w:val="single" w:sz="4" w:space="0" w:color="auto"/>
              <w:right w:val="nil"/>
            </w:tcBorders>
          </w:tcPr>
          <w:p w:rsidR="000E35D2" w:rsidRPr="000E35D2" w:rsidRDefault="000E35D2" w:rsidP="009D3A65">
            <w:pPr>
              <w:pStyle w:val="TableText"/>
              <w:jc w:val="center"/>
              <w:rPr>
                <w:rFonts w:eastAsia="Arial" w:cs="Arial"/>
                <w:b/>
                <w:szCs w:val="19"/>
              </w:rPr>
            </w:pPr>
            <w:r w:rsidRPr="000E35D2">
              <w:rPr>
                <w:b/>
              </w:rPr>
              <w:t>ASR</w:t>
            </w:r>
          </w:p>
        </w:tc>
      </w:tr>
      <w:tr w:rsidR="000E35D2" w:rsidRPr="00666DF4" w:rsidTr="009D3A65">
        <w:trPr>
          <w:cantSplit/>
        </w:trPr>
        <w:tc>
          <w:tcPr>
            <w:tcW w:w="1276" w:type="dxa"/>
            <w:tcBorders>
              <w:top w:val="single" w:sz="4" w:space="0" w:color="auto"/>
              <w:left w:val="nil"/>
            </w:tcBorders>
          </w:tcPr>
          <w:p w:rsidR="000E35D2" w:rsidRPr="00666DF4" w:rsidRDefault="000E35D2" w:rsidP="000E35D2">
            <w:pPr>
              <w:pStyle w:val="TableText"/>
              <w:rPr>
                <w:rFonts w:eastAsia="Arial" w:cs="Arial"/>
                <w:szCs w:val="19"/>
              </w:rPr>
            </w:pPr>
            <w:r w:rsidRPr="00666DF4">
              <w:t>Māori</w:t>
            </w:r>
          </w:p>
        </w:tc>
        <w:tc>
          <w:tcPr>
            <w:tcW w:w="1418" w:type="dxa"/>
            <w:tcBorders>
              <w:top w:val="single" w:sz="4" w:space="0" w:color="auto"/>
            </w:tcBorders>
          </w:tcPr>
          <w:p w:rsidR="000E35D2" w:rsidRPr="00666DF4" w:rsidRDefault="000E35D2" w:rsidP="009D3A65">
            <w:pPr>
              <w:pStyle w:val="TableText"/>
              <w:tabs>
                <w:tab w:val="decimal" w:pos="788"/>
              </w:tabs>
              <w:rPr>
                <w:rFonts w:eastAsia="Arial" w:cs="Arial"/>
                <w:szCs w:val="19"/>
              </w:rPr>
            </w:pPr>
            <w:r w:rsidRPr="00666DF4">
              <w:t>39</w:t>
            </w:r>
          </w:p>
        </w:tc>
        <w:tc>
          <w:tcPr>
            <w:tcW w:w="914" w:type="dxa"/>
            <w:tcBorders>
              <w:top w:val="single" w:sz="4" w:space="0" w:color="auto"/>
            </w:tcBorders>
          </w:tcPr>
          <w:p w:rsidR="000E35D2" w:rsidRPr="00666DF4" w:rsidRDefault="000E35D2" w:rsidP="009D3A65">
            <w:pPr>
              <w:pStyle w:val="TableText"/>
              <w:tabs>
                <w:tab w:val="decimal" w:pos="404"/>
              </w:tabs>
              <w:rPr>
                <w:rFonts w:eastAsia="Arial" w:cs="Arial"/>
                <w:szCs w:val="19"/>
              </w:rPr>
            </w:pPr>
            <w:r w:rsidRPr="00666DF4">
              <w:t>87.6</w:t>
            </w:r>
          </w:p>
        </w:tc>
        <w:tc>
          <w:tcPr>
            <w:tcW w:w="543" w:type="dxa"/>
            <w:tcBorders>
              <w:top w:val="single" w:sz="4" w:space="0" w:color="auto"/>
            </w:tcBorders>
          </w:tcPr>
          <w:p w:rsidR="000E35D2" w:rsidRPr="00666DF4" w:rsidRDefault="000E35D2" w:rsidP="000E35D2">
            <w:pPr>
              <w:pStyle w:val="TableText"/>
            </w:pPr>
          </w:p>
        </w:tc>
        <w:tc>
          <w:tcPr>
            <w:tcW w:w="1519" w:type="dxa"/>
            <w:tcBorders>
              <w:top w:val="single" w:sz="4" w:space="0" w:color="auto"/>
            </w:tcBorders>
          </w:tcPr>
          <w:p w:rsidR="000E35D2" w:rsidRPr="00666DF4" w:rsidRDefault="000E35D2" w:rsidP="009D3A65">
            <w:pPr>
              <w:pStyle w:val="TableText"/>
              <w:tabs>
                <w:tab w:val="decimal" w:pos="832"/>
              </w:tabs>
              <w:rPr>
                <w:rFonts w:eastAsia="Arial" w:cs="Arial"/>
                <w:szCs w:val="19"/>
              </w:rPr>
            </w:pPr>
            <w:r w:rsidRPr="00666DF4">
              <w:t>58</w:t>
            </w:r>
          </w:p>
        </w:tc>
        <w:tc>
          <w:tcPr>
            <w:tcW w:w="814" w:type="dxa"/>
            <w:tcBorders>
              <w:top w:val="single" w:sz="4" w:space="0" w:color="auto"/>
            </w:tcBorders>
          </w:tcPr>
          <w:p w:rsidR="000E35D2" w:rsidRPr="00666DF4" w:rsidRDefault="000E35D2" w:rsidP="009D3A65">
            <w:pPr>
              <w:pStyle w:val="TableText"/>
              <w:tabs>
                <w:tab w:val="decimal" w:pos="369"/>
              </w:tabs>
              <w:rPr>
                <w:rFonts w:eastAsia="Arial" w:cs="Arial"/>
                <w:szCs w:val="19"/>
              </w:rPr>
            </w:pPr>
            <w:r w:rsidRPr="00666DF4">
              <w:t>10.5</w:t>
            </w:r>
          </w:p>
        </w:tc>
        <w:tc>
          <w:tcPr>
            <w:tcW w:w="450" w:type="dxa"/>
            <w:tcBorders>
              <w:top w:val="single" w:sz="4" w:space="0" w:color="auto"/>
            </w:tcBorders>
          </w:tcPr>
          <w:p w:rsidR="000E35D2" w:rsidRPr="00666DF4" w:rsidRDefault="000E35D2" w:rsidP="000E35D2">
            <w:pPr>
              <w:pStyle w:val="TableText"/>
            </w:pPr>
          </w:p>
        </w:tc>
        <w:tc>
          <w:tcPr>
            <w:tcW w:w="1571" w:type="dxa"/>
            <w:tcBorders>
              <w:top w:val="single" w:sz="4" w:space="0" w:color="auto"/>
            </w:tcBorders>
          </w:tcPr>
          <w:p w:rsidR="000E35D2" w:rsidRPr="00666DF4" w:rsidRDefault="000E35D2" w:rsidP="009D3A65">
            <w:pPr>
              <w:pStyle w:val="TableText"/>
              <w:tabs>
                <w:tab w:val="decimal" w:pos="824"/>
              </w:tabs>
              <w:rPr>
                <w:rFonts w:eastAsia="Arial" w:cs="Arial"/>
                <w:szCs w:val="19"/>
              </w:rPr>
            </w:pPr>
            <w:r w:rsidRPr="00666DF4">
              <w:t>97</w:t>
            </w:r>
          </w:p>
        </w:tc>
        <w:tc>
          <w:tcPr>
            <w:tcW w:w="851" w:type="dxa"/>
            <w:tcBorders>
              <w:top w:val="single" w:sz="4" w:space="0" w:color="auto"/>
              <w:right w:val="nil"/>
            </w:tcBorders>
          </w:tcPr>
          <w:p w:rsidR="000E35D2" w:rsidRPr="00666DF4" w:rsidRDefault="000E35D2" w:rsidP="009D3A65">
            <w:pPr>
              <w:pStyle w:val="TableText"/>
              <w:tabs>
                <w:tab w:val="decimal" w:pos="369"/>
              </w:tabs>
              <w:rPr>
                <w:rFonts w:eastAsia="Arial" w:cs="Arial"/>
                <w:szCs w:val="19"/>
              </w:rPr>
            </w:pPr>
            <w:r w:rsidRPr="00666DF4">
              <w:t>18.9</w:t>
            </w:r>
          </w:p>
        </w:tc>
      </w:tr>
      <w:tr w:rsidR="000E35D2" w:rsidRPr="00666DF4" w:rsidTr="009D3A65">
        <w:trPr>
          <w:cantSplit/>
        </w:trPr>
        <w:tc>
          <w:tcPr>
            <w:tcW w:w="1276" w:type="dxa"/>
            <w:tcBorders>
              <w:left w:val="nil"/>
            </w:tcBorders>
          </w:tcPr>
          <w:p w:rsidR="000E35D2" w:rsidRPr="00666DF4" w:rsidRDefault="000E35D2" w:rsidP="000E35D2">
            <w:pPr>
              <w:pStyle w:val="TableText"/>
              <w:rPr>
                <w:rFonts w:eastAsia="Arial" w:cs="Arial"/>
                <w:szCs w:val="19"/>
              </w:rPr>
            </w:pPr>
            <w:r w:rsidRPr="00666DF4">
              <w:t>Pacific</w:t>
            </w:r>
          </w:p>
        </w:tc>
        <w:tc>
          <w:tcPr>
            <w:tcW w:w="1418" w:type="dxa"/>
          </w:tcPr>
          <w:p w:rsidR="000E35D2" w:rsidRPr="00666DF4" w:rsidRDefault="000E35D2" w:rsidP="009D3A65">
            <w:pPr>
              <w:pStyle w:val="TableText"/>
              <w:tabs>
                <w:tab w:val="decimal" w:pos="788"/>
              </w:tabs>
              <w:rPr>
                <w:rFonts w:eastAsia="Arial" w:cs="Arial"/>
                <w:szCs w:val="19"/>
              </w:rPr>
            </w:pPr>
            <w:r w:rsidRPr="00666DF4">
              <w:t>7</w:t>
            </w:r>
          </w:p>
        </w:tc>
        <w:tc>
          <w:tcPr>
            <w:tcW w:w="914" w:type="dxa"/>
          </w:tcPr>
          <w:p w:rsidR="000E35D2" w:rsidRPr="00666DF4" w:rsidRDefault="000E35D2" w:rsidP="009D3A65">
            <w:pPr>
              <w:pStyle w:val="TableText"/>
              <w:tabs>
                <w:tab w:val="decimal" w:pos="404"/>
              </w:tabs>
              <w:rPr>
                <w:rFonts w:eastAsia="Arial" w:cs="Arial"/>
                <w:szCs w:val="19"/>
              </w:rPr>
            </w:pPr>
            <w:r w:rsidRPr="00666DF4">
              <w:t>65.0</w:t>
            </w:r>
          </w:p>
        </w:tc>
        <w:tc>
          <w:tcPr>
            <w:tcW w:w="543" w:type="dxa"/>
          </w:tcPr>
          <w:p w:rsidR="000E35D2" w:rsidRPr="00666DF4" w:rsidRDefault="000E35D2" w:rsidP="000E35D2">
            <w:pPr>
              <w:pStyle w:val="TableText"/>
            </w:pPr>
          </w:p>
        </w:tc>
        <w:tc>
          <w:tcPr>
            <w:tcW w:w="1519" w:type="dxa"/>
          </w:tcPr>
          <w:p w:rsidR="000E35D2" w:rsidRPr="00666DF4" w:rsidRDefault="000E35D2" w:rsidP="009D3A65">
            <w:pPr>
              <w:pStyle w:val="TableText"/>
              <w:tabs>
                <w:tab w:val="decimal" w:pos="832"/>
              </w:tabs>
              <w:rPr>
                <w:rFonts w:eastAsia="Arial" w:cs="Arial"/>
                <w:szCs w:val="19"/>
              </w:rPr>
            </w:pPr>
            <w:r w:rsidRPr="00666DF4">
              <w:t>17</w:t>
            </w:r>
          </w:p>
        </w:tc>
        <w:tc>
          <w:tcPr>
            <w:tcW w:w="814" w:type="dxa"/>
          </w:tcPr>
          <w:p w:rsidR="000E35D2" w:rsidRPr="00666DF4" w:rsidRDefault="000E35D2" w:rsidP="009D3A65">
            <w:pPr>
              <w:pStyle w:val="TableText"/>
              <w:tabs>
                <w:tab w:val="decimal" w:pos="369"/>
              </w:tabs>
              <w:rPr>
                <w:rFonts w:eastAsia="Arial" w:cs="Arial"/>
                <w:szCs w:val="19"/>
              </w:rPr>
            </w:pPr>
            <w:r w:rsidRPr="00666DF4">
              <w:t>6.4</w:t>
            </w:r>
          </w:p>
        </w:tc>
        <w:tc>
          <w:tcPr>
            <w:tcW w:w="450" w:type="dxa"/>
          </w:tcPr>
          <w:p w:rsidR="000E35D2" w:rsidRPr="00666DF4" w:rsidRDefault="000E35D2" w:rsidP="000E35D2">
            <w:pPr>
              <w:pStyle w:val="TableText"/>
            </w:pPr>
          </w:p>
        </w:tc>
        <w:tc>
          <w:tcPr>
            <w:tcW w:w="1571" w:type="dxa"/>
          </w:tcPr>
          <w:p w:rsidR="000E35D2" w:rsidRPr="00666DF4" w:rsidRDefault="000E35D2" w:rsidP="009D3A65">
            <w:pPr>
              <w:pStyle w:val="TableText"/>
              <w:tabs>
                <w:tab w:val="decimal" w:pos="824"/>
              </w:tabs>
              <w:rPr>
                <w:rFonts w:eastAsia="Arial" w:cs="Arial"/>
                <w:szCs w:val="19"/>
              </w:rPr>
            </w:pPr>
            <w:r w:rsidRPr="00666DF4">
              <w:t>24</w:t>
            </w:r>
          </w:p>
        </w:tc>
        <w:tc>
          <w:tcPr>
            <w:tcW w:w="851" w:type="dxa"/>
            <w:tcBorders>
              <w:right w:val="nil"/>
            </w:tcBorders>
          </w:tcPr>
          <w:p w:rsidR="000E35D2" w:rsidRPr="00666DF4" w:rsidRDefault="000E35D2" w:rsidP="009D3A65">
            <w:pPr>
              <w:pStyle w:val="TableText"/>
              <w:tabs>
                <w:tab w:val="decimal" w:pos="369"/>
              </w:tabs>
              <w:rPr>
                <w:rFonts w:eastAsia="Arial" w:cs="Arial"/>
                <w:szCs w:val="19"/>
              </w:rPr>
            </w:pPr>
            <w:r w:rsidRPr="00666DF4">
              <w:t>9.9</w:t>
            </w:r>
          </w:p>
        </w:tc>
      </w:tr>
      <w:tr w:rsidR="000E35D2" w:rsidRPr="00666DF4" w:rsidTr="009D3A65">
        <w:trPr>
          <w:cantSplit/>
        </w:trPr>
        <w:tc>
          <w:tcPr>
            <w:tcW w:w="1276" w:type="dxa"/>
            <w:tcBorders>
              <w:left w:val="nil"/>
              <w:bottom w:val="single" w:sz="4" w:space="0" w:color="A6A6A6" w:themeColor="background1" w:themeShade="A6"/>
            </w:tcBorders>
          </w:tcPr>
          <w:p w:rsidR="000E35D2" w:rsidRPr="00666DF4" w:rsidRDefault="000E35D2" w:rsidP="000E35D2">
            <w:pPr>
              <w:pStyle w:val="TableText"/>
              <w:rPr>
                <w:rFonts w:eastAsia="Arial" w:cs="Arial"/>
                <w:szCs w:val="19"/>
              </w:rPr>
            </w:pPr>
            <w:r w:rsidRPr="00666DF4">
              <w:t>Other</w:t>
            </w:r>
          </w:p>
        </w:tc>
        <w:tc>
          <w:tcPr>
            <w:tcW w:w="1418" w:type="dxa"/>
            <w:tcBorders>
              <w:bottom w:val="single" w:sz="4" w:space="0" w:color="A6A6A6" w:themeColor="background1" w:themeShade="A6"/>
            </w:tcBorders>
          </w:tcPr>
          <w:p w:rsidR="000E35D2" w:rsidRPr="00666DF4" w:rsidRDefault="000E35D2" w:rsidP="009D3A65">
            <w:pPr>
              <w:pStyle w:val="TableText"/>
              <w:tabs>
                <w:tab w:val="decimal" w:pos="788"/>
              </w:tabs>
              <w:rPr>
                <w:rFonts w:eastAsia="Arial" w:cs="Arial"/>
                <w:szCs w:val="19"/>
              </w:rPr>
            </w:pPr>
            <w:r w:rsidRPr="00666DF4">
              <w:t>167</w:t>
            </w:r>
          </w:p>
        </w:tc>
        <w:tc>
          <w:tcPr>
            <w:tcW w:w="914" w:type="dxa"/>
            <w:tcBorders>
              <w:bottom w:val="single" w:sz="4" w:space="0" w:color="A6A6A6" w:themeColor="background1" w:themeShade="A6"/>
            </w:tcBorders>
          </w:tcPr>
          <w:p w:rsidR="000E35D2" w:rsidRPr="00666DF4" w:rsidRDefault="000E35D2" w:rsidP="009D3A65">
            <w:pPr>
              <w:pStyle w:val="TableText"/>
              <w:tabs>
                <w:tab w:val="decimal" w:pos="404"/>
              </w:tabs>
              <w:rPr>
                <w:rFonts w:eastAsia="Arial" w:cs="Arial"/>
                <w:szCs w:val="19"/>
              </w:rPr>
            </w:pPr>
            <w:r w:rsidRPr="00666DF4">
              <w:t>164.3</w:t>
            </w:r>
          </w:p>
        </w:tc>
        <w:tc>
          <w:tcPr>
            <w:tcW w:w="543" w:type="dxa"/>
            <w:tcBorders>
              <w:bottom w:val="single" w:sz="4" w:space="0" w:color="A6A6A6" w:themeColor="background1" w:themeShade="A6"/>
            </w:tcBorders>
          </w:tcPr>
          <w:p w:rsidR="000E35D2" w:rsidRPr="00666DF4" w:rsidRDefault="000E35D2" w:rsidP="000E35D2">
            <w:pPr>
              <w:pStyle w:val="TableText"/>
            </w:pPr>
          </w:p>
        </w:tc>
        <w:tc>
          <w:tcPr>
            <w:tcW w:w="1519" w:type="dxa"/>
            <w:tcBorders>
              <w:bottom w:val="single" w:sz="4" w:space="0" w:color="A6A6A6" w:themeColor="background1" w:themeShade="A6"/>
            </w:tcBorders>
          </w:tcPr>
          <w:p w:rsidR="000E35D2" w:rsidRPr="00666DF4" w:rsidRDefault="000E35D2" w:rsidP="009D3A65">
            <w:pPr>
              <w:pStyle w:val="TableText"/>
              <w:tabs>
                <w:tab w:val="decimal" w:pos="832"/>
              </w:tabs>
              <w:rPr>
                <w:rFonts w:eastAsia="Arial" w:cs="Arial"/>
                <w:szCs w:val="19"/>
              </w:rPr>
            </w:pPr>
            <w:r w:rsidRPr="00666DF4">
              <w:t>180</w:t>
            </w:r>
          </w:p>
        </w:tc>
        <w:tc>
          <w:tcPr>
            <w:tcW w:w="814" w:type="dxa"/>
            <w:tcBorders>
              <w:bottom w:val="single" w:sz="4" w:space="0" w:color="A6A6A6" w:themeColor="background1" w:themeShade="A6"/>
            </w:tcBorders>
          </w:tcPr>
          <w:p w:rsidR="000E35D2" w:rsidRPr="00666DF4" w:rsidRDefault="000E35D2" w:rsidP="009D3A65">
            <w:pPr>
              <w:pStyle w:val="TableText"/>
              <w:tabs>
                <w:tab w:val="decimal" w:pos="369"/>
              </w:tabs>
              <w:rPr>
                <w:rFonts w:eastAsia="Arial" w:cs="Arial"/>
                <w:szCs w:val="19"/>
              </w:rPr>
            </w:pPr>
            <w:r w:rsidRPr="00666DF4">
              <w:t>5.5</w:t>
            </w:r>
          </w:p>
        </w:tc>
        <w:tc>
          <w:tcPr>
            <w:tcW w:w="450" w:type="dxa"/>
            <w:tcBorders>
              <w:bottom w:val="single" w:sz="4" w:space="0" w:color="A6A6A6" w:themeColor="background1" w:themeShade="A6"/>
            </w:tcBorders>
          </w:tcPr>
          <w:p w:rsidR="000E35D2" w:rsidRPr="00666DF4" w:rsidRDefault="000E35D2" w:rsidP="000E35D2">
            <w:pPr>
              <w:pStyle w:val="TableText"/>
            </w:pPr>
          </w:p>
        </w:tc>
        <w:tc>
          <w:tcPr>
            <w:tcW w:w="1571" w:type="dxa"/>
            <w:tcBorders>
              <w:bottom w:val="single" w:sz="4" w:space="0" w:color="A6A6A6" w:themeColor="background1" w:themeShade="A6"/>
            </w:tcBorders>
          </w:tcPr>
          <w:p w:rsidR="000E35D2" w:rsidRPr="00666DF4" w:rsidRDefault="000E35D2" w:rsidP="009D3A65">
            <w:pPr>
              <w:pStyle w:val="TableText"/>
              <w:tabs>
                <w:tab w:val="decimal" w:pos="824"/>
              </w:tabs>
              <w:rPr>
                <w:rFonts w:eastAsia="Arial" w:cs="Arial"/>
                <w:szCs w:val="19"/>
              </w:rPr>
            </w:pPr>
            <w:r w:rsidRPr="00666DF4">
              <w:t>347</w:t>
            </w:r>
          </w:p>
        </w:tc>
        <w:tc>
          <w:tcPr>
            <w:tcW w:w="851" w:type="dxa"/>
            <w:tcBorders>
              <w:bottom w:val="single" w:sz="4" w:space="0" w:color="A6A6A6" w:themeColor="background1" w:themeShade="A6"/>
              <w:right w:val="nil"/>
            </w:tcBorders>
          </w:tcPr>
          <w:p w:rsidR="000E35D2" w:rsidRPr="00666DF4" w:rsidRDefault="000E35D2" w:rsidP="009D3A65">
            <w:pPr>
              <w:pStyle w:val="TableText"/>
              <w:tabs>
                <w:tab w:val="decimal" w:pos="369"/>
              </w:tabs>
              <w:rPr>
                <w:rFonts w:eastAsia="Arial" w:cs="Arial"/>
                <w:szCs w:val="19"/>
              </w:rPr>
            </w:pPr>
            <w:r w:rsidRPr="00666DF4">
              <w:t>10.3</w:t>
            </w:r>
          </w:p>
        </w:tc>
      </w:tr>
      <w:tr w:rsidR="000E35D2" w:rsidRPr="000E35D2" w:rsidTr="009D3A65">
        <w:trPr>
          <w:cantSplit/>
        </w:trPr>
        <w:tc>
          <w:tcPr>
            <w:tcW w:w="1276" w:type="dxa"/>
            <w:tcBorders>
              <w:top w:val="single" w:sz="4" w:space="0" w:color="A6A6A6" w:themeColor="background1" w:themeShade="A6"/>
              <w:left w:val="nil"/>
              <w:bottom w:val="single" w:sz="4" w:space="0" w:color="auto"/>
            </w:tcBorders>
          </w:tcPr>
          <w:p w:rsidR="000E35D2" w:rsidRPr="000E35D2" w:rsidRDefault="000E35D2" w:rsidP="000E35D2">
            <w:pPr>
              <w:pStyle w:val="TableText"/>
              <w:rPr>
                <w:rFonts w:eastAsia="Arial" w:cs="Arial"/>
                <w:b/>
                <w:szCs w:val="19"/>
              </w:rPr>
            </w:pPr>
            <w:r w:rsidRPr="000E35D2">
              <w:rPr>
                <w:b/>
              </w:rPr>
              <w:t>Total</w:t>
            </w:r>
          </w:p>
        </w:tc>
        <w:tc>
          <w:tcPr>
            <w:tcW w:w="1418" w:type="dxa"/>
            <w:tcBorders>
              <w:top w:val="single" w:sz="4" w:space="0" w:color="A6A6A6" w:themeColor="background1" w:themeShade="A6"/>
              <w:bottom w:val="single" w:sz="4" w:space="0" w:color="auto"/>
            </w:tcBorders>
          </w:tcPr>
          <w:p w:rsidR="000E35D2" w:rsidRPr="000E35D2" w:rsidRDefault="000E35D2" w:rsidP="009D3A65">
            <w:pPr>
              <w:pStyle w:val="TableText"/>
              <w:tabs>
                <w:tab w:val="decimal" w:pos="788"/>
              </w:tabs>
              <w:rPr>
                <w:rFonts w:eastAsia="Arial" w:cs="Arial"/>
                <w:b/>
                <w:szCs w:val="19"/>
              </w:rPr>
            </w:pPr>
            <w:r w:rsidRPr="000E35D2">
              <w:rPr>
                <w:b/>
              </w:rPr>
              <w:t>213</w:t>
            </w:r>
          </w:p>
        </w:tc>
        <w:tc>
          <w:tcPr>
            <w:tcW w:w="914" w:type="dxa"/>
            <w:tcBorders>
              <w:top w:val="single" w:sz="4" w:space="0" w:color="A6A6A6" w:themeColor="background1" w:themeShade="A6"/>
              <w:bottom w:val="single" w:sz="4" w:space="0" w:color="auto"/>
            </w:tcBorders>
          </w:tcPr>
          <w:p w:rsidR="000E35D2" w:rsidRPr="000E35D2" w:rsidRDefault="000E35D2" w:rsidP="009D3A65">
            <w:pPr>
              <w:pStyle w:val="TableText"/>
              <w:tabs>
                <w:tab w:val="decimal" w:pos="404"/>
              </w:tabs>
              <w:rPr>
                <w:rFonts w:eastAsia="Arial" w:cs="Arial"/>
                <w:b/>
                <w:szCs w:val="19"/>
              </w:rPr>
            </w:pPr>
            <w:r w:rsidRPr="000E35D2">
              <w:rPr>
                <w:b/>
              </w:rPr>
              <w:t>142.4</w:t>
            </w:r>
          </w:p>
        </w:tc>
        <w:tc>
          <w:tcPr>
            <w:tcW w:w="543" w:type="dxa"/>
            <w:tcBorders>
              <w:top w:val="single" w:sz="4" w:space="0" w:color="A6A6A6" w:themeColor="background1" w:themeShade="A6"/>
              <w:bottom w:val="single" w:sz="4" w:space="0" w:color="auto"/>
            </w:tcBorders>
          </w:tcPr>
          <w:p w:rsidR="000E35D2" w:rsidRPr="000E35D2" w:rsidRDefault="000E35D2" w:rsidP="000E35D2">
            <w:pPr>
              <w:pStyle w:val="TableText"/>
              <w:rPr>
                <w:b/>
              </w:rPr>
            </w:pPr>
          </w:p>
        </w:tc>
        <w:tc>
          <w:tcPr>
            <w:tcW w:w="1519" w:type="dxa"/>
            <w:tcBorders>
              <w:top w:val="single" w:sz="4" w:space="0" w:color="A6A6A6" w:themeColor="background1" w:themeShade="A6"/>
              <w:bottom w:val="single" w:sz="4" w:space="0" w:color="auto"/>
            </w:tcBorders>
          </w:tcPr>
          <w:p w:rsidR="000E35D2" w:rsidRPr="000E35D2" w:rsidRDefault="000E35D2" w:rsidP="009D3A65">
            <w:pPr>
              <w:pStyle w:val="TableText"/>
              <w:tabs>
                <w:tab w:val="decimal" w:pos="832"/>
              </w:tabs>
              <w:rPr>
                <w:rFonts w:eastAsia="Arial" w:cs="Arial"/>
                <w:b/>
                <w:szCs w:val="19"/>
              </w:rPr>
            </w:pPr>
            <w:r w:rsidRPr="000E35D2">
              <w:rPr>
                <w:b/>
              </w:rPr>
              <w:t>255</w:t>
            </w:r>
          </w:p>
        </w:tc>
        <w:tc>
          <w:tcPr>
            <w:tcW w:w="814" w:type="dxa"/>
            <w:tcBorders>
              <w:top w:val="single" w:sz="4" w:space="0" w:color="A6A6A6" w:themeColor="background1" w:themeShade="A6"/>
              <w:bottom w:val="single" w:sz="4" w:space="0" w:color="auto"/>
            </w:tcBorders>
          </w:tcPr>
          <w:p w:rsidR="000E35D2" w:rsidRPr="000E35D2" w:rsidRDefault="000E35D2" w:rsidP="009D3A65">
            <w:pPr>
              <w:pStyle w:val="TableText"/>
              <w:tabs>
                <w:tab w:val="decimal" w:pos="369"/>
              </w:tabs>
              <w:rPr>
                <w:rFonts w:eastAsia="Arial" w:cs="Arial"/>
                <w:b/>
                <w:szCs w:val="18"/>
              </w:rPr>
            </w:pPr>
            <w:r w:rsidRPr="000E35D2">
              <w:rPr>
                <w:b/>
              </w:rPr>
              <w:t>6.5</w:t>
            </w:r>
          </w:p>
        </w:tc>
        <w:tc>
          <w:tcPr>
            <w:tcW w:w="450" w:type="dxa"/>
            <w:tcBorders>
              <w:top w:val="single" w:sz="4" w:space="0" w:color="A6A6A6" w:themeColor="background1" w:themeShade="A6"/>
              <w:bottom w:val="single" w:sz="4" w:space="0" w:color="auto"/>
            </w:tcBorders>
          </w:tcPr>
          <w:p w:rsidR="000E35D2" w:rsidRPr="000E35D2" w:rsidRDefault="000E35D2" w:rsidP="000E35D2">
            <w:pPr>
              <w:pStyle w:val="TableText"/>
              <w:rPr>
                <w:b/>
              </w:rPr>
            </w:pPr>
          </w:p>
        </w:tc>
        <w:tc>
          <w:tcPr>
            <w:tcW w:w="1571" w:type="dxa"/>
            <w:tcBorders>
              <w:top w:val="single" w:sz="4" w:space="0" w:color="A6A6A6" w:themeColor="background1" w:themeShade="A6"/>
              <w:bottom w:val="single" w:sz="4" w:space="0" w:color="auto"/>
            </w:tcBorders>
          </w:tcPr>
          <w:p w:rsidR="000E35D2" w:rsidRPr="000E35D2" w:rsidRDefault="000E35D2" w:rsidP="009D3A65">
            <w:pPr>
              <w:pStyle w:val="TableText"/>
              <w:tabs>
                <w:tab w:val="decimal" w:pos="824"/>
              </w:tabs>
              <w:rPr>
                <w:rFonts w:eastAsia="Arial" w:cs="Arial"/>
                <w:b/>
                <w:szCs w:val="18"/>
              </w:rPr>
            </w:pPr>
            <w:r w:rsidRPr="000E35D2">
              <w:rPr>
                <w:b/>
              </w:rPr>
              <w:t>468</w:t>
            </w:r>
          </w:p>
        </w:tc>
        <w:tc>
          <w:tcPr>
            <w:tcW w:w="851" w:type="dxa"/>
            <w:tcBorders>
              <w:top w:val="single" w:sz="4" w:space="0" w:color="A6A6A6" w:themeColor="background1" w:themeShade="A6"/>
              <w:bottom w:val="single" w:sz="4" w:space="0" w:color="auto"/>
              <w:right w:val="nil"/>
            </w:tcBorders>
          </w:tcPr>
          <w:p w:rsidR="000E35D2" w:rsidRPr="000E35D2" w:rsidRDefault="000E35D2" w:rsidP="009D3A65">
            <w:pPr>
              <w:pStyle w:val="TableText"/>
              <w:tabs>
                <w:tab w:val="decimal" w:pos="369"/>
              </w:tabs>
              <w:rPr>
                <w:rFonts w:eastAsia="Arial" w:cs="Arial"/>
                <w:b/>
                <w:szCs w:val="18"/>
              </w:rPr>
            </w:pPr>
            <w:r w:rsidRPr="000E35D2">
              <w:rPr>
                <w:b/>
              </w:rPr>
              <w:t>11.4</w:t>
            </w:r>
          </w:p>
        </w:tc>
      </w:tr>
    </w:tbl>
    <w:p w:rsidR="00A47CF6" w:rsidRPr="00666DF4" w:rsidRDefault="00A47CF6" w:rsidP="009D3A65">
      <w:pPr>
        <w:pStyle w:val="Note"/>
        <w:rPr>
          <w:rFonts w:eastAsia="Arial" w:cs="Arial"/>
          <w:szCs w:val="19"/>
        </w:rPr>
      </w:pPr>
      <w:r w:rsidRPr="00666DF4">
        <w:t>Note: ASR = Age-standardised rate.</w:t>
      </w:r>
    </w:p>
    <w:p w:rsidR="00A47CF6" w:rsidRPr="00666DF4" w:rsidRDefault="00A47CF6" w:rsidP="009D3A65">
      <w:pPr>
        <w:pStyle w:val="Source"/>
        <w:rPr>
          <w:rFonts w:eastAsia="Arial" w:cs="Arial"/>
          <w:szCs w:val="19"/>
        </w:rPr>
      </w:pPr>
      <w:r w:rsidRPr="00666DF4">
        <w:t>Source: Ministry of Health mortality database data, extracted on 17 July 2017</w:t>
      </w:r>
    </w:p>
    <w:p w:rsidR="00A47CF6" w:rsidRPr="00666DF4" w:rsidRDefault="00A47CF6" w:rsidP="009D3A65">
      <w:pPr>
        <w:rPr>
          <w:rFonts w:eastAsia="Arial"/>
        </w:rPr>
      </w:pPr>
    </w:p>
    <w:p w:rsidR="00A47CF6" w:rsidRPr="00666DF4" w:rsidRDefault="00A47CF6" w:rsidP="009D3A65">
      <w:pPr>
        <w:pStyle w:val="Heading3"/>
        <w:rPr>
          <w:bCs/>
        </w:rPr>
      </w:pPr>
      <w:r w:rsidRPr="00666DF4">
        <w:t>Service users who died by suicide during 2014</w:t>
      </w:r>
    </w:p>
    <w:p w:rsidR="00A47CF6" w:rsidRPr="009D3A65" w:rsidRDefault="00A47CF6" w:rsidP="009D3A65">
      <w:r w:rsidRPr="00666DF4">
        <w:t>During 2014, 213 service users died by suicide. Of this total, five died while inpatients,</w:t>
      </w:r>
      <w:r w:rsidR="009D3A65">
        <w:rPr>
          <w:rStyle w:val="FootnoteReference"/>
        </w:rPr>
        <w:footnoteReference w:id="39"/>
      </w:r>
      <w:r w:rsidR="009D3A65">
        <w:t xml:space="preserve"> </w:t>
      </w:r>
      <w:r w:rsidRPr="00666DF4">
        <w:t>eight died within a week of being discharged</w:t>
      </w:r>
      <w:r w:rsidR="009D3A65">
        <w:rPr>
          <w:rStyle w:val="FootnoteReference"/>
        </w:rPr>
        <w:footnoteReference w:id="40"/>
      </w:r>
      <w:r w:rsidR="009D3A65">
        <w:t xml:space="preserve"> </w:t>
      </w:r>
      <w:r w:rsidRPr="00666DF4">
        <w:t>and 61 died within 12 months of discharge.</w:t>
      </w:r>
      <w:r w:rsidR="009D3A65">
        <w:rPr>
          <w:rStyle w:val="FootnoteReference"/>
        </w:rPr>
        <w:footnoteReference w:id="41"/>
      </w:r>
    </w:p>
    <w:p w:rsidR="00A47CF6" w:rsidRPr="00666DF4" w:rsidRDefault="00A47CF6" w:rsidP="009D3A65">
      <w:pPr>
        <w:rPr>
          <w:rFonts w:eastAsia="Century"/>
        </w:rPr>
      </w:pPr>
    </w:p>
    <w:p w:rsidR="00A47CF6" w:rsidRPr="00666DF4" w:rsidRDefault="00A47CF6" w:rsidP="009D3A65">
      <w:pPr>
        <w:pStyle w:val="Heading3"/>
        <w:rPr>
          <w:bCs/>
        </w:rPr>
      </w:pPr>
      <w:r w:rsidRPr="00666DF4">
        <w:t>An overview of service users dying by suicide, 2001–2014</w:t>
      </w:r>
    </w:p>
    <w:p w:rsidR="00A47CF6" w:rsidRDefault="00A47CF6" w:rsidP="009D3A65">
      <w:proofErr w:type="gramStart"/>
      <w:r w:rsidRPr="00666DF4">
        <w:t>Between 2001 to 2014,</w:t>
      </w:r>
      <w:proofErr w:type="gramEnd"/>
      <w:r w:rsidRPr="00666DF4">
        <w:t xml:space="preserve"> 2,415 service users died by suicide.</w:t>
      </w:r>
      <w:r w:rsidR="009D3A65">
        <w:rPr>
          <w:rStyle w:val="FootnoteReference"/>
        </w:rPr>
        <w:footnoteReference w:id="42"/>
      </w:r>
      <w:r w:rsidR="009D3A65">
        <w:t xml:space="preserve"> </w:t>
      </w:r>
      <w:r w:rsidRPr="00666DF4">
        <w:t>Of this total, 49 service users (2</w:t>
      </w:r>
      <w:r w:rsidR="009D3A65">
        <w:t> </w:t>
      </w:r>
      <w:r w:rsidRPr="00666DF4">
        <w:t>percent) died while inpatients, 166 (7 percent) died within a week of being discharged and 878 (36 percent) died within 12 months of discharge.</w:t>
      </w:r>
    </w:p>
    <w:p w:rsidR="009D3A65" w:rsidRPr="00666DF4" w:rsidRDefault="009D3A65" w:rsidP="009D3A65"/>
    <w:p w:rsidR="00A47CF6" w:rsidRPr="00666DF4" w:rsidRDefault="00A47CF6" w:rsidP="009D3A65">
      <w:r w:rsidRPr="00666DF4">
        <w:t>Of the 2,415 service user suicides, 2,380 people had received treatment from a specialist service community team in the 12 months before their death, and 563 had received treatment from a specialist AOD team in the 12 months before their death.</w:t>
      </w:r>
    </w:p>
    <w:p w:rsidR="00A47CF6" w:rsidRPr="00666DF4" w:rsidRDefault="00A47CF6" w:rsidP="009D3A65">
      <w:pPr>
        <w:rPr>
          <w:rFonts w:eastAsia="Century"/>
        </w:rPr>
      </w:pPr>
    </w:p>
    <w:p w:rsidR="00A47CF6" w:rsidRPr="00666DF4" w:rsidRDefault="00A47CF6" w:rsidP="009D3A65">
      <w:pPr>
        <w:pStyle w:val="Heading2"/>
        <w:rPr>
          <w:bCs/>
        </w:rPr>
      </w:pPr>
      <w:bookmarkStart w:id="205" w:name="Specialist_treatment_regimes_"/>
      <w:bookmarkStart w:id="206" w:name="_bookmark45"/>
      <w:bookmarkStart w:id="207" w:name="_Toc508707287"/>
      <w:bookmarkEnd w:id="205"/>
      <w:bookmarkEnd w:id="206"/>
      <w:r w:rsidRPr="00666DF4">
        <w:t>Specialist treatment regimes</w:t>
      </w:r>
      <w:bookmarkEnd w:id="207"/>
    </w:p>
    <w:p w:rsidR="00A47CF6" w:rsidRPr="00666DF4" w:rsidRDefault="00A47CF6" w:rsidP="00DE2CF1">
      <w:pPr>
        <w:pStyle w:val="Heading3"/>
        <w:rPr>
          <w:bCs/>
        </w:rPr>
      </w:pPr>
      <w:r w:rsidRPr="00666DF4">
        <w:t>Opioid substitution treatment</w:t>
      </w:r>
    </w:p>
    <w:p w:rsidR="00A47CF6" w:rsidRPr="00666DF4" w:rsidRDefault="00A47CF6" w:rsidP="00DE2CF1">
      <w:r w:rsidRPr="00666DF4">
        <w:t>Opioid substitution treatment (OST) involves prescribing opioids such as methadone and buprenorphine with naloxone (</w:t>
      </w:r>
      <w:proofErr w:type="spellStart"/>
      <w:r w:rsidRPr="00666DF4">
        <w:t>Suboxone</w:t>
      </w:r>
      <w:proofErr w:type="spellEnd"/>
      <w:r w:rsidRPr="00666DF4">
        <w:t>) as a substitute for illicit opioids. It is a well-established treatment that ensures that people with opioid dependence have access to comprehensive services to support them in their recovery. One of the key objectives of OST is to improve the physical and psychological health and wellbeing of the people who use opioids.</w:t>
      </w:r>
    </w:p>
    <w:p w:rsidR="00DE2CF1" w:rsidRDefault="00DE2CF1" w:rsidP="00DE2CF1"/>
    <w:p w:rsidR="00A47CF6" w:rsidRPr="00666DF4" w:rsidRDefault="00A47CF6" w:rsidP="00DE2CF1">
      <w:r w:rsidRPr="00666DF4">
        <w:t>In summary, in 2016:</w:t>
      </w:r>
    </w:p>
    <w:p w:rsidR="00A47CF6" w:rsidRPr="00666DF4" w:rsidRDefault="00A47CF6" w:rsidP="00DE2CF1">
      <w:pPr>
        <w:pStyle w:val="Bullet"/>
      </w:pPr>
      <w:r w:rsidRPr="00666DF4">
        <w:t>the total number of people receiving OST was 5,314</w:t>
      </w:r>
    </w:p>
    <w:p w:rsidR="00A47CF6" w:rsidRPr="00666DF4" w:rsidRDefault="00A47CF6" w:rsidP="00DE2CF1">
      <w:pPr>
        <w:pStyle w:val="Bullet"/>
      </w:pPr>
      <w:r w:rsidRPr="00666DF4">
        <w:t>of people receiving OST, 78 percent were New Zealand European, 14 percent were Māori, 1</w:t>
      </w:r>
      <w:r w:rsidR="00DE2CF1">
        <w:t> </w:t>
      </w:r>
      <w:r w:rsidRPr="00666DF4">
        <w:t>percent were Pacific peoples and 7 percent were of another ethnicity</w:t>
      </w:r>
    </w:p>
    <w:p w:rsidR="00A47CF6" w:rsidRPr="00666DF4" w:rsidRDefault="00A47CF6" w:rsidP="00DE2CF1">
      <w:pPr>
        <w:pStyle w:val="Bullet"/>
      </w:pPr>
      <w:proofErr w:type="gramStart"/>
      <w:r w:rsidRPr="00666DF4">
        <w:t>approximately</w:t>
      </w:r>
      <w:proofErr w:type="gramEnd"/>
      <w:r w:rsidRPr="00666DF4">
        <w:t xml:space="preserve"> 28 percent of people receiving OST were being treated by a GP in a shared-care arrangement.</w:t>
      </w:r>
    </w:p>
    <w:p w:rsidR="00A47CF6" w:rsidRPr="00666DF4" w:rsidRDefault="00A47CF6" w:rsidP="00DE2CF1"/>
    <w:p w:rsidR="00A47CF6" w:rsidRPr="00666DF4" w:rsidRDefault="00A47CF6" w:rsidP="00DE2CF1">
      <w:r w:rsidRPr="00666DF4">
        <w:t>The Director of Mental Health is responsible for approving qualified practitioners to prescribe controlled drugs for the treatment of drug dependence under section 24 of the Misuse of Drugs Act 1975. For this purpose the Director undertakes regular site visits, focusing on building relationships and improving service quality.</w:t>
      </w:r>
    </w:p>
    <w:p w:rsidR="00A47CF6" w:rsidRPr="00666DF4" w:rsidRDefault="00A47CF6" w:rsidP="00DE2CF1">
      <w:pPr>
        <w:rPr>
          <w:rFonts w:eastAsia="Century"/>
        </w:rPr>
      </w:pPr>
    </w:p>
    <w:p w:rsidR="00A47CF6" w:rsidRPr="00BF25EC" w:rsidRDefault="00A47CF6" w:rsidP="00DE2CF1">
      <w:pPr>
        <w:pStyle w:val="Heading4"/>
        <w:rPr>
          <w:bCs/>
        </w:rPr>
      </w:pPr>
      <w:r w:rsidRPr="00BF25EC">
        <w:t>Service</w:t>
      </w:r>
      <w:r w:rsidR="00BF25EC" w:rsidRPr="00BF25EC">
        <w:t xml:space="preserve"> </w:t>
      </w:r>
      <w:r w:rsidRPr="00BF25EC">
        <w:t>improvements</w:t>
      </w:r>
    </w:p>
    <w:p w:rsidR="00A47CF6" w:rsidRPr="00666DF4" w:rsidRDefault="00A47CF6" w:rsidP="00DE2CF1">
      <w:r w:rsidRPr="00666DF4">
        <w:t>The Specialist Opioid Substitution Treatment Service Audit and Review</w:t>
      </w:r>
    </w:p>
    <w:p w:rsidR="00A47CF6" w:rsidRPr="00666DF4" w:rsidRDefault="00A47CF6" w:rsidP="00DE2CF1">
      <w:pPr>
        <w:rPr>
          <w:rFonts w:eastAsia="Century"/>
        </w:rPr>
      </w:pPr>
    </w:p>
    <w:p w:rsidR="00A47CF6" w:rsidRPr="00666DF4" w:rsidRDefault="00A47CF6" w:rsidP="00DE2CF1">
      <w:r w:rsidRPr="00666DF4">
        <w:t>Tool sets out clinical audit requirements to ensure best treatment and services for clients and their family/</w:t>
      </w:r>
      <w:proofErr w:type="spellStart"/>
      <w:r w:rsidRPr="00666DF4">
        <w:t>whānau</w:t>
      </w:r>
      <w:proofErr w:type="spellEnd"/>
      <w:r w:rsidRPr="00666DF4">
        <w:t>. The Ministry of Health audits services based on indicators from two key documents:</w:t>
      </w:r>
    </w:p>
    <w:p w:rsidR="00A47CF6" w:rsidRPr="00DE2CF1" w:rsidRDefault="00A47CF6" w:rsidP="00DE2CF1">
      <w:pPr>
        <w:pStyle w:val="Bullet"/>
        <w:rPr>
          <w:rFonts w:eastAsia="Century" w:cs="Century"/>
        </w:rPr>
      </w:pPr>
      <w:r w:rsidRPr="00DE2CF1">
        <w:rPr>
          <w:i/>
        </w:rPr>
        <w:t>New Zealand Practice Guidelines for Opioid Substitution Treatment</w:t>
      </w:r>
      <w:r w:rsidRPr="00DE2CF1">
        <w:t xml:space="preserve"> (Ministry of Health 2014)</w:t>
      </w:r>
    </w:p>
    <w:p w:rsidR="00A47CF6" w:rsidRPr="00DE2CF1" w:rsidRDefault="00A47CF6" w:rsidP="00DE2CF1">
      <w:pPr>
        <w:pStyle w:val="Bullet"/>
        <w:rPr>
          <w:rFonts w:eastAsia="Century" w:cs="Century"/>
        </w:rPr>
      </w:pPr>
      <w:r w:rsidRPr="00DE2CF1">
        <w:rPr>
          <w:i/>
        </w:rPr>
        <w:t>National Guidelines: Interim methadone prescribing</w:t>
      </w:r>
      <w:r w:rsidRPr="00DE2CF1">
        <w:t xml:space="preserve"> (Ministry of Health 2007).</w:t>
      </w:r>
    </w:p>
    <w:p w:rsidR="00A47CF6" w:rsidRPr="00666DF4" w:rsidRDefault="00A47CF6" w:rsidP="00DE2CF1">
      <w:pPr>
        <w:rPr>
          <w:rFonts w:eastAsia="Century"/>
        </w:rPr>
      </w:pPr>
    </w:p>
    <w:p w:rsidR="00A47CF6" w:rsidRPr="00666DF4" w:rsidRDefault="00A47CF6" w:rsidP="00DE2CF1">
      <w:r w:rsidRPr="00666DF4">
        <w:t>The Ministry of Health has initiated a rolling programme of OST service audits to support ongoing quality improvement. All services will have completed an audit by July 2018.</w:t>
      </w:r>
    </w:p>
    <w:p w:rsidR="00A47CF6" w:rsidRPr="00666DF4" w:rsidRDefault="00A47CF6" w:rsidP="00DE2CF1">
      <w:pPr>
        <w:rPr>
          <w:rFonts w:eastAsia="Century"/>
        </w:rPr>
      </w:pPr>
    </w:p>
    <w:p w:rsidR="00A47CF6" w:rsidRPr="00666DF4" w:rsidRDefault="00A47CF6" w:rsidP="00DE2CF1">
      <w:r w:rsidRPr="00666DF4">
        <w:t>To ensure the best possible health outcomes for service users, the sector must place greater emphasis on managing coexisting medical and mental health problems and focus on integrating primary and specialist services (Ministry of Health 2012e).</w:t>
      </w:r>
    </w:p>
    <w:p w:rsidR="00A47CF6" w:rsidRPr="00666DF4" w:rsidRDefault="00A47CF6" w:rsidP="00DE2CF1">
      <w:pPr>
        <w:rPr>
          <w:rFonts w:eastAsia="Century"/>
        </w:rPr>
      </w:pPr>
    </w:p>
    <w:p w:rsidR="00A47CF6" w:rsidRPr="00BF25EC" w:rsidRDefault="00A47CF6" w:rsidP="00DE2CF1">
      <w:pPr>
        <w:pStyle w:val="Heading4"/>
        <w:rPr>
          <w:bCs/>
        </w:rPr>
      </w:pPr>
      <w:r w:rsidRPr="00BF25EC">
        <w:t>The ageing population of OST clients</w:t>
      </w:r>
    </w:p>
    <w:p w:rsidR="00A47CF6" w:rsidRPr="00666DF4" w:rsidRDefault="00A47CF6" w:rsidP="00DE2CF1">
      <w:r w:rsidRPr="00666DF4">
        <w:t>Opioid substitution treatment clients are an aging population; those over 45 years are the most likely to be receiving treatment. In 2016, the overall portion of clients over 45 years was 58.2 %, with only</w:t>
      </w:r>
      <w:r w:rsidR="00DE2CF1">
        <w:t xml:space="preserve"> </w:t>
      </w:r>
      <w:r w:rsidRPr="00666DF4">
        <w:t>two services nationally with less than 50% of clients over 45 (see Figure 34).</w:t>
      </w:r>
    </w:p>
    <w:p w:rsidR="00A47CF6" w:rsidRPr="00666DF4" w:rsidRDefault="00A47CF6" w:rsidP="00DE2CF1"/>
    <w:p w:rsidR="00A47CF6" w:rsidRDefault="00A47CF6" w:rsidP="00DE2CF1">
      <w:pPr>
        <w:pStyle w:val="Figure"/>
        <w:rPr>
          <w:rFonts w:eastAsia="Georgia"/>
        </w:rPr>
      </w:pPr>
      <w:bookmarkStart w:id="208" w:name="Figure_34:_Number_of_opioid_substitution"/>
      <w:bookmarkStart w:id="209" w:name="Figure_35:_Number_of_people_receiving_op"/>
      <w:bookmarkStart w:id="210" w:name="_bookmark46"/>
      <w:bookmarkStart w:id="211" w:name="_Toc508707358"/>
      <w:bookmarkEnd w:id="208"/>
      <w:bookmarkEnd w:id="209"/>
      <w:bookmarkEnd w:id="210"/>
      <w:r w:rsidRPr="00666DF4">
        <w:rPr>
          <w:rFonts w:eastAsia="Georgia"/>
        </w:rPr>
        <w:t>Figure 34: Number of opioid substitution treatment clients, by age group, 2008–2016</w:t>
      </w:r>
      <w:bookmarkEnd w:id="211"/>
    </w:p>
    <w:p w:rsidR="00DE2CF1" w:rsidRPr="00DE2CF1" w:rsidRDefault="00DE2CF1" w:rsidP="00DE2CF1">
      <w:pPr>
        <w:rPr>
          <w:rFonts w:eastAsia="Georgia"/>
        </w:rPr>
      </w:pPr>
      <w:r>
        <w:rPr>
          <w:noProof/>
          <w:lang w:eastAsia="en-NZ"/>
        </w:rPr>
        <w:drawing>
          <wp:inline distT="0" distB="0" distL="0" distR="0" wp14:anchorId="091962CC" wp14:editId="67A340AD">
            <wp:extent cx="5112327" cy="2243835"/>
            <wp:effectExtent l="0" t="0" r="0" b="4445"/>
            <wp:docPr id="92" name="Picture 92" title="Figure 34: Number of opioid substitution treatment clients, by age group,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grayscl/>
                    </a:blip>
                    <a:stretch>
                      <a:fillRect/>
                    </a:stretch>
                  </pic:blipFill>
                  <pic:spPr>
                    <a:xfrm>
                      <a:off x="0" y="0"/>
                      <a:ext cx="5110236" cy="2242917"/>
                    </a:xfrm>
                    <a:prstGeom prst="rect">
                      <a:avLst/>
                    </a:prstGeom>
                  </pic:spPr>
                </pic:pic>
              </a:graphicData>
            </a:graphic>
          </wp:inline>
        </w:drawing>
      </w:r>
    </w:p>
    <w:p w:rsidR="00A47CF6" w:rsidRPr="00666DF4" w:rsidRDefault="00A47CF6" w:rsidP="00DE2CF1">
      <w:pPr>
        <w:pStyle w:val="Source"/>
        <w:rPr>
          <w:rFonts w:eastAsia="Arial" w:cs="Arial"/>
          <w:szCs w:val="19"/>
        </w:rPr>
      </w:pPr>
      <w:r w:rsidRPr="00666DF4">
        <w:t>Source: Data provided by OST services in six-monthly reports</w:t>
      </w:r>
    </w:p>
    <w:p w:rsidR="00A47CF6" w:rsidRPr="00666DF4" w:rsidRDefault="00A47CF6" w:rsidP="00DE2CF1">
      <w:pPr>
        <w:rPr>
          <w:rFonts w:eastAsia="Arial"/>
        </w:rPr>
      </w:pPr>
    </w:p>
    <w:p w:rsidR="00A47CF6" w:rsidRPr="00BF25EC" w:rsidRDefault="00A47CF6" w:rsidP="00DE2CF1">
      <w:pPr>
        <w:pStyle w:val="Heading4"/>
        <w:rPr>
          <w:bCs/>
        </w:rPr>
      </w:pPr>
      <w:r w:rsidRPr="00BF25EC">
        <w:t>Shared care with general practice</w:t>
      </w:r>
    </w:p>
    <w:p w:rsidR="00A47CF6" w:rsidRPr="00666DF4" w:rsidRDefault="00A47CF6" w:rsidP="00DE2CF1">
      <w:r w:rsidRPr="00666DF4">
        <w:t>Opioid substitution treatment in New Zealand is provided by specialist addiction services and primary health care teams. Transferring care to a shared-care arrangement with primary care offers a lot of benefits, including allowing specialist services to focus on those with the highest need and normalising the treatment process. Ensuring that services are delivered seamlessly across providers will be an important focus in the future.</w:t>
      </w:r>
    </w:p>
    <w:p w:rsidR="00A47CF6" w:rsidRPr="00666DF4" w:rsidRDefault="00A47CF6" w:rsidP="00DE2CF1">
      <w:pPr>
        <w:rPr>
          <w:rFonts w:eastAsia="Century"/>
        </w:rPr>
      </w:pPr>
    </w:p>
    <w:p w:rsidR="00A47CF6" w:rsidRPr="00BF25EC" w:rsidRDefault="00A47CF6" w:rsidP="00DE2CF1">
      <w:pPr>
        <w:pStyle w:val="Heading4"/>
        <w:rPr>
          <w:bCs/>
        </w:rPr>
      </w:pPr>
      <w:r w:rsidRPr="00BF25EC">
        <w:t>Corrections opioid substitution treatment shared care model</w:t>
      </w:r>
    </w:p>
    <w:p w:rsidR="00A47CF6" w:rsidRPr="00666DF4" w:rsidRDefault="00A47CF6" w:rsidP="00DE2CF1">
      <w:r w:rsidRPr="00666DF4">
        <w:t>When a person receiving OST goes to prison, Corrections ensures that they continue to receive OST services, including psychosocial support and treatment from specialist services. Figure 35 presents a comparison of the number of people receiving OST from a specialist service, general practice or prison service between 2008 and 2016.</w:t>
      </w:r>
    </w:p>
    <w:p w:rsidR="00A47CF6" w:rsidRPr="00666DF4" w:rsidRDefault="00A47CF6" w:rsidP="00DE2CF1">
      <w:pPr>
        <w:rPr>
          <w:rFonts w:eastAsia="Century"/>
        </w:rPr>
      </w:pPr>
    </w:p>
    <w:p w:rsidR="00A47CF6" w:rsidRPr="00666DF4" w:rsidRDefault="00A47CF6" w:rsidP="00DE2CF1">
      <w:pPr>
        <w:pStyle w:val="Figure"/>
        <w:rPr>
          <w:rFonts w:eastAsia="Georgia"/>
        </w:rPr>
      </w:pPr>
      <w:bookmarkStart w:id="212" w:name="_Toc508707359"/>
      <w:r w:rsidRPr="00666DF4">
        <w:rPr>
          <w:rFonts w:eastAsia="Georgia"/>
        </w:rPr>
        <w:t>Figure 35: Number of people receiving opioid substitution treatment from a specialist service, general practice or prison service, 2008–2016</w:t>
      </w:r>
      <w:bookmarkEnd w:id="212"/>
    </w:p>
    <w:p w:rsidR="00A47CF6" w:rsidRPr="00666DF4" w:rsidRDefault="00DE2CF1" w:rsidP="00DE2CF1">
      <w:pPr>
        <w:rPr>
          <w:rFonts w:eastAsia="Georgia"/>
        </w:rPr>
      </w:pPr>
      <w:r>
        <w:rPr>
          <w:noProof/>
          <w:lang w:eastAsia="en-NZ"/>
        </w:rPr>
        <w:drawing>
          <wp:inline distT="0" distB="0" distL="0" distR="0" wp14:anchorId="19972527" wp14:editId="567909D4">
            <wp:extent cx="4838007" cy="2729132"/>
            <wp:effectExtent l="0" t="0" r="1270" b="0"/>
            <wp:docPr id="93" name="Picture 93" title="Figure 35: Number of people receiving opioid substitution treatment from a specialist service, general practice or prison service,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4836864" cy="2728487"/>
                    </a:xfrm>
                    <a:prstGeom prst="rect">
                      <a:avLst/>
                    </a:prstGeom>
                  </pic:spPr>
                </pic:pic>
              </a:graphicData>
            </a:graphic>
          </wp:inline>
        </w:drawing>
      </w:r>
    </w:p>
    <w:p w:rsidR="00A47CF6" w:rsidRPr="00666DF4" w:rsidRDefault="00A47CF6" w:rsidP="00DE2CF1">
      <w:pPr>
        <w:pStyle w:val="Source"/>
        <w:rPr>
          <w:rFonts w:eastAsia="Arial" w:cs="Arial"/>
          <w:szCs w:val="19"/>
        </w:rPr>
      </w:pPr>
      <w:r w:rsidRPr="00666DF4">
        <w:t>Source: Data provided by OST services in six-monthly reports</w:t>
      </w:r>
    </w:p>
    <w:p w:rsidR="00A47CF6" w:rsidRPr="00666DF4" w:rsidRDefault="00A47CF6" w:rsidP="00DE2CF1">
      <w:pPr>
        <w:rPr>
          <w:rFonts w:eastAsia="Arial"/>
        </w:rPr>
      </w:pPr>
    </w:p>
    <w:p w:rsidR="00A47CF6" w:rsidRPr="00666DF4" w:rsidRDefault="00A47CF6" w:rsidP="00DE2CF1">
      <w:bookmarkStart w:id="213" w:name="Figure_36:_Percentage_of_people_receivin"/>
      <w:bookmarkStart w:id="214" w:name="_bookmark47"/>
      <w:bookmarkEnd w:id="213"/>
      <w:bookmarkEnd w:id="214"/>
      <w:r w:rsidRPr="00666DF4">
        <w:t>Between 2015 and 2016, the number of clients accessing OST services decreased by 69. This decrease is not consistent with previous years, where services typically increased by 70–150 clients per year.</w:t>
      </w:r>
    </w:p>
    <w:p w:rsidR="00A47CF6" w:rsidRPr="00666DF4" w:rsidRDefault="00A47CF6" w:rsidP="00DE2CF1">
      <w:pPr>
        <w:rPr>
          <w:rFonts w:eastAsia="Century"/>
        </w:rPr>
      </w:pPr>
    </w:p>
    <w:p w:rsidR="00A47CF6" w:rsidRPr="00666DF4" w:rsidRDefault="00A47CF6" w:rsidP="00DE2CF1">
      <w:r w:rsidRPr="00666DF4">
        <w:t>In 2016, 17 DHBs and one primary health organisation delivered OST services, thereby providing national coverage. The Ministry of Health</w:t>
      </w:r>
      <w:r w:rsidR="00BF25EC">
        <w:t>’</w:t>
      </w:r>
      <w:r w:rsidRPr="00666DF4">
        <w:t>s target for service provision is 50:50 between primary and specialist care. Nationwide, general practice currently delivers approximately 28 percent of OST, and specialist services approximately 71 percent. Figure 36 presents the percentage of people receiving OST from specialist services and general practice by DHB.</w:t>
      </w:r>
    </w:p>
    <w:p w:rsidR="00A47CF6" w:rsidRPr="00666DF4" w:rsidRDefault="00A47CF6" w:rsidP="00DE2CF1">
      <w:pPr>
        <w:rPr>
          <w:rFonts w:eastAsia="Century"/>
        </w:rPr>
      </w:pPr>
    </w:p>
    <w:p w:rsidR="00A47CF6" w:rsidRPr="00666DF4" w:rsidRDefault="00A47CF6" w:rsidP="00DE2CF1">
      <w:pPr>
        <w:pStyle w:val="Figure"/>
        <w:rPr>
          <w:rFonts w:eastAsia="Georgia" w:cs="Georgia"/>
          <w:szCs w:val="19"/>
        </w:rPr>
      </w:pPr>
      <w:bookmarkStart w:id="215" w:name="_Toc508707360"/>
      <w:r w:rsidRPr="00666DF4">
        <w:t>Figure 36: Percentage of people receiving opioid substitution treatment from specialist services and general practice, by DHB, 1 January to 31 December 2016</w:t>
      </w:r>
      <w:bookmarkEnd w:id="215"/>
    </w:p>
    <w:p w:rsidR="00A47CF6" w:rsidRPr="00666DF4" w:rsidRDefault="00DE2CF1" w:rsidP="00DE2CF1">
      <w:pPr>
        <w:rPr>
          <w:rFonts w:eastAsia="Georgia"/>
        </w:rPr>
      </w:pPr>
      <w:r>
        <w:rPr>
          <w:noProof/>
          <w:lang w:eastAsia="en-NZ"/>
        </w:rPr>
        <w:drawing>
          <wp:inline distT="0" distB="0" distL="0" distR="0" wp14:anchorId="0CE57917" wp14:editId="2A47E9AD">
            <wp:extent cx="4763193" cy="2902446"/>
            <wp:effectExtent l="0" t="0" r="0" b="0"/>
            <wp:docPr id="94" name="Picture 94" title="Figure 36: Percentage of people receiving opioid substitution treatment from specialist services and general practice, by DHB,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grayscl/>
                    </a:blip>
                    <a:stretch>
                      <a:fillRect/>
                    </a:stretch>
                  </pic:blipFill>
                  <pic:spPr>
                    <a:xfrm>
                      <a:off x="0" y="0"/>
                      <a:ext cx="4765804" cy="2904037"/>
                    </a:xfrm>
                    <a:prstGeom prst="rect">
                      <a:avLst/>
                    </a:prstGeom>
                  </pic:spPr>
                </pic:pic>
              </a:graphicData>
            </a:graphic>
          </wp:inline>
        </w:drawing>
      </w:r>
    </w:p>
    <w:p w:rsidR="00A47CF6" w:rsidRPr="00666DF4" w:rsidRDefault="00A47CF6" w:rsidP="00DE2CF1">
      <w:pPr>
        <w:pStyle w:val="Source"/>
        <w:rPr>
          <w:rFonts w:eastAsia="Arial" w:cs="Arial"/>
          <w:szCs w:val="19"/>
        </w:rPr>
      </w:pPr>
      <w:r w:rsidRPr="00666DF4">
        <w:t>Source: Data provided by OST services in six-monthly reports</w:t>
      </w:r>
    </w:p>
    <w:p w:rsidR="00A47CF6" w:rsidRPr="00666DF4" w:rsidRDefault="00A47CF6" w:rsidP="00DE2CF1">
      <w:pPr>
        <w:rPr>
          <w:rFonts w:eastAsia="Arial"/>
        </w:rPr>
      </w:pPr>
    </w:p>
    <w:p w:rsidR="00A47CF6" w:rsidRPr="00BF25EC" w:rsidRDefault="00A47CF6" w:rsidP="00DE2CF1">
      <w:pPr>
        <w:pStyle w:val="Heading4"/>
        <w:rPr>
          <w:bCs/>
        </w:rPr>
      </w:pPr>
      <w:r w:rsidRPr="00BF25EC">
        <w:t>Entry to and exit from opioid substitution treatment</w:t>
      </w:r>
    </w:p>
    <w:p w:rsidR="00A47CF6" w:rsidRPr="00666DF4" w:rsidRDefault="00A47CF6" w:rsidP="00DE2CF1">
      <w:r w:rsidRPr="00666DF4">
        <w:t>Opioid substitution treatment is built on a model of recovery. It aims to assist people to stay well by building support structures that help them to define and achieve their goals. We can track a person</w:t>
      </w:r>
      <w:r w:rsidR="00BF25EC">
        <w:t>’</w:t>
      </w:r>
      <w:r w:rsidRPr="00666DF4">
        <w:t>s entry to, involvement in and exit from OST to monitor their individual recovery.</w:t>
      </w:r>
    </w:p>
    <w:p w:rsidR="00A47CF6" w:rsidRPr="00666DF4" w:rsidRDefault="00A47CF6" w:rsidP="00DE2CF1">
      <w:pPr>
        <w:rPr>
          <w:rFonts w:eastAsia="Century"/>
        </w:rPr>
      </w:pPr>
    </w:p>
    <w:p w:rsidR="00A47CF6" w:rsidRPr="00666DF4" w:rsidRDefault="00A47CF6" w:rsidP="00DE2CF1">
      <w:r w:rsidRPr="00666DF4">
        <w:t>At the end of 2016, there were 286 voluntary withdrawals from OST</w:t>
      </w:r>
      <w:r w:rsidR="00DE2CF1">
        <w:t xml:space="preserve"> </w:t>
      </w:r>
      <w:r w:rsidRPr="00666DF4">
        <w:t>(78 percent of all withdrawals during 2016). This is less than the previous year</w:t>
      </w:r>
      <w:r w:rsidR="00BF25EC">
        <w:t>’</w:t>
      </w:r>
      <w:r w:rsidRPr="00666DF4">
        <w:t>s figure. During 2016, there were 18 involuntary withdrawals (5 percent of all withdrawals). Involuntary withdrawals are generally a result of behaviour that may have jeopardised the safety of the individual or others. The number of involuntary withdrawals has increased over the last two years (in 2015 there were 10, in 2014 there were 14), although this remains low compared with numbers prior to 2014 (see Figure 37).</w:t>
      </w:r>
    </w:p>
    <w:p w:rsidR="00A47CF6" w:rsidRPr="00666DF4" w:rsidRDefault="00A47CF6" w:rsidP="00DE2CF1">
      <w:pPr>
        <w:rPr>
          <w:rFonts w:eastAsia="Century"/>
        </w:rPr>
      </w:pPr>
    </w:p>
    <w:p w:rsidR="00A47CF6" w:rsidRPr="00666DF4" w:rsidRDefault="00A47CF6" w:rsidP="00DE2CF1">
      <w:r w:rsidRPr="00666DF4">
        <w:t>The remaining withdrawals during 2016 were due to deaths of service users. During that year, 61</w:t>
      </w:r>
      <w:r w:rsidR="00DE2CF1">
        <w:t> </w:t>
      </w:r>
      <w:r w:rsidRPr="00666DF4">
        <w:t>people receiving OST from specialist treatment services died from a range of causes. This figure is higher</w:t>
      </w:r>
      <w:r w:rsidR="00DE2CF1">
        <w:t xml:space="preserve"> </w:t>
      </w:r>
      <w:r w:rsidRPr="00666DF4">
        <w:t>than the previous year</w:t>
      </w:r>
      <w:r w:rsidR="00BF25EC">
        <w:t>’</w:t>
      </w:r>
      <w:r w:rsidRPr="00666DF4">
        <w:t>s. Of the 61, 3 deaths were likely a result of overdose. When a client dies of a suspected overdose, the Ministry of Health requires services to conduct an incident review and report on it to the Director of Mental Health.</w:t>
      </w:r>
    </w:p>
    <w:p w:rsidR="00A47CF6" w:rsidRPr="00666DF4" w:rsidRDefault="00A47CF6" w:rsidP="00DE2CF1"/>
    <w:p w:rsidR="00A47CF6" w:rsidRDefault="00A47CF6" w:rsidP="00DE2CF1">
      <w:pPr>
        <w:pStyle w:val="Figure"/>
        <w:rPr>
          <w:rFonts w:eastAsia="Georgia"/>
        </w:rPr>
      </w:pPr>
      <w:bookmarkStart w:id="216" w:name="Figure_37:_Percentage_of_withdrawals_fro"/>
      <w:bookmarkStart w:id="217" w:name="Figure_38:_Number_of_people_prescribed_S"/>
      <w:bookmarkStart w:id="218" w:name="_bookmark48"/>
      <w:bookmarkStart w:id="219" w:name="_Toc508707361"/>
      <w:bookmarkEnd w:id="216"/>
      <w:bookmarkEnd w:id="217"/>
      <w:bookmarkEnd w:id="218"/>
      <w:r w:rsidRPr="00666DF4">
        <w:rPr>
          <w:rFonts w:eastAsia="Georgia"/>
        </w:rPr>
        <w:t>Figure 37: Percentage of withdrawals from opioid substitution treatment programmes, by reason (voluntary, involuntary or death), 2008–2016</w:t>
      </w:r>
      <w:bookmarkEnd w:id="219"/>
    </w:p>
    <w:p w:rsidR="00841614" w:rsidRPr="00841614" w:rsidRDefault="00841614" w:rsidP="00841614">
      <w:pPr>
        <w:rPr>
          <w:rFonts w:eastAsia="Georgia"/>
        </w:rPr>
      </w:pPr>
      <w:r>
        <w:rPr>
          <w:noProof/>
          <w:lang w:eastAsia="en-NZ"/>
        </w:rPr>
        <w:drawing>
          <wp:inline distT="0" distB="0" distL="0" distR="0" wp14:anchorId="71FC5F23" wp14:editId="54ECECF8">
            <wp:extent cx="4746567" cy="2551383"/>
            <wp:effectExtent l="0" t="0" r="0" b="1905"/>
            <wp:docPr id="95" name="Picture 95" title="Figure 37: Percentage of withdrawals from opioid substitution treatment programmes, by reason (voluntary, involuntary or death),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blip>
                    <a:stretch>
                      <a:fillRect/>
                    </a:stretch>
                  </pic:blipFill>
                  <pic:spPr>
                    <a:xfrm>
                      <a:off x="0" y="0"/>
                      <a:ext cx="4745446" cy="2550780"/>
                    </a:xfrm>
                    <a:prstGeom prst="rect">
                      <a:avLst/>
                    </a:prstGeom>
                  </pic:spPr>
                </pic:pic>
              </a:graphicData>
            </a:graphic>
          </wp:inline>
        </w:drawing>
      </w:r>
    </w:p>
    <w:p w:rsidR="00A47CF6" w:rsidRPr="00666DF4" w:rsidRDefault="00A47CF6" w:rsidP="00841614">
      <w:pPr>
        <w:pStyle w:val="Source"/>
        <w:rPr>
          <w:rFonts w:eastAsia="Arial" w:cs="Arial"/>
          <w:szCs w:val="19"/>
        </w:rPr>
      </w:pPr>
      <w:r w:rsidRPr="00666DF4">
        <w:t>Source: Data provided by OST services in six-monthly reports.</w:t>
      </w:r>
    </w:p>
    <w:p w:rsidR="00A47CF6" w:rsidRPr="00666DF4" w:rsidRDefault="00A47CF6" w:rsidP="00841614">
      <w:pPr>
        <w:rPr>
          <w:rFonts w:eastAsia="Arial"/>
        </w:rPr>
      </w:pPr>
    </w:p>
    <w:p w:rsidR="00A47CF6" w:rsidRPr="00BF25EC" w:rsidRDefault="00A47CF6" w:rsidP="00841614">
      <w:pPr>
        <w:pStyle w:val="Heading4"/>
        <w:rPr>
          <w:bCs/>
        </w:rPr>
      </w:pPr>
      <w:r w:rsidRPr="00BF25EC">
        <w:t xml:space="preserve">Methadone and </w:t>
      </w:r>
      <w:proofErr w:type="spellStart"/>
      <w:r w:rsidRPr="00BF25EC">
        <w:t>Suboxone</w:t>
      </w:r>
      <w:proofErr w:type="spellEnd"/>
      <w:r w:rsidRPr="00BF25EC">
        <w:t xml:space="preserve"> prescribing</w:t>
      </w:r>
    </w:p>
    <w:p w:rsidR="00A47CF6" w:rsidRPr="00666DF4" w:rsidRDefault="00A47CF6" w:rsidP="00841614">
      <w:r w:rsidRPr="00666DF4">
        <w:t>Since July 2012, PHARMAC</w:t>
      </w:r>
      <w:r w:rsidR="00841614">
        <w:rPr>
          <w:rStyle w:val="FootnoteReference"/>
        </w:rPr>
        <w:footnoteReference w:id="43"/>
      </w:r>
      <w:r w:rsidR="00841614">
        <w:t xml:space="preserve"> </w:t>
      </w:r>
      <w:r w:rsidRPr="00666DF4">
        <w:t xml:space="preserve">has funded </w:t>
      </w:r>
      <w:proofErr w:type="spellStart"/>
      <w:r w:rsidRPr="00666DF4">
        <w:t>Suboxone</w:t>
      </w:r>
      <w:proofErr w:type="spellEnd"/>
      <w:r w:rsidRPr="00666DF4">
        <w:t xml:space="preserve"> for OST. Since then, there has been a steady increase in the number of people prescribed it. </w:t>
      </w:r>
      <w:proofErr w:type="spellStart"/>
      <w:r w:rsidRPr="00666DF4">
        <w:t>Suboxone</w:t>
      </w:r>
      <w:proofErr w:type="spellEnd"/>
      <w:r w:rsidRPr="00666DF4">
        <w:t xml:space="preserve"> lowers the risk of diversion and its misuse is lower than that associated with methadone. In addition, </w:t>
      </w:r>
      <w:proofErr w:type="spellStart"/>
      <w:r w:rsidRPr="00666DF4">
        <w:t>Suboxone</w:t>
      </w:r>
      <w:proofErr w:type="spellEnd"/>
      <w:r w:rsidRPr="00666DF4">
        <w:t xml:space="preserve"> can be given in cumulative doses that last several days, rather than the daily dosing regimen that is required with methadone.</w:t>
      </w:r>
    </w:p>
    <w:p w:rsidR="00A47CF6" w:rsidRPr="00666DF4" w:rsidRDefault="00A47CF6" w:rsidP="00841614">
      <w:pPr>
        <w:rPr>
          <w:rFonts w:eastAsia="Century"/>
        </w:rPr>
      </w:pPr>
    </w:p>
    <w:p w:rsidR="00A47CF6" w:rsidRDefault="00A47CF6" w:rsidP="00841614">
      <w:pPr>
        <w:pStyle w:val="Figure"/>
        <w:rPr>
          <w:rFonts w:eastAsia="Georgia"/>
        </w:rPr>
      </w:pPr>
      <w:bookmarkStart w:id="220" w:name="_Toc508707362"/>
      <w:r w:rsidRPr="00666DF4">
        <w:rPr>
          <w:rFonts w:eastAsia="Georgia"/>
        </w:rPr>
        <w:t xml:space="preserve">Figure 38: Number of people prescribed </w:t>
      </w:r>
      <w:proofErr w:type="spellStart"/>
      <w:r w:rsidRPr="00666DF4">
        <w:rPr>
          <w:rFonts w:eastAsia="Georgia"/>
        </w:rPr>
        <w:t>Suboxone</w:t>
      </w:r>
      <w:proofErr w:type="spellEnd"/>
      <w:r w:rsidRPr="00666DF4">
        <w:rPr>
          <w:rFonts w:eastAsia="Georgia"/>
        </w:rPr>
        <w:t>, 2008–2016</w:t>
      </w:r>
      <w:bookmarkEnd w:id="220"/>
    </w:p>
    <w:p w:rsidR="00841614" w:rsidRPr="00841614" w:rsidRDefault="00841614" w:rsidP="00841614">
      <w:pPr>
        <w:rPr>
          <w:rFonts w:eastAsia="Georgia"/>
        </w:rPr>
      </w:pPr>
      <w:r>
        <w:rPr>
          <w:noProof/>
          <w:lang w:eastAsia="en-NZ"/>
        </w:rPr>
        <w:drawing>
          <wp:inline distT="0" distB="0" distL="0" distR="0" wp14:anchorId="489E6362" wp14:editId="5B48FC53">
            <wp:extent cx="4688378" cy="2201994"/>
            <wp:effectExtent l="0" t="0" r="0" b="8255"/>
            <wp:docPr id="96" name="Picture 96" title="Figure 38: Number of people prescribed Suboxone,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4689413" cy="2202480"/>
                    </a:xfrm>
                    <a:prstGeom prst="rect">
                      <a:avLst/>
                    </a:prstGeom>
                  </pic:spPr>
                </pic:pic>
              </a:graphicData>
            </a:graphic>
          </wp:inline>
        </w:drawing>
      </w:r>
    </w:p>
    <w:p w:rsidR="00A47CF6" w:rsidRPr="00666DF4" w:rsidRDefault="00A47CF6" w:rsidP="00841614">
      <w:pPr>
        <w:pStyle w:val="Source"/>
        <w:rPr>
          <w:rFonts w:eastAsia="Arial" w:cs="Arial"/>
          <w:szCs w:val="19"/>
        </w:rPr>
      </w:pPr>
      <w:r w:rsidRPr="00666DF4">
        <w:t>Source: Data provided by OST services in six-monthly reports</w:t>
      </w:r>
    </w:p>
    <w:p w:rsidR="00A47CF6" w:rsidRPr="00666DF4" w:rsidRDefault="00A47CF6" w:rsidP="00841614">
      <w:pPr>
        <w:rPr>
          <w:rFonts w:eastAsia="Arial"/>
        </w:rPr>
      </w:pPr>
    </w:p>
    <w:p w:rsidR="00A47CF6" w:rsidRPr="00666DF4" w:rsidRDefault="00A47CF6" w:rsidP="00841614">
      <w:pPr>
        <w:pStyle w:val="Heading3"/>
        <w:rPr>
          <w:bCs/>
        </w:rPr>
      </w:pPr>
      <w:r w:rsidRPr="00666DF4">
        <w:t>The Alcoholism and Drug Addiction Act 1966</w:t>
      </w:r>
    </w:p>
    <w:p w:rsidR="00A47CF6" w:rsidRPr="00666DF4" w:rsidRDefault="00A47CF6" w:rsidP="00841614">
      <w:pPr>
        <w:keepNext/>
      </w:pPr>
      <w:r w:rsidRPr="00666DF4">
        <w:t>The Alcoholism and Drug Addiction Act 1966 (the ADA Act) provides for the compulsory detention and treatment of people with severe substance dependence for up to two years at certified institutions.</w:t>
      </w:r>
    </w:p>
    <w:p w:rsidR="00841614" w:rsidRDefault="00841614" w:rsidP="00841614">
      <w:pPr>
        <w:keepNext/>
      </w:pPr>
    </w:p>
    <w:p w:rsidR="00A47CF6" w:rsidRPr="00666DF4" w:rsidRDefault="00A47CF6" w:rsidP="00841614">
      <w:r w:rsidRPr="00666DF4">
        <w:t>In summary, in 2016:</w:t>
      </w:r>
    </w:p>
    <w:p w:rsidR="00A47CF6" w:rsidRPr="00666DF4" w:rsidRDefault="00A47CF6" w:rsidP="00841614">
      <w:pPr>
        <w:pStyle w:val="Bullet"/>
      </w:pPr>
      <w:r w:rsidRPr="00666DF4">
        <w:t>the Family Court granted 45 orders for either detention or committal under the ADA Act</w:t>
      </w:r>
    </w:p>
    <w:p w:rsidR="00A47CF6" w:rsidRPr="00666DF4" w:rsidRDefault="00A47CF6" w:rsidP="00841614">
      <w:pPr>
        <w:pStyle w:val="Bullet"/>
      </w:pPr>
      <w:r w:rsidRPr="00666DF4">
        <w:t>24 of the granted orders were for voluntary detention (under section 8) and 21 were for involuntary committal (under section 9).</w:t>
      </w:r>
    </w:p>
    <w:p w:rsidR="00A47CF6" w:rsidRPr="00666DF4" w:rsidRDefault="00A47CF6" w:rsidP="00841614">
      <w:pPr>
        <w:rPr>
          <w:rFonts w:eastAsia="Century"/>
        </w:rPr>
      </w:pPr>
    </w:p>
    <w:p w:rsidR="00A47CF6" w:rsidRPr="00666DF4" w:rsidRDefault="00A47CF6" w:rsidP="00841614">
      <w:bookmarkStart w:id="221" w:name="Table_15:_Number_of_applications_for_det"/>
      <w:bookmarkStart w:id="222" w:name="_bookmark49"/>
      <w:bookmarkEnd w:id="221"/>
      <w:bookmarkEnd w:id="222"/>
      <w:r w:rsidRPr="00666DF4">
        <w:t>Section 8 of the ADA Act allows a person who is dependent on alcohol or another drug to voluntarily apply to the Family Court for detention in a specifi</w:t>
      </w:r>
      <w:r w:rsidR="00BC380C">
        <w:t>e</w:t>
      </w:r>
      <w:r w:rsidRPr="00666DF4">
        <w:t>d institution certifi</w:t>
      </w:r>
      <w:r w:rsidR="00BC380C">
        <w:t>e</w:t>
      </w:r>
      <w:r w:rsidRPr="00666DF4">
        <w:t>d under the ADA Act (detention). Section 9 of the ADA Act applies when another person (such as a relative or the Police) makes an application to the Family Court for the person to be committed to a specifi</w:t>
      </w:r>
      <w:r w:rsidR="00BC380C">
        <w:t>e</w:t>
      </w:r>
      <w:r w:rsidRPr="00666DF4">
        <w:t>d institution certifi</w:t>
      </w:r>
      <w:r w:rsidR="00BC380C">
        <w:t>e</w:t>
      </w:r>
      <w:r w:rsidRPr="00666DF4">
        <w:t>d under the ADA Act (committal). Section 9 applications must be accompanied by two medical certifi</w:t>
      </w:r>
      <w:r w:rsidR="00841614">
        <w:t>cat</w:t>
      </w:r>
      <w:r w:rsidRPr="00666DF4">
        <w:t>es.</w:t>
      </w:r>
    </w:p>
    <w:p w:rsidR="00841614" w:rsidRDefault="00841614" w:rsidP="00841614"/>
    <w:p w:rsidR="00A47CF6" w:rsidRPr="00666DF4" w:rsidRDefault="00A47CF6" w:rsidP="00841614">
      <w:r w:rsidRPr="00666DF4">
        <w:t>Table 15 details the outcomes of applications under the ADA Act to the Family Court since 2004, when the Ministry of Justice began to publish statistics on the use of the Act. Table 16 shows the number of orders granted for detention under section 8 and for committal under section 9 of the ADA Act.</w:t>
      </w:r>
    </w:p>
    <w:p w:rsidR="00A47CF6" w:rsidRPr="00666DF4" w:rsidRDefault="00A47CF6" w:rsidP="00841614">
      <w:pPr>
        <w:rPr>
          <w:rFonts w:eastAsia="Century"/>
        </w:rPr>
      </w:pPr>
    </w:p>
    <w:p w:rsidR="00A47CF6" w:rsidRPr="00666DF4" w:rsidRDefault="00A47CF6" w:rsidP="00841614">
      <w:pPr>
        <w:pStyle w:val="Table"/>
        <w:rPr>
          <w:rFonts w:eastAsia="Georgia"/>
        </w:rPr>
      </w:pPr>
      <w:bookmarkStart w:id="223" w:name="_Toc508707313"/>
      <w:r w:rsidRPr="00666DF4">
        <w:rPr>
          <w:rFonts w:eastAsia="Georgia"/>
        </w:rPr>
        <w:t>Table 15: Number of applications for detention and committal under the ADA Act, by application outcome, 2004–2016</w:t>
      </w:r>
      <w:bookmarkEnd w:id="22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80"/>
        <w:gridCol w:w="575"/>
        <w:gridCol w:w="575"/>
        <w:gridCol w:w="575"/>
        <w:gridCol w:w="575"/>
        <w:gridCol w:w="575"/>
        <w:gridCol w:w="575"/>
        <w:gridCol w:w="575"/>
        <w:gridCol w:w="575"/>
        <w:gridCol w:w="575"/>
        <w:gridCol w:w="575"/>
        <w:gridCol w:w="575"/>
        <w:gridCol w:w="575"/>
        <w:gridCol w:w="576"/>
      </w:tblGrid>
      <w:tr w:rsidR="00A47CF6" w:rsidRPr="00841614" w:rsidTr="00841614">
        <w:trPr>
          <w:cantSplit/>
        </w:trPr>
        <w:tc>
          <w:tcPr>
            <w:tcW w:w="1880" w:type="dxa"/>
            <w:tcBorders>
              <w:top w:val="single" w:sz="4" w:space="0" w:color="auto"/>
              <w:bottom w:val="single" w:sz="4" w:space="0" w:color="auto"/>
            </w:tcBorders>
          </w:tcPr>
          <w:p w:rsidR="00A47CF6" w:rsidRPr="00841614" w:rsidRDefault="00A47CF6" w:rsidP="00841614">
            <w:pPr>
              <w:pStyle w:val="TableText"/>
              <w:rPr>
                <w:rFonts w:eastAsia="Arial" w:cs="Arial"/>
                <w:b/>
                <w:szCs w:val="19"/>
              </w:rPr>
            </w:pPr>
            <w:r w:rsidRPr="00841614">
              <w:rPr>
                <w:b/>
              </w:rPr>
              <w:t>Application outcome</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2004</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2005</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2006</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2007</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2008</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2009</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2010</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2011</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2012</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2013</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2014</w:t>
            </w:r>
          </w:p>
        </w:tc>
        <w:tc>
          <w:tcPr>
            <w:tcW w:w="575"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2015</w:t>
            </w:r>
          </w:p>
        </w:tc>
        <w:tc>
          <w:tcPr>
            <w:tcW w:w="576" w:type="dxa"/>
            <w:tcBorders>
              <w:top w:val="single" w:sz="4" w:space="0" w:color="auto"/>
              <w:bottom w:val="single" w:sz="4" w:space="0" w:color="auto"/>
            </w:tcBorders>
          </w:tcPr>
          <w:p w:rsidR="00A47CF6" w:rsidRPr="00841614" w:rsidRDefault="00A47CF6" w:rsidP="00841614">
            <w:pPr>
              <w:pStyle w:val="TableText"/>
              <w:jc w:val="center"/>
              <w:rPr>
                <w:rFonts w:eastAsia="Arial" w:cs="Arial"/>
                <w:b/>
                <w:szCs w:val="19"/>
              </w:rPr>
            </w:pPr>
            <w:r w:rsidRPr="00841614">
              <w:rPr>
                <w:b/>
              </w:rPr>
              <w:t>2016</w:t>
            </w:r>
          </w:p>
        </w:tc>
      </w:tr>
      <w:tr w:rsidR="00A47CF6" w:rsidRPr="00666DF4" w:rsidTr="00841614">
        <w:trPr>
          <w:cantSplit/>
        </w:trPr>
        <w:tc>
          <w:tcPr>
            <w:tcW w:w="1880" w:type="dxa"/>
            <w:tcBorders>
              <w:top w:val="single" w:sz="4" w:space="0" w:color="auto"/>
            </w:tcBorders>
          </w:tcPr>
          <w:p w:rsidR="00A47CF6" w:rsidRPr="00666DF4" w:rsidRDefault="00A47CF6" w:rsidP="00841614">
            <w:pPr>
              <w:pStyle w:val="TableText"/>
              <w:rPr>
                <w:rFonts w:eastAsia="Arial" w:cs="Arial"/>
                <w:szCs w:val="19"/>
              </w:rPr>
            </w:pPr>
            <w:r w:rsidRPr="00666DF4">
              <w:t>Applications granted or granted with consent</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72</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79</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77</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71</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75</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71</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69</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74</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72</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74</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64</w:t>
            </w:r>
          </w:p>
        </w:tc>
        <w:tc>
          <w:tcPr>
            <w:tcW w:w="575"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59</w:t>
            </w:r>
          </w:p>
        </w:tc>
        <w:tc>
          <w:tcPr>
            <w:tcW w:w="576" w:type="dxa"/>
            <w:tcBorders>
              <w:top w:val="single" w:sz="4" w:space="0" w:color="auto"/>
            </w:tcBorders>
          </w:tcPr>
          <w:p w:rsidR="00A47CF6" w:rsidRPr="00666DF4" w:rsidRDefault="00A47CF6" w:rsidP="00841614">
            <w:pPr>
              <w:pStyle w:val="TableText"/>
              <w:tabs>
                <w:tab w:val="decimal" w:pos="331"/>
              </w:tabs>
              <w:rPr>
                <w:rFonts w:eastAsia="Arial" w:cs="Arial"/>
                <w:szCs w:val="19"/>
              </w:rPr>
            </w:pPr>
            <w:r w:rsidRPr="00666DF4">
              <w:t>45</w:t>
            </w:r>
          </w:p>
        </w:tc>
      </w:tr>
      <w:tr w:rsidR="00A47CF6" w:rsidRPr="00666DF4" w:rsidTr="00841614">
        <w:trPr>
          <w:cantSplit/>
        </w:trPr>
        <w:tc>
          <w:tcPr>
            <w:tcW w:w="1880" w:type="dxa"/>
          </w:tcPr>
          <w:p w:rsidR="00A47CF6" w:rsidRPr="00666DF4" w:rsidRDefault="00A47CF6" w:rsidP="00841614">
            <w:pPr>
              <w:pStyle w:val="TableText"/>
              <w:rPr>
                <w:rFonts w:eastAsia="Arial" w:cs="Arial"/>
                <w:szCs w:val="19"/>
              </w:rPr>
            </w:pPr>
            <w:r w:rsidRPr="00666DF4">
              <w:t>Applications dismissed or struck out</w:t>
            </w:r>
          </w:p>
        </w:tc>
        <w:tc>
          <w:tcPr>
            <w:tcW w:w="575" w:type="dxa"/>
          </w:tcPr>
          <w:p w:rsidR="00A47CF6" w:rsidRPr="00666DF4" w:rsidRDefault="00A47CF6" w:rsidP="00841614">
            <w:pPr>
              <w:pStyle w:val="TableText"/>
              <w:tabs>
                <w:tab w:val="decimal" w:pos="331"/>
              </w:tabs>
              <w:rPr>
                <w:rFonts w:eastAsia="Arial" w:cs="Arial"/>
                <w:szCs w:val="19"/>
              </w:rPr>
            </w:pPr>
            <w:r w:rsidRPr="00666DF4">
              <w:t>5</w:t>
            </w:r>
          </w:p>
        </w:tc>
        <w:tc>
          <w:tcPr>
            <w:tcW w:w="575" w:type="dxa"/>
          </w:tcPr>
          <w:p w:rsidR="00A47CF6" w:rsidRPr="00666DF4" w:rsidRDefault="00A47CF6" w:rsidP="00841614">
            <w:pPr>
              <w:pStyle w:val="TableText"/>
              <w:tabs>
                <w:tab w:val="decimal" w:pos="331"/>
              </w:tabs>
              <w:rPr>
                <w:rFonts w:eastAsia="Arial" w:cs="Arial"/>
                <w:szCs w:val="19"/>
              </w:rPr>
            </w:pPr>
            <w:r w:rsidRPr="00666DF4">
              <w:t>3</w:t>
            </w:r>
          </w:p>
        </w:tc>
        <w:tc>
          <w:tcPr>
            <w:tcW w:w="575" w:type="dxa"/>
          </w:tcPr>
          <w:p w:rsidR="00A47CF6" w:rsidRPr="00666DF4" w:rsidRDefault="00A47CF6" w:rsidP="00841614">
            <w:pPr>
              <w:pStyle w:val="TableText"/>
              <w:tabs>
                <w:tab w:val="decimal" w:pos="331"/>
              </w:tabs>
              <w:rPr>
                <w:rFonts w:eastAsia="Arial" w:cs="Arial"/>
                <w:szCs w:val="19"/>
              </w:rPr>
            </w:pPr>
            <w:r w:rsidRPr="00666DF4">
              <w:t>4</w:t>
            </w:r>
          </w:p>
        </w:tc>
        <w:tc>
          <w:tcPr>
            <w:tcW w:w="575" w:type="dxa"/>
          </w:tcPr>
          <w:p w:rsidR="00A47CF6" w:rsidRPr="00666DF4" w:rsidRDefault="00A47CF6" w:rsidP="00841614">
            <w:pPr>
              <w:pStyle w:val="TableText"/>
              <w:tabs>
                <w:tab w:val="decimal" w:pos="331"/>
              </w:tabs>
              <w:rPr>
                <w:rFonts w:eastAsia="Arial" w:cs="Arial"/>
                <w:szCs w:val="19"/>
              </w:rPr>
            </w:pPr>
            <w:r w:rsidRPr="00666DF4">
              <w:t>1</w:t>
            </w:r>
          </w:p>
        </w:tc>
        <w:tc>
          <w:tcPr>
            <w:tcW w:w="575" w:type="dxa"/>
          </w:tcPr>
          <w:p w:rsidR="00A47CF6" w:rsidRPr="00666DF4" w:rsidRDefault="00A47CF6" w:rsidP="00841614">
            <w:pPr>
              <w:pStyle w:val="TableText"/>
              <w:tabs>
                <w:tab w:val="decimal" w:pos="331"/>
              </w:tabs>
              <w:rPr>
                <w:rFonts w:eastAsia="Arial" w:cs="Arial"/>
                <w:szCs w:val="19"/>
              </w:rPr>
            </w:pPr>
            <w:r w:rsidRPr="00666DF4">
              <w:t>2</w:t>
            </w:r>
          </w:p>
        </w:tc>
        <w:tc>
          <w:tcPr>
            <w:tcW w:w="575" w:type="dxa"/>
          </w:tcPr>
          <w:p w:rsidR="00A47CF6" w:rsidRPr="00666DF4" w:rsidRDefault="00A47CF6" w:rsidP="00841614">
            <w:pPr>
              <w:pStyle w:val="TableText"/>
              <w:tabs>
                <w:tab w:val="decimal" w:pos="331"/>
              </w:tabs>
              <w:rPr>
                <w:rFonts w:eastAsia="Arial" w:cs="Arial"/>
                <w:szCs w:val="19"/>
              </w:rPr>
            </w:pPr>
            <w:r w:rsidRPr="00666DF4">
              <w:t>3</w:t>
            </w:r>
          </w:p>
        </w:tc>
        <w:tc>
          <w:tcPr>
            <w:tcW w:w="575" w:type="dxa"/>
          </w:tcPr>
          <w:p w:rsidR="00A47CF6" w:rsidRPr="00666DF4" w:rsidRDefault="00A47CF6" w:rsidP="00841614">
            <w:pPr>
              <w:pStyle w:val="TableText"/>
              <w:tabs>
                <w:tab w:val="decimal" w:pos="331"/>
              </w:tabs>
              <w:rPr>
                <w:rFonts w:eastAsia="Arial" w:cs="Arial"/>
                <w:szCs w:val="19"/>
              </w:rPr>
            </w:pPr>
            <w:r w:rsidRPr="00666DF4">
              <w:t>3</w:t>
            </w:r>
          </w:p>
        </w:tc>
        <w:tc>
          <w:tcPr>
            <w:tcW w:w="575" w:type="dxa"/>
          </w:tcPr>
          <w:p w:rsidR="00A47CF6" w:rsidRPr="00666DF4" w:rsidRDefault="00A47CF6" w:rsidP="00841614">
            <w:pPr>
              <w:pStyle w:val="TableText"/>
              <w:tabs>
                <w:tab w:val="decimal" w:pos="331"/>
              </w:tabs>
              <w:rPr>
                <w:rFonts w:eastAsia="Arial" w:cs="Arial"/>
                <w:szCs w:val="19"/>
              </w:rPr>
            </w:pPr>
            <w:r w:rsidRPr="00666DF4">
              <w:t>1</w:t>
            </w:r>
          </w:p>
        </w:tc>
        <w:tc>
          <w:tcPr>
            <w:tcW w:w="575" w:type="dxa"/>
          </w:tcPr>
          <w:p w:rsidR="00A47CF6" w:rsidRPr="00666DF4" w:rsidRDefault="00A47CF6" w:rsidP="00841614">
            <w:pPr>
              <w:pStyle w:val="TableText"/>
              <w:tabs>
                <w:tab w:val="decimal" w:pos="331"/>
              </w:tabs>
              <w:rPr>
                <w:rFonts w:eastAsia="Arial" w:cs="Arial"/>
                <w:szCs w:val="19"/>
              </w:rPr>
            </w:pPr>
            <w:r w:rsidRPr="00666DF4">
              <w:t>2</w:t>
            </w:r>
          </w:p>
        </w:tc>
        <w:tc>
          <w:tcPr>
            <w:tcW w:w="575" w:type="dxa"/>
          </w:tcPr>
          <w:p w:rsidR="00A47CF6" w:rsidRPr="00666DF4" w:rsidRDefault="00A47CF6" w:rsidP="00841614">
            <w:pPr>
              <w:pStyle w:val="TableText"/>
              <w:tabs>
                <w:tab w:val="decimal" w:pos="331"/>
              </w:tabs>
              <w:rPr>
                <w:rFonts w:eastAsia="Arial" w:cs="Arial"/>
                <w:szCs w:val="19"/>
              </w:rPr>
            </w:pPr>
            <w:r w:rsidRPr="00666DF4">
              <w:t>3</w:t>
            </w:r>
          </w:p>
        </w:tc>
        <w:tc>
          <w:tcPr>
            <w:tcW w:w="575" w:type="dxa"/>
          </w:tcPr>
          <w:p w:rsidR="00A47CF6" w:rsidRPr="00666DF4" w:rsidRDefault="00A47CF6" w:rsidP="00841614">
            <w:pPr>
              <w:pStyle w:val="TableText"/>
              <w:tabs>
                <w:tab w:val="decimal" w:pos="331"/>
              </w:tabs>
              <w:rPr>
                <w:rFonts w:eastAsia="Arial" w:cs="Arial"/>
                <w:szCs w:val="19"/>
              </w:rPr>
            </w:pPr>
            <w:r w:rsidRPr="00666DF4">
              <w:t>4</w:t>
            </w:r>
          </w:p>
        </w:tc>
        <w:tc>
          <w:tcPr>
            <w:tcW w:w="575" w:type="dxa"/>
          </w:tcPr>
          <w:p w:rsidR="00A47CF6" w:rsidRPr="00666DF4" w:rsidRDefault="00A47CF6" w:rsidP="00841614">
            <w:pPr>
              <w:pStyle w:val="TableText"/>
              <w:tabs>
                <w:tab w:val="decimal" w:pos="331"/>
              </w:tabs>
              <w:rPr>
                <w:rFonts w:eastAsia="Arial" w:cs="Arial"/>
                <w:szCs w:val="19"/>
              </w:rPr>
            </w:pPr>
            <w:r w:rsidRPr="00666DF4">
              <w:t>2</w:t>
            </w:r>
          </w:p>
        </w:tc>
        <w:tc>
          <w:tcPr>
            <w:tcW w:w="576" w:type="dxa"/>
          </w:tcPr>
          <w:p w:rsidR="00A47CF6" w:rsidRPr="00666DF4" w:rsidRDefault="00A47CF6" w:rsidP="00841614">
            <w:pPr>
              <w:pStyle w:val="TableText"/>
              <w:tabs>
                <w:tab w:val="decimal" w:pos="331"/>
              </w:tabs>
              <w:rPr>
                <w:rFonts w:eastAsia="Arial" w:cs="Arial"/>
                <w:szCs w:val="19"/>
              </w:rPr>
            </w:pPr>
            <w:r w:rsidRPr="00666DF4">
              <w:t>1</w:t>
            </w:r>
          </w:p>
        </w:tc>
      </w:tr>
      <w:tr w:rsidR="00A47CF6" w:rsidRPr="00666DF4" w:rsidTr="00841614">
        <w:trPr>
          <w:cantSplit/>
        </w:trPr>
        <w:tc>
          <w:tcPr>
            <w:tcW w:w="1880" w:type="dxa"/>
            <w:tcBorders>
              <w:bottom w:val="single" w:sz="4" w:space="0" w:color="A6A6A6" w:themeColor="background1" w:themeShade="A6"/>
            </w:tcBorders>
          </w:tcPr>
          <w:p w:rsidR="00A47CF6" w:rsidRPr="00666DF4" w:rsidRDefault="00A47CF6" w:rsidP="00841614">
            <w:pPr>
              <w:pStyle w:val="TableText"/>
              <w:rPr>
                <w:rFonts w:eastAsia="Arial" w:cs="Arial"/>
                <w:szCs w:val="19"/>
              </w:rPr>
            </w:pPr>
            <w:r w:rsidRPr="00666DF4">
              <w:t>Applications withdrawn, lapsed or discontinued</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3</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9</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2</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6</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1</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4</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9</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5</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9</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9</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7</w:t>
            </w:r>
          </w:p>
        </w:tc>
        <w:tc>
          <w:tcPr>
            <w:tcW w:w="575"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2</w:t>
            </w:r>
          </w:p>
        </w:tc>
        <w:tc>
          <w:tcPr>
            <w:tcW w:w="576" w:type="dxa"/>
            <w:tcBorders>
              <w:bottom w:val="single" w:sz="4" w:space="0" w:color="A6A6A6" w:themeColor="background1" w:themeShade="A6"/>
            </w:tcBorders>
          </w:tcPr>
          <w:p w:rsidR="00A47CF6" w:rsidRPr="00666DF4" w:rsidRDefault="00A47CF6" w:rsidP="00841614">
            <w:pPr>
              <w:pStyle w:val="TableText"/>
              <w:tabs>
                <w:tab w:val="decimal" w:pos="331"/>
              </w:tabs>
              <w:rPr>
                <w:rFonts w:eastAsia="Arial" w:cs="Arial"/>
                <w:szCs w:val="19"/>
              </w:rPr>
            </w:pPr>
            <w:r w:rsidRPr="00666DF4">
              <w:t>3</w:t>
            </w:r>
          </w:p>
        </w:tc>
      </w:tr>
      <w:tr w:rsidR="00A47CF6" w:rsidRPr="00841614" w:rsidTr="00841614">
        <w:trPr>
          <w:cantSplit/>
        </w:trPr>
        <w:tc>
          <w:tcPr>
            <w:tcW w:w="1880" w:type="dxa"/>
            <w:tcBorders>
              <w:top w:val="single" w:sz="4" w:space="0" w:color="A6A6A6" w:themeColor="background1" w:themeShade="A6"/>
              <w:bottom w:val="single" w:sz="4" w:space="0" w:color="auto"/>
            </w:tcBorders>
          </w:tcPr>
          <w:p w:rsidR="00A47CF6" w:rsidRPr="00841614" w:rsidRDefault="00A47CF6" w:rsidP="00841614">
            <w:pPr>
              <w:pStyle w:val="TableText"/>
              <w:rPr>
                <w:rFonts w:eastAsia="Arial" w:cs="Arial"/>
                <w:b/>
                <w:szCs w:val="19"/>
              </w:rPr>
            </w:pPr>
            <w:r w:rsidRPr="00841614">
              <w:rPr>
                <w:b/>
              </w:rPr>
              <w:t>Total applications for s 8 and s 9 orders</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80</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91</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83</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78</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78</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78</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81</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80</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83</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86</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75</w:t>
            </w:r>
          </w:p>
        </w:tc>
        <w:tc>
          <w:tcPr>
            <w:tcW w:w="575"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63</w:t>
            </w:r>
          </w:p>
        </w:tc>
        <w:tc>
          <w:tcPr>
            <w:tcW w:w="576" w:type="dxa"/>
            <w:tcBorders>
              <w:top w:val="single" w:sz="4" w:space="0" w:color="A6A6A6" w:themeColor="background1" w:themeShade="A6"/>
              <w:bottom w:val="single" w:sz="4" w:space="0" w:color="auto"/>
            </w:tcBorders>
          </w:tcPr>
          <w:p w:rsidR="00A47CF6" w:rsidRPr="00841614" w:rsidRDefault="00A47CF6" w:rsidP="00841614">
            <w:pPr>
              <w:pStyle w:val="TableText"/>
              <w:tabs>
                <w:tab w:val="decimal" w:pos="331"/>
              </w:tabs>
              <w:rPr>
                <w:rFonts w:eastAsia="Arial" w:cs="Arial"/>
                <w:b/>
                <w:szCs w:val="19"/>
              </w:rPr>
            </w:pPr>
            <w:r w:rsidRPr="00841614">
              <w:rPr>
                <w:b/>
              </w:rPr>
              <w:t>49</w:t>
            </w:r>
          </w:p>
        </w:tc>
      </w:tr>
    </w:tbl>
    <w:p w:rsidR="00A47CF6" w:rsidRPr="00666DF4" w:rsidRDefault="00A47CF6" w:rsidP="00841614">
      <w:pPr>
        <w:pStyle w:val="Note"/>
        <w:ind w:right="0"/>
        <w:rPr>
          <w:rFonts w:eastAsia="Arial" w:cs="Arial"/>
          <w:szCs w:val="19"/>
        </w:rPr>
      </w:pPr>
      <w:r w:rsidRPr="00666DF4">
        <w:t>Note: The table presents applications that were disposed at the time of data extraction at 2</w:t>
      </w:r>
      <w:r w:rsidR="00841614">
        <w:t> </w:t>
      </w:r>
      <w:r w:rsidRPr="00666DF4">
        <w:t>May 2017.</w:t>
      </w:r>
    </w:p>
    <w:p w:rsidR="00A47CF6" w:rsidRPr="00666DF4" w:rsidRDefault="00A47CF6" w:rsidP="00841614">
      <w:pPr>
        <w:pStyle w:val="Source"/>
        <w:ind w:right="0"/>
        <w:rPr>
          <w:rFonts w:eastAsia="Arial"/>
        </w:rPr>
      </w:pPr>
      <w:r w:rsidRPr="00666DF4">
        <w:rPr>
          <w:rFonts w:eastAsia="Arial"/>
        </w:rPr>
        <w:t>Source: Ministry of Justice</w:t>
      </w:r>
      <w:r w:rsidR="00BF25EC">
        <w:rPr>
          <w:rFonts w:eastAsia="Arial"/>
        </w:rPr>
        <w:t>’</w:t>
      </w:r>
      <w:r w:rsidRPr="00666DF4">
        <w:rPr>
          <w:rFonts w:eastAsia="Arial"/>
        </w:rPr>
        <w:t>s Case Management System. The CMS is a live operational database. Figures are subject to minor changes at any time</w:t>
      </w:r>
      <w:r w:rsidR="00841614">
        <w:rPr>
          <w:rFonts w:eastAsia="Arial"/>
        </w:rPr>
        <w:t>.</w:t>
      </w:r>
    </w:p>
    <w:p w:rsidR="00A47CF6" w:rsidRPr="00666DF4" w:rsidRDefault="00A47CF6" w:rsidP="00841614">
      <w:pPr>
        <w:rPr>
          <w:rFonts w:eastAsia="Arial"/>
        </w:rPr>
      </w:pPr>
    </w:p>
    <w:p w:rsidR="00A47CF6" w:rsidRPr="00666DF4" w:rsidRDefault="00A47CF6" w:rsidP="00841614">
      <w:pPr>
        <w:pStyle w:val="Table"/>
        <w:rPr>
          <w:rFonts w:eastAsia="Georgia"/>
        </w:rPr>
      </w:pPr>
      <w:bookmarkStart w:id="224" w:name="Table_16:_Number_of_granted_orders_for_d"/>
      <w:bookmarkStart w:id="225" w:name="_bookmark50"/>
      <w:bookmarkStart w:id="226" w:name="_Toc508707314"/>
      <w:bookmarkEnd w:id="224"/>
      <w:bookmarkEnd w:id="225"/>
      <w:r w:rsidRPr="00666DF4">
        <w:rPr>
          <w:rFonts w:eastAsia="Georgia"/>
        </w:rPr>
        <w:t>Table 16: Number of granted orders for detention and committal, under the ADA Act, 2004–2016</w:t>
      </w:r>
      <w:bookmarkEnd w:id="22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95"/>
        <w:gridCol w:w="3217"/>
        <w:gridCol w:w="3218"/>
        <w:gridCol w:w="2126"/>
      </w:tblGrid>
      <w:tr w:rsidR="00A47CF6" w:rsidRPr="00841614" w:rsidTr="00841614">
        <w:trPr>
          <w:cantSplit/>
        </w:trPr>
        <w:tc>
          <w:tcPr>
            <w:tcW w:w="795" w:type="dxa"/>
            <w:tcBorders>
              <w:top w:val="single" w:sz="4" w:space="0" w:color="auto"/>
              <w:bottom w:val="single" w:sz="4" w:space="0" w:color="auto"/>
            </w:tcBorders>
          </w:tcPr>
          <w:p w:rsidR="00A47CF6" w:rsidRPr="00841614" w:rsidRDefault="00A47CF6" w:rsidP="00841614">
            <w:pPr>
              <w:pStyle w:val="TableText"/>
              <w:keepNext/>
              <w:rPr>
                <w:rFonts w:eastAsia="Arial" w:cs="Arial"/>
                <w:b/>
                <w:szCs w:val="19"/>
              </w:rPr>
            </w:pPr>
            <w:r w:rsidRPr="00841614">
              <w:rPr>
                <w:b/>
              </w:rPr>
              <w:t>Year</w:t>
            </w:r>
          </w:p>
        </w:tc>
        <w:tc>
          <w:tcPr>
            <w:tcW w:w="3217" w:type="dxa"/>
            <w:tcBorders>
              <w:top w:val="single" w:sz="4" w:space="0" w:color="auto"/>
              <w:bottom w:val="single" w:sz="4" w:space="0" w:color="auto"/>
            </w:tcBorders>
          </w:tcPr>
          <w:p w:rsidR="00A47CF6" w:rsidRPr="00841614" w:rsidRDefault="00A47CF6" w:rsidP="00841614">
            <w:pPr>
              <w:pStyle w:val="TableText"/>
              <w:keepNext/>
              <w:ind w:left="57" w:right="57"/>
              <w:jc w:val="center"/>
              <w:rPr>
                <w:rFonts w:eastAsia="Arial" w:cs="Arial"/>
                <w:b/>
                <w:szCs w:val="19"/>
              </w:rPr>
            </w:pPr>
            <w:r w:rsidRPr="00841614">
              <w:rPr>
                <w:b/>
              </w:rPr>
              <w:t>Number (and percentage) of section</w:t>
            </w:r>
            <w:r w:rsidR="00841614">
              <w:rPr>
                <w:b/>
              </w:rPr>
              <w:t> </w:t>
            </w:r>
            <w:r w:rsidRPr="00841614">
              <w:rPr>
                <w:b/>
              </w:rPr>
              <w:t>8 applications granted for</w:t>
            </w:r>
            <w:r w:rsidR="00841614">
              <w:rPr>
                <w:b/>
              </w:rPr>
              <w:t> </w:t>
            </w:r>
            <w:r w:rsidRPr="00841614">
              <w:rPr>
                <w:b/>
              </w:rPr>
              <w:t>detention</w:t>
            </w:r>
          </w:p>
        </w:tc>
        <w:tc>
          <w:tcPr>
            <w:tcW w:w="3218" w:type="dxa"/>
            <w:tcBorders>
              <w:top w:val="single" w:sz="4" w:space="0" w:color="auto"/>
              <w:bottom w:val="single" w:sz="4" w:space="0" w:color="auto"/>
            </w:tcBorders>
          </w:tcPr>
          <w:p w:rsidR="00A47CF6" w:rsidRPr="00841614" w:rsidRDefault="00A47CF6" w:rsidP="00841614">
            <w:pPr>
              <w:pStyle w:val="TableText"/>
              <w:keepNext/>
              <w:ind w:left="57" w:right="57"/>
              <w:jc w:val="center"/>
              <w:rPr>
                <w:rFonts w:eastAsia="Arial" w:cs="Arial"/>
                <w:b/>
                <w:szCs w:val="19"/>
              </w:rPr>
            </w:pPr>
            <w:r w:rsidRPr="00841614">
              <w:rPr>
                <w:b/>
              </w:rPr>
              <w:t>Number (and percentage) of section</w:t>
            </w:r>
            <w:r w:rsidR="00841614">
              <w:rPr>
                <w:b/>
              </w:rPr>
              <w:t> </w:t>
            </w:r>
            <w:r w:rsidRPr="00841614">
              <w:rPr>
                <w:b/>
              </w:rPr>
              <w:t>9 applications granted</w:t>
            </w:r>
            <w:r w:rsidR="00841614" w:rsidRPr="00841614">
              <w:rPr>
                <w:b/>
              </w:rPr>
              <w:t xml:space="preserve"> </w:t>
            </w:r>
            <w:r w:rsidRPr="00841614">
              <w:rPr>
                <w:b/>
              </w:rPr>
              <w:t>for</w:t>
            </w:r>
            <w:r w:rsidR="00841614">
              <w:rPr>
                <w:b/>
              </w:rPr>
              <w:t> </w:t>
            </w:r>
            <w:r w:rsidRPr="00841614">
              <w:rPr>
                <w:b/>
              </w:rPr>
              <w:t>committal</w:t>
            </w:r>
          </w:p>
        </w:tc>
        <w:tc>
          <w:tcPr>
            <w:tcW w:w="2126" w:type="dxa"/>
            <w:tcBorders>
              <w:top w:val="single" w:sz="4" w:space="0" w:color="auto"/>
              <w:bottom w:val="single" w:sz="4" w:space="0" w:color="auto"/>
            </w:tcBorders>
          </w:tcPr>
          <w:p w:rsidR="00A47CF6" w:rsidRPr="00841614" w:rsidRDefault="00A47CF6" w:rsidP="00841614">
            <w:pPr>
              <w:pStyle w:val="TableText"/>
              <w:keepNext/>
              <w:jc w:val="center"/>
              <w:rPr>
                <w:rFonts w:eastAsia="Arial" w:cs="Arial"/>
                <w:b/>
                <w:szCs w:val="19"/>
              </w:rPr>
            </w:pPr>
            <w:r w:rsidRPr="00841614">
              <w:rPr>
                <w:b/>
              </w:rPr>
              <w:t>Total number of applications</w:t>
            </w:r>
            <w:r w:rsidR="00841614" w:rsidRPr="00841614">
              <w:rPr>
                <w:b/>
              </w:rPr>
              <w:t xml:space="preserve"> </w:t>
            </w:r>
            <w:r w:rsidRPr="00841614">
              <w:rPr>
                <w:b/>
              </w:rPr>
              <w:t>granted</w:t>
            </w:r>
          </w:p>
        </w:tc>
      </w:tr>
      <w:tr w:rsidR="00A47CF6" w:rsidRPr="00666DF4" w:rsidTr="00841614">
        <w:trPr>
          <w:cantSplit/>
        </w:trPr>
        <w:tc>
          <w:tcPr>
            <w:tcW w:w="795" w:type="dxa"/>
            <w:tcBorders>
              <w:top w:val="single" w:sz="4" w:space="0" w:color="auto"/>
            </w:tcBorders>
          </w:tcPr>
          <w:p w:rsidR="00A47CF6" w:rsidRPr="00666DF4" w:rsidRDefault="00A47CF6" w:rsidP="00841614">
            <w:pPr>
              <w:pStyle w:val="TableText"/>
              <w:keepNext/>
              <w:rPr>
                <w:rFonts w:eastAsia="Arial" w:cs="Arial"/>
                <w:szCs w:val="19"/>
              </w:rPr>
            </w:pPr>
            <w:r w:rsidRPr="00666DF4">
              <w:t>2004</w:t>
            </w:r>
          </w:p>
        </w:tc>
        <w:tc>
          <w:tcPr>
            <w:tcW w:w="3217" w:type="dxa"/>
            <w:tcBorders>
              <w:top w:val="single" w:sz="4" w:space="0" w:color="auto"/>
            </w:tcBorders>
          </w:tcPr>
          <w:p w:rsidR="00A47CF6" w:rsidRPr="00666DF4" w:rsidRDefault="00A47CF6" w:rsidP="00841614">
            <w:pPr>
              <w:pStyle w:val="TableText"/>
              <w:keepNext/>
              <w:tabs>
                <w:tab w:val="decimal" w:pos="1439"/>
              </w:tabs>
              <w:rPr>
                <w:rFonts w:eastAsia="Arial" w:cs="Arial"/>
                <w:szCs w:val="19"/>
              </w:rPr>
            </w:pPr>
            <w:r w:rsidRPr="00666DF4">
              <w:t>44 (92%)</w:t>
            </w:r>
          </w:p>
        </w:tc>
        <w:tc>
          <w:tcPr>
            <w:tcW w:w="3218" w:type="dxa"/>
            <w:tcBorders>
              <w:top w:val="single" w:sz="4" w:space="0" w:color="auto"/>
            </w:tcBorders>
          </w:tcPr>
          <w:p w:rsidR="00A47CF6" w:rsidRPr="00666DF4" w:rsidRDefault="00A47CF6" w:rsidP="00841614">
            <w:pPr>
              <w:pStyle w:val="TableText"/>
              <w:keepNext/>
              <w:tabs>
                <w:tab w:val="decimal" w:pos="1439"/>
              </w:tabs>
              <w:rPr>
                <w:rFonts w:eastAsia="Arial" w:cs="Arial"/>
                <w:szCs w:val="19"/>
              </w:rPr>
            </w:pPr>
            <w:r w:rsidRPr="00666DF4">
              <w:t>28 (85%)</w:t>
            </w:r>
          </w:p>
        </w:tc>
        <w:tc>
          <w:tcPr>
            <w:tcW w:w="2126" w:type="dxa"/>
            <w:tcBorders>
              <w:top w:val="single" w:sz="4" w:space="0" w:color="auto"/>
            </w:tcBorders>
          </w:tcPr>
          <w:p w:rsidR="00A47CF6" w:rsidRPr="00666DF4" w:rsidRDefault="00A47CF6" w:rsidP="00841614">
            <w:pPr>
              <w:pStyle w:val="TableText"/>
              <w:keepNext/>
              <w:jc w:val="center"/>
              <w:rPr>
                <w:rFonts w:eastAsia="Arial" w:cs="Arial"/>
                <w:szCs w:val="19"/>
              </w:rPr>
            </w:pPr>
            <w:r w:rsidRPr="00666DF4">
              <w:t>72</w:t>
            </w:r>
          </w:p>
        </w:tc>
      </w:tr>
      <w:tr w:rsidR="00A47CF6" w:rsidRPr="00666DF4" w:rsidTr="00841614">
        <w:trPr>
          <w:cantSplit/>
        </w:trPr>
        <w:tc>
          <w:tcPr>
            <w:tcW w:w="795" w:type="dxa"/>
          </w:tcPr>
          <w:p w:rsidR="00A47CF6" w:rsidRPr="00666DF4" w:rsidRDefault="00A47CF6" w:rsidP="00841614">
            <w:pPr>
              <w:pStyle w:val="TableText"/>
              <w:keepNext/>
              <w:rPr>
                <w:rFonts w:eastAsia="Arial" w:cs="Arial"/>
                <w:szCs w:val="19"/>
              </w:rPr>
            </w:pPr>
            <w:r w:rsidRPr="00666DF4">
              <w:t>2005</w:t>
            </w:r>
          </w:p>
        </w:tc>
        <w:tc>
          <w:tcPr>
            <w:tcW w:w="3217" w:type="dxa"/>
          </w:tcPr>
          <w:p w:rsidR="00A47CF6" w:rsidRPr="00666DF4" w:rsidRDefault="00A47CF6" w:rsidP="00841614">
            <w:pPr>
              <w:pStyle w:val="TableText"/>
              <w:keepNext/>
              <w:tabs>
                <w:tab w:val="decimal" w:pos="1439"/>
              </w:tabs>
              <w:rPr>
                <w:rFonts w:eastAsia="Arial" w:cs="Arial"/>
                <w:szCs w:val="19"/>
              </w:rPr>
            </w:pPr>
            <w:r w:rsidRPr="00666DF4">
              <w:t>49 (96%)</w:t>
            </w:r>
          </w:p>
        </w:tc>
        <w:tc>
          <w:tcPr>
            <w:tcW w:w="3218" w:type="dxa"/>
          </w:tcPr>
          <w:p w:rsidR="00A47CF6" w:rsidRPr="00666DF4" w:rsidRDefault="00A47CF6" w:rsidP="00841614">
            <w:pPr>
              <w:pStyle w:val="TableText"/>
              <w:keepNext/>
              <w:tabs>
                <w:tab w:val="decimal" w:pos="1439"/>
              </w:tabs>
              <w:rPr>
                <w:rFonts w:eastAsia="Arial" w:cs="Arial"/>
                <w:szCs w:val="19"/>
              </w:rPr>
            </w:pPr>
            <w:r w:rsidRPr="00666DF4">
              <w:t>30 (79%)</w:t>
            </w:r>
          </w:p>
        </w:tc>
        <w:tc>
          <w:tcPr>
            <w:tcW w:w="2126" w:type="dxa"/>
          </w:tcPr>
          <w:p w:rsidR="00A47CF6" w:rsidRPr="00666DF4" w:rsidRDefault="00A47CF6" w:rsidP="00841614">
            <w:pPr>
              <w:pStyle w:val="TableText"/>
              <w:keepNext/>
              <w:jc w:val="center"/>
              <w:rPr>
                <w:rFonts w:eastAsia="Arial" w:cs="Arial"/>
                <w:szCs w:val="19"/>
              </w:rPr>
            </w:pPr>
            <w:r w:rsidRPr="00666DF4">
              <w:t>79</w:t>
            </w:r>
          </w:p>
        </w:tc>
      </w:tr>
      <w:tr w:rsidR="00A47CF6" w:rsidRPr="00666DF4" w:rsidTr="00841614">
        <w:trPr>
          <w:cantSplit/>
        </w:trPr>
        <w:tc>
          <w:tcPr>
            <w:tcW w:w="795" w:type="dxa"/>
          </w:tcPr>
          <w:p w:rsidR="00A47CF6" w:rsidRPr="00666DF4" w:rsidRDefault="00A47CF6" w:rsidP="00841614">
            <w:pPr>
              <w:pStyle w:val="TableText"/>
              <w:keepNext/>
              <w:rPr>
                <w:rFonts w:eastAsia="Arial" w:cs="Arial"/>
                <w:szCs w:val="19"/>
              </w:rPr>
            </w:pPr>
            <w:r w:rsidRPr="00666DF4">
              <w:t>2006</w:t>
            </w:r>
          </w:p>
        </w:tc>
        <w:tc>
          <w:tcPr>
            <w:tcW w:w="3217" w:type="dxa"/>
          </w:tcPr>
          <w:p w:rsidR="00A47CF6" w:rsidRPr="00666DF4" w:rsidRDefault="00A47CF6" w:rsidP="00841614">
            <w:pPr>
              <w:pStyle w:val="TableText"/>
              <w:keepNext/>
              <w:tabs>
                <w:tab w:val="decimal" w:pos="1439"/>
              </w:tabs>
              <w:rPr>
                <w:rFonts w:eastAsia="Arial" w:cs="Arial"/>
                <w:szCs w:val="19"/>
              </w:rPr>
            </w:pPr>
            <w:r w:rsidRPr="00666DF4">
              <w:t>60 (98%)</w:t>
            </w:r>
          </w:p>
        </w:tc>
        <w:tc>
          <w:tcPr>
            <w:tcW w:w="3218" w:type="dxa"/>
          </w:tcPr>
          <w:p w:rsidR="00A47CF6" w:rsidRPr="00666DF4" w:rsidRDefault="00A47CF6" w:rsidP="00841614">
            <w:pPr>
              <w:pStyle w:val="TableText"/>
              <w:keepNext/>
              <w:tabs>
                <w:tab w:val="decimal" w:pos="1439"/>
              </w:tabs>
              <w:rPr>
                <w:rFonts w:eastAsia="Arial" w:cs="Arial"/>
                <w:szCs w:val="19"/>
              </w:rPr>
            </w:pPr>
            <w:r w:rsidRPr="00666DF4">
              <w:t>17 (77%)</w:t>
            </w:r>
          </w:p>
        </w:tc>
        <w:tc>
          <w:tcPr>
            <w:tcW w:w="2126" w:type="dxa"/>
          </w:tcPr>
          <w:p w:rsidR="00A47CF6" w:rsidRPr="00666DF4" w:rsidRDefault="00A47CF6" w:rsidP="00841614">
            <w:pPr>
              <w:pStyle w:val="TableText"/>
              <w:keepNext/>
              <w:jc w:val="center"/>
              <w:rPr>
                <w:rFonts w:eastAsia="Arial" w:cs="Arial"/>
                <w:szCs w:val="19"/>
              </w:rPr>
            </w:pPr>
            <w:r w:rsidRPr="00666DF4">
              <w:t>77</w:t>
            </w:r>
          </w:p>
        </w:tc>
      </w:tr>
      <w:tr w:rsidR="00A47CF6" w:rsidRPr="00666DF4" w:rsidTr="00841614">
        <w:trPr>
          <w:cantSplit/>
        </w:trPr>
        <w:tc>
          <w:tcPr>
            <w:tcW w:w="795" w:type="dxa"/>
          </w:tcPr>
          <w:p w:rsidR="00A47CF6" w:rsidRPr="00666DF4" w:rsidRDefault="00A47CF6" w:rsidP="00841614">
            <w:pPr>
              <w:pStyle w:val="TableText"/>
              <w:keepNext/>
              <w:rPr>
                <w:rFonts w:eastAsia="Arial" w:cs="Arial"/>
                <w:szCs w:val="19"/>
              </w:rPr>
            </w:pPr>
            <w:r w:rsidRPr="00666DF4">
              <w:t>2007</w:t>
            </w:r>
          </w:p>
        </w:tc>
        <w:tc>
          <w:tcPr>
            <w:tcW w:w="3217" w:type="dxa"/>
          </w:tcPr>
          <w:p w:rsidR="00A47CF6" w:rsidRPr="00666DF4" w:rsidRDefault="00A47CF6" w:rsidP="00841614">
            <w:pPr>
              <w:pStyle w:val="TableText"/>
              <w:keepNext/>
              <w:tabs>
                <w:tab w:val="decimal" w:pos="1439"/>
              </w:tabs>
              <w:rPr>
                <w:rFonts w:eastAsia="Arial" w:cs="Arial"/>
                <w:szCs w:val="19"/>
              </w:rPr>
            </w:pPr>
            <w:r w:rsidRPr="00666DF4">
              <w:t>52 (100%)</w:t>
            </w:r>
          </w:p>
        </w:tc>
        <w:tc>
          <w:tcPr>
            <w:tcW w:w="3218" w:type="dxa"/>
          </w:tcPr>
          <w:p w:rsidR="00A47CF6" w:rsidRPr="00666DF4" w:rsidRDefault="00A47CF6" w:rsidP="00841614">
            <w:pPr>
              <w:pStyle w:val="TableText"/>
              <w:keepNext/>
              <w:tabs>
                <w:tab w:val="decimal" w:pos="1439"/>
              </w:tabs>
              <w:rPr>
                <w:rFonts w:eastAsia="Arial" w:cs="Arial"/>
                <w:szCs w:val="19"/>
              </w:rPr>
            </w:pPr>
            <w:r w:rsidRPr="00666DF4">
              <w:t>19 (76%)</w:t>
            </w:r>
          </w:p>
        </w:tc>
        <w:tc>
          <w:tcPr>
            <w:tcW w:w="2126" w:type="dxa"/>
          </w:tcPr>
          <w:p w:rsidR="00A47CF6" w:rsidRPr="00666DF4" w:rsidRDefault="00A47CF6" w:rsidP="00841614">
            <w:pPr>
              <w:pStyle w:val="TableText"/>
              <w:keepNext/>
              <w:jc w:val="center"/>
              <w:rPr>
                <w:rFonts w:eastAsia="Arial" w:cs="Arial"/>
                <w:szCs w:val="19"/>
              </w:rPr>
            </w:pPr>
            <w:r w:rsidRPr="00666DF4">
              <w:t>71</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2008</w:t>
            </w:r>
          </w:p>
        </w:tc>
        <w:tc>
          <w:tcPr>
            <w:tcW w:w="3217" w:type="dxa"/>
          </w:tcPr>
          <w:p w:rsidR="00A47CF6" w:rsidRPr="00666DF4" w:rsidRDefault="00A47CF6" w:rsidP="00841614">
            <w:pPr>
              <w:pStyle w:val="TableText"/>
              <w:tabs>
                <w:tab w:val="decimal" w:pos="1439"/>
              </w:tabs>
              <w:rPr>
                <w:rFonts w:eastAsia="Arial" w:cs="Arial"/>
                <w:szCs w:val="19"/>
              </w:rPr>
            </w:pPr>
            <w:r w:rsidRPr="00666DF4">
              <w:t>63 (98%)</w:t>
            </w:r>
          </w:p>
        </w:tc>
        <w:tc>
          <w:tcPr>
            <w:tcW w:w="3218" w:type="dxa"/>
          </w:tcPr>
          <w:p w:rsidR="00A47CF6" w:rsidRPr="00666DF4" w:rsidRDefault="00A47CF6" w:rsidP="00841614">
            <w:pPr>
              <w:pStyle w:val="TableText"/>
              <w:tabs>
                <w:tab w:val="decimal" w:pos="1439"/>
              </w:tabs>
              <w:rPr>
                <w:rFonts w:eastAsia="Arial" w:cs="Arial"/>
                <w:szCs w:val="19"/>
              </w:rPr>
            </w:pPr>
            <w:r w:rsidRPr="00666DF4">
              <w:t>12 (86%)</w:t>
            </w:r>
          </w:p>
        </w:tc>
        <w:tc>
          <w:tcPr>
            <w:tcW w:w="2126" w:type="dxa"/>
          </w:tcPr>
          <w:p w:rsidR="00A47CF6" w:rsidRPr="00666DF4" w:rsidRDefault="00A47CF6" w:rsidP="00841614">
            <w:pPr>
              <w:pStyle w:val="TableText"/>
              <w:jc w:val="center"/>
              <w:rPr>
                <w:rFonts w:eastAsia="Arial" w:cs="Arial"/>
                <w:szCs w:val="19"/>
              </w:rPr>
            </w:pPr>
            <w:r w:rsidRPr="00666DF4">
              <w:t>75</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2009</w:t>
            </w:r>
          </w:p>
        </w:tc>
        <w:tc>
          <w:tcPr>
            <w:tcW w:w="3217" w:type="dxa"/>
          </w:tcPr>
          <w:p w:rsidR="00A47CF6" w:rsidRPr="00666DF4" w:rsidRDefault="00A47CF6" w:rsidP="00841614">
            <w:pPr>
              <w:pStyle w:val="TableText"/>
              <w:tabs>
                <w:tab w:val="decimal" w:pos="1439"/>
              </w:tabs>
              <w:rPr>
                <w:rFonts w:eastAsia="Arial" w:cs="Arial"/>
                <w:szCs w:val="19"/>
              </w:rPr>
            </w:pPr>
            <w:r w:rsidRPr="00666DF4">
              <w:t>49 (98%)</w:t>
            </w:r>
          </w:p>
        </w:tc>
        <w:tc>
          <w:tcPr>
            <w:tcW w:w="3218" w:type="dxa"/>
          </w:tcPr>
          <w:p w:rsidR="00A47CF6" w:rsidRPr="00666DF4" w:rsidRDefault="00A47CF6" w:rsidP="00841614">
            <w:pPr>
              <w:pStyle w:val="TableText"/>
              <w:tabs>
                <w:tab w:val="decimal" w:pos="1439"/>
              </w:tabs>
              <w:rPr>
                <w:rFonts w:eastAsia="Arial" w:cs="Arial"/>
                <w:szCs w:val="19"/>
              </w:rPr>
            </w:pPr>
            <w:r w:rsidRPr="00666DF4">
              <w:t>22 (81%)</w:t>
            </w:r>
          </w:p>
        </w:tc>
        <w:tc>
          <w:tcPr>
            <w:tcW w:w="2126" w:type="dxa"/>
          </w:tcPr>
          <w:p w:rsidR="00A47CF6" w:rsidRPr="00666DF4" w:rsidRDefault="00A47CF6" w:rsidP="00841614">
            <w:pPr>
              <w:pStyle w:val="TableText"/>
              <w:jc w:val="center"/>
              <w:rPr>
                <w:rFonts w:eastAsia="Arial" w:cs="Arial"/>
                <w:szCs w:val="19"/>
              </w:rPr>
            </w:pPr>
            <w:r w:rsidRPr="00666DF4">
              <w:t>71</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2010</w:t>
            </w:r>
          </w:p>
        </w:tc>
        <w:tc>
          <w:tcPr>
            <w:tcW w:w="3217" w:type="dxa"/>
          </w:tcPr>
          <w:p w:rsidR="00A47CF6" w:rsidRPr="00666DF4" w:rsidRDefault="00A47CF6" w:rsidP="00841614">
            <w:pPr>
              <w:pStyle w:val="TableText"/>
              <w:tabs>
                <w:tab w:val="decimal" w:pos="1439"/>
              </w:tabs>
              <w:rPr>
                <w:rFonts w:eastAsia="Arial" w:cs="Arial"/>
                <w:szCs w:val="19"/>
              </w:rPr>
            </w:pPr>
            <w:r w:rsidRPr="00666DF4">
              <w:t>55 (96%)</w:t>
            </w:r>
          </w:p>
        </w:tc>
        <w:tc>
          <w:tcPr>
            <w:tcW w:w="3218" w:type="dxa"/>
          </w:tcPr>
          <w:p w:rsidR="00A47CF6" w:rsidRPr="00666DF4" w:rsidRDefault="00A47CF6" w:rsidP="00841614">
            <w:pPr>
              <w:pStyle w:val="TableText"/>
              <w:tabs>
                <w:tab w:val="decimal" w:pos="1439"/>
              </w:tabs>
              <w:rPr>
                <w:rFonts w:eastAsia="Arial" w:cs="Arial"/>
                <w:szCs w:val="19"/>
              </w:rPr>
            </w:pPr>
            <w:r w:rsidRPr="00666DF4">
              <w:t>14 (58%)</w:t>
            </w:r>
          </w:p>
        </w:tc>
        <w:tc>
          <w:tcPr>
            <w:tcW w:w="2126" w:type="dxa"/>
          </w:tcPr>
          <w:p w:rsidR="00A47CF6" w:rsidRPr="00666DF4" w:rsidRDefault="00A47CF6" w:rsidP="00841614">
            <w:pPr>
              <w:pStyle w:val="TableText"/>
              <w:jc w:val="center"/>
              <w:rPr>
                <w:rFonts w:eastAsia="Arial" w:cs="Arial"/>
                <w:szCs w:val="19"/>
              </w:rPr>
            </w:pPr>
            <w:r w:rsidRPr="00666DF4">
              <w:t>69</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2011</w:t>
            </w:r>
          </w:p>
        </w:tc>
        <w:tc>
          <w:tcPr>
            <w:tcW w:w="3217" w:type="dxa"/>
          </w:tcPr>
          <w:p w:rsidR="00A47CF6" w:rsidRPr="00666DF4" w:rsidRDefault="00A47CF6" w:rsidP="00841614">
            <w:pPr>
              <w:pStyle w:val="TableText"/>
              <w:tabs>
                <w:tab w:val="decimal" w:pos="1439"/>
              </w:tabs>
              <w:rPr>
                <w:rFonts w:eastAsia="Arial" w:cs="Arial"/>
                <w:szCs w:val="19"/>
              </w:rPr>
            </w:pPr>
            <w:r w:rsidRPr="00666DF4">
              <w:t>59 (97%)</w:t>
            </w:r>
          </w:p>
        </w:tc>
        <w:tc>
          <w:tcPr>
            <w:tcW w:w="3218" w:type="dxa"/>
          </w:tcPr>
          <w:p w:rsidR="00A47CF6" w:rsidRPr="00666DF4" w:rsidRDefault="00A47CF6" w:rsidP="00841614">
            <w:pPr>
              <w:pStyle w:val="TableText"/>
              <w:tabs>
                <w:tab w:val="decimal" w:pos="1439"/>
              </w:tabs>
              <w:rPr>
                <w:rFonts w:eastAsia="Arial" w:cs="Arial"/>
                <w:szCs w:val="19"/>
              </w:rPr>
            </w:pPr>
            <w:r w:rsidRPr="00666DF4">
              <w:t>15 (75%)</w:t>
            </w:r>
          </w:p>
        </w:tc>
        <w:tc>
          <w:tcPr>
            <w:tcW w:w="2126" w:type="dxa"/>
          </w:tcPr>
          <w:p w:rsidR="00A47CF6" w:rsidRPr="00666DF4" w:rsidRDefault="00A47CF6" w:rsidP="00841614">
            <w:pPr>
              <w:pStyle w:val="TableText"/>
              <w:jc w:val="center"/>
              <w:rPr>
                <w:rFonts w:eastAsia="Arial" w:cs="Arial"/>
                <w:szCs w:val="19"/>
              </w:rPr>
            </w:pPr>
            <w:r w:rsidRPr="00666DF4">
              <w:t>74</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2012</w:t>
            </w:r>
          </w:p>
        </w:tc>
        <w:tc>
          <w:tcPr>
            <w:tcW w:w="3217" w:type="dxa"/>
          </w:tcPr>
          <w:p w:rsidR="00A47CF6" w:rsidRPr="00666DF4" w:rsidRDefault="00A47CF6" w:rsidP="00841614">
            <w:pPr>
              <w:pStyle w:val="TableText"/>
              <w:tabs>
                <w:tab w:val="decimal" w:pos="1439"/>
              </w:tabs>
              <w:rPr>
                <w:rFonts w:eastAsia="Arial" w:cs="Arial"/>
                <w:szCs w:val="19"/>
              </w:rPr>
            </w:pPr>
            <w:r w:rsidRPr="00666DF4">
              <w:t>61 (97%)</w:t>
            </w:r>
          </w:p>
        </w:tc>
        <w:tc>
          <w:tcPr>
            <w:tcW w:w="3218" w:type="dxa"/>
          </w:tcPr>
          <w:p w:rsidR="00A47CF6" w:rsidRPr="00666DF4" w:rsidRDefault="00A47CF6" w:rsidP="00841614">
            <w:pPr>
              <w:pStyle w:val="TableText"/>
              <w:tabs>
                <w:tab w:val="decimal" w:pos="1439"/>
              </w:tabs>
              <w:rPr>
                <w:rFonts w:eastAsia="Arial" w:cs="Arial"/>
                <w:szCs w:val="19"/>
              </w:rPr>
            </w:pPr>
            <w:r w:rsidRPr="00666DF4">
              <w:t>11 (58%)</w:t>
            </w:r>
          </w:p>
        </w:tc>
        <w:tc>
          <w:tcPr>
            <w:tcW w:w="2126" w:type="dxa"/>
          </w:tcPr>
          <w:p w:rsidR="00A47CF6" w:rsidRPr="00666DF4" w:rsidRDefault="00A47CF6" w:rsidP="00841614">
            <w:pPr>
              <w:pStyle w:val="TableText"/>
              <w:jc w:val="center"/>
              <w:rPr>
                <w:rFonts w:eastAsia="Arial" w:cs="Arial"/>
                <w:szCs w:val="19"/>
              </w:rPr>
            </w:pPr>
            <w:r w:rsidRPr="00666DF4">
              <w:t>72</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2013</w:t>
            </w:r>
          </w:p>
        </w:tc>
        <w:tc>
          <w:tcPr>
            <w:tcW w:w="3217" w:type="dxa"/>
          </w:tcPr>
          <w:p w:rsidR="00A47CF6" w:rsidRPr="00666DF4" w:rsidRDefault="00A47CF6" w:rsidP="00841614">
            <w:pPr>
              <w:pStyle w:val="TableText"/>
              <w:tabs>
                <w:tab w:val="decimal" w:pos="1439"/>
              </w:tabs>
              <w:rPr>
                <w:rFonts w:eastAsia="Arial" w:cs="Arial"/>
                <w:szCs w:val="19"/>
              </w:rPr>
            </w:pPr>
            <w:r w:rsidRPr="00666DF4">
              <w:t>58 (94%)</w:t>
            </w:r>
          </w:p>
        </w:tc>
        <w:tc>
          <w:tcPr>
            <w:tcW w:w="3218" w:type="dxa"/>
          </w:tcPr>
          <w:p w:rsidR="00A47CF6" w:rsidRPr="00666DF4" w:rsidRDefault="00A47CF6" w:rsidP="00841614">
            <w:pPr>
              <w:pStyle w:val="TableText"/>
              <w:tabs>
                <w:tab w:val="decimal" w:pos="1439"/>
              </w:tabs>
              <w:rPr>
                <w:rFonts w:eastAsia="Arial" w:cs="Arial"/>
                <w:szCs w:val="19"/>
              </w:rPr>
            </w:pPr>
            <w:r w:rsidRPr="00666DF4">
              <w:t>16 (64%)</w:t>
            </w:r>
          </w:p>
        </w:tc>
        <w:tc>
          <w:tcPr>
            <w:tcW w:w="2126" w:type="dxa"/>
          </w:tcPr>
          <w:p w:rsidR="00A47CF6" w:rsidRPr="00666DF4" w:rsidRDefault="00A47CF6" w:rsidP="00841614">
            <w:pPr>
              <w:pStyle w:val="TableText"/>
              <w:jc w:val="center"/>
              <w:rPr>
                <w:rFonts w:eastAsia="Arial" w:cs="Arial"/>
                <w:szCs w:val="19"/>
              </w:rPr>
            </w:pPr>
            <w:r w:rsidRPr="00666DF4">
              <w:t>74</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2014</w:t>
            </w:r>
          </w:p>
        </w:tc>
        <w:tc>
          <w:tcPr>
            <w:tcW w:w="3217" w:type="dxa"/>
          </w:tcPr>
          <w:p w:rsidR="00A47CF6" w:rsidRPr="00666DF4" w:rsidRDefault="00A47CF6" w:rsidP="00841614">
            <w:pPr>
              <w:pStyle w:val="TableText"/>
              <w:tabs>
                <w:tab w:val="decimal" w:pos="1439"/>
              </w:tabs>
              <w:rPr>
                <w:rFonts w:eastAsia="Arial" w:cs="Arial"/>
                <w:szCs w:val="19"/>
              </w:rPr>
            </w:pPr>
            <w:r w:rsidRPr="00666DF4">
              <w:t>50 (94%)</w:t>
            </w:r>
          </w:p>
        </w:tc>
        <w:tc>
          <w:tcPr>
            <w:tcW w:w="3218" w:type="dxa"/>
          </w:tcPr>
          <w:p w:rsidR="00A47CF6" w:rsidRPr="00666DF4" w:rsidRDefault="00A47CF6" w:rsidP="00841614">
            <w:pPr>
              <w:pStyle w:val="TableText"/>
              <w:tabs>
                <w:tab w:val="decimal" w:pos="1439"/>
              </w:tabs>
              <w:rPr>
                <w:rFonts w:eastAsia="Arial" w:cs="Arial"/>
                <w:szCs w:val="19"/>
              </w:rPr>
            </w:pPr>
            <w:r w:rsidRPr="00666DF4">
              <w:t>14 (64%)</w:t>
            </w:r>
          </w:p>
        </w:tc>
        <w:tc>
          <w:tcPr>
            <w:tcW w:w="2126" w:type="dxa"/>
          </w:tcPr>
          <w:p w:rsidR="00A47CF6" w:rsidRPr="00666DF4" w:rsidRDefault="00A47CF6" w:rsidP="00841614">
            <w:pPr>
              <w:pStyle w:val="TableText"/>
              <w:jc w:val="center"/>
              <w:rPr>
                <w:rFonts w:eastAsia="Arial" w:cs="Arial"/>
                <w:szCs w:val="19"/>
              </w:rPr>
            </w:pPr>
            <w:r w:rsidRPr="00666DF4">
              <w:t>64</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2015</w:t>
            </w:r>
          </w:p>
        </w:tc>
        <w:tc>
          <w:tcPr>
            <w:tcW w:w="3217" w:type="dxa"/>
          </w:tcPr>
          <w:p w:rsidR="00A47CF6" w:rsidRPr="00666DF4" w:rsidRDefault="00A47CF6" w:rsidP="00841614">
            <w:pPr>
              <w:pStyle w:val="TableText"/>
              <w:tabs>
                <w:tab w:val="decimal" w:pos="1439"/>
              </w:tabs>
              <w:rPr>
                <w:rFonts w:eastAsia="Arial" w:cs="Arial"/>
                <w:szCs w:val="19"/>
              </w:rPr>
            </w:pPr>
            <w:r w:rsidRPr="00666DF4">
              <w:t>36 (100%)</w:t>
            </w:r>
          </w:p>
        </w:tc>
        <w:tc>
          <w:tcPr>
            <w:tcW w:w="3218" w:type="dxa"/>
          </w:tcPr>
          <w:p w:rsidR="00A47CF6" w:rsidRPr="00666DF4" w:rsidRDefault="00A47CF6" w:rsidP="00841614">
            <w:pPr>
              <w:pStyle w:val="TableText"/>
              <w:tabs>
                <w:tab w:val="decimal" w:pos="1439"/>
              </w:tabs>
              <w:rPr>
                <w:rFonts w:eastAsia="Arial" w:cs="Arial"/>
                <w:szCs w:val="19"/>
              </w:rPr>
            </w:pPr>
            <w:r w:rsidRPr="00666DF4">
              <w:t>23 (85%)</w:t>
            </w:r>
          </w:p>
        </w:tc>
        <w:tc>
          <w:tcPr>
            <w:tcW w:w="2126" w:type="dxa"/>
          </w:tcPr>
          <w:p w:rsidR="00A47CF6" w:rsidRPr="00666DF4" w:rsidRDefault="00A47CF6" w:rsidP="00841614">
            <w:pPr>
              <w:pStyle w:val="TableText"/>
              <w:jc w:val="center"/>
              <w:rPr>
                <w:rFonts w:eastAsia="Arial" w:cs="Arial"/>
                <w:szCs w:val="19"/>
              </w:rPr>
            </w:pPr>
            <w:r w:rsidRPr="00666DF4">
              <w:t>59</w:t>
            </w:r>
          </w:p>
        </w:tc>
      </w:tr>
      <w:tr w:rsidR="00A47CF6" w:rsidRPr="00666DF4" w:rsidTr="00841614">
        <w:trPr>
          <w:cantSplit/>
        </w:trPr>
        <w:tc>
          <w:tcPr>
            <w:tcW w:w="795" w:type="dxa"/>
          </w:tcPr>
          <w:p w:rsidR="00A47CF6" w:rsidRPr="00666DF4" w:rsidRDefault="00A47CF6" w:rsidP="00841614">
            <w:pPr>
              <w:pStyle w:val="TableText"/>
              <w:rPr>
                <w:rFonts w:eastAsia="Arial" w:cs="Arial"/>
                <w:szCs w:val="19"/>
              </w:rPr>
            </w:pPr>
            <w:r w:rsidRPr="00666DF4">
              <w:t>2016</w:t>
            </w:r>
          </w:p>
        </w:tc>
        <w:tc>
          <w:tcPr>
            <w:tcW w:w="3217" w:type="dxa"/>
          </w:tcPr>
          <w:p w:rsidR="00A47CF6" w:rsidRPr="00666DF4" w:rsidRDefault="00A47CF6" w:rsidP="00841614">
            <w:pPr>
              <w:pStyle w:val="TableText"/>
              <w:tabs>
                <w:tab w:val="decimal" w:pos="1439"/>
              </w:tabs>
              <w:rPr>
                <w:rFonts w:eastAsia="Arial" w:cs="Arial"/>
                <w:szCs w:val="19"/>
              </w:rPr>
            </w:pPr>
            <w:r w:rsidRPr="00666DF4">
              <w:t>24 (100%)</w:t>
            </w:r>
          </w:p>
        </w:tc>
        <w:tc>
          <w:tcPr>
            <w:tcW w:w="3218" w:type="dxa"/>
          </w:tcPr>
          <w:p w:rsidR="00A47CF6" w:rsidRPr="00666DF4" w:rsidRDefault="00A47CF6" w:rsidP="00841614">
            <w:pPr>
              <w:pStyle w:val="TableText"/>
              <w:tabs>
                <w:tab w:val="decimal" w:pos="1439"/>
              </w:tabs>
              <w:rPr>
                <w:rFonts w:eastAsia="Arial" w:cs="Arial"/>
                <w:szCs w:val="19"/>
              </w:rPr>
            </w:pPr>
            <w:r w:rsidRPr="00666DF4">
              <w:t>21 (81%)</w:t>
            </w:r>
          </w:p>
        </w:tc>
        <w:tc>
          <w:tcPr>
            <w:tcW w:w="2126" w:type="dxa"/>
          </w:tcPr>
          <w:p w:rsidR="00A47CF6" w:rsidRPr="00666DF4" w:rsidRDefault="00A47CF6" w:rsidP="00841614">
            <w:pPr>
              <w:pStyle w:val="TableText"/>
              <w:jc w:val="center"/>
              <w:rPr>
                <w:rFonts w:eastAsia="Arial" w:cs="Arial"/>
                <w:szCs w:val="19"/>
              </w:rPr>
            </w:pPr>
            <w:r w:rsidRPr="00666DF4">
              <w:t>45</w:t>
            </w:r>
          </w:p>
        </w:tc>
      </w:tr>
    </w:tbl>
    <w:p w:rsidR="00A47CF6" w:rsidRPr="00666DF4" w:rsidRDefault="00A47CF6" w:rsidP="00841614">
      <w:pPr>
        <w:pStyle w:val="Note"/>
        <w:ind w:right="0"/>
        <w:rPr>
          <w:rFonts w:eastAsia="Arial" w:cs="Arial"/>
          <w:szCs w:val="19"/>
        </w:rPr>
      </w:pPr>
      <w:r w:rsidRPr="00666DF4">
        <w:t>Note: The table presents applications that were disposed at the time of data extraction on 2</w:t>
      </w:r>
      <w:r w:rsidR="00841614">
        <w:t> </w:t>
      </w:r>
      <w:r w:rsidRPr="00666DF4">
        <w:t>May 2017.</w:t>
      </w:r>
    </w:p>
    <w:p w:rsidR="00A47CF6" w:rsidRPr="00666DF4" w:rsidRDefault="00A47CF6" w:rsidP="00841614">
      <w:pPr>
        <w:pStyle w:val="Source"/>
        <w:ind w:right="0"/>
        <w:rPr>
          <w:rFonts w:eastAsia="Arial"/>
        </w:rPr>
      </w:pPr>
      <w:r w:rsidRPr="00666DF4">
        <w:rPr>
          <w:rFonts w:eastAsia="Arial"/>
        </w:rPr>
        <w:t>Source: Ministry of Justice</w:t>
      </w:r>
      <w:r w:rsidR="00BF25EC">
        <w:rPr>
          <w:rFonts w:eastAsia="Arial"/>
        </w:rPr>
        <w:t>’</w:t>
      </w:r>
      <w:r w:rsidRPr="00666DF4">
        <w:rPr>
          <w:rFonts w:eastAsia="Arial"/>
        </w:rPr>
        <w:t>s Case Management System. The CMS is a live operational database. Figures are subject to minor changes at any time</w:t>
      </w:r>
      <w:r w:rsidR="00841614">
        <w:rPr>
          <w:rFonts w:eastAsia="Arial"/>
        </w:rPr>
        <w:t>.</w:t>
      </w:r>
    </w:p>
    <w:p w:rsidR="00A47CF6" w:rsidRPr="00666DF4" w:rsidRDefault="00A47CF6" w:rsidP="00841614">
      <w:pPr>
        <w:rPr>
          <w:rFonts w:eastAsia="Arial"/>
        </w:rPr>
      </w:pPr>
    </w:p>
    <w:p w:rsidR="00A47CF6" w:rsidRPr="00666DF4" w:rsidRDefault="00A47CF6" w:rsidP="00841614">
      <w:pPr>
        <w:rPr>
          <w:rFonts w:eastAsia="Century" w:hAnsi="Century" w:cs="Century"/>
        </w:rPr>
      </w:pPr>
      <w:r w:rsidRPr="00666DF4">
        <w:t xml:space="preserve">In October 2009, the Prime Minister announced a review of the ADA Act as part of a range of initiatives to reduce harm from methamphetamine. The Law Commission released its report </w:t>
      </w:r>
      <w:r w:rsidRPr="00666DF4">
        <w:rPr>
          <w:i/>
        </w:rPr>
        <w:t xml:space="preserve">Compulsory Treatment for Substance Dependence: A review of the Alcoholism and Drug Addiction Act 1966 </w:t>
      </w:r>
      <w:r w:rsidRPr="00666DF4">
        <w:t>in October 2012 (New Zealand Law Commission 2012). In 2012, Parliament introduced a Bill to repeal and replace the ADA Act.</w:t>
      </w:r>
    </w:p>
    <w:p w:rsidR="00841614" w:rsidRDefault="00841614" w:rsidP="00841614"/>
    <w:p w:rsidR="00A47CF6" w:rsidRPr="00666DF4" w:rsidRDefault="00A47CF6" w:rsidP="00841614">
      <w:r w:rsidRPr="00666DF4">
        <w:t>The Substance Addiction (Compulsory Assessment and Treatment) Bill was introduced to Parliament in December 2015, intended to replace the ADA Act. It is expected that implementation of the Substance Addiction (Compulsory Assessment and Treatment) Act 2017 will begin in 2018. For more information on this, see page 14 of this report.</w:t>
      </w:r>
    </w:p>
    <w:p w:rsidR="00A47CF6" w:rsidRPr="00666DF4" w:rsidRDefault="00A47CF6" w:rsidP="00841614">
      <w:pPr>
        <w:rPr>
          <w:rFonts w:eastAsia="Century"/>
        </w:rPr>
      </w:pPr>
    </w:p>
    <w:p w:rsidR="00A47CF6" w:rsidRPr="00666DF4" w:rsidRDefault="00A47CF6" w:rsidP="00841614">
      <w:pPr>
        <w:pStyle w:val="Heading3"/>
        <w:rPr>
          <w:bCs/>
        </w:rPr>
      </w:pPr>
      <w:r w:rsidRPr="00666DF4">
        <w:t>Electroconvulsive therapy</w:t>
      </w:r>
    </w:p>
    <w:p w:rsidR="00A47CF6" w:rsidRPr="00666DF4" w:rsidRDefault="00A47CF6" w:rsidP="00841614">
      <w:r w:rsidRPr="00666DF4">
        <w:t>Electroconvulsive therapy is a therapeutic procedure in which a brief pulse of electricity is delivered to a person</w:t>
      </w:r>
      <w:r w:rsidR="00BF25EC">
        <w:t>’</w:t>
      </w:r>
      <w:r w:rsidRPr="00666DF4">
        <w:t>s brain in order to produce a seizure. It can be an effective treatment for various types</w:t>
      </w:r>
      <w:r w:rsidR="00841614">
        <w:t xml:space="preserve"> </w:t>
      </w:r>
      <w:r w:rsidRPr="00666DF4">
        <w:t>of mental illness, including depressive illness, mania, catatonia and other serious neuropsychiatric conditions. It is often effective as a last resort in cases where medication is contraindicated or is not relieving symptoms sufficiently. It can only be given with the consent of the person receiving it, other than in certain carefully defined circumstances.</w:t>
      </w:r>
    </w:p>
    <w:p w:rsidR="00841614" w:rsidRDefault="00841614" w:rsidP="00841614"/>
    <w:p w:rsidR="00A47CF6" w:rsidRPr="00666DF4" w:rsidRDefault="00A47CF6" w:rsidP="00841614">
      <w:r w:rsidRPr="00666DF4">
        <w:t>In summary, in 2016:</w:t>
      </w:r>
    </w:p>
    <w:p w:rsidR="00A47CF6" w:rsidRPr="00666DF4" w:rsidRDefault="00A47CF6" w:rsidP="00841614">
      <w:pPr>
        <w:pStyle w:val="Bullet"/>
      </w:pPr>
      <w:r w:rsidRPr="00666DF4">
        <w:t>251 people received ECT (5.3 people per 100,000)</w:t>
      </w:r>
    </w:p>
    <w:p w:rsidR="00A47CF6" w:rsidRPr="00666DF4" w:rsidRDefault="00A47CF6" w:rsidP="00841614">
      <w:pPr>
        <w:pStyle w:val="Bullet"/>
      </w:pPr>
      <w:r w:rsidRPr="00666DF4">
        <w:t>services administered a total of 2,746 treatments of ECT</w:t>
      </w:r>
    </w:p>
    <w:p w:rsidR="00A47CF6" w:rsidRPr="00666DF4" w:rsidRDefault="00A47CF6" w:rsidP="00841614">
      <w:pPr>
        <w:pStyle w:val="Bullet"/>
      </w:pPr>
      <w:r w:rsidRPr="00666DF4">
        <w:t>those treated received an average of 10.9 administrations of ECT over the year</w:t>
      </w:r>
    </w:p>
    <w:p w:rsidR="00A47CF6" w:rsidRPr="00666DF4" w:rsidRDefault="00A47CF6" w:rsidP="00841614">
      <w:pPr>
        <w:pStyle w:val="Bullet"/>
      </w:pPr>
      <w:r w:rsidRPr="00666DF4">
        <w:t>females were more likely to receive ECT than males</w:t>
      </w:r>
    </w:p>
    <w:p w:rsidR="00A47CF6" w:rsidRPr="00666DF4" w:rsidRDefault="00A47CF6" w:rsidP="00841614">
      <w:pPr>
        <w:pStyle w:val="Bullet"/>
      </w:pPr>
      <w:proofErr w:type="gramStart"/>
      <w:r w:rsidRPr="00666DF4">
        <w:t>older</w:t>
      </w:r>
      <w:proofErr w:type="gramEnd"/>
      <w:r w:rsidRPr="00666DF4">
        <w:t xml:space="preserve"> people were more likely to receive ECT than younger people.</w:t>
      </w:r>
    </w:p>
    <w:p w:rsidR="00A47CF6" w:rsidRPr="00666DF4" w:rsidRDefault="00A47CF6" w:rsidP="00841614"/>
    <w:p w:rsidR="00A47CF6" w:rsidRPr="00666DF4" w:rsidRDefault="00A47CF6" w:rsidP="00841614">
      <w:bookmarkStart w:id="227" w:name="Figure_39:_Number_of_people_treated_with"/>
      <w:bookmarkStart w:id="228" w:name="_bookmark51"/>
      <w:bookmarkEnd w:id="227"/>
      <w:bookmarkEnd w:id="228"/>
      <w:r w:rsidRPr="00666DF4">
        <w:t>Medical staff administer ECT under anaesthesia in an operating theatre, making use of muscle relaxants. The person who has received ECT wakes unable to recall the details of the procedure. The most common side effects of ECT are confusion, disorientation and memory loss. Confusion and disorientation typically clear within an hour, but memory loss can be persistent and in some cases even permanent (American Psychiatric Association 2001; Ministry of Health 2004).</w:t>
      </w:r>
    </w:p>
    <w:p w:rsidR="00A47CF6" w:rsidRPr="00666DF4" w:rsidRDefault="00A47CF6" w:rsidP="00841614">
      <w:pPr>
        <w:rPr>
          <w:rFonts w:eastAsia="Century"/>
        </w:rPr>
      </w:pPr>
    </w:p>
    <w:p w:rsidR="00A47CF6" w:rsidRPr="00666DF4" w:rsidRDefault="00A47CF6" w:rsidP="00841614">
      <w:r w:rsidRPr="00666DF4">
        <w:t xml:space="preserve">Significant advances have been made in improving ECT techniques and reducing side effects over the last 20 years. Despite these improvements, ECT remains a controversial treatment. In 2003, in response to petition 1999/30 of Anna de </w:t>
      </w:r>
      <w:proofErr w:type="spellStart"/>
      <w:r w:rsidRPr="00666DF4">
        <w:t>Jonge</w:t>
      </w:r>
      <w:proofErr w:type="spellEnd"/>
      <w:r w:rsidRPr="00666DF4">
        <w:t xml:space="preserve"> and others</w:t>
      </w:r>
      <w:r w:rsidR="00841614">
        <w:t xml:space="preserve"> </w:t>
      </w:r>
      <w:r w:rsidRPr="00666DF4">
        <w:t>regarding ECT, the Health Select Committee recommended that</w:t>
      </w:r>
      <w:r w:rsidR="00BF25EC">
        <w:t xml:space="preserve"> </w:t>
      </w:r>
      <w:r w:rsidRPr="00666DF4">
        <w:t>a review be carried out, independent of the Ministry of Health, on the safety and efficacy of ECT and the adequacy of regulatory controls on its use in New Zealand. The review concluded that</w:t>
      </w:r>
      <w:r w:rsidR="00841614">
        <w:t xml:space="preserve"> </w:t>
      </w:r>
      <w:r w:rsidRPr="00666DF4">
        <w:t>ECT continues to have a place as a treatment option for consumers of mental health services in New Zealand, and that banning its use would deprive some seriously ill people of a potentially effective and sometimes life-saving means of treatment (Ministry of</w:t>
      </w:r>
      <w:r w:rsidR="00841614">
        <w:t xml:space="preserve"> </w:t>
      </w:r>
      <w:r w:rsidRPr="00666DF4">
        <w:t>Health 2004).</w:t>
      </w:r>
    </w:p>
    <w:p w:rsidR="00A47CF6" w:rsidRPr="00666DF4" w:rsidRDefault="00A47CF6" w:rsidP="00841614"/>
    <w:p w:rsidR="00A47CF6" w:rsidRPr="00666DF4" w:rsidRDefault="00A47CF6" w:rsidP="00841614">
      <w:r w:rsidRPr="00666DF4">
        <w:t>In 2009, the Ministry of Health created a consumer resource on ECT as part of the 2003 Government response to the review (Ministry of Health 2009).</w:t>
      </w:r>
    </w:p>
    <w:p w:rsidR="00A47CF6" w:rsidRPr="00666DF4" w:rsidRDefault="00A47CF6" w:rsidP="00841614">
      <w:pPr>
        <w:rPr>
          <w:rFonts w:eastAsia="Century"/>
        </w:rPr>
      </w:pPr>
    </w:p>
    <w:p w:rsidR="00A47CF6" w:rsidRPr="00BF25EC" w:rsidRDefault="00A47CF6" w:rsidP="00841614">
      <w:pPr>
        <w:pStyle w:val="Heading4"/>
        <w:rPr>
          <w:bCs/>
        </w:rPr>
      </w:pPr>
      <w:r w:rsidRPr="00BF25EC">
        <w:t>Changes in the use of ECT over time</w:t>
      </w:r>
    </w:p>
    <w:p w:rsidR="00A47CF6" w:rsidRPr="00666DF4" w:rsidRDefault="00A47CF6" w:rsidP="00841614">
      <w:r w:rsidRPr="00666DF4">
        <w:t>The number of people treated with ECT in New Zealand has remained relatively stable since 2006. Around 200 to 300 people receive the treatment each year. When the increase in mental health service use during that time is taken into account, the rate of people treated with ECT can be seen to have declined (see Figure 39).</w:t>
      </w:r>
    </w:p>
    <w:p w:rsidR="00A47CF6" w:rsidRPr="00666DF4" w:rsidRDefault="00A47CF6" w:rsidP="00841614">
      <w:pPr>
        <w:rPr>
          <w:rFonts w:eastAsia="Century"/>
        </w:rPr>
      </w:pPr>
    </w:p>
    <w:p w:rsidR="00A47CF6" w:rsidRDefault="00A47CF6" w:rsidP="00841614">
      <w:pPr>
        <w:pStyle w:val="Figure"/>
        <w:rPr>
          <w:rFonts w:eastAsia="Georgia"/>
        </w:rPr>
      </w:pPr>
      <w:bookmarkStart w:id="229" w:name="_Toc508707363"/>
      <w:r w:rsidRPr="00666DF4">
        <w:rPr>
          <w:rFonts w:eastAsia="Georgia"/>
        </w:rPr>
        <w:t>Figure 39: Number of people treated with electroconvulsive therapy per 100,000 service user population, 2005–2016</w:t>
      </w:r>
      <w:bookmarkEnd w:id="229"/>
    </w:p>
    <w:p w:rsidR="00841614" w:rsidRPr="00841614" w:rsidRDefault="00841614" w:rsidP="00841614">
      <w:pPr>
        <w:rPr>
          <w:rFonts w:eastAsia="Georgia"/>
        </w:rPr>
      </w:pPr>
      <w:r>
        <w:rPr>
          <w:noProof/>
          <w:lang w:eastAsia="en-NZ"/>
        </w:rPr>
        <w:drawing>
          <wp:inline distT="0" distB="0" distL="0" distR="0" wp14:anchorId="1E8A4756" wp14:editId="4B6C6DBA">
            <wp:extent cx="4705004" cy="2267764"/>
            <wp:effectExtent l="0" t="0" r="635" b="0"/>
            <wp:docPr id="97" name="Picture 97" title="Figure 39: Number of people treated with electroconvulsive therapy per 100,000 service user population, 20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blip>
                    <a:stretch>
                      <a:fillRect/>
                    </a:stretch>
                  </pic:blipFill>
                  <pic:spPr>
                    <a:xfrm>
                      <a:off x="0" y="0"/>
                      <a:ext cx="4705151" cy="2267835"/>
                    </a:xfrm>
                    <a:prstGeom prst="rect">
                      <a:avLst/>
                    </a:prstGeom>
                  </pic:spPr>
                </pic:pic>
              </a:graphicData>
            </a:graphic>
          </wp:inline>
        </w:drawing>
      </w:r>
    </w:p>
    <w:p w:rsidR="00A47CF6" w:rsidRPr="00666DF4" w:rsidRDefault="00A47CF6" w:rsidP="00841614">
      <w:pPr>
        <w:pStyle w:val="Source"/>
        <w:rPr>
          <w:rFonts w:eastAsia="Arial" w:cs="Arial"/>
          <w:szCs w:val="19"/>
        </w:rPr>
      </w:pPr>
      <w:r w:rsidRPr="00666DF4">
        <w:t>Source: PRIMHD data, extracted on 27 July 2017, except for Northland and Southern DHBs, which submitted data manually</w:t>
      </w:r>
      <w:r w:rsidR="00841614">
        <w:t>.</w:t>
      </w:r>
    </w:p>
    <w:p w:rsidR="00A47CF6" w:rsidRPr="00666DF4" w:rsidRDefault="00A47CF6" w:rsidP="00841614">
      <w:pPr>
        <w:rPr>
          <w:rFonts w:eastAsia="Arial"/>
        </w:rPr>
      </w:pPr>
    </w:p>
    <w:p w:rsidR="00A47CF6" w:rsidRPr="00666DF4" w:rsidRDefault="00A47CF6" w:rsidP="00841614">
      <w:r w:rsidRPr="00666DF4">
        <w:t>A total of 251 people received ECT during the year ending 31 December 2016. Table 17 shows the total number of people who received ECT in 2016 by DHB of domicile.</w:t>
      </w:r>
      <w:r w:rsidR="00841614">
        <w:rPr>
          <w:rStyle w:val="FootnoteReference"/>
        </w:rPr>
        <w:footnoteReference w:id="44"/>
      </w:r>
      <w:r w:rsidR="00841614">
        <w:t xml:space="preserve"> </w:t>
      </w:r>
      <w:r w:rsidRPr="00666DF4">
        <w:t>The total number of treatments administered over this period was 2,746, representing a mean of 10.9 treatments per person.</w:t>
      </w:r>
    </w:p>
    <w:p w:rsidR="00A47CF6" w:rsidRPr="00666DF4" w:rsidRDefault="00A47CF6" w:rsidP="00841614">
      <w:pPr>
        <w:rPr>
          <w:rFonts w:eastAsia="Century"/>
        </w:rPr>
      </w:pPr>
    </w:p>
    <w:p w:rsidR="00A47CF6" w:rsidRPr="00666DF4" w:rsidRDefault="00A47CF6" w:rsidP="00A47CF6">
      <w:pPr>
        <w:spacing w:line="20" w:lineRule="atLeast"/>
        <w:ind w:left="153"/>
        <w:rPr>
          <w:rFonts w:ascii="Century" w:eastAsia="Century" w:hAnsi="Century" w:cs="Century"/>
          <w:sz w:val="2"/>
          <w:szCs w:val="2"/>
        </w:rPr>
      </w:pPr>
    </w:p>
    <w:p w:rsidR="00A47CF6" w:rsidRPr="00666DF4" w:rsidRDefault="00A47CF6" w:rsidP="00841614">
      <w:pPr>
        <w:pStyle w:val="Table"/>
        <w:rPr>
          <w:rFonts w:eastAsia="Georgia" w:cs="Georgia"/>
          <w:szCs w:val="19"/>
        </w:rPr>
      </w:pPr>
      <w:bookmarkStart w:id="230" w:name="Table_17:_Electroconvulsive_therapy_indi"/>
      <w:bookmarkStart w:id="231" w:name="_bookmark52"/>
      <w:bookmarkStart w:id="232" w:name="_Toc508707315"/>
      <w:bookmarkEnd w:id="230"/>
      <w:bookmarkEnd w:id="231"/>
      <w:r w:rsidRPr="00666DF4">
        <w:t>Table 17: Electroconvulsive therapy indicators, by DHB of domicile, 1 January to 31</w:t>
      </w:r>
      <w:r w:rsidR="00841614">
        <w:t> </w:t>
      </w:r>
      <w:r w:rsidRPr="00666DF4">
        <w:t>December 2016</w:t>
      </w:r>
      <w:bookmarkEnd w:id="23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020"/>
        <w:gridCol w:w="2038"/>
        <w:gridCol w:w="2038"/>
        <w:gridCol w:w="3260"/>
      </w:tblGrid>
      <w:tr w:rsidR="00A47CF6" w:rsidRPr="00841614" w:rsidTr="00BD6824">
        <w:trPr>
          <w:cantSplit/>
        </w:trPr>
        <w:tc>
          <w:tcPr>
            <w:tcW w:w="2020" w:type="dxa"/>
            <w:tcBorders>
              <w:top w:val="single" w:sz="4" w:space="0" w:color="auto"/>
              <w:bottom w:val="single" w:sz="4" w:space="0" w:color="auto"/>
            </w:tcBorders>
          </w:tcPr>
          <w:p w:rsidR="00A47CF6" w:rsidRPr="00841614" w:rsidRDefault="00A47CF6" w:rsidP="00841614">
            <w:pPr>
              <w:pStyle w:val="TableText"/>
              <w:rPr>
                <w:rFonts w:eastAsia="Arial" w:cs="Arial"/>
                <w:b/>
                <w:szCs w:val="19"/>
              </w:rPr>
            </w:pPr>
            <w:r w:rsidRPr="00841614">
              <w:rPr>
                <w:b/>
              </w:rPr>
              <w:t>DHB of domicile</w:t>
            </w:r>
          </w:p>
        </w:tc>
        <w:tc>
          <w:tcPr>
            <w:tcW w:w="2038" w:type="dxa"/>
            <w:tcBorders>
              <w:top w:val="single" w:sz="4" w:space="0" w:color="auto"/>
              <w:bottom w:val="single" w:sz="4" w:space="0" w:color="auto"/>
            </w:tcBorders>
          </w:tcPr>
          <w:p w:rsidR="00A47CF6" w:rsidRPr="00841614" w:rsidRDefault="00A47CF6" w:rsidP="00BD6824">
            <w:pPr>
              <w:pStyle w:val="TableText"/>
              <w:jc w:val="center"/>
              <w:rPr>
                <w:rFonts w:eastAsia="Arial" w:cs="Arial"/>
                <w:b/>
                <w:szCs w:val="19"/>
              </w:rPr>
            </w:pPr>
            <w:r w:rsidRPr="00841614">
              <w:rPr>
                <w:b/>
              </w:rPr>
              <w:t>Number of people treated with ECT</w:t>
            </w:r>
          </w:p>
        </w:tc>
        <w:tc>
          <w:tcPr>
            <w:tcW w:w="2038" w:type="dxa"/>
            <w:tcBorders>
              <w:top w:val="single" w:sz="4" w:space="0" w:color="auto"/>
              <w:bottom w:val="single" w:sz="4" w:space="0" w:color="auto"/>
            </w:tcBorders>
          </w:tcPr>
          <w:p w:rsidR="00A47CF6" w:rsidRPr="00841614" w:rsidRDefault="00A47CF6" w:rsidP="00BD6824">
            <w:pPr>
              <w:pStyle w:val="TableText"/>
              <w:jc w:val="center"/>
              <w:rPr>
                <w:rFonts w:eastAsia="Arial" w:cs="Arial"/>
                <w:b/>
                <w:szCs w:val="19"/>
              </w:rPr>
            </w:pPr>
            <w:r w:rsidRPr="00841614">
              <w:rPr>
                <w:b/>
              </w:rPr>
              <w:t>Number of</w:t>
            </w:r>
            <w:r w:rsidR="00BD6824">
              <w:rPr>
                <w:b/>
              </w:rPr>
              <w:br/>
            </w:r>
            <w:r w:rsidRPr="00841614">
              <w:rPr>
                <w:b/>
              </w:rPr>
              <w:t>treatments</w:t>
            </w:r>
          </w:p>
        </w:tc>
        <w:tc>
          <w:tcPr>
            <w:tcW w:w="3260" w:type="dxa"/>
            <w:tcBorders>
              <w:top w:val="single" w:sz="4" w:space="0" w:color="auto"/>
              <w:bottom w:val="single" w:sz="4" w:space="0" w:color="auto"/>
            </w:tcBorders>
          </w:tcPr>
          <w:p w:rsidR="00A47CF6" w:rsidRPr="00841614" w:rsidRDefault="00A47CF6" w:rsidP="00BD6824">
            <w:pPr>
              <w:pStyle w:val="TableText"/>
              <w:jc w:val="center"/>
              <w:rPr>
                <w:rFonts w:eastAsia="Arial" w:cs="Arial"/>
                <w:b/>
                <w:szCs w:val="19"/>
              </w:rPr>
            </w:pPr>
            <w:r w:rsidRPr="00841614">
              <w:rPr>
                <w:b/>
              </w:rPr>
              <w:t>Mean number of treatments</w:t>
            </w:r>
            <w:r w:rsidR="00841614" w:rsidRPr="00841614">
              <w:rPr>
                <w:b/>
              </w:rPr>
              <w:t xml:space="preserve"> </w:t>
            </w:r>
            <w:r w:rsidRPr="00841614">
              <w:rPr>
                <w:b/>
              </w:rPr>
              <w:t>per person (range)</w:t>
            </w:r>
          </w:p>
        </w:tc>
      </w:tr>
      <w:tr w:rsidR="00A47CF6" w:rsidRPr="00666DF4" w:rsidTr="00BD6824">
        <w:trPr>
          <w:cantSplit/>
        </w:trPr>
        <w:tc>
          <w:tcPr>
            <w:tcW w:w="2020" w:type="dxa"/>
            <w:tcBorders>
              <w:top w:val="single" w:sz="4" w:space="0" w:color="auto"/>
            </w:tcBorders>
          </w:tcPr>
          <w:p w:rsidR="00A47CF6" w:rsidRPr="00666DF4" w:rsidRDefault="00A47CF6" w:rsidP="00841614">
            <w:pPr>
              <w:pStyle w:val="TableText"/>
              <w:rPr>
                <w:rFonts w:eastAsia="Arial" w:cs="Arial"/>
                <w:szCs w:val="19"/>
              </w:rPr>
            </w:pPr>
            <w:r w:rsidRPr="00666DF4">
              <w:t>Auckland</w:t>
            </w:r>
          </w:p>
        </w:tc>
        <w:tc>
          <w:tcPr>
            <w:tcW w:w="2038" w:type="dxa"/>
            <w:tcBorders>
              <w:top w:val="single" w:sz="4" w:space="0" w:color="auto"/>
            </w:tcBorders>
          </w:tcPr>
          <w:p w:rsidR="00A47CF6" w:rsidRPr="00666DF4" w:rsidRDefault="00A47CF6" w:rsidP="00BD6824">
            <w:pPr>
              <w:pStyle w:val="TableText"/>
              <w:tabs>
                <w:tab w:val="decimal" w:pos="1038"/>
              </w:tabs>
              <w:rPr>
                <w:rFonts w:eastAsia="Arial" w:cs="Arial"/>
                <w:szCs w:val="19"/>
              </w:rPr>
            </w:pPr>
            <w:r w:rsidRPr="00666DF4">
              <w:t>21</w:t>
            </w:r>
          </w:p>
        </w:tc>
        <w:tc>
          <w:tcPr>
            <w:tcW w:w="2038" w:type="dxa"/>
            <w:tcBorders>
              <w:top w:val="single" w:sz="4" w:space="0" w:color="auto"/>
            </w:tcBorders>
          </w:tcPr>
          <w:p w:rsidR="00A47CF6" w:rsidRPr="00666DF4" w:rsidRDefault="00A47CF6" w:rsidP="00BD6824">
            <w:pPr>
              <w:pStyle w:val="TableText"/>
              <w:tabs>
                <w:tab w:val="decimal" w:pos="1108"/>
              </w:tabs>
              <w:rPr>
                <w:rFonts w:eastAsia="Arial" w:cs="Arial"/>
                <w:szCs w:val="19"/>
              </w:rPr>
            </w:pPr>
            <w:r w:rsidRPr="00666DF4">
              <w:t>217</w:t>
            </w:r>
          </w:p>
        </w:tc>
        <w:tc>
          <w:tcPr>
            <w:tcW w:w="3260" w:type="dxa"/>
            <w:tcBorders>
              <w:top w:val="single" w:sz="4" w:space="0" w:color="auto"/>
            </w:tcBorders>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10.3 (1–27)</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Bay of Plenty</w:t>
            </w:r>
          </w:p>
        </w:tc>
        <w:tc>
          <w:tcPr>
            <w:tcW w:w="2038" w:type="dxa"/>
          </w:tcPr>
          <w:p w:rsidR="00A47CF6" w:rsidRPr="00666DF4" w:rsidRDefault="00A47CF6" w:rsidP="00BD6824">
            <w:pPr>
              <w:pStyle w:val="TableText"/>
              <w:tabs>
                <w:tab w:val="decimal" w:pos="1038"/>
              </w:tabs>
              <w:rPr>
                <w:rFonts w:eastAsia="Arial" w:cs="Arial"/>
                <w:szCs w:val="19"/>
              </w:rPr>
            </w:pPr>
            <w:r w:rsidRPr="00666DF4">
              <w:t>13</w:t>
            </w:r>
          </w:p>
        </w:tc>
        <w:tc>
          <w:tcPr>
            <w:tcW w:w="2038" w:type="dxa"/>
          </w:tcPr>
          <w:p w:rsidR="00A47CF6" w:rsidRPr="00666DF4" w:rsidRDefault="00A47CF6" w:rsidP="00BD6824">
            <w:pPr>
              <w:pStyle w:val="TableText"/>
              <w:tabs>
                <w:tab w:val="decimal" w:pos="1108"/>
              </w:tabs>
              <w:rPr>
                <w:rFonts w:eastAsia="Arial" w:cs="Arial"/>
                <w:szCs w:val="19"/>
              </w:rPr>
            </w:pPr>
            <w:r w:rsidRPr="00666DF4">
              <w:t>196</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15.1 (1–54)</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Canterbury</w:t>
            </w:r>
          </w:p>
        </w:tc>
        <w:tc>
          <w:tcPr>
            <w:tcW w:w="2038" w:type="dxa"/>
          </w:tcPr>
          <w:p w:rsidR="00A47CF6" w:rsidRPr="00666DF4" w:rsidRDefault="00A47CF6" w:rsidP="00BD6824">
            <w:pPr>
              <w:pStyle w:val="TableText"/>
              <w:tabs>
                <w:tab w:val="decimal" w:pos="1038"/>
              </w:tabs>
              <w:rPr>
                <w:rFonts w:eastAsia="Arial" w:cs="Arial"/>
                <w:szCs w:val="19"/>
              </w:rPr>
            </w:pPr>
            <w:r w:rsidRPr="00666DF4">
              <w:t>29</w:t>
            </w:r>
          </w:p>
        </w:tc>
        <w:tc>
          <w:tcPr>
            <w:tcW w:w="2038" w:type="dxa"/>
          </w:tcPr>
          <w:p w:rsidR="00A47CF6" w:rsidRPr="00666DF4" w:rsidRDefault="00A47CF6" w:rsidP="00BD6824">
            <w:pPr>
              <w:pStyle w:val="TableText"/>
              <w:tabs>
                <w:tab w:val="decimal" w:pos="1108"/>
              </w:tabs>
              <w:rPr>
                <w:rFonts w:eastAsia="Arial" w:cs="Arial"/>
                <w:szCs w:val="19"/>
              </w:rPr>
            </w:pPr>
            <w:r w:rsidRPr="00666DF4">
              <w:t>278</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9.6 (2–34)</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Capital &amp; Coast</w:t>
            </w:r>
          </w:p>
        </w:tc>
        <w:tc>
          <w:tcPr>
            <w:tcW w:w="2038" w:type="dxa"/>
          </w:tcPr>
          <w:p w:rsidR="00A47CF6" w:rsidRPr="00666DF4" w:rsidRDefault="00A47CF6" w:rsidP="00BD6824">
            <w:pPr>
              <w:pStyle w:val="TableText"/>
              <w:tabs>
                <w:tab w:val="decimal" w:pos="1038"/>
              </w:tabs>
              <w:rPr>
                <w:rFonts w:eastAsia="Arial" w:cs="Arial"/>
                <w:szCs w:val="19"/>
              </w:rPr>
            </w:pPr>
            <w:r w:rsidRPr="00666DF4">
              <w:t>18</w:t>
            </w:r>
          </w:p>
        </w:tc>
        <w:tc>
          <w:tcPr>
            <w:tcW w:w="2038" w:type="dxa"/>
          </w:tcPr>
          <w:p w:rsidR="00A47CF6" w:rsidRPr="00666DF4" w:rsidRDefault="00A47CF6" w:rsidP="00BD6824">
            <w:pPr>
              <w:pStyle w:val="TableText"/>
              <w:tabs>
                <w:tab w:val="decimal" w:pos="1108"/>
              </w:tabs>
              <w:rPr>
                <w:rFonts w:eastAsia="Arial" w:cs="Arial"/>
                <w:szCs w:val="19"/>
              </w:rPr>
            </w:pPr>
            <w:r w:rsidRPr="00666DF4">
              <w:t>199</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11.1 (1–19)</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 xml:space="preserve">Counties </w:t>
            </w:r>
            <w:proofErr w:type="spellStart"/>
            <w:r w:rsidRPr="00666DF4">
              <w:t>Manukau</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25</w:t>
            </w:r>
          </w:p>
        </w:tc>
        <w:tc>
          <w:tcPr>
            <w:tcW w:w="2038" w:type="dxa"/>
          </w:tcPr>
          <w:p w:rsidR="00A47CF6" w:rsidRPr="00666DF4" w:rsidRDefault="00A47CF6" w:rsidP="00BD6824">
            <w:pPr>
              <w:pStyle w:val="TableText"/>
              <w:tabs>
                <w:tab w:val="decimal" w:pos="1108"/>
              </w:tabs>
              <w:rPr>
                <w:rFonts w:eastAsia="Arial" w:cs="Arial"/>
                <w:szCs w:val="19"/>
              </w:rPr>
            </w:pPr>
            <w:r w:rsidRPr="00666DF4">
              <w:t>231</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9.2 (1–20)</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rPr>
                <w:rFonts w:eastAsia="Arial" w:cs="Arial"/>
                <w:szCs w:val="19"/>
              </w:rPr>
              <w:t>Hawke</w:t>
            </w:r>
            <w:r w:rsidR="00BF25EC">
              <w:rPr>
                <w:rFonts w:eastAsia="Arial" w:cs="Arial"/>
                <w:szCs w:val="19"/>
              </w:rPr>
              <w:t>’</w:t>
            </w:r>
            <w:r w:rsidRPr="00666DF4">
              <w:rPr>
                <w:rFonts w:eastAsia="Arial" w:cs="Arial"/>
                <w:szCs w:val="19"/>
              </w:rPr>
              <w:t>s Bay</w:t>
            </w:r>
          </w:p>
        </w:tc>
        <w:tc>
          <w:tcPr>
            <w:tcW w:w="2038" w:type="dxa"/>
          </w:tcPr>
          <w:p w:rsidR="00A47CF6" w:rsidRPr="00666DF4" w:rsidRDefault="00A47CF6" w:rsidP="00BD6824">
            <w:pPr>
              <w:pStyle w:val="TableText"/>
              <w:tabs>
                <w:tab w:val="decimal" w:pos="1038"/>
              </w:tabs>
              <w:rPr>
                <w:rFonts w:eastAsia="Arial" w:cs="Arial"/>
                <w:szCs w:val="19"/>
              </w:rPr>
            </w:pPr>
            <w:r w:rsidRPr="00666DF4">
              <w:t>12</w:t>
            </w:r>
          </w:p>
        </w:tc>
        <w:tc>
          <w:tcPr>
            <w:tcW w:w="2038" w:type="dxa"/>
          </w:tcPr>
          <w:p w:rsidR="00A47CF6" w:rsidRPr="00666DF4" w:rsidRDefault="00A47CF6" w:rsidP="00BD6824">
            <w:pPr>
              <w:pStyle w:val="TableText"/>
              <w:tabs>
                <w:tab w:val="decimal" w:pos="1108"/>
              </w:tabs>
              <w:rPr>
                <w:rFonts w:eastAsia="Arial" w:cs="Arial"/>
                <w:szCs w:val="19"/>
              </w:rPr>
            </w:pPr>
            <w:r w:rsidRPr="00666DF4">
              <w:t>55</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4.6 (1–16)</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Hutt Valley</w:t>
            </w:r>
          </w:p>
        </w:tc>
        <w:tc>
          <w:tcPr>
            <w:tcW w:w="2038" w:type="dxa"/>
          </w:tcPr>
          <w:p w:rsidR="00A47CF6" w:rsidRPr="00666DF4" w:rsidRDefault="00A47CF6" w:rsidP="00BD6824">
            <w:pPr>
              <w:pStyle w:val="TableText"/>
              <w:tabs>
                <w:tab w:val="decimal" w:pos="1038"/>
              </w:tabs>
              <w:rPr>
                <w:rFonts w:eastAsia="Arial" w:cs="Arial"/>
                <w:szCs w:val="19"/>
              </w:rPr>
            </w:pPr>
            <w:r w:rsidRPr="00666DF4">
              <w:t>9</w:t>
            </w:r>
          </w:p>
        </w:tc>
        <w:tc>
          <w:tcPr>
            <w:tcW w:w="2038" w:type="dxa"/>
          </w:tcPr>
          <w:p w:rsidR="00A47CF6" w:rsidRPr="00666DF4" w:rsidRDefault="00A47CF6" w:rsidP="00BD6824">
            <w:pPr>
              <w:pStyle w:val="TableText"/>
              <w:tabs>
                <w:tab w:val="decimal" w:pos="1108"/>
              </w:tabs>
              <w:rPr>
                <w:rFonts w:eastAsia="Arial" w:cs="Arial"/>
                <w:szCs w:val="19"/>
              </w:rPr>
            </w:pPr>
            <w:r w:rsidRPr="00666DF4">
              <w:t>102</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11.3 (3–22)</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Lakes</w:t>
            </w:r>
          </w:p>
        </w:tc>
        <w:tc>
          <w:tcPr>
            <w:tcW w:w="2038" w:type="dxa"/>
          </w:tcPr>
          <w:p w:rsidR="00A47CF6" w:rsidRPr="00666DF4" w:rsidRDefault="00A47CF6" w:rsidP="00BD6824">
            <w:pPr>
              <w:pStyle w:val="TableText"/>
              <w:tabs>
                <w:tab w:val="decimal" w:pos="1038"/>
              </w:tabs>
              <w:rPr>
                <w:rFonts w:eastAsia="Arial" w:cs="Arial"/>
                <w:szCs w:val="19"/>
              </w:rPr>
            </w:pPr>
            <w:r w:rsidRPr="00666DF4">
              <w:t>12</w:t>
            </w:r>
          </w:p>
        </w:tc>
        <w:tc>
          <w:tcPr>
            <w:tcW w:w="2038" w:type="dxa"/>
          </w:tcPr>
          <w:p w:rsidR="00A47CF6" w:rsidRPr="00666DF4" w:rsidRDefault="00A47CF6" w:rsidP="00BD6824">
            <w:pPr>
              <w:pStyle w:val="TableText"/>
              <w:tabs>
                <w:tab w:val="decimal" w:pos="1108"/>
              </w:tabs>
              <w:rPr>
                <w:rFonts w:eastAsia="Arial" w:cs="Arial"/>
                <w:szCs w:val="19"/>
              </w:rPr>
            </w:pPr>
            <w:r w:rsidRPr="00666DF4">
              <w:t>77</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6.4 (1–32)</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proofErr w:type="spellStart"/>
            <w:r w:rsidRPr="00666DF4">
              <w:t>MidCentral</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11</w:t>
            </w:r>
          </w:p>
        </w:tc>
        <w:tc>
          <w:tcPr>
            <w:tcW w:w="2038" w:type="dxa"/>
          </w:tcPr>
          <w:p w:rsidR="00A47CF6" w:rsidRPr="00666DF4" w:rsidRDefault="00A47CF6" w:rsidP="00BD6824">
            <w:pPr>
              <w:pStyle w:val="TableText"/>
              <w:tabs>
                <w:tab w:val="decimal" w:pos="1108"/>
              </w:tabs>
              <w:rPr>
                <w:rFonts w:eastAsia="Arial" w:cs="Arial"/>
                <w:szCs w:val="19"/>
              </w:rPr>
            </w:pPr>
            <w:r w:rsidRPr="00666DF4">
              <w:t>93</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8.5 (4–13)</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Nelson Marlborough</w:t>
            </w:r>
          </w:p>
        </w:tc>
        <w:tc>
          <w:tcPr>
            <w:tcW w:w="2038" w:type="dxa"/>
          </w:tcPr>
          <w:p w:rsidR="00A47CF6" w:rsidRPr="00666DF4" w:rsidRDefault="00A47CF6" w:rsidP="00BD6824">
            <w:pPr>
              <w:pStyle w:val="TableText"/>
              <w:tabs>
                <w:tab w:val="decimal" w:pos="1038"/>
              </w:tabs>
              <w:rPr>
                <w:rFonts w:eastAsia="Arial" w:cs="Arial"/>
                <w:szCs w:val="19"/>
              </w:rPr>
            </w:pPr>
            <w:r w:rsidRPr="00666DF4">
              <w:t>6</w:t>
            </w:r>
          </w:p>
        </w:tc>
        <w:tc>
          <w:tcPr>
            <w:tcW w:w="2038" w:type="dxa"/>
          </w:tcPr>
          <w:p w:rsidR="00A47CF6" w:rsidRPr="00666DF4" w:rsidRDefault="00A47CF6" w:rsidP="00BD6824">
            <w:pPr>
              <w:pStyle w:val="TableText"/>
              <w:tabs>
                <w:tab w:val="decimal" w:pos="1108"/>
              </w:tabs>
              <w:rPr>
                <w:rFonts w:eastAsia="Arial" w:cs="Arial"/>
                <w:szCs w:val="19"/>
              </w:rPr>
            </w:pPr>
            <w:r w:rsidRPr="00666DF4">
              <w:t>77</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12.8 (3–27)</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Northland</w:t>
            </w:r>
          </w:p>
        </w:tc>
        <w:tc>
          <w:tcPr>
            <w:tcW w:w="2038" w:type="dxa"/>
          </w:tcPr>
          <w:p w:rsidR="00A47CF6" w:rsidRPr="00666DF4" w:rsidRDefault="00A47CF6" w:rsidP="00BD6824">
            <w:pPr>
              <w:pStyle w:val="TableText"/>
              <w:tabs>
                <w:tab w:val="decimal" w:pos="1038"/>
              </w:tabs>
              <w:rPr>
                <w:rFonts w:eastAsia="Arial" w:cs="Arial"/>
                <w:szCs w:val="19"/>
              </w:rPr>
            </w:pPr>
            <w:r w:rsidRPr="00666DF4">
              <w:t>6</w:t>
            </w:r>
          </w:p>
        </w:tc>
        <w:tc>
          <w:tcPr>
            <w:tcW w:w="2038" w:type="dxa"/>
          </w:tcPr>
          <w:p w:rsidR="00A47CF6" w:rsidRPr="00666DF4" w:rsidRDefault="00A47CF6" w:rsidP="00BD6824">
            <w:pPr>
              <w:pStyle w:val="TableText"/>
              <w:tabs>
                <w:tab w:val="decimal" w:pos="1108"/>
              </w:tabs>
              <w:rPr>
                <w:rFonts w:eastAsia="Arial" w:cs="Arial"/>
                <w:szCs w:val="19"/>
              </w:rPr>
            </w:pPr>
            <w:r w:rsidRPr="00666DF4">
              <w:t>119</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19.8 (2–46)</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South Canterbury</w:t>
            </w:r>
          </w:p>
        </w:tc>
        <w:tc>
          <w:tcPr>
            <w:tcW w:w="2038" w:type="dxa"/>
          </w:tcPr>
          <w:p w:rsidR="00A47CF6" w:rsidRPr="00666DF4" w:rsidRDefault="00A47CF6" w:rsidP="00BD6824">
            <w:pPr>
              <w:pStyle w:val="TableText"/>
              <w:tabs>
                <w:tab w:val="decimal" w:pos="1038"/>
              </w:tabs>
              <w:rPr>
                <w:rFonts w:eastAsia="Arial" w:cs="Arial"/>
                <w:szCs w:val="19"/>
              </w:rPr>
            </w:pPr>
            <w:r w:rsidRPr="00666DF4">
              <w:rPr>
                <w:rFonts w:eastAsia="Arial" w:cs="Arial"/>
                <w:szCs w:val="19"/>
              </w:rPr>
              <w:t>–</w:t>
            </w:r>
          </w:p>
        </w:tc>
        <w:tc>
          <w:tcPr>
            <w:tcW w:w="2038" w:type="dxa"/>
          </w:tcPr>
          <w:p w:rsidR="00A47CF6" w:rsidRPr="00666DF4" w:rsidRDefault="00A47CF6" w:rsidP="00BD6824">
            <w:pPr>
              <w:pStyle w:val="TableText"/>
              <w:tabs>
                <w:tab w:val="decimal" w:pos="1108"/>
              </w:tabs>
              <w:rPr>
                <w:rFonts w:eastAsia="Arial" w:cs="Arial"/>
                <w:szCs w:val="19"/>
              </w:rPr>
            </w:pPr>
            <w:r w:rsidRPr="00666DF4">
              <w:rPr>
                <w:rFonts w:eastAsia="Arial" w:cs="Arial"/>
                <w:szCs w:val="19"/>
              </w:rPr>
              <w:t>–</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Southern</w:t>
            </w:r>
          </w:p>
        </w:tc>
        <w:tc>
          <w:tcPr>
            <w:tcW w:w="2038" w:type="dxa"/>
          </w:tcPr>
          <w:p w:rsidR="00A47CF6" w:rsidRPr="00666DF4" w:rsidRDefault="00A47CF6" w:rsidP="00BD6824">
            <w:pPr>
              <w:pStyle w:val="TableText"/>
              <w:tabs>
                <w:tab w:val="decimal" w:pos="1038"/>
              </w:tabs>
              <w:rPr>
                <w:rFonts w:eastAsia="Arial" w:cs="Arial"/>
                <w:szCs w:val="19"/>
              </w:rPr>
            </w:pPr>
            <w:r w:rsidRPr="00666DF4">
              <w:t>26</w:t>
            </w:r>
          </w:p>
        </w:tc>
        <w:tc>
          <w:tcPr>
            <w:tcW w:w="2038" w:type="dxa"/>
          </w:tcPr>
          <w:p w:rsidR="00A47CF6" w:rsidRPr="00666DF4" w:rsidRDefault="00A47CF6" w:rsidP="00BD6824">
            <w:pPr>
              <w:pStyle w:val="TableText"/>
              <w:tabs>
                <w:tab w:val="decimal" w:pos="1108"/>
              </w:tabs>
              <w:rPr>
                <w:rFonts w:eastAsia="Arial" w:cs="Arial"/>
                <w:szCs w:val="19"/>
              </w:rPr>
            </w:pPr>
            <w:r w:rsidRPr="00666DF4">
              <w:t>306</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11.8 (1–52)</w:t>
            </w:r>
          </w:p>
        </w:tc>
      </w:tr>
      <w:tr w:rsidR="00A47CF6" w:rsidRPr="00666DF4" w:rsidTr="00BD6824">
        <w:trPr>
          <w:cantSplit/>
        </w:trPr>
        <w:tc>
          <w:tcPr>
            <w:tcW w:w="2020" w:type="dxa"/>
          </w:tcPr>
          <w:p w:rsidR="00A47CF6" w:rsidRPr="00666DF4" w:rsidRDefault="00A47CF6" w:rsidP="00841614">
            <w:pPr>
              <w:pStyle w:val="TableText"/>
              <w:rPr>
                <w:rFonts w:ascii="Calibri" w:eastAsia="Calibri" w:hAnsi="Calibri" w:cs="Calibri"/>
                <w:szCs w:val="19"/>
              </w:rPr>
            </w:pPr>
            <w:proofErr w:type="spellStart"/>
            <w:r w:rsidRPr="00666DF4">
              <w:rPr>
                <w:rFonts w:ascii="Calibri" w:hAnsi="Calibri"/>
              </w:rPr>
              <w:t>Tair</w:t>
            </w:r>
            <w:r w:rsidRPr="00666DF4">
              <w:t>ā</w:t>
            </w:r>
            <w:r w:rsidRPr="00666DF4">
              <w:rPr>
                <w:rFonts w:ascii="Calibri" w:hAnsi="Calibri"/>
              </w:rPr>
              <w:t>whiti</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4</w:t>
            </w:r>
          </w:p>
        </w:tc>
        <w:tc>
          <w:tcPr>
            <w:tcW w:w="2038" w:type="dxa"/>
          </w:tcPr>
          <w:p w:rsidR="00A47CF6" w:rsidRPr="00666DF4" w:rsidRDefault="00A47CF6" w:rsidP="00BD6824">
            <w:pPr>
              <w:pStyle w:val="TableText"/>
              <w:tabs>
                <w:tab w:val="decimal" w:pos="1108"/>
              </w:tabs>
              <w:rPr>
                <w:rFonts w:eastAsia="Arial" w:cs="Arial"/>
                <w:szCs w:val="19"/>
              </w:rPr>
            </w:pPr>
            <w:r w:rsidRPr="00666DF4">
              <w:t>14</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3.5 (1–10)</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proofErr w:type="spellStart"/>
            <w:r w:rsidRPr="00666DF4">
              <w:t>Taranaki</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2</w:t>
            </w:r>
          </w:p>
        </w:tc>
        <w:tc>
          <w:tcPr>
            <w:tcW w:w="2038" w:type="dxa"/>
          </w:tcPr>
          <w:p w:rsidR="00A47CF6" w:rsidRPr="00666DF4" w:rsidRDefault="00A47CF6" w:rsidP="00BD6824">
            <w:pPr>
              <w:pStyle w:val="TableText"/>
              <w:tabs>
                <w:tab w:val="decimal" w:pos="1108"/>
              </w:tabs>
              <w:rPr>
                <w:rFonts w:eastAsia="Arial" w:cs="Arial"/>
                <w:szCs w:val="19"/>
              </w:rPr>
            </w:pPr>
            <w:r w:rsidRPr="00666DF4">
              <w:t>18</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9.0 (7–11)</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Waikato</w:t>
            </w:r>
          </w:p>
        </w:tc>
        <w:tc>
          <w:tcPr>
            <w:tcW w:w="2038" w:type="dxa"/>
          </w:tcPr>
          <w:p w:rsidR="00A47CF6" w:rsidRPr="00666DF4" w:rsidRDefault="00A47CF6" w:rsidP="00BD6824">
            <w:pPr>
              <w:pStyle w:val="TableText"/>
              <w:tabs>
                <w:tab w:val="decimal" w:pos="1038"/>
              </w:tabs>
              <w:rPr>
                <w:rFonts w:eastAsia="Arial" w:cs="Arial"/>
                <w:szCs w:val="19"/>
              </w:rPr>
            </w:pPr>
            <w:r w:rsidRPr="00666DF4">
              <w:t>38</w:t>
            </w:r>
          </w:p>
        </w:tc>
        <w:tc>
          <w:tcPr>
            <w:tcW w:w="2038" w:type="dxa"/>
          </w:tcPr>
          <w:p w:rsidR="00A47CF6" w:rsidRPr="00666DF4" w:rsidRDefault="00A47CF6" w:rsidP="00BD6824">
            <w:pPr>
              <w:pStyle w:val="TableText"/>
              <w:tabs>
                <w:tab w:val="decimal" w:pos="1108"/>
              </w:tabs>
              <w:rPr>
                <w:rFonts w:eastAsia="Arial" w:cs="Arial"/>
                <w:szCs w:val="19"/>
              </w:rPr>
            </w:pPr>
            <w:r w:rsidRPr="00666DF4">
              <w:t>472</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12.4 (2–31)</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proofErr w:type="spellStart"/>
            <w:r w:rsidRPr="00666DF4">
              <w:t>Wairarapa</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3</w:t>
            </w:r>
          </w:p>
        </w:tc>
        <w:tc>
          <w:tcPr>
            <w:tcW w:w="2038" w:type="dxa"/>
          </w:tcPr>
          <w:p w:rsidR="00A47CF6" w:rsidRPr="00666DF4" w:rsidRDefault="00A47CF6" w:rsidP="00BD6824">
            <w:pPr>
              <w:pStyle w:val="TableText"/>
              <w:tabs>
                <w:tab w:val="decimal" w:pos="1108"/>
              </w:tabs>
              <w:rPr>
                <w:rFonts w:eastAsia="Arial" w:cs="Arial"/>
                <w:szCs w:val="19"/>
              </w:rPr>
            </w:pPr>
            <w:r w:rsidRPr="00666DF4">
              <w:t>41</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13.7 (10–16)</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proofErr w:type="spellStart"/>
            <w:r w:rsidRPr="00666DF4">
              <w:t>Waitemata</w:t>
            </w:r>
            <w:proofErr w:type="spellEnd"/>
          </w:p>
        </w:tc>
        <w:tc>
          <w:tcPr>
            <w:tcW w:w="2038" w:type="dxa"/>
          </w:tcPr>
          <w:p w:rsidR="00A47CF6" w:rsidRPr="00666DF4" w:rsidRDefault="00A47CF6" w:rsidP="00BD6824">
            <w:pPr>
              <w:pStyle w:val="TableText"/>
              <w:tabs>
                <w:tab w:val="decimal" w:pos="1038"/>
              </w:tabs>
              <w:rPr>
                <w:rFonts w:eastAsia="Arial" w:cs="Arial"/>
                <w:szCs w:val="19"/>
              </w:rPr>
            </w:pPr>
            <w:r w:rsidRPr="00666DF4">
              <w:t>18</w:t>
            </w:r>
          </w:p>
        </w:tc>
        <w:tc>
          <w:tcPr>
            <w:tcW w:w="2038" w:type="dxa"/>
          </w:tcPr>
          <w:p w:rsidR="00A47CF6" w:rsidRPr="00666DF4" w:rsidRDefault="00A47CF6" w:rsidP="00BD6824">
            <w:pPr>
              <w:pStyle w:val="TableText"/>
              <w:tabs>
                <w:tab w:val="decimal" w:pos="1108"/>
              </w:tabs>
              <w:rPr>
                <w:rFonts w:eastAsia="Arial" w:cs="Arial"/>
                <w:szCs w:val="19"/>
              </w:rPr>
            </w:pPr>
            <w:r w:rsidRPr="00666DF4">
              <w:t>248</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13.8 (1–39)</w:t>
            </w:r>
          </w:p>
        </w:tc>
      </w:tr>
      <w:tr w:rsidR="00A47CF6" w:rsidRPr="00666DF4" w:rsidTr="00BD6824">
        <w:trPr>
          <w:cantSplit/>
        </w:trPr>
        <w:tc>
          <w:tcPr>
            <w:tcW w:w="2020" w:type="dxa"/>
          </w:tcPr>
          <w:p w:rsidR="00A47CF6" w:rsidRPr="00666DF4" w:rsidRDefault="00A47CF6" w:rsidP="00841614">
            <w:pPr>
              <w:pStyle w:val="TableText"/>
              <w:rPr>
                <w:rFonts w:eastAsia="Arial" w:cs="Arial"/>
                <w:szCs w:val="19"/>
              </w:rPr>
            </w:pPr>
            <w:r w:rsidRPr="00666DF4">
              <w:t>West Coast</w:t>
            </w:r>
          </w:p>
        </w:tc>
        <w:tc>
          <w:tcPr>
            <w:tcW w:w="2038" w:type="dxa"/>
          </w:tcPr>
          <w:p w:rsidR="00A47CF6" w:rsidRPr="00666DF4" w:rsidRDefault="00A47CF6" w:rsidP="00BD6824">
            <w:pPr>
              <w:pStyle w:val="TableText"/>
              <w:tabs>
                <w:tab w:val="decimal" w:pos="1038"/>
              </w:tabs>
              <w:rPr>
                <w:rFonts w:eastAsia="Arial" w:cs="Arial"/>
                <w:szCs w:val="19"/>
              </w:rPr>
            </w:pPr>
            <w:r w:rsidRPr="00666DF4">
              <w:t>1</w:t>
            </w:r>
          </w:p>
        </w:tc>
        <w:tc>
          <w:tcPr>
            <w:tcW w:w="2038" w:type="dxa"/>
          </w:tcPr>
          <w:p w:rsidR="00A47CF6" w:rsidRPr="00666DF4" w:rsidRDefault="00A47CF6" w:rsidP="00BD6824">
            <w:pPr>
              <w:pStyle w:val="TableText"/>
              <w:tabs>
                <w:tab w:val="decimal" w:pos="1108"/>
              </w:tabs>
              <w:rPr>
                <w:rFonts w:eastAsia="Arial" w:cs="Arial"/>
                <w:szCs w:val="19"/>
              </w:rPr>
            </w:pPr>
            <w:r w:rsidRPr="00666DF4">
              <w:t>3</w:t>
            </w:r>
          </w:p>
        </w:tc>
        <w:tc>
          <w:tcPr>
            <w:tcW w:w="3260" w:type="dxa"/>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3.0 (3–3)</w:t>
            </w:r>
          </w:p>
        </w:tc>
      </w:tr>
      <w:tr w:rsidR="00A47CF6" w:rsidRPr="00666DF4" w:rsidTr="00BD6824">
        <w:trPr>
          <w:cantSplit/>
        </w:trPr>
        <w:tc>
          <w:tcPr>
            <w:tcW w:w="2020" w:type="dxa"/>
            <w:tcBorders>
              <w:bottom w:val="single" w:sz="4" w:space="0" w:color="A6A6A6" w:themeColor="background1" w:themeShade="A6"/>
            </w:tcBorders>
          </w:tcPr>
          <w:p w:rsidR="00A47CF6" w:rsidRPr="00666DF4" w:rsidRDefault="00A47CF6" w:rsidP="00841614">
            <w:pPr>
              <w:pStyle w:val="TableText"/>
              <w:rPr>
                <w:rFonts w:eastAsia="Arial" w:cs="Arial"/>
                <w:szCs w:val="19"/>
              </w:rPr>
            </w:pPr>
            <w:proofErr w:type="spellStart"/>
            <w:r w:rsidRPr="00666DF4">
              <w:t>Whanganui</w:t>
            </w:r>
            <w:proofErr w:type="spellEnd"/>
          </w:p>
        </w:tc>
        <w:tc>
          <w:tcPr>
            <w:tcW w:w="2038" w:type="dxa"/>
            <w:tcBorders>
              <w:bottom w:val="single" w:sz="4" w:space="0" w:color="A6A6A6" w:themeColor="background1" w:themeShade="A6"/>
            </w:tcBorders>
          </w:tcPr>
          <w:p w:rsidR="00A47CF6" w:rsidRPr="00666DF4" w:rsidRDefault="00A47CF6" w:rsidP="00BD6824">
            <w:pPr>
              <w:pStyle w:val="TableText"/>
              <w:tabs>
                <w:tab w:val="decimal" w:pos="1038"/>
              </w:tabs>
              <w:rPr>
                <w:rFonts w:eastAsia="Arial" w:cs="Arial"/>
                <w:szCs w:val="19"/>
              </w:rPr>
            </w:pPr>
            <w:r w:rsidRPr="00666DF4">
              <w:rPr>
                <w:rFonts w:eastAsia="Arial" w:cs="Arial"/>
                <w:szCs w:val="19"/>
              </w:rPr>
              <w:t>–</w:t>
            </w:r>
          </w:p>
        </w:tc>
        <w:tc>
          <w:tcPr>
            <w:tcW w:w="2038" w:type="dxa"/>
            <w:tcBorders>
              <w:bottom w:val="single" w:sz="4" w:space="0" w:color="A6A6A6" w:themeColor="background1" w:themeShade="A6"/>
            </w:tcBorders>
          </w:tcPr>
          <w:p w:rsidR="00A47CF6" w:rsidRPr="00666DF4" w:rsidRDefault="00A47CF6" w:rsidP="00BD6824">
            <w:pPr>
              <w:pStyle w:val="TableText"/>
              <w:tabs>
                <w:tab w:val="decimal" w:pos="1108"/>
              </w:tabs>
              <w:rPr>
                <w:rFonts w:eastAsia="Arial" w:cs="Arial"/>
                <w:szCs w:val="19"/>
              </w:rPr>
            </w:pPr>
            <w:r w:rsidRPr="00666DF4">
              <w:rPr>
                <w:rFonts w:eastAsia="Arial" w:cs="Arial"/>
                <w:szCs w:val="19"/>
              </w:rPr>
              <w:t>–</w:t>
            </w:r>
          </w:p>
        </w:tc>
        <w:tc>
          <w:tcPr>
            <w:tcW w:w="3260" w:type="dxa"/>
            <w:tcBorders>
              <w:bottom w:val="single" w:sz="4" w:space="0" w:color="A6A6A6" w:themeColor="background1" w:themeShade="A6"/>
            </w:tcBorders>
          </w:tcPr>
          <w:p w:rsidR="00A47CF6" w:rsidRPr="00666DF4" w:rsidRDefault="00A47CF6" w:rsidP="00BD6824">
            <w:pPr>
              <w:pStyle w:val="TableText"/>
              <w:tabs>
                <w:tab w:val="decimal" w:pos="1360"/>
              </w:tabs>
              <w:rPr>
                <w:rFonts w:eastAsia="Arial" w:cs="Arial"/>
                <w:szCs w:val="19"/>
              </w:rPr>
            </w:pPr>
            <w:r w:rsidRPr="00666DF4">
              <w:rPr>
                <w:rFonts w:eastAsia="Arial" w:cs="Arial"/>
                <w:szCs w:val="19"/>
              </w:rPr>
              <w:t>–</w:t>
            </w:r>
          </w:p>
        </w:tc>
      </w:tr>
      <w:tr w:rsidR="00A47CF6" w:rsidRPr="00BD6824" w:rsidTr="00BD6824">
        <w:trPr>
          <w:cantSplit/>
        </w:trPr>
        <w:tc>
          <w:tcPr>
            <w:tcW w:w="2020" w:type="dxa"/>
            <w:tcBorders>
              <w:top w:val="single" w:sz="4" w:space="0" w:color="A6A6A6" w:themeColor="background1" w:themeShade="A6"/>
              <w:bottom w:val="single" w:sz="4" w:space="0" w:color="auto"/>
            </w:tcBorders>
          </w:tcPr>
          <w:p w:rsidR="00A47CF6" w:rsidRPr="00BD6824" w:rsidRDefault="00A47CF6" w:rsidP="00841614">
            <w:pPr>
              <w:pStyle w:val="TableText"/>
              <w:rPr>
                <w:rFonts w:eastAsia="Arial" w:cs="Arial"/>
                <w:b/>
                <w:szCs w:val="19"/>
              </w:rPr>
            </w:pPr>
            <w:r w:rsidRPr="00BD6824">
              <w:rPr>
                <w:b/>
              </w:rPr>
              <w:t>New Zealand</w:t>
            </w:r>
          </w:p>
        </w:tc>
        <w:tc>
          <w:tcPr>
            <w:tcW w:w="2038"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038"/>
              </w:tabs>
              <w:rPr>
                <w:rFonts w:eastAsia="Arial" w:cs="Arial"/>
                <w:b/>
                <w:szCs w:val="19"/>
              </w:rPr>
            </w:pPr>
            <w:r w:rsidRPr="00BD6824">
              <w:rPr>
                <w:b/>
              </w:rPr>
              <w:t>251</w:t>
            </w:r>
          </w:p>
        </w:tc>
        <w:tc>
          <w:tcPr>
            <w:tcW w:w="2038"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108"/>
              </w:tabs>
              <w:rPr>
                <w:rFonts w:eastAsia="Arial" w:cs="Arial"/>
                <w:b/>
                <w:szCs w:val="19"/>
              </w:rPr>
            </w:pPr>
            <w:r w:rsidRPr="00BD6824">
              <w:rPr>
                <w:b/>
              </w:rPr>
              <w:t>2746</w:t>
            </w:r>
          </w:p>
        </w:tc>
        <w:tc>
          <w:tcPr>
            <w:tcW w:w="3260"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360"/>
              </w:tabs>
              <w:rPr>
                <w:rFonts w:eastAsia="Arial" w:cs="Arial"/>
                <w:b/>
                <w:szCs w:val="19"/>
              </w:rPr>
            </w:pPr>
            <w:r w:rsidRPr="00BD6824">
              <w:rPr>
                <w:rFonts w:eastAsia="Arial" w:cs="Arial"/>
                <w:b/>
                <w:bCs/>
                <w:szCs w:val="19"/>
              </w:rPr>
              <w:t>10.9 (1–54)</w:t>
            </w:r>
          </w:p>
        </w:tc>
      </w:tr>
    </w:tbl>
    <w:p w:rsidR="00A47CF6" w:rsidRPr="00666DF4" w:rsidRDefault="00A47CF6" w:rsidP="00841614">
      <w:pPr>
        <w:pStyle w:val="Note"/>
        <w:rPr>
          <w:rFonts w:eastAsia="Arial" w:cs="Arial"/>
          <w:szCs w:val="19"/>
        </w:rPr>
      </w:pPr>
      <w:r w:rsidRPr="00666DF4">
        <w:t>Notes: In 2016, 22 people were treated out of area, as follows.</w:t>
      </w:r>
    </w:p>
    <w:p w:rsidR="00A47CF6" w:rsidRPr="00666DF4" w:rsidRDefault="00A47CF6" w:rsidP="00BD6824">
      <w:pPr>
        <w:pStyle w:val="Note"/>
        <w:ind w:left="284" w:right="0"/>
        <w:rPr>
          <w:rFonts w:eastAsia="Arial" w:cs="Arial"/>
          <w:szCs w:val="19"/>
        </w:rPr>
      </w:pPr>
      <w:r w:rsidRPr="00666DF4">
        <w:t xml:space="preserve">Auckland DHB saw one person from Bay of Plenty, one from </w:t>
      </w:r>
      <w:proofErr w:type="spellStart"/>
      <w:r w:rsidRPr="00666DF4">
        <w:t>Taranaki</w:t>
      </w:r>
      <w:proofErr w:type="spellEnd"/>
      <w:r w:rsidRPr="00666DF4">
        <w:t xml:space="preserve"> and one from </w:t>
      </w:r>
      <w:proofErr w:type="spellStart"/>
      <w:r w:rsidRPr="00666DF4">
        <w:t>Waitemata</w:t>
      </w:r>
      <w:proofErr w:type="spellEnd"/>
      <w:r w:rsidRPr="00666DF4">
        <w:t xml:space="preserve">. Bay of Plenty DHB saw one person from Lakes and one from </w:t>
      </w:r>
      <w:proofErr w:type="spellStart"/>
      <w:r w:rsidRPr="00666DF4">
        <w:t>Tairāwhiti</w:t>
      </w:r>
      <w:proofErr w:type="spellEnd"/>
      <w:r w:rsidRPr="00666DF4">
        <w:t>.</w:t>
      </w:r>
    </w:p>
    <w:p w:rsidR="00A47CF6" w:rsidRPr="00666DF4" w:rsidRDefault="00A47CF6" w:rsidP="00BD6824">
      <w:pPr>
        <w:pStyle w:val="Note"/>
        <w:ind w:left="284" w:right="0"/>
        <w:rPr>
          <w:rFonts w:eastAsia="Arial" w:cs="Arial"/>
          <w:szCs w:val="19"/>
        </w:rPr>
      </w:pPr>
      <w:r w:rsidRPr="00666DF4">
        <w:t xml:space="preserve">Canterbury DHB saw one person from Southern and one from West Coast. Capital &amp; Coast DHB saw one person from Auckland and two from Hutt Valley. Counties </w:t>
      </w:r>
      <w:proofErr w:type="spellStart"/>
      <w:r w:rsidRPr="00666DF4">
        <w:t>Manukau</w:t>
      </w:r>
      <w:proofErr w:type="spellEnd"/>
      <w:r w:rsidRPr="00666DF4">
        <w:t xml:space="preserve"> DHB saw two people from Auckland</w:t>
      </w:r>
      <w:r w:rsidR="00BD6824">
        <w:t>.</w:t>
      </w:r>
    </w:p>
    <w:p w:rsidR="00A47CF6" w:rsidRPr="00666DF4" w:rsidRDefault="00A47CF6" w:rsidP="00BD6824">
      <w:pPr>
        <w:pStyle w:val="Note"/>
        <w:ind w:left="284" w:right="0"/>
        <w:rPr>
          <w:rFonts w:eastAsia="Arial" w:cs="Arial"/>
          <w:szCs w:val="19"/>
        </w:rPr>
      </w:pPr>
      <w:r w:rsidRPr="00666DF4">
        <w:t xml:space="preserve">Hutt Valley DHB saw two people from Capital &amp; Coast, and three from </w:t>
      </w:r>
      <w:proofErr w:type="spellStart"/>
      <w:r w:rsidRPr="00666DF4">
        <w:t>Wairarapa</w:t>
      </w:r>
      <w:proofErr w:type="spellEnd"/>
      <w:r w:rsidRPr="00666DF4">
        <w:t xml:space="preserve">. </w:t>
      </w:r>
      <w:proofErr w:type="spellStart"/>
      <w:r w:rsidRPr="00666DF4">
        <w:t>MidCentral</w:t>
      </w:r>
      <w:proofErr w:type="spellEnd"/>
      <w:r w:rsidRPr="00666DF4">
        <w:t xml:space="preserve"> DHB saw one person from </w:t>
      </w:r>
      <w:proofErr w:type="spellStart"/>
      <w:r w:rsidRPr="00666DF4">
        <w:t>Wairarapa</w:t>
      </w:r>
      <w:proofErr w:type="spellEnd"/>
      <w:r w:rsidRPr="00666DF4">
        <w:t>.</w:t>
      </w:r>
    </w:p>
    <w:p w:rsidR="00A47CF6" w:rsidRPr="00666DF4" w:rsidRDefault="00A47CF6" w:rsidP="00BD6824">
      <w:pPr>
        <w:pStyle w:val="Note"/>
        <w:ind w:left="284" w:right="0"/>
        <w:rPr>
          <w:rFonts w:eastAsia="Arial" w:cs="Arial"/>
          <w:szCs w:val="19"/>
        </w:rPr>
      </w:pPr>
      <w:r w:rsidRPr="00666DF4">
        <w:t>Southern DHB saw one person from Canterbury and one from overseas. Waikato DHB saw one person from Auckland.</w:t>
      </w:r>
    </w:p>
    <w:p w:rsidR="00A47CF6" w:rsidRPr="00666DF4" w:rsidRDefault="00A47CF6" w:rsidP="00BD6824">
      <w:pPr>
        <w:pStyle w:val="Note"/>
        <w:ind w:left="284" w:right="0"/>
        <w:rPr>
          <w:rFonts w:eastAsia="Arial" w:cs="Arial"/>
          <w:szCs w:val="19"/>
        </w:rPr>
      </w:pPr>
      <w:proofErr w:type="spellStart"/>
      <w:r w:rsidRPr="00666DF4">
        <w:t>Waitemata</w:t>
      </w:r>
      <w:proofErr w:type="spellEnd"/>
      <w:r w:rsidRPr="00666DF4">
        <w:t xml:space="preserve"> DHB saw one person from Auckland.</w:t>
      </w:r>
    </w:p>
    <w:p w:rsidR="00A47CF6" w:rsidRPr="00666DF4" w:rsidRDefault="00A47CF6" w:rsidP="00BD6824">
      <w:pPr>
        <w:pStyle w:val="Source"/>
        <w:ind w:right="0"/>
        <w:rPr>
          <w:rFonts w:eastAsia="Arial" w:cs="Arial"/>
          <w:szCs w:val="19"/>
        </w:rPr>
      </w:pPr>
      <w:r w:rsidRPr="00666DF4">
        <w:t>Source: PRIMHD data, extracted on 27 July 2017, except for Auckland, Northland and Southern DHBs, which submitted data manually</w:t>
      </w:r>
      <w:r w:rsidR="00BD6824">
        <w:t>.</w:t>
      </w:r>
    </w:p>
    <w:p w:rsidR="00A47CF6" w:rsidRPr="00666DF4" w:rsidRDefault="00A47CF6" w:rsidP="00BD6824">
      <w:pPr>
        <w:rPr>
          <w:rFonts w:eastAsia="Arial"/>
        </w:rPr>
      </w:pPr>
    </w:p>
    <w:p w:rsidR="00A47CF6" w:rsidRPr="00666DF4" w:rsidRDefault="00A47CF6" w:rsidP="00BD6824">
      <w:bookmarkStart w:id="233" w:name="Figure_40:_Rates_of_people_treated_with_"/>
      <w:bookmarkStart w:id="234" w:name="_bookmark53"/>
      <w:bookmarkEnd w:id="233"/>
      <w:bookmarkEnd w:id="234"/>
      <w:r w:rsidRPr="00666DF4">
        <w:t>If a person was seen while living in two DHB areas they were counted under each DHB. The New Zealand total of 253 is a unique count and not a sum of this column in the table, as the New Zealand total excludes one individual who was treated by more than one DHB.</w:t>
      </w:r>
    </w:p>
    <w:p w:rsidR="00BD6824" w:rsidRDefault="00BD6824" w:rsidP="00BD6824"/>
    <w:p w:rsidR="00A47CF6" w:rsidRPr="00666DF4" w:rsidRDefault="00A47CF6" w:rsidP="00BD6824">
      <w:r w:rsidRPr="00666DF4">
        <w:t>The national rate of people receiving ECT treatment in 2016 was 5.3 per 100,000. Figure 40 presents</w:t>
      </w:r>
      <w:r w:rsidR="00BF25EC">
        <w:t xml:space="preserve"> </w:t>
      </w:r>
      <w:r w:rsidRPr="00666DF4">
        <w:t>the rate of people treated with ECT by DHB of domicile. As Figure 40 shows, the rate of ECT treatments varies regionally. Several factors contribute to this. First, regions with smaller populations are</w:t>
      </w:r>
      <w:r w:rsidR="00BD6824">
        <w:t xml:space="preserve"> </w:t>
      </w:r>
      <w:r w:rsidRPr="00666DF4">
        <w:t>more vulnerable to annual variations (according to the needs of the population at any given time).</w:t>
      </w:r>
      <w:r w:rsidR="00BD6824">
        <w:t xml:space="preserve"> </w:t>
      </w:r>
      <w:r w:rsidRPr="00666DF4">
        <w:t>In addition, people receiving continuous or maintenance treatment will typically receive more treatments in a year than those treated with an acute course. Electroconvulsive therapy is indicated in older people more often than in younger adults because older people are more likely to have associated medical problems contraindicating medication. Finally, populations in some DHBs have better access to ECT services than others.</w:t>
      </w:r>
    </w:p>
    <w:p w:rsidR="00A47CF6" w:rsidRPr="00666DF4" w:rsidRDefault="00A47CF6" w:rsidP="00BD6824">
      <w:pPr>
        <w:rPr>
          <w:rFonts w:eastAsia="Century"/>
        </w:rPr>
      </w:pPr>
    </w:p>
    <w:p w:rsidR="00A47CF6" w:rsidRDefault="00A47CF6" w:rsidP="00BD6824">
      <w:pPr>
        <w:pStyle w:val="Figure"/>
      </w:pPr>
      <w:bookmarkStart w:id="235" w:name="_Toc508707364"/>
      <w:r w:rsidRPr="00666DF4">
        <w:t>Figure 40: Rates of people treated with electroconvulsive therapy, by DHB of domicile, 1</w:t>
      </w:r>
      <w:r w:rsidR="00BD6824">
        <w:t> </w:t>
      </w:r>
      <w:r w:rsidRPr="00666DF4">
        <w:t>January to 31 December 2016</w:t>
      </w:r>
      <w:bookmarkEnd w:id="235"/>
    </w:p>
    <w:p w:rsidR="00BD6824" w:rsidRPr="00BD6824" w:rsidRDefault="00BD6824" w:rsidP="00BD6824">
      <w:pPr>
        <w:rPr>
          <w:rFonts w:eastAsia="Georgia"/>
        </w:rPr>
      </w:pPr>
      <w:r>
        <w:rPr>
          <w:noProof/>
          <w:lang w:eastAsia="en-NZ"/>
        </w:rPr>
        <w:drawing>
          <wp:inline distT="0" distB="0" distL="0" distR="0" wp14:anchorId="285C913E" wp14:editId="24BA9039">
            <wp:extent cx="5503241" cy="2942705"/>
            <wp:effectExtent l="0" t="0" r="2540" b="0"/>
            <wp:docPr id="98" name="Picture 98" title="Figure 40: Rates of people treated with electroconvulsive therapy, by DHB of domicile,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blip>
                    <a:stretch>
                      <a:fillRect/>
                    </a:stretch>
                  </pic:blipFill>
                  <pic:spPr>
                    <a:xfrm>
                      <a:off x="0" y="0"/>
                      <a:ext cx="5505002" cy="2943647"/>
                    </a:xfrm>
                    <a:prstGeom prst="rect">
                      <a:avLst/>
                    </a:prstGeom>
                  </pic:spPr>
                </pic:pic>
              </a:graphicData>
            </a:graphic>
          </wp:inline>
        </w:drawing>
      </w:r>
    </w:p>
    <w:p w:rsidR="00A47CF6" w:rsidRPr="00666DF4" w:rsidRDefault="00A47CF6" w:rsidP="00BD6824">
      <w:pPr>
        <w:pStyle w:val="Note"/>
        <w:rPr>
          <w:rFonts w:eastAsia="Arial" w:cs="Arial"/>
          <w:szCs w:val="19"/>
        </w:rPr>
      </w:pPr>
      <w:r w:rsidRPr="00666DF4">
        <w:t>Notes:</w:t>
      </w:r>
      <w:r w:rsidR="00BF25EC">
        <w:t xml:space="preserve"> </w:t>
      </w:r>
      <w:r w:rsidRPr="00666DF4">
        <w:t>As the numbers of people receiving ECT by DHB are so small, it is difficult to make meaningful comparisons between DHBs using rates per 100,000 population.</w:t>
      </w:r>
    </w:p>
    <w:p w:rsidR="00A47CF6" w:rsidRPr="00666DF4" w:rsidRDefault="00A47CF6" w:rsidP="00BD6824">
      <w:pPr>
        <w:pStyle w:val="Note"/>
        <w:rPr>
          <w:rFonts w:eastAsia="Arial"/>
        </w:rPr>
      </w:pPr>
      <w:r w:rsidRPr="00666DF4">
        <w:rPr>
          <w:rFonts w:eastAsia="Arial"/>
        </w:rPr>
        <w:t>Confidence intervals (for 99 percent confidence) have been used to aid interpretation. Where a DHB region</w:t>
      </w:r>
      <w:r w:rsidR="00BF25EC">
        <w:rPr>
          <w:rFonts w:eastAsia="Arial"/>
        </w:rPr>
        <w:t>’</w:t>
      </w:r>
      <w:r w:rsidRPr="00666DF4">
        <w:rPr>
          <w:rFonts w:eastAsia="Arial"/>
        </w:rPr>
        <w:t>s confidence interval crosses the national average, this means the DHB</w:t>
      </w:r>
      <w:r w:rsidR="00BF25EC">
        <w:rPr>
          <w:rFonts w:eastAsia="Arial"/>
        </w:rPr>
        <w:t>’</w:t>
      </w:r>
      <w:r w:rsidRPr="00666DF4">
        <w:rPr>
          <w:rFonts w:eastAsia="Arial"/>
        </w:rPr>
        <w:t>s rate was not statistically significantly different to the national average.</w:t>
      </w:r>
    </w:p>
    <w:p w:rsidR="00A47CF6" w:rsidRPr="00666DF4" w:rsidRDefault="00A47CF6" w:rsidP="00BD6824">
      <w:pPr>
        <w:pStyle w:val="Source"/>
        <w:rPr>
          <w:rFonts w:eastAsia="Arial" w:cs="Arial"/>
          <w:szCs w:val="19"/>
        </w:rPr>
      </w:pPr>
      <w:r w:rsidRPr="00666DF4">
        <w:t>Source: PRIMHD data, extracted on 27 July 2017, except for Northland and Southern DHBs, which submitted data manually</w:t>
      </w:r>
      <w:r w:rsidR="00BD6824">
        <w:t>.</w:t>
      </w:r>
    </w:p>
    <w:p w:rsidR="00A47CF6" w:rsidRPr="00666DF4" w:rsidRDefault="00A47CF6" w:rsidP="00BD6824">
      <w:pPr>
        <w:rPr>
          <w:rFonts w:eastAsia="Arial"/>
        </w:rPr>
      </w:pPr>
    </w:p>
    <w:p w:rsidR="00A47CF6" w:rsidRPr="00BF25EC" w:rsidRDefault="00A47CF6" w:rsidP="00BD6824">
      <w:pPr>
        <w:pStyle w:val="Heading4"/>
        <w:rPr>
          <w:bCs/>
        </w:rPr>
      </w:pPr>
      <w:r w:rsidRPr="00BF25EC">
        <w:t>Consent to treatment</w:t>
      </w:r>
    </w:p>
    <w:p w:rsidR="00A47CF6" w:rsidRPr="00666DF4" w:rsidRDefault="00A47CF6" w:rsidP="00BD6824">
      <w:r w:rsidRPr="00666DF4">
        <w:t>Section 60 of the Mental Health Act describes the process required for obtaining consent for ECT. Either the consent of the person themselves or a second opinion from a psychiatrist appointed by</w:t>
      </w:r>
      <w:r w:rsidR="00BF25EC">
        <w:t xml:space="preserve"> </w:t>
      </w:r>
      <w:r w:rsidRPr="00666DF4">
        <w:t>the Mental Health Review Tribunal is required.</w:t>
      </w:r>
      <w:r w:rsidR="00BD6824">
        <w:rPr>
          <w:rStyle w:val="FootnoteReference"/>
        </w:rPr>
        <w:footnoteReference w:id="45"/>
      </w:r>
      <w:r w:rsidR="00BD6824">
        <w:t xml:space="preserve"> </w:t>
      </w:r>
      <w:r w:rsidRPr="00666DF4">
        <w:t>In the latter case, the psychiatrist must consider the treatment to be in the interests of the person.</w:t>
      </w:r>
    </w:p>
    <w:p w:rsidR="00BD6824" w:rsidRDefault="00BD6824" w:rsidP="00BD6824"/>
    <w:p w:rsidR="00A47CF6" w:rsidRPr="00BD6824" w:rsidRDefault="00A47CF6" w:rsidP="00A47CF6">
      <w:pPr>
        <w:rPr>
          <w:rFonts w:eastAsia="Century"/>
        </w:rPr>
      </w:pPr>
      <w:r w:rsidRPr="00666DF4">
        <w:t>This process allows for the treatment of people too unwell to consent to treatment. Clinicians should decide whether ECT is in the interests of the person after discussing the options with family/</w:t>
      </w:r>
      <w:proofErr w:type="spellStart"/>
      <w:r w:rsidRPr="00666DF4">
        <w:t>whānau</w:t>
      </w:r>
      <w:proofErr w:type="spellEnd"/>
      <w:r w:rsidRPr="00666DF4">
        <w:t xml:space="preserve"> and considering any relevant advance directives the person has made.</w:t>
      </w:r>
      <w:r w:rsidR="00BD6824">
        <w:rPr>
          <w:rStyle w:val="FootnoteReference"/>
        </w:rPr>
        <w:footnoteReference w:id="46"/>
      </w:r>
    </w:p>
    <w:p w:rsidR="00A47CF6" w:rsidRPr="00666DF4" w:rsidRDefault="00A47CF6" w:rsidP="00BD6824">
      <w:pPr>
        <w:rPr>
          <w:rFonts w:eastAsia="Century"/>
        </w:rPr>
      </w:pPr>
    </w:p>
    <w:p w:rsidR="00A47CF6" w:rsidRPr="00666DF4" w:rsidRDefault="00A47CF6" w:rsidP="00BD6824">
      <w:bookmarkStart w:id="236" w:name="Table_18:_Indicators_for_situations_in_w"/>
      <w:bookmarkStart w:id="237" w:name="_bookmark54"/>
      <w:bookmarkEnd w:id="236"/>
      <w:bookmarkEnd w:id="237"/>
      <w:r w:rsidRPr="00666DF4">
        <w:t xml:space="preserve">During 2016, 10 people were treated with ECT who retained decision-making capacity and refused consent. The total number of ECT treatments not able to be consented to </w:t>
      </w:r>
      <w:proofErr w:type="spellStart"/>
      <w:r w:rsidRPr="00666DF4">
        <w:t>increased</w:t>
      </w:r>
      <w:proofErr w:type="spellEnd"/>
      <w:r w:rsidRPr="00666DF4">
        <w:t xml:space="preserve"> from 576 in 2015 to 954 in 2016, which may be attributable to focused efforts by the Office of the Director of Mental Health during 2015 to improve reporting on non-consensual ECT. Table 18 shows the number of treatments administered without consent during 2016.</w:t>
      </w:r>
    </w:p>
    <w:p w:rsidR="00A47CF6" w:rsidRPr="00666DF4" w:rsidRDefault="00A47CF6" w:rsidP="00BD6824">
      <w:pPr>
        <w:rPr>
          <w:rFonts w:eastAsia="Century"/>
        </w:rPr>
      </w:pPr>
    </w:p>
    <w:p w:rsidR="00A47CF6" w:rsidRPr="00666DF4" w:rsidRDefault="00A47CF6" w:rsidP="00BD6824">
      <w:pPr>
        <w:pStyle w:val="Table"/>
        <w:rPr>
          <w:rFonts w:eastAsia="Georgia" w:cs="Georgia"/>
          <w:szCs w:val="19"/>
        </w:rPr>
      </w:pPr>
      <w:bookmarkStart w:id="238" w:name="_Toc508707316"/>
      <w:r w:rsidRPr="00666DF4">
        <w:t>Table 18: Indicators for situations in which electroconvulsive therapy was not consented to, by DHB of service, 1 January to 31 December 2016</w:t>
      </w:r>
      <w:bookmarkEnd w:id="23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072"/>
        <w:gridCol w:w="2428"/>
        <w:gridCol w:w="2428"/>
        <w:gridCol w:w="2428"/>
      </w:tblGrid>
      <w:tr w:rsidR="00A47CF6" w:rsidRPr="00BD6824" w:rsidTr="00BD6824">
        <w:trPr>
          <w:cantSplit/>
        </w:trPr>
        <w:tc>
          <w:tcPr>
            <w:tcW w:w="2072" w:type="dxa"/>
            <w:tcBorders>
              <w:top w:val="single" w:sz="4" w:space="0" w:color="auto"/>
              <w:bottom w:val="single" w:sz="4" w:space="0" w:color="auto"/>
            </w:tcBorders>
          </w:tcPr>
          <w:p w:rsidR="00A47CF6" w:rsidRPr="00BD6824" w:rsidRDefault="00A47CF6" w:rsidP="00BD6824">
            <w:pPr>
              <w:pStyle w:val="TableText"/>
              <w:rPr>
                <w:rFonts w:eastAsia="Arial" w:cs="Arial"/>
                <w:b/>
                <w:szCs w:val="19"/>
              </w:rPr>
            </w:pPr>
            <w:r w:rsidRPr="00BD6824">
              <w:rPr>
                <w:b/>
              </w:rPr>
              <w:t>DHB of service</w:t>
            </w:r>
          </w:p>
        </w:tc>
        <w:tc>
          <w:tcPr>
            <w:tcW w:w="2428" w:type="dxa"/>
            <w:tcBorders>
              <w:top w:val="single" w:sz="4" w:space="0" w:color="auto"/>
              <w:bottom w:val="single" w:sz="4" w:space="0" w:color="auto"/>
            </w:tcBorders>
          </w:tcPr>
          <w:p w:rsidR="00A47CF6" w:rsidRPr="00BD6824" w:rsidRDefault="00A47CF6" w:rsidP="00BD6824">
            <w:pPr>
              <w:pStyle w:val="TableText"/>
              <w:jc w:val="center"/>
              <w:rPr>
                <w:rFonts w:eastAsia="Arial" w:cs="Arial"/>
                <w:b/>
                <w:szCs w:val="18"/>
              </w:rPr>
            </w:pPr>
            <w:r w:rsidRPr="00BD6824">
              <w:rPr>
                <w:b/>
              </w:rPr>
              <w:t>Number of people given</w:t>
            </w:r>
            <w:r w:rsidR="00BD6824">
              <w:rPr>
                <w:b/>
              </w:rPr>
              <w:t> </w:t>
            </w:r>
            <w:r w:rsidRPr="00BD6824">
              <w:rPr>
                <w:b/>
              </w:rPr>
              <w:t>ECT who did not</w:t>
            </w:r>
            <w:r w:rsidR="00BD6824">
              <w:rPr>
                <w:b/>
              </w:rPr>
              <w:t> </w:t>
            </w:r>
            <w:r w:rsidRPr="00BD6824">
              <w:rPr>
                <w:b/>
              </w:rPr>
              <w:t>have the capacity to</w:t>
            </w:r>
            <w:r w:rsidR="00BD6824">
              <w:rPr>
                <w:b/>
              </w:rPr>
              <w:t> </w:t>
            </w:r>
            <w:r w:rsidRPr="00BD6824">
              <w:rPr>
                <w:b/>
              </w:rPr>
              <w:t>consent</w:t>
            </w:r>
          </w:p>
        </w:tc>
        <w:tc>
          <w:tcPr>
            <w:tcW w:w="2428" w:type="dxa"/>
            <w:tcBorders>
              <w:top w:val="single" w:sz="4" w:space="0" w:color="auto"/>
              <w:bottom w:val="single" w:sz="4" w:space="0" w:color="auto"/>
            </w:tcBorders>
          </w:tcPr>
          <w:p w:rsidR="00A47CF6" w:rsidRPr="00BD6824" w:rsidRDefault="00A47CF6" w:rsidP="00BD6824">
            <w:pPr>
              <w:pStyle w:val="TableText"/>
              <w:jc w:val="center"/>
              <w:rPr>
                <w:rFonts w:eastAsia="Arial" w:cs="Arial"/>
                <w:b/>
                <w:szCs w:val="18"/>
              </w:rPr>
            </w:pPr>
            <w:r w:rsidRPr="00BD6824">
              <w:rPr>
                <w:b/>
              </w:rPr>
              <w:t>Number of administrations</w:t>
            </w:r>
            <w:r w:rsidR="00BD6824">
              <w:rPr>
                <w:b/>
              </w:rPr>
              <w:t> </w:t>
            </w:r>
            <w:r w:rsidRPr="00BD6824">
              <w:rPr>
                <w:b/>
              </w:rPr>
              <w:t>not able to</w:t>
            </w:r>
            <w:r w:rsidR="00BD6824">
              <w:rPr>
                <w:b/>
              </w:rPr>
              <w:t> </w:t>
            </w:r>
            <w:r w:rsidRPr="00BD6824">
              <w:rPr>
                <w:b/>
              </w:rPr>
              <w:t>be consented to</w:t>
            </w:r>
          </w:p>
        </w:tc>
        <w:tc>
          <w:tcPr>
            <w:tcW w:w="2428" w:type="dxa"/>
            <w:tcBorders>
              <w:top w:val="single" w:sz="4" w:space="0" w:color="auto"/>
              <w:bottom w:val="single" w:sz="4" w:space="0" w:color="auto"/>
            </w:tcBorders>
          </w:tcPr>
          <w:p w:rsidR="00A47CF6" w:rsidRPr="00BD6824" w:rsidRDefault="00A47CF6" w:rsidP="00BD6824">
            <w:pPr>
              <w:pStyle w:val="TableText"/>
              <w:jc w:val="center"/>
              <w:rPr>
                <w:rFonts w:eastAsia="Arial" w:cs="Arial"/>
                <w:b/>
                <w:szCs w:val="18"/>
              </w:rPr>
            </w:pPr>
            <w:r w:rsidRPr="00BD6824">
              <w:rPr>
                <w:b/>
              </w:rPr>
              <w:t>Number of people given</w:t>
            </w:r>
            <w:r w:rsidR="00BD6824">
              <w:rPr>
                <w:b/>
              </w:rPr>
              <w:t> </w:t>
            </w:r>
            <w:r w:rsidRPr="00BD6824">
              <w:rPr>
                <w:b/>
              </w:rPr>
              <w:t>ECT who had capacity and refused consent</w:t>
            </w:r>
          </w:p>
        </w:tc>
      </w:tr>
      <w:tr w:rsidR="00A47CF6" w:rsidRPr="00666DF4" w:rsidTr="00BD6824">
        <w:trPr>
          <w:cantSplit/>
        </w:trPr>
        <w:tc>
          <w:tcPr>
            <w:tcW w:w="2072" w:type="dxa"/>
            <w:tcBorders>
              <w:top w:val="single" w:sz="4" w:space="0" w:color="auto"/>
            </w:tcBorders>
          </w:tcPr>
          <w:p w:rsidR="00A47CF6" w:rsidRPr="00666DF4" w:rsidRDefault="00A47CF6" w:rsidP="00BD6824">
            <w:pPr>
              <w:pStyle w:val="TableText"/>
              <w:rPr>
                <w:rFonts w:eastAsia="Arial" w:cs="Arial"/>
                <w:szCs w:val="19"/>
              </w:rPr>
            </w:pPr>
            <w:r w:rsidRPr="00666DF4">
              <w:t>Auckland</w:t>
            </w:r>
          </w:p>
        </w:tc>
        <w:tc>
          <w:tcPr>
            <w:tcW w:w="2428" w:type="dxa"/>
            <w:tcBorders>
              <w:top w:val="single" w:sz="4" w:space="0" w:color="auto"/>
            </w:tcBorders>
          </w:tcPr>
          <w:p w:rsidR="00A47CF6" w:rsidRPr="00666DF4" w:rsidRDefault="00A47CF6" w:rsidP="00BD6824">
            <w:pPr>
              <w:pStyle w:val="TableText"/>
              <w:tabs>
                <w:tab w:val="decimal" w:pos="1379"/>
              </w:tabs>
              <w:rPr>
                <w:rFonts w:eastAsia="Arial" w:cs="Arial"/>
                <w:szCs w:val="18"/>
              </w:rPr>
            </w:pPr>
            <w:r w:rsidRPr="00666DF4">
              <w:t>9</w:t>
            </w:r>
          </w:p>
        </w:tc>
        <w:tc>
          <w:tcPr>
            <w:tcW w:w="2428" w:type="dxa"/>
            <w:tcBorders>
              <w:top w:val="single" w:sz="4" w:space="0" w:color="auto"/>
            </w:tcBorders>
          </w:tcPr>
          <w:p w:rsidR="00A47CF6" w:rsidRPr="00666DF4" w:rsidRDefault="00A47CF6" w:rsidP="00BD6824">
            <w:pPr>
              <w:pStyle w:val="TableText"/>
              <w:tabs>
                <w:tab w:val="decimal" w:pos="1379"/>
              </w:tabs>
              <w:rPr>
                <w:rFonts w:eastAsia="Arial" w:cs="Arial"/>
                <w:szCs w:val="18"/>
              </w:rPr>
            </w:pPr>
            <w:r w:rsidRPr="00666DF4">
              <w:t>123</w:t>
            </w:r>
          </w:p>
        </w:tc>
        <w:tc>
          <w:tcPr>
            <w:tcW w:w="2428" w:type="dxa"/>
            <w:tcBorders>
              <w:top w:val="single" w:sz="4" w:space="0" w:color="auto"/>
            </w:tcBorders>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Bay of Plenty</w:t>
            </w:r>
          </w:p>
        </w:tc>
        <w:tc>
          <w:tcPr>
            <w:tcW w:w="2428" w:type="dxa"/>
          </w:tcPr>
          <w:p w:rsidR="00A47CF6" w:rsidRPr="00666DF4" w:rsidRDefault="00A47CF6" w:rsidP="00BD6824">
            <w:pPr>
              <w:pStyle w:val="TableText"/>
              <w:tabs>
                <w:tab w:val="decimal" w:pos="1379"/>
              </w:tabs>
              <w:rPr>
                <w:rFonts w:eastAsia="Arial" w:cs="Arial"/>
                <w:szCs w:val="19"/>
              </w:rPr>
            </w:pPr>
            <w:r w:rsidRPr="00666DF4">
              <w:t>5</w:t>
            </w:r>
          </w:p>
        </w:tc>
        <w:tc>
          <w:tcPr>
            <w:tcW w:w="2428" w:type="dxa"/>
          </w:tcPr>
          <w:p w:rsidR="00A47CF6" w:rsidRPr="00666DF4" w:rsidRDefault="00A47CF6" w:rsidP="00BD6824">
            <w:pPr>
              <w:pStyle w:val="TableText"/>
              <w:tabs>
                <w:tab w:val="decimal" w:pos="1379"/>
              </w:tabs>
              <w:rPr>
                <w:rFonts w:eastAsia="Arial" w:cs="Arial"/>
                <w:szCs w:val="19"/>
              </w:rPr>
            </w:pPr>
            <w:r w:rsidRPr="00666DF4">
              <w:t>66</w:t>
            </w:r>
          </w:p>
        </w:tc>
        <w:tc>
          <w:tcPr>
            <w:tcW w:w="2428" w:type="dxa"/>
          </w:tcPr>
          <w:p w:rsidR="00A47CF6" w:rsidRPr="00666DF4" w:rsidRDefault="00A47CF6" w:rsidP="00BD6824">
            <w:pPr>
              <w:pStyle w:val="TableText"/>
              <w:tabs>
                <w:tab w:val="decimal" w:pos="1379"/>
              </w:tabs>
              <w:rPr>
                <w:rFonts w:eastAsia="Arial" w:cs="Arial"/>
                <w:szCs w:val="19"/>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Canterbury</w:t>
            </w:r>
          </w:p>
        </w:tc>
        <w:tc>
          <w:tcPr>
            <w:tcW w:w="2428" w:type="dxa"/>
          </w:tcPr>
          <w:p w:rsidR="00A47CF6" w:rsidRPr="00666DF4" w:rsidRDefault="00A47CF6" w:rsidP="00BD6824">
            <w:pPr>
              <w:pStyle w:val="TableText"/>
              <w:tabs>
                <w:tab w:val="decimal" w:pos="1379"/>
              </w:tabs>
              <w:rPr>
                <w:rFonts w:eastAsia="Arial" w:cs="Arial"/>
                <w:szCs w:val="18"/>
              </w:rPr>
            </w:pPr>
            <w:r w:rsidRPr="00666DF4">
              <w:t>9</w:t>
            </w:r>
          </w:p>
        </w:tc>
        <w:tc>
          <w:tcPr>
            <w:tcW w:w="2428" w:type="dxa"/>
          </w:tcPr>
          <w:p w:rsidR="00A47CF6" w:rsidRPr="00666DF4" w:rsidRDefault="00A47CF6" w:rsidP="00BD6824">
            <w:pPr>
              <w:pStyle w:val="TableText"/>
              <w:tabs>
                <w:tab w:val="decimal" w:pos="1379"/>
              </w:tabs>
              <w:rPr>
                <w:rFonts w:eastAsia="Arial" w:cs="Arial"/>
                <w:szCs w:val="18"/>
              </w:rPr>
            </w:pPr>
            <w:r w:rsidRPr="00666DF4">
              <w:t>56</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Capital &amp; Coast</w:t>
            </w:r>
          </w:p>
        </w:tc>
        <w:tc>
          <w:tcPr>
            <w:tcW w:w="2428" w:type="dxa"/>
          </w:tcPr>
          <w:p w:rsidR="00A47CF6" w:rsidRPr="00666DF4" w:rsidRDefault="00A47CF6" w:rsidP="00BD6824">
            <w:pPr>
              <w:pStyle w:val="TableText"/>
              <w:tabs>
                <w:tab w:val="decimal" w:pos="1379"/>
              </w:tabs>
              <w:rPr>
                <w:rFonts w:eastAsia="Arial" w:cs="Arial"/>
                <w:szCs w:val="18"/>
              </w:rPr>
            </w:pPr>
            <w:r w:rsidRPr="00666DF4">
              <w:t>2</w:t>
            </w:r>
          </w:p>
        </w:tc>
        <w:tc>
          <w:tcPr>
            <w:tcW w:w="2428" w:type="dxa"/>
          </w:tcPr>
          <w:p w:rsidR="00A47CF6" w:rsidRPr="00666DF4" w:rsidRDefault="00A47CF6" w:rsidP="00BD6824">
            <w:pPr>
              <w:pStyle w:val="TableText"/>
              <w:tabs>
                <w:tab w:val="decimal" w:pos="1379"/>
              </w:tabs>
              <w:rPr>
                <w:rFonts w:eastAsia="Arial" w:cs="Arial"/>
                <w:szCs w:val="18"/>
              </w:rPr>
            </w:pPr>
            <w:r w:rsidRPr="00666DF4">
              <w:t>20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 xml:space="preserve">Counties </w:t>
            </w:r>
            <w:proofErr w:type="spellStart"/>
            <w:r w:rsidRPr="00666DF4">
              <w:t>Manukau</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t>10</w:t>
            </w:r>
          </w:p>
        </w:tc>
        <w:tc>
          <w:tcPr>
            <w:tcW w:w="2428" w:type="dxa"/>
          </w:tcPr>
          <w:p w:rsidR="00A47CF6" w:rsidRPr="00666DF4" w:rsidRDefault="00A47CF6" w:rsidP="00BD6824">
            <w:pPr>
              <w:pStyle w:val="TableText"/>
              <w:tabs>
                <w:tab w:val="decimal" w:pos="1379"/>
              </w:tabs>
              <w:rPr>
                <w:rFonts w:eastAsia="Arial" w:cs="Arial"/>
                <w:szCs w:val="18"/>
              </w:rPr>
            </w:pPr>
            <w:r w:rsidRPr="00666DF4">
              <w:t>101</w:t>
            </w:r>
          </w:p>
        </w:tc>
        <w:tc>
          <w:tcPr>
            <w:tcW w:w="2428" w:type="dxa"/>
          </w:tcPr>
          <w:p w:rsidR="00A47CF6" w:rsidRPr="00666DF4" w:rsidRDefault="00A47CF6" w:rsidP="00BD6824">
            <w:pPr>
              <w:pStyle w:val="TableText"/>
              <w:tabs>
                <w:tab w:val="decimal" w:pos="1379"/>
              </w:tabs>
              <w:rPr>
                <w:rFonts w:eastAsia="Arial" w:cs="Arial"/>
                <w:szCs w:val="18"/>
              </w:rPr>
            </w:pPr>
            <w:r w:rsidRPr="00666DF4">
              <w:t>1</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rPr>
                <w:rFonts w:eastAsia="Arial" w:cs="Arial"/>
                <w:szCs w:val="19"/>
              </w:rPr>
              <w:t>Hawke</w:t>
            </w:r>
            <w:r w:rsidR="00BF25EC">
              <w:rPr>
                <w:rFonts w:eastAsia="Arial" w:cs="Arial"/>
                <w:szCs w:val="19"/>
              </w:rPr>
              <w:t>’</w:t>
            </w:r>
            <w:r w:rsidRPr="00666DF4">
              <w:rPr>
                <w:rFonts w:eastAsia="Arial" w:cs="Arial"/>
                <w:szCs w:val="19"/>
              </w:rPr>
              <w:t>s Bay</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Hutt Valley</w:t>
            </w:r>
          </w:p>
        </w:tc>
        <w:tc>
          <w:tcPr>
            <w:tcW w:w="2428" w:type="dxa"/>
          </w:tcPr>
          <w:p w:rsidR="00A47CF6" w:rsidRPr="00666DF4" w:rsidRDefault="00A47CF6" w:rsidP="00BD6824">
            <w:pPr>
              <w:pStyle w:val="TableText"/>
              <w:tabs>
                <w:tab w:val="decimal" w:pos="1379"/>
              </w:tabs>
              <w:rPr>
                <w:rFonts w:eastAsia="Arial" w:cs="Arial"/>
                <w:szCs w:val="18"/>
              </w:rPr>
            </w:pPr>
            <w:r w:rsidRPr="00666DF4">
              <w:t>4</w:t>
            </w:r>
          </w:p>
        </w:tc>
        <w:tc>
          <w:tcPr>
            <w:tcW w:w="2428" w:type="dxa"/>
          </w:tcPr>
          <w:p w:rsidR="00A47CF6" w:rsidRPr="00666DF4" w:rsidRDefault="00A47CF6" w:rsidP="00BD6824">
            <w:pPr>
              <w:pStyle w:val="TableText"/>
              <w:tabs>
                <w:tab w:val="decimal" w:pos="1379"/>
              </w:tabs>
              <w:rPr>
                <w:rFonts w:eastAsia="Arial" w:cs="Arial"/>
                <w:szCs w:val="18"/>
              </w:rPr>
            </w:pPr>
            <w:r w:rsidRPr="00666DF4">
              <w:t>27</w:t>
            </w:r>
          </w:p>
        </w:tc>
        <w:tc>
          <w:tcPr>
            <w:tcW w:w="2428" w:type="dxa"/>
          </w:tcPr>
          <w:p w:rsidR="00A47CF6" w:rsidRPr="00666DF4" w:rsidRDefault="00A47CF6" w:rsidP="00BD6824">
            <w:pPr>
              <w:pStyle w:val="TableText"/>
              <w:tabs>
                <w:tab w:val="decimal" w:pos="1379"/>
              </w:tabs>
              <w:rPr>
                <w:rFonts w:eastAsia="Arial" w:cs="Arial"/>
                <w:szCs w:val="18"/>
              </w:rPr>
            </w:pPr>
            <w:r w:rsidRPr="00666DF4">
              <w:t>2</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Lakes</w:t>
            </w:r>
          </w:p>
        </w:tc>
        <w:tc>
          <w:tcPr>
            <w:tcW w:w="2428" w:type="dxa"/>
          </w:tcPr>
          <w:p w:rsidR="00A47CF6" w:rsidRPr="00666DF4" w:rsidRDefault="00A47CF6" w:rsidP="00BD6824">
            <w:pPr>
              <w:pStyle w:val="TableText"/>
              <w:tabs>
                <w:tab w:val="decimal" w:pos="1379"/>
              </w:tabs>
              <w:rPr>
                <w:rFonts w:eastAsia="Arial" w:cs="Arial"/>
                <w:szCs w:val="18"/>
              </w:rPr>
            </w:pPr>
            <w:r w:rsidRPr="00666DF4">
              <w:t>2</w:t>
            </w:r>
          </w:p>
        </w:tc>
        <w:tc>
          <w:tcPr>
            <w:tcW w:w="2428" w:type="dxa"/>
          </w:tcPr>
          <w:p w:rsidR="00A47CF6" w:rsidRPr="00666DF4" w:rsidRDefault="00A47CF6" w:rsidP="00BD6824">
            <w:pPr>
              <w:pStyle w:val="TableText"/>
              <w:tabs>
                <w:tab w:val="decimal" w:pos="1379"/>
              </w:tabs>
              <w:rPr>
                <w:rFonts w:eastAsia="Arial" w:cs="Arial"/>
                <w:szCs w:val="18"/>
              </w:rPr>
            </w:pPr>
            <w:r w:rsidRPr="00666DF4">
              <w:t>5</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proofErr w:type="spellStart"/>
            <w:r w:rsidRPr="00666DF4">
              <w:t>MidCentral</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t>4</w:t>
            </w:r>
          </w:p>
        </w:tc>
        <w:tc>
          <w:tcPr>
            <w:tcW w:w="2428" w:type="dxa"/>
          </w:tcPr>
          <w:p w:rsidR="00A47CF6" w:rsidRPr="00666DF4" w:rsidRDefault="00A47CF6" w:rsidP="00BD6824">
            <w:pPr>
              <w:pStyle w:val="TableText"/>
              <w:tabs>
                <w:tab w:val="decimal" w:pos="1379"/>
              </w:tabs>
              <w:rPr>
                <w:rFonts w:eastAsia="Arial" w:cs="Arial"/>
                <w:szCs w:val="18"/>
              </w:rPr>
            </w:pPr>
            <w:r w:rsidRPr="00666DF4">
              <w:t>7</w:t>
            </w:r>
          </w:p>
        </w:tc>
        <w:tc>
          <w:tcPr>
            <w:tcW w:w="2428" w:type="dxa"/>
          </w:tcPr>
          <w:p w:rsidR="00A47CF6" w:rsidRPr="00666DF4" w:rsidRDefault="00A47CF6" w:rsidP="00BD6824">
            <w:pPr>
              <w:pStyle w:val="TableText"/>
              <w:tabs>
                <w:tab w:val="decimal" w:pos="1379"/>
              </w:tabs>
              <w:rPr>
                <w:rFonts w:eastAsia="Arial" w:cs="Arial"/>
                <w:szCs w:val="18"/>
              </w:rPr>
            </w:pPr>
            <w:r w:rsidRPr="00666DF4">
              <w:t>2</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Nelson Marlborough</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Northland</w:t>
            </w:r>
          </w:p>
        </w:tc>
        <w:tc>
          <w:tcPr>
            <w:tcW w:w="2428" w:type="dxa"/>
          </w:tcPr>
          <w:p w:rsidR="00A47CF6" w:rsidRPr="00666DF4" w:rsidRDefault="00A47CF6" w:rsidP="00BD6824">
            <w:pPr>
              <w:pStyle w:val="TableText"/>
              <w:tabs>
                <w:tab w:val="decimal" w:pos="1379"/>
              </w:tabs>
              <w:rPr>
                <w:rFonts w:eastAsia="Arial" w:cs="Arial"/>
                <w:szCs w:val="18"/>
              </w:rPr>
            </w:pPr>
            <w:r w:rsidRPr="00666DF4">
              <w:t>4</w:t>
            </w:r>
          </w:p>
        </w:tc>
        <w:tc>
          <w:tcPr>
            <w:tcW w:w="2428" w:type="dxa"/>
          </w:tcPr>
          <w:p w:rsidR="00A47CF6" w:rsidRPr="00666DF4" w:rsidRDefault="00A47CF6" w:rsidP="00BD6824">
            <w:pPr>
              <w:pStyle w:val="TableText"/>
              <w:tabs>
                <w:tab w:val="decimal" w:pos="1379"/>
              </w:tabs>
              <w:rPr>
                <w:rFonts w:eastAsia="Arial" w:cs="Arial"/>
                <w:szCs w:val="18"/>
              </w:rPr>
            </w:pPr>
            <w:r w:rsidRPr="00666DF4">
              <w:t>61</w:t>
            </w:r>
          </w:p>
        </w:tc>
        <w:tc>
          <w:tcPr>
            <w:tcW w:w="2428" w:type="dxa"/>
          </w:tcPr>
          <w:p w:rsidR="00A47CF6" w:rsidRPr="00666DF4" w:rsidRDefault="00A47CF6" w:rsidP="00BD6824">
            <w:pPr>
              <w:pStyle w:val="TableText"/>
              <w:tabs>
                <w:tab w:val="decimal" w:pos="1379"/>
              </w:tabs>
              <w:rPr>
                <w:rFonts w:eastAsia="Arial" w:cs="Arial"/>
                <w:szCs w:val="18"/>
              </w:rPr>
            </w:pPr>
            <w:r w:rsidRPr="00666DF4">
              <w:t>1</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South Canterbury</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Southern</w:t>
            </w:r>
          </w:p>
        </w:tc>
        <w:tc>
          <w:tcPr>
            <w:tcW w:w="2428" w:type="dxa"/>
          </w:tcPr>
          <w:p w:rsidR="00A47CF6" w:rsidRPr="00666DF4" w:rsidRDefault="00A47CF6" w:rsidP="00BD6824">
            <w:pPr>
              <w:pStyle w:val="TableText"/>
              <w:tabs>
                <w:tab w:val="decimal" w:pos="1379"/>
              </w:tabs>
              <w:rPr>
                <w:rFonts w:eastAsia="Arial" w:cs="Arial"/>
                <w:szCs w:val="18"/>
              </w:rPr>
            </w:pPr>
            <w:r w:rsidRPr="00666DF4">
              <w:t>11</w:t>
            </w:r>
          </w:p>
        </w:tc>
        <w:tc>
          <w:tcPr>
            <w:tcW w:w="2428" w:type="dxa"/>
          </w:tcPr>
          <w:p w:rsidR="00A47CF6" w:rsidRPr="00666DF4" w:rsidRDefault="00A47CF6" w:rsidP="00BD6824">
            <w:pPr>
              <w:pStyle w:val="TableText"/>
              <w:tabs>
                <w:tab w:val="decimal" w:pos="1379"/>
              </w:tabs>
              <w:rPr>
                <w:rFonts w:eastAsia="Arial" w:cs="Arial"/>
                <w:szCs w:val="18"/>
              </w:rPr>
            </w:pPr>
            <w:r w:rsidRPr="00666DF4">
              <w:t>124</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proofErr w:type="spellStart"/>
            <w:r w:rsidRPr="00666DF4">
              <w:t>Tairāwhiti</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t>5</w:t>
            </w:r>
          </w:p>
        </w:tc>
        <w:tc>
          <w:tcPr>
            <w:tcW w:w="2428" w:type="dxa"/>
          </w:tcPr>
          <w:p w:rsidR="00A47CF6" w:rsidRPr="00666DF4" w:rsidRDefault="00A47CF6" w:rsidP="00BD6824">
            <w:pPr>
              <w:pStyle w:val="TableText"/>
              <w:tabs>
                <w:tab w:val="decimal" w:pos="1379"/>
              </w:tabs>
              <w:rPr>
                <w:rFonts w:eastAsia="Arial" w:cs="Arial"/>
                <w:szCs w:val="18"/>
              </w:rPr>
            </w:pPr>
            <w:r w:rsidRPr="00666DF4">
              <w:t>21</w:t>
            </w:r>
          </w:p>
        </w:tc>
        <w:tc>
          <w:tcPr>
            <w:tcW w:w="2428" w:type="dxa"/>
          </w:tcPr>
          <w:p w:rsidR="00A47CF6" w:rsidRPr="00666DF4" w:rsidRDefault="00A47CF6" w:rsidP="00BD6824">
            <w:pPr>
              <w:pStyle w:val="TableText"/>
              <w:tabs>
                <w:tab w:val="decimal" w:pos="1379"/>
              </w:tabs>
              <w:rPr>
                <w:rFonts w:eastAsia="Arial" w:cs="Arial"/>
                <w:szCs w:val="18"/>
              </w:rPr>
            </w:pPr>
            <w:r w:rsidRPr="00666DF4">
              <w:t>4</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proofErr w:type="spellStart"/>
            <w:r w:rsidRPr="00666DF4">
              <w:t>Taranaki</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t>1</w:t>
            </w:r>
          </w:p>
        </w:tc>
        <w:tc>
          <w:tcPr>
            <w:tcW w:w="2428" w:type="dxa"/>
          </w:tcPr>
          <w:p w:rsidR="00A47CF6" w:rsidRPr="00666DF4" w:rsidRDefault="00A47CF6" w:rsidP="00BD6824">
            <w:pPr>
              <w:pStyle w:val="TableText"/>
              <w:tabs>
                <w:tab w:val="decimal" w:pos="1379"/>
              </w:tabs>
              <w:rPr>
                <w:rFonts w:eastAsia="Arial" w:cs="Arial"/>
                <w:szCs w:val="18"/>
              </w:rPr>
            </w:pPr>
            <w:r w:rsidRPr="00666DF4">
              <w:t>7</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Waikato</w:t>
            </w:r>
          </w:p>
        </w:tc>
        <w:tc>
          <w:tcPr>
            <w:tcW w:w="2428" w:type="dxa"/>
          </w:tcPr>
          <w:p w:rsidR="00A47CF6" w:rsidRPr="00666DF4" w:rsidRDefault="00A47CF6" w:rsidP="00BD6824">
            <w:pPr>
              <w:pStyle w:val="TableText"/>
              <w:tabs>
                <w:tab w:val="decimal" w:pos="1379"/>
              </w:tabs>
              <w:rPr>
                <w:rFonts w:eastAsia="Arial" w:cs="Arial"/>
                <w:szCs w:val="18"/>
              </w:rPr>
            </w:pPr>
            <w:r w:rsidRPr="00666DF4">
              <w:t>13</w:t>
            </w:r>
          </w:p>
        </w:tc>
        <w:tc>
          <w:tcPr>
            <w:tcW w:w="2428" w:type="dxa"/>
          </w:tcPr>
          <w:p w:rsidR="00A47CF6" w:rsidRPr="00666DF4" w:rsidRDefault="00A47CF6" w:rsidP="00BD6824">
            <w:pPr>
              <w:pStyle w:val="TableText"/>
              <w:tabs>
                <w:tab w:val="decimal" w:pos="1379"/>
              </w:tabs>
              <w:rPr>
                <w:rFonts w:eastAsia="Arial" w:cs="Arial"/>
                <w:szCs w:val="18"/>
              </w:rPr>
            </w:pPr>
            <w:r w:rsidRPr="00666DF4">
              <w:t>136</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proofErr w:type="spellStart"/>
            <w:r w:rsidRPr="00666DF4">
              <w:t>Wairarapa</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proofErr w:type="spellStart"/>
            <w:r w:rsidRPr="00666DF4">
              <w:t>Waitemata</w:t>
            </w:r>
            <w:proofErr w:type="spellEnd"/>
          </w:p>
        </w:tc>
        <w:tc>
          <w:tcPr>
            <w:tcW w:w="2428" w:type="dxa"/>
          </w:tcPr>
          <w:p w:rsidR="00A47CF6" w:rsidRPr="00666DF4" w:rsidRDefault="00A47CF6" w:rsidP="00BD6824">
            <w:pPr>
              <w:pStyle w:val="TableText"/>
              <w:tabs>
                <w:tab w:val="decimal" w:pos="1379"/>
              </w:tabs>
              <w:rPr>
                <w:rFonts w:eastAsia="Arial" w:cs="Arial"/>
                <w:szCs w:val="18"/>
              </w:rPr>
            </w:pPr>
            <w:r w:rsidRPr="00666DF4">
              <w:t>13</w:t>
            </w:r>
          </w:p>
        </w:tc>
        <w:tc>
          <w:tcPr>
            <w:tcW w:w="2428" w:type="dxa"/>
          </w:tcPr>
          <w:p w:rsidR="00A47CF6" w:rsidRPr="00666DF4" w:rsidRDefault="00A47CF6" w:rsidP="00BD6824">
            <w:pPr>
              <w:pStyle w:val="TableText"/>
              <w:tabs>
                <w:tab w:val="decimal" w:pos="1379"/>
              </w:tabs>
              <w:rPr>
                <w:rFonts w:eastAsia="Arial" w:cs="Arial"/>
                <w:szCs w:val="18"/>
              </w:rPr>
            </w:pPr>
            <w:r w:rsidRPr="00666DF4">
              <w:t>200</w:t>
            </w:r>
          </w:p>
        </w:tc>
        <w:tc>
          <w:tcPr>
            <w:tcW w:w="2428" w:type="dxa"/>
          </w:tcPr>
          <w:p w:rsidR="00A47CF6" w:rsidRPr="00666DF4" w:rsidRDefault="00A47CF6" w:rsidP="00BD6824">
            <w:pPr>
              <w:pStyle w:val="TableText"/>
              <w:tabs>
                <w:tab w:val="decimal" w:pos="1379"/>
              </w:tabs>
              <w:rPr>
                <w:rFonts w:eastAsia="Arial" w:cs="Arial"/>
                <w:szCs w:val="18"/>
              </w:rPr>
            </w:pPr>
            <w:r w:rsidRPr="00666DF4">
              <w:t>0</w:t>
            </w:r>
          </w:p>
        </w:tc>
      </w:tr>
      <w:tr w:rsidR="00A47CF6" w:rsidRPr="00666DF4" w:rsidTr="00BD6824">
        <w:trPr>
          <w:cantSplit/>
        </w:trPr>
        <w:tc>
          <w:tcPr>
            <w:tcW w:w="2072" w:type="dxa"/>
          </w:tcPr>
          <w:p w:rsidR="00A47CF6" w:rsidRPr="00666DF4" w:rsidRDefault="00A47CF6" w:rsidP="00BD6824">
            <w:pPr>
              <w:pStyle w:val="TableText"/>
              <w:rPr>
                <w:rFonts w:eastAsia="Arial" w:cs="Arial"/>
                <w:szCs w:val="19"/>
              </w:rPr>
            </w:pPr>
            <w:r w:rsidRPr="00666DF4">
              <w:t>West Coast</w:t>
            </w:r>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r>
      <w:tr w:rsidR="00A47CF6" w:rsidRPr="00666DF4" w:rsidTr="00BD6824">
        <w:trPr>
          <w:cantSplit/>
        </w:trPr>
        <w:tc>
          <w:tcPr>
            <w:tcW w:w="2072" w:type="dxa"/>
            <w:tcBorders>
              <w:bottom w:val="single" w:sz="4" w:space="0" w:color="A6A6A6" w:themeColor="background1" w:themeShade="A6"/>
            </w:tcBorders>
          </w:tcPr>
          <w:p w:rsidR="00A47CF6" w:rsidRPr="00666DF4" w:rsidRDefault="00A47CF6" w:rsidP="00BD6824">
            <w:pPr>
              <w:pStyle w:val="TableText"/>
              <w:rPr>
                <w:rFonts w:eastAsia="Arial" w:cs="Arial"/>
                <w:szCs w:val="19"/>
              </w:rPr>
            </w:pPr>
            <w:proofErr w:type="spellStart"/>
            <w:r w:rsidRPr="00666DF4">
              <w:t>Whanganui</w:t>
            </w:r>
            <w:proofErr w:type="spellEnd"/>
          </w:p>
        </w:tc>
        <w:tc>
          <w:tcPr>
            <w:tcW w:w="2428" w:type="dxa"/>
            <w:tcBorders>
              <w:bottom w:val="single" w:sz="4" w:space="0" w:color="A6A6A6" w:themeColor="background1" w:themeShade="A6"/>
            </w:tcBorders>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Borders>
              <w:bottom w:val="single" w:sz="4" w:space="0" w:color="A6A6A6" w:themeColor="background1" w:themeShade="A6"/>
            </w:tcBorders>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c>
          <w:tcPr>
            <w:tcW w:w="2428" w:type="dxa"/>
            <w:tcBorders>
              <w:bottom w:val="single" w:sz="4" w:space="0" w:color="A6A6A6" w:themeColor="background1" w:themeShade="A6"/>
            </w:tcBorders>
          </w:tcPr>
          <w:p w:rsidR="00A47CF6" w:rsidRPr="00666DF4" w:rsidRDefault="00A47CF6" w:rsidP="00BD6824">
            <w:pPr>
              <w:pStyle w:val="TableText"/>
              <w:tabs>
                <w:tab w:val="decimal" w:pos="1379"/>
              </w:tabs>
              <w:rPr>
                <w:rFonts w:eastAsia="Arial" w:cs="Arial"/>
                <w:szCs w:val="18"/>
              </w:rPr>
            </w:pPr>
            <w:r w:rsidRPr="00666DF4">
              <w:rPr>
                <w:rFonts w:eastAsia="Arial" w:cs="Arial"/>
                <w:szCs w:val="18"/>
              </w:rPr>
              <w:t>–-</w:t>
            </w:r>
          </w:p>
        </w:tc>
      </w:tr>
      <w:tr w:rsidR="00A47CF6" w:rsidRPr="00BD6824" w:rsidTr="00BD6824">
        <w:trPr>
          <w:cantSplit/>
        </w:trPr>
        <w:tc>
          <w:tcPr>
            <w:tcW w:w="2072" w:type="dxa"/>
            <w:tcBorders>
              <w:top w:val="single" w:sz="4" w:space="0" w:color="A6A6A6" w:themeColor="background1" w:themeShade="A6"/>
              <w:bottom w:val="single" w:sz="4" w:space="0" w:color="auto"/>
            </w:tcBorders>
          </w:tcPr>
          <w:p w:rsidR="00A47CF6" w:rsidRPr="00BD6824" w:rsidRDefault="00A47CF6" w:rsidP="00BD6824">
            <w:pPr>
              <w:pStyle w:val="TableText"/>
              <w:rPr>
                <w:rFonts w:eastAsia="Arial" w:cs="Arial"/>
                <w:b/>
                <w:szCs w:val="19"/>
              </w:rPr>
            </w:pPr>
            <w:r w:rsidRPr="00BD6824">
              <w:rPr>
                <w:b/>
              </w:rPr>
              <w:t>New Zealand</w:t>
            </w:r>
          </w:p>
        </w:tc>
        <w:tc>
          <w:tcPr>
            <w:tcW w:w="2428"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379"/>
              </w:tabs>
              <w:rPr>
                <w:rFonts w:eastAsia="Arial" w:cs="Arial"/>
                <w:b/>
                <w:szCs w:val="18"/>
              </w:rPr>
            </w:pPr>
            <w:r w:rsidRPr="00BD6824">
              <w:rPr>
                <w:b/>
              </w:rPr>
              <w:t>92</w:t>
            </w:r>
          </w:p>
        </w:tc>
        <w:tc>
          <w:tcPr>
            <w:tcW w:w="2428"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379"/>
              </w:tabs>
              <w:rPr>
                <w:rFonts w:eastAsia="Arial" w:cs="Arial"/>
                <w:b/>
                <w:szCs w:val="18"/>
              </w:rPr>
            </w:pPr>
            <w:r w:rsidRPr="00BD6824">
              <w:rPr>
                <w:b/>
              </w:rPr>
              <w:t>954</w:t>
            </w:r>
          </w:p>
        </w:tc>
        <w:tc>
          <w:tcPr>
            <w:tcW w:w="2428" w:type="dxa"/>
            <w:tcBorders>
              <w:top w:val="single" w:sz="4" w:space="0" w:color="A6A6A6" w:themeColor="background1" w:themeShade="A6"/>
              <w:bottom w:val="single" w:sz="4" w:space="0" w:color="auto"/>
            </w:tcBorders>
          </w:tcPr>
          <w:p w:rsidR="00A47CF6" w:rsidRPr="00BD6824" w:rsidRDefault="00A47CF6" w:rsidP="00BD6824">
            <w:pPr>
              <w:pStyle w:val="TableText"/>
              <w:tabs>
                <w:tab w:val="decimal" w:pos="1379"/>
              </w:tabs>
              <w:rPr>
                <w:rFonts w:eastAsia="Arial" w:cs="Arial"/>
                <w:b/>
                <w:szCs w:val="18"/>
              </w:rPr>
            </w:pPr>
            <w:r w:rsidRPr="00BD6824">
              <w:rPr>
                <w:b/>
              </w:rPr>
              <w:t>10</w:t>
            </w:r>
          </w:p>
        </w:tc>
      </w:tr>
    </w:tbl>
    <w:p w:rsidR="00A47CF6" w:rsidRPr="00666DF4" w:rsidRDefault="00A47CF6" w:rsidP="00BD6824">
      <w:pPr>
        <w:pStyle w:val="Note"/>
        <w:ind w:right="0"/>
        <w:rPr>
          <w:rFonts w:eastAsia="Arial" w:cs="Arial"/>
          <w:szCs w:val="19"/>
        </w:rPr>
      </w:pPr>
      <w:r w:rsidRPr="00666DF4">
        <w:t>Notes: The data in this table cannot be reliably compared with the data in Table 17 above, as it relates to DHB of service rather than DHB of domicile.</w:t>
      </w:r>
    </w:p>
    <w:p w:rsidR="00A47CF6" w:rsidRPr="00666DF4" w:rsidRDefault="00A47CF6" w:rsidP="00BD6824">
      <w:pPr>
        <w:pStyle w:val="Note"/>
        <w:ind w:right="0"/>
        <w:rPr>
          <w:rFonts w:eastAsia="Arial"/>
        </w:rPr>
      </w:pPr>
      <w:r w:rsidRPr="00666DF4">
        <w:rPr>
          <w:rFonts w:eastAsia="Arial"/>
        </w:rPr>
        <w:t>A dash (–) indicates the DHB does not perform ECT. In this case, the DHB sends people to other DHBs for treatment.</w:t>
      </w:r>
    </w:p>
    <w:p w:rsidR="00A47CF6" w:rsidRPr="00666DF4" w:rsidRDefault="00A47CF6" w:rsidP="00BD6824">
      <w:pPr>
        <w:pStyle w:val="Source"/>
        <w:ind w:right="0"/>
        <w:rPr>
          <w:rFonts w:eastAsia="Arial" w:cs="Arial"/>
          <w:szCs w:val="19"/>
        </w:rPr>
      </w:pPr>
      <w:r w:rsidRPr="00666DF4">
        <w:t>Source: Manual data from DHBs (the Ministry of Health is currently unable to provide this data from PRIMHD)</w:t>
      </w:r>
      <w:r w:rsidR="00BD6824">
        <w:t>.</w:t>
      </w:r>
    </w:p>
    <w:p w:rsidR="00A47CF6" w:rsidRPr="00666DF4" w:rsidRDefault="00A47CF6" w:rsidP="00BD6824">
      <w:pPr>
        <w:rPr>
          <w:rFonts w:eastAsia="Arial"/>
        </w:rPr>
      </w:pPr>
    </w:p>
    <w:p w:rsidR="00A47CF6" w:rsidRPr="00BF25EC" w:rsidRDefault="00A47CF6" w:rsidP="00BD6824">
      <w:pPr>
        <w:pStyle w:val="Heading4"/>
        <w:rPr>
          <w:bCs/>
        </w:rPr>
      </w:pPr>
      <w:r w:rsidRPr="00BF25EC">
        <w:t>Age and gender of patients treated with electroconvulsive therapy</w:t>
      </w:r>
    </w:p>
    <w:p w:rsidR="00A47CF6" w:rsidRPr="00666DF4" w:rsidRDefault="00A47CF6" w:rsidP="00BD6824">
      <w:r w:rsidRPr="00666DF4">
        <w:t>Table 19 and Figure 41 present information on the age and sex of people treated with ECT in 2016. For this data, age group was determined by the individual</w:t>
      </w:r>
      <w:r w:rsidR="00BF25EC">
        <w:t>’</w:t>
      </w:r>
      <w:r w:rsidRPr="00666DF4">
        <w:t>s age at the beginning of the reporting period. The majority of people (64 percent) treated with ECT were aged over 50 years in 2016.</w:t>
      </w:r>
    </w:p>
    <w:p w:rsidR="00BD6824" w:rsidRDefault="00BD6824" w:rsidP="00BD6824"/>
    <w:p w:rsidR="00A47CF6" w:rsidRPr="00666DF4" w:rsidRDefault="00A47CF6" w:rsidP="00BD6824">
      <w:r w:rsidRPr="00666DF4">
        <w:t>In 2016, of the 251 people who received ECT treatment, 156 (62 percent) were female and 95 (38</w:t>
      </w:r>
      <w:r w:rsidR="00BD6824">
        <w:t> </w:t>
      </w:r>
      <w:r w:rsidRPr="00666DF4">
        <w:t>percent) were male. The main reason for the gender difference is that more females present to mental health services with depressive disorders. This ratio is similar to that reported in other countries.</w:t>
      </w:r>
    </w:p>
    <w:p w:rsidR="00A47CF6" w:rsidRPr="00666DF4" w:rsidRDefault="00A47CF6" w:rsidP="00BD6824"/>
    <w:p w:rsidR="00A47CF6" w:rsidRPr="00666DF4" w:rsidRDefault="00A47CF6" w:rsidP="00BD6824">
      <w:pPr>
        <w:pStyle w:val="Table"/>
        <w:rPr>
          <w:rFonts w:eastAsia="Georgia" w:cs="Georgia"/>
          <w:szCs w:val="19"/>
        </w:rPr>
      </w:pPr>
      <w:bookmarkStart w:id="239" w:name="Figure_41:_Number_of_people_treated_with"/>
      <w:bookmarkStart w:id="240" w:name="Table_19:_Number_of_people_treated_with_"/>
      <w:bookmarkStart w:id="241" w:name="_bookmark55"/>
      <w:bookmarkStart w:id="242" w:name="_Toc508707317"/>
      <w:bookmarkEnd w:id="239"/>
      <w:bookmarkEnd w:id="240"/>
      <w:bookmarkEnd w:id="241"/>
      <w:r w:rsidRPr="00666DF4">
        <w:t>Table 19: Number of people treated with electroconvulsive therapy, by age group and gender, 1 January to 31 December 2016</w:t>
      </w:r>
      <w:bookmarkEnd w:id="24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985"/>
        <w:gridCol w:w="1008"/>
        <w:gridCol w:w="1009"/>
        <w:gridCol w:w="1009"/>
      </w:tblGrid>
      <w:tr w:rsidR="00A47CF6" w:rsidRPr="00511B0E" w:rsidTr="00511B0E">
        <w:trPr>
          <w:cantSplit/>
        </w:trPr>
        <w:tc>
          <w:tcPr>
            <w:tcW w:w="1985" w:type="dxa"/>
            <w:tcBorders>
              <w:top w:val="single" w:sz="4" w:space="0" w:color="auto"/>
              <w:bottom w:val="single" w:sz="4" w:space="0" w:color="auto"/>
            </w:tcBorders>
          </w:tcPr>
          <w:p w:rsidR="00A47CF6" w:rsidRPr="00511B0E" w:rsidRDefault="00A47CF6" w:rsidP="00511B0E">
            <w:pPr>
              <w:pStyle w:val="TableText"/>
              <w:keepNext/>
              <w:rPr>
                <w:rFonts w:eastAsia="Arial" w:cs="Arial"/>
                <w:b/>
                <w:szCs w:val="19"/>
              </w:rPr>
            </w:pPr>
            <w:r w:rsidRPr="00511B0E">
              <w:rPr>
                <w:b/>
              </w:rPr>
              <w:t>Age group (years)</w:t>
            </w:r>
          </w:p>
        </w:tc>
        <w:tc>
          <w:tcPr>
            <w:tcW w:w="1008" w:type="dxa"/>
            <w:tcBorders>
              <w:top w:val="single" w:sz="4" w:space="0" w:color="auto"/>
              <w:bottom w:val="single" w:sz="4" w:space="0" w:color="auto"/>
            </w:tcBorders>
          </w:tcPr>
          <w:p w:rsidR="00A47CF6" w:rsidRPr="00511B0E" w:rsidRDefault="00A47CF6" w:rsidP="00511B0E">
            <w:pPr>
              <w:pStyle w:val="TableText"/>
              <w:keepNext/>
              <w:jc w:val="center"/>
              <w:rPr>
                <w:rFonts w:eastAsia="Arial" w:cs="Arial"/>
                <w:b/>
                <w:szCs w:val="18"/>
              </w:rPr>
            </w:pPr>
            <w:r w:rsidRPr="00511B0E">
              <w:rPr>
                <w:b/>
              </w:rPr>
              <w:t>Female</w:t>
            </w:r>
          </w:p>
        </w:tc>
        <w:tc>
          <w:tcPr>
            <w:tcW w:w="1009" w:type="dxa"/>
            <w:tcBorders>
              <w:top w:val="single" w:sz="4" w:space="0" w:color="auto"/>
              <w:bottom w:val="single" w:sz="4" w:space="0" w:color="auto"/>
            </w:tcBorders>
          </w:tcPr>
          <w:p w:rsidR="00A47CF6" w:rsidRPr="00511B0E" w:rsidRDefault="00A47CF6" w:rsidP="00511B0E">
            <w:pPr>
              <w:pStyle w:val="TableText"/>
              <w:keepNext/>
              <w:jc w:val="center"/>
              <w:rPr>
                <w:rFonts w:eastAsia="Arial" w:cs="Arial"/>
                <w:b/>
                <w:szCs w:val="18"/>
              </w:rPr>
            </w:pPr>
            <w:r w:rsidRPr="00511B0E">
              <w:rPr>
                <w:b/>
              </w:rPr>
              <w:t>Male</w:t>
            </w:r>
          </w:p>
        </w:tc>
        <w:tc>
          <w:tcPr>
            <w:tcW w:w="1009" w:type="dxa"/>
            <w:tcBorders>
              <w:top w:val="single" w:sz="4" w:space="0" w:color="auto"/>
              <w:bottom w:val="single" w:sz="4" w:space="0" w:color="auto"/>
            </w:tcBorders>
          </w:tcPr>
          <w:p w:rsidR="00A47CF6" w:rsidRPr="00511B0E" w:rsidRDefault="00A47CF6" w:rsidP="00511B0E">
            <w:pPr>
              <w:pStyle w:val="TableText"/>
              <w:keepNext/>
              <w:jc w:val="center"/>
              <w:rPr>
                <w:rFonts w:eastAsia="Arial" w:cs="Arial"/>
                <w:b/>
                <w:szCs w:val="18"/>
              </w:rPr>
            </w:pPr>
            <w:r w:rsidRPr="00511B0E">
              <w:rPr>
                <w:b/>
              </w:rPr>
              <w:t>Total</w:t>
            </w:r>
          </w:p>
        </w:tc>
      </w:tr>
      <w:tr w:rsidR="00A47CF6" w:rsidRPr="00666DF4" w:rsidTr="00511B0E">
        <w:trPr>
          <w:cantSplit/>
        </w:trPr>
        <w:tc>
          <w:tcPr>
            <w:tcW w:w="1985" w:type="dxa"/>
            <w:tcBorders>
              <w:top w:val="single" w:sz="4" w:space="0" w:color="auto"/>
            </w:tcBorders>
          </w:tcPr>
          <w:p w:rsidR="00A47CF6" w:rsidRPr="00666DF4" w:rsidRDefault="00A47CF6" w:rsidP="00511B0E">
            <w:pPr>
              <w:pStyle w:val="TableText"/>
              <w:keepNext/>
              <w:rPr>
                <w:rFonts w:eastAsia="Arial" w:cs="Arial"/>
                <w:szCs w:val="19"/>
              </w:rPr>
            </w:pPr>
            <w:r w:rsidRPr="00666DF4">
              <w:rPr>
                <w:rFonts w:eastAsia="Arial" w:cs="Arial"/>
                <w:szCs w:val="19"/>
              </w:rPr>
              <w:t>15–19</w:t>
            </w:r>
          </w:p>
        </w:tc>
        <w:tc>
          <w:tcPr>
            <w:tcW w:w="1008" w:type="dxa"/>
            <w:tcBorders>
              <w:top w:val="single" w:sz="4" w:space="0" w:color="auto"/>
            </w:tcBorders>
          </w:tcPr>
          <w:p w:rsidR="00A47CF6" w:rsidRPr="00666DF4" w:rsidRDefault="00A47CF6" w:rsidP="00511B0E">
            <w:pPr>
              <w:pStyle w:val="TableText"/>
              <w:keepNext/>
              <w:tabs>
                <w:tab w:val="decimal" w:pos="589"/>
              </w:tabs>
              <w:rPr>
                <w:rFonts w:eastAsia="Arial" w:cs="Arial"/>
                <w:szCs w:val="18"/>
              </w:rPr>
            </w:pPr>
            <w:r w:rsidRPr="00666DF4">
              <w:t>2</w:t>
            </w:r>
          </w:p>
        </w:tc>
        <w:tc>
          <w:tcPr>
            <w:tcW w:w="1009" w:type="dxa"/>
            <w:tcBorders>
              <w:top w:val="single" w:sz="4" w:space="0" w:color="auto"/>
            </w:tcBorders>
          </w:tcPr>
          <w:p w:rsidR="00A47CF6" w:rsidRPr="00666DF4" w:rsidRDefault="00A47CF6" w:rsidP="00511B0E">
            <w:pPr>
              <w:pStyle w:val="TableText"/>
              <w:keepNext/>
              <w:tabs>
                <w:tab w:val="decimal" w:pos="589"/>
              </w:tabs>
              <w:rPr>
                <w:rFonts w:eastAsia="Arial" w:cs="Arial"/>
                <w:szCs w:val="18"/>
              </w:rPr>
            </w:pPr>
            <w:r w:rsidRPr="00666DF4">
              <w:t>3</w:t>
            </w:r>
          </w:p>
        </w:tc>
        <w:tc>
          <w:tcPr>
            <w:tcW w:w="1009" w:type="dxa"/>
            <w:tcBorders>
              <w:top w:val="single" w:sz="4" w:space="0" w:color="auto"/>
            </w:tcBorders>
          </w:tcPr>
          <w:p w:rsidR="00A47CF6" w:rsidRPr="00666DF4" w:rsidRDefault="00A47CF6" w:rsidP="00511B0E">
            <w:pPr>
              <w:pStyle w:val="TableText"/>
              <w:keepNext/>
              <w:tabs>
                <w:tab w:val="decimal" w:pos="589"/>
              </w:tabs>
              <w:rPr>
                <w:rFonts w:eastAsia="Arial" w:cs="Arial"/>
                <w:szCs w:val="18"/>
              </w:rPr>
            </w:pPr>
            <w:r w:rsidRPr="00666DF4">
              <w:t>5</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20–24</w:t>
            </w:r>
          </w:p>
        </w:tc>
        <w:tc>
          <w:tcPr>
            <w:tcW w:w="1008" w:type="dxa"/>
          </w:tcPr>
          <w:p w:rsidR="00A47CF6" w:rsidRPr="00666DF4" w:rsidRDefault="00A47CF6" w:rsidP="00511B0E">
            <w:pPr>
              <w:pStyle w:val="TableText"/>
              <w:tabs>
                <w:tab w:val="decimal" w:pos="589"/>
              </w:tabs>
              <w:rPr>
                <w:rFonts w:eastAsia="Arial" w:cs="Arial"/>
                <w:szCs w:val="18"/>
              </w:rPr>
            </w:pPr>
            <w:r w:rsidRPr="00666DF4">
              <w:t>12</w:t>
            </w:r>
          </w:p>
        </w:tc>
        <w:tc>
          <w:tcPr>
            <w:tcW w:w="1009" w:type="dxa"/>
          </w:tcPr>
          <w:p w:rsidR="00A47CF6" w:rsidRPr="00666DF4" w:rsidRDefault="00A47CF6" w:rsidP="00511B0E">
            <w:pPr>
              <w:pStyle w:val="TableText"/>
              <w:tabs>
                <w:tab w:val="decimal" w:pos="589"/>
              </w:tabs>
              <w:rPr>
                <w:rFonts w:eastAsia="Arial" w:cs="Arial"/>
                <w:szCs w:val="18"/>
              </w:rPr>
            </w:pPr>
            <w:r w:rsidRPr="00666DF4">
              <w:t>5</w:t>
            </w:r>
          </w:p>
        </w:tc>
        <w:tc>
          <w:tcPr>
            <w:tcW w:w="1009" w:type="dxa"/>
          </w:tcPr>
          <w:p w:rsidR="00A47CF6" w:rsidRPr="00666DF4" w:rsidRDefault="00A47CF6" w:rsidP="00511B0E">
            <w:pPr>
              <w:pStyle w:val="TableText"/>
              <w:tabs>
                <w:tab w:val="decimal" w:pos="589"/>
              </w:tabs>
              <w:rPr>
                <w:rFonts w:eastAsia="Arial" w:cs="Arial"/>
                <w:szCs w:val="18"/>
              </w:rPr>
            </w:pPr>
            <w:r w:rsidRPr="00666DF4">
              <w:t>17</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25–29</w:t>
            </w:r>
          </w:p>
        </w:tc>
        <w:tc>
          <w:tcPr>
            <w:tcW w:w="1008" w:type="dxa"/>
          </w:tcPr>
          <w:p w:rsidR="00A47CF6" w:rsidRPr="00666DF4" w:rsidRDefault="00A47CF6" w:rsidP="00511B0E">
            <w:pPr>
              <w:pStyle w:val="TableText"/>
              <w:tabs>
                <w:tab w:val="decimal" w:pos="589"/>
              </w:tabs>
              <w:rPr>
                <w:rFonts w:eastAsia="Arial" w:cs="Arial"/>
                <w:szCs w:val="18"/>
              </w:rPr>
            </w:pPr>
            <w:r w:rsidRPr="00666DF4">
              <w:t>3</w:t>
            </w:r>
          </w:p>
        </w:tc>
        <w:tc>
          <w:tcPr>
            <w:tcW w:w="1009" w:type="dxa"/>
          </w:tcPr>
          <w:p w:rsidR="00A47CF6" w:rsidRPr="00666DF4" w:rsidRDefault="00A47CF6" w:rsidP="00511B0E">
            <w:pPr>
              <w:pStyle w:val="TableText"/>
              <w:tabs>
                <w:tab w:val="decimal" w:pos="589"/>
              </w:tabs>
              <w:rPr>
                <w:rFonts w:eastAsia="Arial" w:cs="Arial"/>
                <w:szCs w:val="18"/>
              </w:rPr>
            </w:pPr>
            <w:r w:rsidRPr="00666DF4">
              <w:t>3</w:t>
            </w:r>
          </w:p>
        </w:tc>
        <w:tc>
          <w:tcPr>
            <w:tcW w:w="1009" w:type="dxa"/>
          </w:tcPr>
          <w:p w:rsidR="00A47CF6" w:rsidRPr="00666DF4" w:rsidRDefault="00A47CF6" w:rsidP="00511B0E">
            <w:pPr>
              <w:pStyle w:val="TableText"/>
              <w:tabs>
                <w:tab w:val="decimal" w:pos="589"/>
              </w:tabs>
              <w:rPr>
                <w:rFonts w:eastAsia="Arial" w:cs="Arial"/>
                <w:szCs w:val="18"/>
              </w:rPr>
            </w:pPr>
            <w:r w:rsidRPr="00666DF4">
              <w:t>6</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30–34</w:t>
            </w:r>
          </w:p>
        </w:tc>
        <w:tc>
          <w:tcPr>
            <w:tcW w:w="1008" w:type="dxa"/>
          </w:tcPr>
          <w:p w:rsidR="00A47CF6" w:rsidRPr="00666DF4" w:rsidRDefault="00A47CF6" w:rsidP="00511B0E">
            <w:pPr>
              <w:pStyle w:val="TableText"/>
              <w:tabs>
                <w:tab w:val="decimal" w:pos="589"/>
              </w:tabs>
              <w:rPr>
                <w:rFonts w:eastAsia="Arial" w:cs="Arial"/>
                <w:szCs w:val="18"/>
              </w:rPr>
            </w:pPr>
            <w:r w:rsidRPr="00666DF4">
              <w:t>8</w:t>
            </w:r>
          </w:p>
        </w:tc>
        <w:tc>
          <w:tcPr>
            <w:tcW w:w="1009" w:type="dxa"/>
          </w:tcPr>
          <w:p w:rsidR="00A47CF6" w:rsidRPr="00666DF4" w:rsidRDefault="00A47CF6" w:rsidP="00511B0E">
            <w:pPr>
              <w:pStyle w:val="TableText"/>
              <w:tabs>
                <w:tab w:val="decimal" w:pos="589"/>
              </w:tabs>
              <w:rPr>
                <w:rFonts w:eastAsia="Arial" w:cs="Arial"/>
                <w:szCs w:val="18"/>
              </w:rPr>
            </w:pPr>
            <w:r w:rsidRPr="00666DF4">
              <w:t>5</w:t>
            </w:r>
          </w:p>
        </w:tc>
        <w:tc>
          <w:tcPr>
            <w:tcW w:w="1009" w:type="dxa"/>
          </w:tcPr>
          <w:p w:rsidR="00A47CF6" w:rsidRPr="00666DF4" w:rsidRDefault="00A47CF6" w:rsidP="00511B0E">
            <w:pPr>
              <w:pStyle w:val="TableText"/>
              <w:tabs>
                <w:tab w:val="decimal" w:pos="589"/>
              </w:tabs>
              <w:rPr>
                <w:rFonts w:eastAsia="Arial" w:cs="Arial"/>
                <w:szCs w:val="18"/>
              </w:rPr>
            </w:pPr>
            <w:r w:rsidRPr="00666DF4">
              <w:t>13</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35–39</w:t>
            </w:r>
          </w:p>
        </w:tc>
        <w:tc>
          <w:tcPr>
            <w:tcW w:w="1008" w:type="dxa"/>
          </w:tcPr>
          <w:p w:rsidR="00A47CF6" w:rsidRPr="00666DF4" w:rsidRDefault="00A47CF6" w:rsidP="00511B0E">
            <w:pPr>
              <w:pStyle w:val="TableText"/>
              <w:tabs>
                <w:tab w:val="decimal" w:pos="589"/>
              </w:tabs>
              <w:rPr>
                <w:rFonts w:eastAsia="Arial" w:cs="Arial"/>
                <w:szCs w:val="18"/>
              </w:rPr>
            </w:pPr>
            <w:r w:rsidRPr="00666DF4">
              <w:t>10</w:t>
            </w:r>
          </w:p>
        </w:tc>
        <w:tc>
          <w:tcPr>
            <w:tcW w:w="1009" w:type="dxa"/>
          </w:tcPr>
          <w:p w:rsidR="00A47CF6" w:rsidRPr="00666DF4" w:rsidRDefault="00A47CF6" w:rsidP="00511B0E">
            <w:pPr>
              <w:pStyle w:val="TableText"/>
              <w:tabs>
                <w:tab w:val="decimal" w:pos="589"/>
              </w:tabs>
              <w:rPr>
                <w:rFonts w:eastAsia="Arial" w:cs="Arial"/>
                <w:szCs w:val="18"/>
              </w:rPr>
            </w:pPr>
            <w:r w:rsidRPr="00666DF4">
              <w:t>8</w:t>
            </w:r>
          </w:p>
        </w:tc>
        <w:tc>
          <w:tcPr>
            <w:tcW w:w="1009" w:type="dxa"/>
          </w:tcPr>
          <w:p w:rsidR="00A47CF6" w:rsidRPr="00666DF4" w:rsidRDefault="00A47CF6" w:rsidP="00511B0E">
            <w:pPr>
              <w:pStyle w:val="TableText"/>
              <w:tabs>
                <w:tab w:val="decimal" w:pos="589"/>
              </w:tabs>
              <w:rPr>
                <w:rFonts w:eastAsia="Arial" w:cs="Arial"/>
                <w:szCs w:val="18"/>
              </w:rPr>
            </w:pPr>
            <w:r w:rsidRPr="00666DF4">
              <w:t>18</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40–44</w:t>
            </w:r>
          </w:p>
        </w:tc>
        <w:tc>
          <w:tcPr>
            <w:tcW w:w="1008" w:type="dxa"/>
          </w:tcPr>
          <w:p w:rsidR="00A47CF6" w:rsidRPr="00666DF4" w:rsidRDefault="00A47CF6" w:rsidP="00511B0E">
            <w:pPr>
              <w:pStyle w:val="TableText"/>
              <w:tabs>
                <w:tab w:val="decimal" w:pos="589"/>
              </w:tabs>
              <w:rPr>
                <w:rFonts w:eastAsia="Arial" w:cs="Arial"/>
                <w:szCs w:val="18"/>
              </w:rPr>
            </w:pPr>
            <w:r w:rsidRPr="00666DF4">
              <w:t>9</w:t>
            </w:r>
          </w:p>
        </w:tc>
        <w:tc>
          <w:tcPr>
            <w:tcW w:w="1009" w:type="dxa"/>
          </w:tcPr>
          <w:p w:rsidR="00A47CF6" w:rsidRPr="00666DF4" w:rsidRDefault="00A47CF6" w:rsidP="00511B0E">
            <w:pPr>
              <w:pStyle w:val="TableText"/>
              <w:tabs>
                <w:tab w:val="decimal" w:pos="589"/>
              </w:tabs>
              <w:rPr>
                <w:rFonts w:eastAsia="Arial" w:cs="Arial"/>
                <w:szCs w:val="18"/>
              </w:rPr>
            </w:pPr>
            <w:r w:rsidRPr="00666DF4">
              <w:t>6</w:t>
            </w:r>
          </w:p>
        </w:tc>
        <w:tc>
          <w:tcPr>
            <w:tcW w:w="1009" w:type="dxa"/>
          </w:tcPr>
          <w:p w:rsidR="00A47CF6" w:rsidRPr="00666DF4" w:rsidRDefault="00A47CF6" w:rsidP="00511B0E">
            <w:pPr>
              <w:pStyle w:val="TableText"/>
              <w:tabs>
                <w:tab w:val="decimal" w:pos="589"/>
              </w:tabs>
              <w:rPr>
                <w:rFonts w:eastAsia="Arial" w:cs="Arial"/>
                <w:szCs w:val="18"/>
              </w:rPr>
            </w:pPr>
            <w:r w:rsidRPr="00666DF4">
              <w:t>15</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45–49</w:t>
            </w:r>
          </w:p>
        </w:tc>
        <w:tc>
          <w:tcPr>
            <w:tcW w:w="1008" w:type="dxa"/>
          </w:tcPr>
          <w:p w:rsidR="00A47CF6" w:rsidRPr="00666DF4" w:rsidRDefault="00A47CF6" w:rsidP="00511B0E">
            <w:pPr>
              <w:pStyle w:val="TableText"/>
              <w:tabs>
                <w:tab w:val="decimal" w:pos="589"/>
              </w:tabs>
              <w:rPr>
                <w:rFonts w:eastAsia="Arial" w:cs="Arial"/>
                <w:szCs w:val="18"/>
              </w:rPr>
            </w:pPr>
            <w:r w:rsidRPr="00666DF4">
              <w:t>11</w:t>
            </w:r>
          </w:p>
        </w:tc>
        <w:tc>
          <w:tcPr>
            <w:tcW w:w="1009" w:type="dxa"/>
          </w:tcPr>
          <w:p w:rsidR="00A47CF6" w:rsidRPr="00666DF4" w:rsidRDefault="00A47CF6" w:rsidP="00511B0E">
            <w:pPr>
              <w:pStyle w:val="TableText"/>
              <w:tabs>
                <w:tab w:val="decimal" w:pos="589"/>
              </w:tabs>
              <w:rPr>
                <w:rFonts w:eastAsia="Arial" w:cs="Arial"/>
                <w:szCs w:val="18"/>
              </w:rPr>
            </w:pPr>
            <w:r w:rsidRPr="00666DF4">
              <w:t>6</w:t>
            </w:r>
          </w:p>
        </w:tc>
        <w:tc>
          <w:tcPr>
            <w:tcW w:w="1009" w:type="dxa"/>
          </w:tcPr>
          <w:p w:rsidR="00A47CF6" w:rsidRPr="00666DF4" w:rsidRDefault="00A47CF6" w:rsidP="00511B0E">
            <w:pPr>
              <w:pStyle w:val="TableText"/>
              <w:tabs>
                <w:tab w:val="decimal" w:pos="589"/>
              </w:tabs>
              <w:rPr>
                <w:rFonts w:eastAsia="Arial" w:cs="Arial"/>
                <w:szCs w:val="18"/>
              </w:rPr>
            </w:pPr>
            <w:r w:rsidRPr="00666DF4">
              <w:t>17</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50–54</w:t>
            </w:r>
          </w:p>
        </w:tc>
        <w:tc>
          <w:tcPr>
            <w:tcW w:w="1008" w:type="dxa"/>
          </w:tcPr>
          <w:p w:rsidR="00A47CF6" w:rsidRPr="00666DF4" w:rsidRDefault="00A47CF6" w:rsidP="00511B0E">
            <w:pPr>
              <w:pStyle w:val="TableText"/>
              <w:tabs>
                <w:tab w:val="decimal" w:pos="589"/>
              </w:tabs>
              <w:rPr>
                <w:rFonts w:eastAsia="Arial" w:cs="Arial"/>
                <w:szCs w:val="18"/>
              </w:rPr>
            </w:pPr>
            <w:r w:rsidRPr="00666DF4">
              <w:t>14</w:t>
            </w:r>
          </w:p>
        </w:tc>
        <w:tc>
          <w:tcPr>
            <w:tcW w:w="1009" w:type="dxa"/>
          </w:tcPr>
          <w:p w:rsidR="00A47CF6" w:rsidRPr="00666DF4" w:rsidRDefault="00A47CF6" w:rsidP="00511B0E">
            <w:pPr>
              <w:pStyle w:val="TableText"/>
              <w:tabs>
                <w:tab w:val="decimal" w:pos="589"/>
              </w:tabs>
              <w:rPr>
                <w:rFonts w:eastAsia="Arial" w:cs="Arial"/>
                <w:szCs w:val="18"/>
              </w:rPr>
            </w:pPr>
            <w:r w:rsidRPr="00666DF4">
              <w:t>6</w:t>
            </w:r>
          </w:p>
        </w:tc>
        <w:tc>
          <w:tcPr>
            <w:tcW w:w="1009" w:type="dxa"/>
          </w:tcPr>
          <w:p w:rsidR="00A47CF6" w:rsidRPr="00666DF4" w:rsidRDefault="00A47CF6" w:rsidP="00511B0E">
            <w:pPr>
              <w:pStyle w:val="TableText"/>
              <w:tabs>
                <w:tab w:val="decimal" w:pos="589"/>
              </w:tabs>
              <w:rPr>
                <w:rFonts w:eastAsia="Arial" w:cs="Arial"/>
                <w:szCs w:val="18"/>
              </w:rPr>
            </w:pPr>
            <w:r w:rsidRPr="00666DF4">
              <w:t>20</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55–59</w:t>
            </w:r>
          </w:p>
        </w:tc>
        <w:tc>
          <w:tcPr>
            <w:tcW w:w="1008" w:type="dxa"/>
          </w:tcPr>
          <w:p w:rsidR="00A47CF6" w:rsidRPr="00666DF4" w:rsidRDefault="00A47CF6" w:rsidP="00511B0E">
            <w:pPr>
              <w:pStyle w:val="TableText"/>
              <w:tabs>
                <w:tab w:val="decimal" w:pos="589"/>
              </w:tabs>
              <w:rPr>
                <w:rFonts w:eastAsia="Arial" w:cs="Arial"/>
                <w:szCs w:val="18"/>
              </w:rPr>
            </w:pPr>
            <w:r w:rsidRPr="00666DF4">
              <w:t>17</w:t>
            </w:r>
          </w:p>
        </w:tc>
        <w:tc>
          <w:tcPr>
            <w:tcW w:w="1009" w:type="dxa"/>
          </w:tcPr>
          <w:p w:rsidR="00A47CF6" w:rsidRPr="00666DF4" w:rsidRDefault="00A47CF6" w:rsidP="00511B0E">
            <w:pPr>
              <w:pStyle w:val="TableText"/>
              <w:tabs>
                <w:tab w:val="decimal" w:pos="589"/>
              </w:tabs>
              <w:rPr>
                <w:rFonts w:eastAsia="Arial" w:cs="Arial"/>
                <w:szCs w:val="18"/>
              </w:rPr>
            </w:pPr>
            <w:r w:rsidRPr="00666DF4">
              <w:t>11</w:t>
            </w:r>
          </w:p>
        </w:tc>
        <w:tc>
          <w:tcPr>
            <w:tcW w:w="1009" w:type="dxa"/>
          </w:tcPr>
          <w:p w:rsidR="00A47CF6" w:rsidRPr="00666DF4" w:rsidRDefault="00A47CF6" w:rsidP="00511B0E">
            <w:pPr>
              <w:pStyle w:val="TableText"/>
              <w:tabs>
                <w:tab w:val="decimal" w:pos="589"/>
              </w:tabs>
              <w:rPr>
                <w:rFonts w:eastAsia="Arial" w:cs="Arial"/>
                <w:szCs w:val="18"/>
              </w:rPr>
            </w:pPr>
            <w:r w:rsidRPr="00666DF4">
              <w:t>28</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60–64</w:t>
            </w:r>
          </w:p>
        </w:tc>
        <w:tc>
          <w:tcPr>
            <w:tcW w:w="1008" w:type="dxa"/>
          </w:tcPr>
          <w:p w:rsidR="00A47CF6" w:rsidRPr="00666DF4" w:rsidRDefault="00A47CF6" w:rsidP="00511B0E">
            <w:pPr>
              <w:pStyle w:val="TableText"/>
              <w:tabs>
                <w:tab w:val="decimal" w:pos="589"/>
              </w:tabs>
              <w:rPr>
                <w:rFonts w:eastAsia="Arial" w:cs="Arial"/>
                <w:szCs w:val="18"/>
              </w:rPr>
            </w:pPr>
            <w:r w:rsidRPr="00666DF4">
              <w:t>13</w:t>
            </w:r>
          </w:p>
        </w:tc>
        <w:tc>
          <w:tcPr>
            <w:tcW w:w="1009" w:type="dxa"/>
          </w:tcPr>
          <w:p w:rsidR="00A47CF6" w:rsidRPr="00666DF4" w:rsidRDefault="00A47CF6" w:rsidP="00511B0E">
            <w:pPr>
              <w:pStyle w:val="TableText"/>
              <w:tabs>
                <w:tab w:val="decimal" w:pos="589"/>
              </w:tabs>
              <w:rPr>
                <w:rFonts w:eastAsia="Arial" w:cs="Arial"/>
                <w:szCs w:val="18"/>
              </w:rPr>
            </w:pPr>
            <w:r w:rsidRPr="00666DF4">
              <w:t>14</w:t>
            </w:r>
          </w:p>
        </w:tc>
        <w:tc>
          <w:tcPr>
            <w:tcW w:w="1009" w:type="dxa"/>
          </w:tcPr>
          <w:p w:rsidR="00A47CF6" w:rsidRPr="00666DF4" w:rsidRDefault="00A47CF6" w:rsidP="00511B0E">
            <w:pPr>
              <w:pStyle w:val="TableText"/>
              <w:tabs>
                <w:tab w:val="decimal" w:pos="589"/>
              </w:tabs>
              <w:rPr>
                <w:rFonts w:eastAsia="Arial" w:cs="Arial"/>
                <w:szCs w:val="18"/>
              </w:rPr>
            </w:pPr>
            <w:r w:rsidRPr="00666DF4">
              <w:t>27</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65–69</w:t>
            </w:r>
          </w:p>
        </w:tc>
        <w:tc>
          <w:tcPr>
            <w:tcW w:w="1008" w:type="dxa"/>
          </w:tcPr>
          <w:p w:rsidR="00A47CF6" w:rsidRPr="00666DF4" w:rsidRDefault="00A47CF6" w:rsidP="00511B0E">
            <w:pPr>
              <w:pStyle w:val="TableText"/>
              <w:tabs>
                <w:tab w:val="decimal" w:pos="589"/>
              </w:tabs>
              <w:rPr>
                <w:rFonts w:eastAsia="Arial" w:cs="Arial"/>
                <w:szCs w:val="18"/>
              </w:rPr>
            </w:pPr>
            <w:r w:rsidRPr="00666DF4">
              <w:t>18</w:t>
            </w:r>
          </w:p>
        </w:tc>
        <w:tc>
          <w:tcPr>
            <w:tcW w:w="1009" w:type="dxa"/>
          </w:tcPr>
          <w:p w:rsidR="00A47CF6" w:rsidRPr="00666DF4" w:rsidRDefault="00A47CF6" w:rsidP="00511B0E">
            <w:pPr>
              <w:pStyle w:val="TableText"/>
              <w:tabs>
                <w:tab w:val="decimal" w:pos="589"/>
              </w:tabs>
              <w:rPr>
                <w:rFonts w:eastAsia="Arial" w:cs="Arial"/>
                <w:szCs w:val="18"/>
              </w:rPr>
            </w:pPr>
            <w:r w:rsidRPr="00666DF4">
              <w:t>7</w:t>
            </w:r>
          </w:p>
        </w:tc>
        <w:tc>
          <w:tcPr>
            <w:tcW w:w="1009" w:type="dxa"/>
          </w:tcPr>
          <w:p w:rsidR="00A47CF6" w:rsidRPr="00666DF4" w:rsidRDefault="00A47CF6" w:rsidP="00511B0E">
            <w:pPr>
              <w:pStyle w:val="TableText"/>
              <w:tabs>
                <w:tab w:val="decimal" w:pos="589"/>
              </w:tabs>
              <w:rPr>
                <w:rFonts w:eastAsia="Arial" w:cs="Arial"/>
                <w:szCs w:val="18"/>
              </w:rPr>
            </w:pPr>
            <w:r w:rsidRPr="00666DF4">
              <w:t>25</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70–74</w:t>
            </w:r>
          </w:p>
        </w:tc>
        <w:tc>
          <w:tcPr>
            <w:tcW w:w="1008" w:type="dxa"/>
          </w:tcPr>
          <w:p w:rsidR="00A47CF6" w:rsidRPr="00666DF4" w:rsidRDefault="00A47CF6" w:rsidP="00511B0E">
            <w:pPr>
              <w:pStyle w:val="TableText"/>
              <w:tabs>
                <w:tab w:val="decimal" w:pos="589"/>
              </w:tabs>
              <w:rPr>
                <w:rFonts w:eastAsia="Arial" w:cs="Arial"/>
                <w:szCs w:val="18"/>
              </w:rPr>
            </w:pPr>
            <w:r w:rsidRPr="00666DF4">
              <w:t>19</w:t>
            </w:r>
          </w:p>
        </w:tc>
        <w:tc>
          <w:tcPr>
            <w:tcW w:w="1009" w:type="dxa"/>
          </w:tcPr>
          <w:p w:rsidR="00A47CF6" w:rsidRPr="00666DF4" w:rsidRDefault="00A47CF6" w:rsidP="00511B0E">
            <w:pPr>
              <w:pStyle w:val="TableText"/>
              <w:tabs>
                <w:tab w:val="decimal" w:pos="589"/>
              </w:tabs>
              <w:rPr>
                <w:rFonts w:eastAsia="Arial" w:cs="Arial"/>
                <w:szCs w:val="18"/>
              </w:rPr>
            </w:pPr>
            <w:r w:rsidRPr="00666DF4">
              <w:t>14</w:t>
            </w:r>
          </w:p>
        </w:tc>
        <w:tc>
          <w:tcPr>
            <w:tcW w:w="1009" w:type="dxa"/>
          </w:tcPr>
          <w:p w:rsidR="00A47CF6" w:rsidRPr="00666DF4" w:rsidRDefault="00A47CF6" w:rsidP="00511B0E">
            <w:pPr>
              <w:pStyle w:val="TableText"/>
              <w:tabs>
                <w:tab w:val="decimal" w:pos="589"/>
              </w:tabs>
              <w:rPr>
                <w:rFonts w:eastAsia="Arial" w:cs="Arial"/>
                <w:szCs w:val="18"/>
              </w:rPr>
            </w:pPr>
            <w:r w:rsidRPr="00666DF4">
              <w:t>33</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75–79</w:t>
            </w:r>
          </w:p>
        </w:tc>
        <w:tc>
          <w:tcPr>
            <w:tcW w:w="1008" w:type="dxa"/>
          </w:tcPr>
          <w:p w:rsidR="00A47CF6" w:rsidRPr="00666DF4" w:rsidRDefault="00A47CF6" w:rsidP="00511B0E">
            <w:pPr>
              <w:pStyle w:val="TableText"/>
              <w:tabs>
                <w:tab w:val="decimal" w:pos="589"/>
              </w:tabs>
              <w:rPr>
                <w:rFonts w:eastAsia="Arial" w:cs="Arial"/>
                <w:szCs w:val="18"/>
              </w:rPr>
            </w:pPr>
            <w:r w:rsidRPr="00666DF4">
              <w:t>10</w:t>
            </w:r>
          </w:p>
        </w:tc>
        <w:tc>
          <w:tcPr>
            <w:tcW w:w="1009" w:type="dxa"/>
          </w:tcPr>
          <w:p w:rsidR="00A47CF6" w:rsidRPr="00666DF4" w:rsidRDefault="00A47CF6" w:rsidP="00511B0E">
            <w:pPr>
              <w:pStyle w:val="TableText"/>
              <w:tabs>
                <w:tab w:val="decimal" w:pos="589"/>
              </w:tabs>
              <w:rPr>
                <w:rFonts w:eastAsia="Arial" w:cs="Arial"/>
                <w:szCs w:val="18"/>
              </w:rPr>
            </w:pPr>
            <w:r w:rsidRPr="00666DF4">
              <w:t>3</w:t>
            </w:r>
          </w:p>
        </w:tc>
        <w:tc>
          <w:tcPr>
            <w:tcW w:w="1009" w:type="dxa"/>
          </w:tcPr>
          <w:p w:rsidR="00A47CF6" w:rsidRPr="00666DF4" w:rsidRDefault="00A47CF6" w:rsidP="00511B0E">
            <w:pPr>
              <w:pStyle w:val="TableText"/>
              <w:tabs>
                <w:tab w:val="decimal" w:pos="589"/>
              </w:tabs>
              <w:rPr>
                <w:rFonts w:eastAsia="Arial" w:cs="Arial"/>
                <w:szCs w:val="18"/>
              </w:rPr>
            </w:pPr>
            <w:r w:rsidRPr="00666DF4">
              <w:t>13</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80–84</w:t>
            </w:r>
          </w:p>
        </w:tc>
        <w:tc>
          <w:tcPr>
            <w:tcW w:w="1008" w:type="dxa"/>
          </w:tcPr>
          <w:p w:rsidR="00A47CF6" w:rsidRPr="00666DF4" w:rsidRDefault="00A47CF6" w:rsidP="00511B0E">
            <w:pPr>
              <w:pStyle w:val="TableText"/>
              <w:tabs>
                <w:tab w:val="decimal" w:pos="589"/>
              </w:tabs>
              <w:rPr>
                <w:rFonts w:eastAsia="Arial" w:cs="Arial"/>
                <w:szCs w:val="18"/>
              </w:rPr>
            </w:pPr>
            <w:r w:rsidRPr="00666DF4">
              <w:t>6</w:t>
            </w:r>
          </w:p>
        </w:tc>
        <w:tc>
          <w:tcPr>
            <w:tcW w:w="1009" w:type="dxa"/>
          </w:tcPr>
          <w:p w:rsidR="00A47CF6" w:rsidRPr="00666DF4" w:rsidRDefault="00A47CF6" w:rsidP="00511B0E">
            <w:pPr>
              <w:pStyle w:val="TableText"/>
              <w:tabs>
                <w:tab w:val="decimal" w:pos="589"/>
              </w:tabs>
              <w:rPr>
                <w:rFonts w:eastAsia="Arial" w:cs="Arial"/>
                <w:szCs w:val="18"/>
              </w:rPr>
            </w:pPr>
            <w:r w:rsidRPr="00666DF4">
              <w:t>4</w:t>
            </w:r>
          </w:p>
        </w:tc>
        <w:tc>
          <w:tcPr>
            <w:tcW w:w="1009" w:type="dxa"/>
          </w:tcPr>
          <w:p w:rsidR="00A47CF6" w:rsidRPr="00666DF4" w:rsidRDefault="00A47CF6" w:rsidP="00511B0E">
            <w:pPr>
              <w:pStyle w:val="TableText"/>
              <w:tabs>
                <w:tab w:val="decimal" w:pos="589"/>
              </w:tabs>
              <w:rPr>
                <w:rFonts w:eastAsia="Arial" w:cs="Arial"/>
                <w:szCs w:val="18"/>
              </w:rPr>
            </w:pPr>
            <w:r w:rsidRPr="00666DF4">
              <w:t>10</w:t>
            </w:r>
          </w:p>
        </w:tc>
      </w:tr>
      <w:tr w:rsidR="00A47CF6" w:rsidRPr="00666DF4" w:rsidTr="00511B0E">
        <w:trPr>
          <w:cantSplit/>
        </w:trPr>
        <w:tc>
          <w:tcPr>
            <w:tcW w:w="1985" w:type="dxa"/>
          </w:tcPr>
          <w:p w:rsidR="00A47CF6" w:rsidRPr="00666DF4" w:rsidRDefault="00A47CF6" w:rsidP="00511B0E">
            <w:pPr>
              <w:pStyle w:val="TableText"/>
              <w:rPr>
                <w:rFonts w:eastAsia="Arial" w:cs="Arial"/>
                <w:szCs w:val="19"/>
              </w:rPr>
            </w:pPr>
            <w:r w:rsidRPr="00666DF4">
              <w:rPr>
                <w:rFonts w:eastAsia="Arial" w:cs="Arial"/>
                <w:szCs w:val="19"/>
              </w:rPr>
              <w:t>85–89</w:t>
            </w:r>
          </w:p>
        </w:tc>
        <w:tc>
          <w:tcPr>
            <w:tcW w:w="1008" w:type="dxa"/>
          </w:tcPr>
          <w:p w:rsidR="00A47CF6" w:rsidRPr="00666DF4" w:rsidRDefault="00A47CF6" w:rsidP="00511B0E">
            <w:pPr>
              <w:pStyle w:val="TableText"/>
              <w:tabs>
                <w:tab w:val="decimal" w:pos="589"/>
              </w:tabs>
              <w:rPr>
                <w:rFonts w:eastAsia="Arial" w:cs="Arial"/>
                <w:szCs w:val="18"/>
              </w:rPr>
            </w:pPr>
            <w:r w:rsidRPr="00666DF4">
              <w:t>3</w:t>
            </w:r>
          </w:p>
        </w:tc>
        <w:tc>
          <w:tcPr>
            <w:tcW w:w="1009" w:type="dxa"/>
          </w:tcPr>
          <w:p w:rsidR="00A47CF6" w:rsidRPr="00666DF4" w:rsidRDefault="00A47CF6" w:rsidP="00511B0E">
            <w:pPr>
              <w:pStyle w:val="TableText"/>
              <w:tabs>
                <w:tab w:val="decimal" w:pos="589"/>
              </w:tabs>
              <w:rPr>
                <w:rFonts w:eastAsia="Arial" w:cs="Arial"/>
                <w:szCs w:val="18"/>
              </w:rPr>
            </w:pPr>
            <w:r w:rsidRPr="00666DF4">
              <w:t>0</w:t>
            </w:r>
          </w:p>
        </w:tc>
        <w:tc>
          <w:tcPr>
            <w:tcW w:w="1009" w:type="dxa"/>
          </w:tcPr>
          <w:p w:rsidR="00A47CF6" w:rsidRPr="00666DF4" w:rsidRDefault="00A47CF6" w:rsidP="00511B0E">
            <w:pPr>
              <w:pStyle w:val="TableText"/>
              <w:tabs>
                <w:tab w:val="decimal" w:pos="589"/>
              </w:tabs>
              <w:rPr>
                <w:rFonts w:eastAsia="Arial" w:cs="Arial"/>
                <w:szCs w:val="18"/>
              </w:rPr>
            </w:pPr>
            <w:r w:rsidRPr="00666DF4">
              <w:t>3</w:t>
            </w:r>
          </w:p>
        </w:tc>
      </w:tr>
      <w:tr w:rsidR="00A47CF6" w:rsidRPr="00666DF4" w:rsidTr="00511B0E">
        <w:trPr>
          <w:cantSplit/>
        </w:trPr>
        <w:tc>
          <w:tcPr>
            <w:tcW w:w="1985" w:type="dxa"/>
            <w:tcBorders>
              <w:bottom w:val="single" w:sz="4" w:space="0" w:color="A6A6A6" w:themeColor="background1" w:themeShade="A6"/>
            </w:tcBorders>
          </w:tcPr>
          <w:p w:rsidR="00A47CF6" w:rsidRPr="00666DF4" w:rsidRDefault="00A47CF6" w:rsidP="00511B0E">
            <w:pPr>
              <w:pStyle w:val="TableText"/>
              <w:rPr>
                <w:rFonts w:eastAsia="Arial" w:cs="Arial"/>
                <w:szCs w:val="19"/>
              </w:rPr>
            </w:pPr>
            <w:r w:rsidRPr="00666DF4">
              <w:rPr>
                <w:rFonts w:eastAsia="Arial" w:cs="Arial"/>
                <w:szCs w:val="19"/>
              </w:rPr>
              <w:t>90–95</w:t>
            </w:r>
          </w:p>
        </w:tc>
        <w:tc>
          <w:tcPr>
            <w:tcW w:w="1008" w:type="dxa"/>
            <w:tcBorders>
              <w:bottom w:val="single" w:sz="4" w:space="0" w:color="A6A6A6" w:themeColor="background1" w:themeShade="A6"/>
            </w:tcBorders>
          </w:tcPr>
          <w:p w:rsidR="00A47CF6" w:rsidRPr="00666DF4" w:rsidRDefault="00A47CF6" w:rsidP="00511B0E">
            <w:pPr>
              <w:pStyle w:val="TableText"/>
              <w:tabs>
                <w:tab w:val="decimal" w:pos="589"/>
              </w:tabs>
              <w:rPr>
                <w:rFonts w:eastAsia="Arial" w:cs="Arial"/>
                <w:szCs w:val="18"/>
              </w:rPr>
            </w:pPr>
            <w:r w:rsidRPr="00666DF4">
              <w:t>1</w:t>
            </w:r>
          </w:p>
        </w:tc>
        <w:tc>
          <w:tcPr>
            <w:tcW w:w="1009" w:type="dxa"/>
            <w:tcBorders>
              <w:bottom w:val="single" w:sz="4" w:space="0" w:color="A6A6A6" w:themeColor="background1" w:themeShade="A6"/>
            </w:tcBorders>
          </w:tcPr>
          <w:p w:rsidR="00A47CF6" w:rsidRPr="00666DF4" w:rsidRDefault="00A47CF6" w:rsidP="00511B0E">
            <w:pPr>
              <w:pStyle w:val="TableText"/>
              <w:tabs>
                <w:tab w:val="decimal" w:pos="589"/>
              </w:tabs>
              <w:rPr>
                <w:rFonts w:eastAsia="Arial" w:cs="Arial"/>
                <w:szCs w:val="18"/>
              </w:rPr>
            </w:pPr>
            <w:r w:rsidRPr="00666DF4">
              <w:t>0</w:t>
            </w:r>
          </w:p>
        </w:tc>
        <w:tc>
          <w:tcPr>
            <w:tcW w:w="1009" w:type="dxa"/>
            <w:tcBorders>
              <w:bottom w:val="single" w:sz="4" w:space="0" w:color="A6A6A6" w:themeColor="background1" w:themeShade="A6"/>
            </w:tcBorders>
          </w:tcPr>
          <w:p w:rsidR="00A47CF6" w:rsidRPr="00666DF4" w:rsidRDefault="00A47CF6" w:rsidP="00511B0E">
            <w:pPr>
              <w:pStyle w:val="TableText"/>
              <w:tabs>
                <w:tab w:val="decimal" w:pos="589"/>
              </w:tabs>
              <w:rPr>
                <w:rFonts w:eastAsia="Arial" w:cs="Arial"/>
                <w:szCs w:val="18"/>
              </w:rPr>
            </w:pPr>
            <w:r w:rsidRPr="00666DF4">
              <w:t>1</w:t>
            </w:r>
          </w:p>
        </w:tc>
      </w:tr>
      <w:tr w:rsidR="00A47CF6" w:rsidRPr="00511B0E" w:rsidTr="00511B0E">
        <w:trPr>
          <w:cantSplit/>
        </w:trPr>
        <w:tc>
          <w:tcPr>
            <w:tcW w:w="1985" w:type="dxa"/>
            <w:tcBorders>
              <w:top w:val="single" w:sz="4" w:space="0" w:color="A6A6A6" w:themeColor="background1" w:themeShade="A6"/>
              <w:bottom w:val="single" w:sz="4" w:space="0" w:color="auto"/>
            </w:tcBorders>
          </w:tcPr>
          <w:p w:rsidR="00A47CF6" w:rsidRPr="00511B0E" w:rsidRDefault="00A47CF6" w:rsidP="00511B0E">
            <w:pPr>
              <w:pStyle w:val="TableText"/>
              <w:rPr>
                <w:rFonts w:eastAsia="Arial" w:cs="Arial"/>
                <w:b/>
                <w:szCs w:val="19"/>
              </w:rPr>
            </w:pPr>
            <w:r w:rsidRPr="00511B0E">
              <w:rPr>
                <w:b/>
              </w:rPr>
              <w:t>Total</w:t>
            </w:r>
          </w:p>
        </w:tc>
        <w:tc>
          <w:tcPr>
            <w:tcW w:w="1008" w:type="dxa"/>
            <w:tcBorders>
              <w:top w:val="single" w:sz="4" w:space="0" w:color="A6A6A6" w:themeColor="background1" w:themeShade="A6"/>
              <w:bottom w:val="single" w:sz="4" w:space="0" w:color="auto"/>
            </w:tcBorders>
          </w:tcPr>
          <w:p w:rsidR="00A47CF6" w:rsidRPr="00511B0E" w:rsidRDefault="00A47CF6" w:rsidP="00511B0E">
            <w:pPr>
              <w:pStyle w:val="TableText"/>
              <w:tabs>
                <w:tab w:val="decimal" w:pos="589"/>
              </w:tabs>
              <w:rPr>
                <w:rFonts w:eastAsia="Arial" w:cs="Arial"/>
                <w:b/>
                <w:szCs w:val="19"/>
              </w:rPr>
            </w:pPr>
            <w:r w:rsidRPr="00511B0E">
              <w:rPr>
                <w:b/>
              </w:rPr>
              <w:t>156</w:t>
            </w:r>
          </w:p>
        </w:tc>
        <w:tc>
          <w:tcPr>
            <w:tcW w:w="1009" w:type="dxa"/>
            <w:tcBorders>
              <w:top w:val="single" w:sz="4" w:space="0" w:color="A6A6A6" w:themeColor="background1" w:themeShade="A6"/>
              <w:bottom w:val="single" w:sz="4" w:space="0" w:color="auto"/>
            </w:tcBorders>
          </w:tcPr>
          <w:p w:rsidR="00A47CF6" w:rsidRPr="00511B0E" w:rsidRDefault="00A47CF6" w:rsidP="00511B0E">
            <w:pPr>
              <w:pStyle w:val="TableText"/>
              <w:tabs>
                <w:tab w:val="decimal" w:pos="589"/>
              </w:tabs>
              <w:rPr>
                <w:rFonts w:eastAsia="Arial" w:cs="Arial"/>
                <w:b/>
                <w:szCs w:val="19"/>
              </w:rPr>
            </w:pPr>
            <w:r w:rsidRPr="00511B0E">
              <w:rPr>
                <w:b/>
              </w:rPr>
              <w:t>95</w:t>
            </w:r>
          </w:p>
        </w:tc>
        <w:tc>
          <w:tcPr>
            <w:tcW w:w="1009" w:type="dxa"/>
            <w:tcBorders>
              <w:top w:val="single" w:sz="4" w:space="0" w:color="A6A6A6" w:themeColor="background1" w:themeShade="A6"/>
              <w:bottom w:val="single" w:sz="4" w:space="0" w:color="auto"/>
            </w:tcBorders>
          </w:tcPr>
          <w:p w:rsidR="00A47CF6" w:rsidRPr="00511B0E" w:rsidRDefault="00A47CF6" w:rsidP="00511B0E">
            <w:pPr>
              <w:pStyle w:val="TableText"/>
              <w:tabs>
                <w:tab w:val="decimal" w:pos="589"/>
              </w:tabs>
              <w:rPr>
                <w:rFonts w:eastAsia="Arial" w:cs="Arial"/>
                <w:b/>
                <w:szCs w:val="19"/>
              </w:rPr>
            </w:pPr>
            <w:r w:rsidRPr="00511B0E">
              <w:rPr>
                <w:b/>
              </w:rPr>
              <w:t>251</w:t>
            </w:r>
          </w:p>
        </w:tc>
      </w:tr>
    </w:tbl>
    <w:p w:rsidR="00A47CF6" w:rsidRPr="00666DF4" w:rsidRDefault="00A47CF6" w:rsidP="00511B0E">
      <w:pPr>
        <w:pStyle w:val="Source"/>
        <w:rPr>
          <w:rFonts w:eastAsia="Arial" w:cs="Arial"/>
          <w:szCs w:val="19"/>
        </w:rPr>
      </w:pPr>
      <w:r w:rsidRPr="00666DF4">
        <w:t>Source: PRIMHD data, extracted on 27 July 2017, except for Northland and Southern DHBs, which submitted data manually</w:t>
      </w:r>
      <w:r w:rsidR="00511B0E">
        <w:t>.</w:t>
      </w:r>
    </w:p>
    <w:p w:rsidR="00A47CF6" w:rsidRPr="00666DF4" w:rsidRDefault="00A47CF6" w:rsidP="00511B0E">
      <w:pPr>
        <w:rPr>
          <w:rFonts w:eastAsia="Arial"/>
        </w:rPr>
      </w:pPr>
    </w:p>
    <w:p w:rsidR="00A47CF6" w:rsidRDefault="00A47CF6" w:rsidP="00511B0E">
      <w:pPr>
        <w:pStyle w:val="Figure"/>
      </w:pPr>
      <w:bookmarkStart w:id="243" w:name="_Toc508707365"/>
      <w:r w:rsidRPr="00666DF4">
        <w:t>Figure 41: Number of people treated with electroconvulsive therapy, by age group and gender, 1 January to 31 December 2016</w:t>
      </w:r>
      <w:bookmarkEnd w:id="243"/>
    </w:p>
    <w:p w:rsidR="00511B0E" w:rsidRPr="00511B0E" w:rsidRDefault="00511B0E" w:rsidP="00511B0E">
      <w:pPr>
        <w:rPr>
          <w:rFonts w:eastAsia="Georgia"/>
        </w:rPr>
      </w:pPr>
      <w:r>
        <w:rPr>
          <w:noProof/>
          <w:lang w:eastAsia="en-NZ"/>
        </w:rPr>
        <w:drawing>
          <wp:inline distT="0" distB="0" distL="0" distR="0" wp14:anchorId="3990E3C9" wp14:editId="5F04DE59">
            <wp:extent cx="4705004" cy="2272949"/>
            <wp:effectExtent l="0" t="0" r="635" b="0"/>
            <wp:docPr id="99" name="Picture 99" title="Figure 41: Number of people treated with electroconvulsive therapy, by age group and gender, 1 January to 31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blip>
                    <a:stretch>
                      <a:fillRect/>
                    </a:stretch>
                  </pic:blipFill>
                  <pic:spPr>
                    <a:xfrm>
                      <a:off x="0" y="0"/>
                      <a:ext cx="4702113" cy="2271552"/>
                    </a:xfrm>
                    <a:prstGeom prst="rect">
                      <a:avLst/>
                    </a:prstGeom>
                  </pic:spPr>
                </pic:pic>
              </a:graphicData>
            </a:graphic>
          </wp:inline>
        </w:drawing>
      </w:r>
    </w:p>
    <w:p w:rsidR="00A47CF6" w:rsidRPr="00666DF4" w:rsidRDefault="00A47CF6" w:rsidP="00511B0E">
      <w:pPr>
        <w:pStyle w:val="Source"/>
        <w:rPr>
          <w:rFonts w:eastAsia="Arial" w:cs="Arial"/>
          <w:szCs w:val="19"/>
        </w:rPr>
      </w:pPr>
      <w:r w:rsidRPr="00666DF4">
        <w:t>Source: PRIMHD data, extracted on 27 July 2017, except for Northland and Southern DHBs, which submitted data manually</w:t>
      </w:r>
      <w:r w:rsidR="00511B0E">
        <w:t>.</w:t>
      </w:r>
    </w:p>
    <w:p w:rsidR="00A47CF6" w:rsidRPr="00666DF4" w:rsidRDefault="00A47CF6" w:rsidP="00511B0E">
      <w:pPr>
        <w:rPr>
          <w:rFonts w:eastAsia="Arial"/>
        </w:rPr>
      </w:pPr>
    </w:p>
    <w:p w:rsidR="00A47CF6" w:rsidRPr="00BF25EC" w:rsidRDefault="00A47CF6" w:rsidP="00511B0E">
      <w:pPr>
        <w:pStyle w:val="Heading4"/>
        <w:rPr>
          <w:bCs/>
        </w:rPr>
      </w:pPr>
      <w:bookmarkStart w:id="244" w:name="Table_20:_Number_of_people_treated_with_"/>
      <w:bookmarkStart w:id="245" w:name="_bookmark56"/>
      <w:bookmarkEnd w:id="244"/>
      <w:bookmarkEnd w:id="245"/>
      <w:r w:rsidRPr="00BF25EC">
        <w:t>Ethnicity of people treated with electroconvulsive therapy</w:t>
      </w:r>
    </w:p>
    <w:p w:rsidR="00A47CF6" w:rsidRPr="00666DF4" w:rsidRDefault="00A47CF6" w:rsidP="00511B0E">
      <w:pPr>
        <w:keepNext/>
      </w:pPr>
      <w:r w:rsidRPr="00666DF4">
        <w:t>Table 20 suggests that Asian, Māori and Pacific peoples are less likely to receive ECT than those of other ethnicities. However, the numbers involved are so small that it is not statistically appropriate</w:t>
      </w:r>
      <w:r w:rsidR="00BF25EC">
        <w:t xml:space="preserve"> </w:t>
      </w:r>
      <w:r w:rsidRPr="00666DF4">
        <w:t>to compare the percentages of people receiving ECT in each ethnic group with the proportion of each ethnic group in the total population of New Zealand.</w:t>
      </w:r>
    </w:p>
    <w:p w:rsidR="00A47CF6" w:rsidRPr="00666DF4" w:rsidRDefault="00A47CF6" w:rsidP="00511B0E">
      <w:pPr>
        <w:keepNext/>
        <w:rPr>
          <w:rFonts w:eastAsia="Century"/>
        </w:rPr>
      </w:pPr>
    </w:p>
    <w:p w:rsidR="00A47CF6" w:rsidRPr="00666DF4" w:rsidRDefault="00A47CF6" w:rsidP="00511B0E">
      <w:pPr>
        <w:pStyle w:val="Table"/>
        <w:rPr>
          <w:rFonts w:eastAsia="Georgia" w:cs="Georgia"/>
          <w:szCs w:val="19"/>
        </w:rPr>
      </w:pPr>
      <w:bookmarkStart w:id="246" w:name="_Toc508707318"/>
      <w:r w:rsidRPr="00666DF4">
        <w:t>Table 20: Number of people treated with electroconvulsive therapy, by ethnicity, 1 January to 31 December 2016</w:t>
      </w:r>
      <w:bookmarkEnd w:id="246"/>
    </w:p>
    <w:tbl>
      <w:tblPr>
        <w:tblW w:w="0" w:type="auto"/>
        <w:tblInd w:w="57" w:type="dxa"/>
        <w:tblLayout w:type="fixed"/>
        <w:tblCellMar>
          <w:left w:w="57" w:type="dxa"/>
          <w:right w:w="57" w:type="dxa"/>
        </w:tblCellMar>
        <w:tblLook w:val="01E0" w:firstRow="1" w:lastRow="1" w:firstColumn="1" w:lastColumn="1" w:noHBand="0" w:noVBand="0"/>
      </w:tblPr>
      <w:tblGrid>
        <w:gridCol w:w="1482"/>
        <w:gridCol w:w="2098"/>
      </w:tblGrid>
      <w:tr w:rsidR="00A47CF6" w:rsidRPr="00511B0E" w:rsidTr="00511B0E">
        <w:trPr>
          <w:cantSplit/>
        </w:trPr>
        <w:tc>
          <w:tcPr>
            <w:tcW w:w="1482" w:type="dxa"/>
            <w:tcBorders>
              <w:top w:val="single" w:sz="4" w:space="0" w:color="000000"/>
              <w:left w:val="nil"/>
              <w:bottom w:val="single" w:sz="4" w:space="0" w:color="000000"/>
              <w:right w:val="nil"/>
            </w:tcBorders>
          </w:tcPr>
          <w:p w:rsidR="00A47CF6" w:rsidRPr="00511B0E" w:rsidRDefault="00A47CF6" w:rsidP="00511B0E">
            <w:pPr>
              <w:pStyle w:val="TableText"/>
              <w:rPr>
                <w:rFonts w:eastAsia="Arial" w:cs="Arial"/>
                <w:b/>
                <w:szCs w:val="19"/>
              </w:rPr>
            </w:pPr>
            <w:r w:rsidRPr="00511B0E">
              <w:rPr>
                <w:b/>
              </w:rPr>
              <w:t>Ethnicity</w:t>
            </w:r>
          </w:p>
        </w:tc>
        <w:tc>
          <w:tcPr>
            <w:tcW w:w="2098" w:type="dxa"/>
            <w:tcBorders>
              <w:top w:val="single" w:sz="4" w:space="0" w:color="000000"/>
              <w:left w:val="nil"/>
              <w:bottom w:val="single" w:sz="4" w:space="0" w:color="000000"/>
              <w:right w:val="nil"/>
            </w:tcBorders>
          </w:tcPr>
          <w:p w:rsidR="00A47CF6" w:rsidRPr="00511B0E" w:rsidRDefault="00A47CF6" w:rsidP="00511B0E">
            <w:pPr>
              <w:pStyle w:val="TableText"/>
              <w:jc w:val="center"/>
              <w:rPr>
                <w:rFonts w:eastAsia="Arial" w:cs="Arial"/>
                <w:b/>
                <w:szCs w:val="19"/>
              </w:rPr>
            </w:pPr>
            <w:r w:rsidRPr="00511B0E">
              <w:rPr>
                <w:b/>
              </w:rPr>
              <w:t>Number</w:t>
            </w:r>
          </w:p>
        </w:tc>
      </w:tr>
      <w:tr w:rsidR="00A47CF6" w:rsidRPr="00666DF4" w:rsidTr="00511B0E">
        <w:trPr>
          <w:cantSplit/>
        </w:trPr>
        <w:tc>
          <w:tcPr>
            <w:tcW w:w="1482" w:type="dxa"/>
            <w:tcBorders>
              <w:top w:val="single" w:sz="4" w:space="0" w:color="000000"/>
              <w:left w:val="nil"/>
              <w:right w:val="nil"/>
            </w:tcBorders>
          </w:tcPr>
          <w:p w:rsidR="00A47CF6" w:rsidRPr="00666DF4" w:rsidRDefault="00A47CF6" w:rsidP="00511B0E">
            <w:pPr>
              <w:pStyle w:val="TableText"/>
              <w:rPr>
                <w:rFonts w:eastAsia="Arial" w:cs="Arial"/>
                <w:szCs w:val="19"/>
              </w:rPr>
            </w:pPr>
            <w:r w:rsidRPr="00666DF4">
              <w:t>Asian</w:t>
            </w:r>
          </w:p>
        </w:tc>
        <w:tc>
          <w:tcPr>
            <w:tcW w:w="2098" w:type="dxa"/>
            <w:tcBorders>
              <w:top w:val="single" w:sz="4" w:space="0" w:color="000000"/>
              <w:left w:val="nil"/>
              <w:right w:val="nil"/>
            </w:tcBorders>
          </w:tcPr>
          <w:p w:rsidR="00A47CF6" w:rsidRPr="00666DF4" w:rsidRDefault="00A47CF6" w:rsidP="00511B0E">
            <w:pPr>
              <w:pStyle w:val="TableText"/>
              <w:tabs>
                <w:tab w:val="decimal" w:pos="1155"/>
              </w:tabs>
              <w:rPr>
                <w:rFonts w:eastAsia="Arial" w:cs="Arial"/>
                <w:szCs w:val="19"/>
              </w:rPr>
            </w:pPr>
            <w:r w:rsidRPr="00666DF4">
              <w:t>15</w:t>
            </w:r>
          </w:p>
        </w:tc>
      </w:tr>
      <w:tr w:rsidR="00A47CF6" w:rsidRPr="00666DF4" w:rsidTr="00511B0E">
        <w:trPr>
          <w:cantSplit/>
        </w:trPr>
        <w:tc>
          <w:tcPr>
            <w:tcW w:w="1482" w:type="dxa"/>
            <w:tcBorders>
              <w:left w:val="nil"/>
              <w:right w:val="nil"/>
            </w:tcBorders>
          </w:tcPr>
          <w:p w:rsidR="00A47CF6" w:rsidRPr="00666DF4" w:rsidRDefault="00A47CF6" w:rsidP="00511B0E">
            <w:pPr>
              <w:pStyle w:val="TableText"/>
              <w:rPr>
                <w:rFonts w:eastAsia="Arial" w:cs="Arial"/>
                <w:szCs w:val="19"/>
              </w:rPr>
            </w:pPr>
            <w:r w:rsidRPr="00666DF4">
              <w:t>Māori</w:t>
            </w:r>
          </w:p>
        </w:tc>
        <w:tc>
          <w:tcPr>
            <w:tcW w:w="2098" w:type="dxa"/>
            <w:tcBorders>
              <w:left w:val="nil"/>
              <w:right w:val="nil"/>
            </w:tcBorders>
          </w:tcPr>
          <w:p w:rsidR="00A47CF6" w:rsidRPr="00666DF4" w:rsidRDefault="00A47CF6" w:rsidP="00511B0E">
            <w:pPr>
              <w:pStyle w:val="TableText"/>
              <w:tabs>
                <w:tab w:val="decimal" w:pos="1155"/>
              </w:tabs>
              <w:rPr>
                <w:rFonts w:eastAsia="Arial" w:cs="Arial"/>
                <w:szCs w:val="19"/>
              </w:rPr>
            </w:pPr>
            <w:r w:rsidRPr="00666DF4">
              <w:t>24</w:t>
            </w:r>
          </w:p>
        </w:tc>
      </w:tr>
      <w:tr w:rsidR="00A47CF6" w:rsidRPr="00666DF4" w:rsidTr="00511B0E">
        <w:trPr>
          <w:cantSplit/>
        </w:trPr>
        <w:tc>
          <w:tcPr>
            <w:tcW w:w="1482" w:type="dxa"/>
            <w:tcBorders>
              <w:left w:val="nil"/>
              <w:right w:val="nil"/>
            </w:tcBorders>
          </w:tcPr>
          <w:p w:rsidR="00A47CF6" w:rsidRPr="00666DF4" w:rsidRDefault="00A47CF6" w:rsidP="00511B0E">
            <w:pPr>
              <w:pStyle w:val="TableText"/>
              <w:rPr>
                <w:rFonts w:eastAsia="Arial" w:cs="Arial"/>
                <w:szCs w:val="19"/>
              </w:rPr>
            </w:pPr>
            <w:r w:rsidRPr="00666DF4">
              <w:t>Pacific</w:t>
            </w:r>
          </w:p>
        </w:tc>
        <w:tc>
          <w:tcPr>
            <w:tcW w:w="2098" w:type="dxa"/>
            <w:tcBorders>
              <w:left w:val="nil"/>
              <w:right w:val="nil"/>
            </w:tcBorders>
          </w:tcPr>
          <w:p w:rsidR="00A47CF6" w:rsidRPr="00666DF4" w:rsidRDefault="00A47CF6" w:rsidP="00511B0E">
            <w:pPr>
              <w:pStyle w:val="TableText"/>
              <w:tabs>
                <w:tab w:val="decimal" w:pos="1155"/>
              </w:tabs>
              <w:rPr>
                <w:rFonts w:eastAsia="Arial" w:cs="Arial"/>
                <w:szCs w:val="19"/>
              </w:rPr>
            </w:pPr>
            <w:r w:rsidRPr="00666DF4">
              <w:t>8</w:t>
            </w:r>
          </w:p>
        </w:tc>
      </w:tr>
      <w:tr w:rsidR="00A47CF6" w:rsidRPr="00666DF4" w:rsidTr="00511B0E">
        <w:trPr>
          <w:cantSplit/>
        </w:trPr>
        <w:tc>
          <w:tcPr>
            <w:tcW w:w="1482" w:type="dxa"/>
            <w:tcBorders>
              <w:left w:val="nil"/>
              <w:bottom w:val="single" w:sz="4" w:space="0" w:color="A7A9AC"/>
              <w:right w:val="nil"/>
            </w:tcBorders>
          </w:tcPr>
          <w:p w:rsidR="00A47CF6" w:rsidRPr="00666DF4" w:rsidRDefault="00A47CF6" w:rsidP="00511B0E">
            <w:pPr>
              <w:pStyle w:val="TableText"/>
              <w:rPr>
                <w:rFonts w:eastAsia="Arial" w:cs="Arial"/>
                <w:szCs w:val="19"/>
              </w:rPr>
            </w:pPr>
            <w:r w:rsidRPr="00666DF4">
              <w:t>Other</w:t>
            </w:r>
          </w:p>
        </w:tc>
        <w:tc>
          <w:tcPr>
            <w:tcW w:w="2098" w:type="dxa"/>
            <w:tcBorders>
              <w:left w:val="nil"/>
              <w:bottom w:val="single" w:sz="4" w:space="0" w:color="A7A9AC"/>
              <w:right w:val="nil"/>
            </w:tcBorders>
          </w:tcPr>
          <w:p w:rsidR="00A47CF6" w:rsidRPr="00666DF4" w:rsidRDefault="00A47CF6" w:rsidP="00511B0E">
            <w:pPr>
              <w:pStyle w:val="TableText"/>
              <w:tabs>
                <w:tab w:val="decimal" w:pos="1155"/>
              </w:tabs>
              <w:rPr>
                <w:rFonts w:eastAsia="Arial" w:cs="Arial"/>
                <w:szCs w:val="19"/>
              </w:rPr>
            </w:pPr>
            <w:r w:rsidRPr="00666DF4">
              <w:t>204</w:t>
            </w:r>
          </w:p>
        </w:tc>
      </w:tr>
      <w:tr w:rsidR="00A47CF6" w:rsidRPr="00511B0E" w:rsidTr="00511B0E">
        <w:trPr>
          <w:cantSplit/>
        </w:trPr>
        <w:tc>
          <w:tcPr>
            <w:tcW w:w="1482" w:type="dxa"/>
            <w:tcBorders>
              <w:top w:val="single" w:sz="4" w:space="0" w:color="A7A9AC"/>
              <w:left w:val="nil"/>
              <w:bottom w:val="single" w:sz="4" w:space="0" w:color="000000"/>
              <w:right w:val="nil"/>
            </w:tcBorders>
          </w:tcPr>
          <w:p w:rsidR="00A47CF6" w:rsidRPr="00511B0E" w:rsidRDefault="00A47CF6" w:rsidP="00511B0E">
            <w:pPr>
              <w:pStyle w:val="TableText"/>
              <w:rPr>
                <w:rFonts w:eastAsia="Arial" w:cs="Arial"/>
                <w:b/>
                <w:szCs w:val="19"/>
              </w:rPr>
            </w:pPr>
            <w:r w:rsidRPr="00511B0E">
              <w:rPr>
                <w:b/>
              </w:rPr>
              <w:t>Total</w:t>
            </w:r>
          </w:p>
        </w:tc>
        <w:tc>
          <w:tcPr>
            <w:tcW w:w="2098" w:type="dxa"/>
            <w:tcBorders>
              <w:top w:val="single" w:sz="4" w:space="0" w:color="A7A9AC"/>
              <w:left w:val="nil"/>
              <w:bottom w:val="single" w:sz="4" w:space="0" w:color="000000"/>
              <w:right w:val="nil"/>
            </w:tcBorders>
          </w:tcPr>
          <w:p w:rsidR="00A47CF6" w:rsidRPr="00511B0E" w:rsidRDefault="00A47CF6" w:rsidP="00511B0E">
            <w:pPr>
              <w:pStyle w:val="TableText"/>
              <w:tabs>
                <w:tab w:val="decimal" w:pos="1155"/>
              </w:tabs>
              <w:rPr>
                <w:rFonts w:eastAsia="Arial" w:cs="Arial"/>
                <w:b/>
                <w:szCs w:val="19"/>
              </w:rPr>
            </w:pPr>
            <w:r w:rsidRPr="00511B0E">
              <w:rPr>
                <w:b/>
              </w:rPr>
              <w:t>251</w:t>
            </w:r>
          </w:p>
        </w:tc>
      </w:tr>
    </w:tbl>
    <w:p w:rsidR="00A47CF6" w:rsidRDefault="00A47CF6" w:rsidP="00511B0E">
      <w:pPr>
        <w:pStyle w:val="Source"/>
      </w:pPr>
      <w:r w:rsidRPr="00666DF4">
        <w:t>Source: PRIMHD data, extracted on 27 July 2017, except for Northland and Southern DHBs, which submitted data manually</w:t>
      </w:r>
      <w:r w:rsidR="00511B0E">
        <w:t>.</w:t>
      </w:r>
    </w:p>
    <w:p w:rsidR="00511B0E" w:rsidRPr="00511B0E" w:rsidRDefault="00511B0E" w:rsidP="00511B0E">
      <w:pPr>
        <w:rPr>
          <w:rFonts w:eastAsia="Arial"/>
        </w:rPr>
      </w:pPr>
    </w:p>
    <w:p w:rsidR="00A47CF6" w:rsidRPr="00666DF4" w:rsidRDefault="00A47CF6" w:rsidP="00511B0E">
      <w:pPr>
        <w:pStyle w:val="Heading1"/>
        <w:rPr>
          <w:bCs/>
        </w:rPr>
      </w:pPr>
      <w:bookmarkStart w:id="247" w:name="References"/>
      <w:bookmarkStart w:id="248" w:name="_bookmark57"/>
      <w:bookmarkStart w:id="249" w:name="_Toc508707288"/>
      <w:bookmarkEnd w:id="247"/>
      <w:bookmarkEnd w:id="248"/>
      <w:r w:rsidRPr="00666DF4">
        <w:t>References</w:t>
      </w:r>
      <w:bookmarkEnd w:id="249"/>
    </w:p>
    <w:p w:rsidR="00A47CF6" w:rsidRPr="00384F11" w:rsidRDefault="00A47CF6" w:rsidP="00384F11">
      <w:pPr>
        <w:pStyle w:val="References"/>
        <w:rPr>
          <w:rFonts w:eastAsia="Century" w:cs="Century"/>
        </w:rPr>
      </w:pPr>
      <w:proofErr w:type="spellStart"/>
      <w:r w:rsidRPr="00384F11">
        <w:rPr>
          <w:rFonts w:eastAsia="Century" w:cs="Century"/>
        </w:rPr>
        <w:t>ActionStation</w:t>
      </w:r>
      <w:proofErr w:type="spellEnd"/>
      <w:r w:rsidRPr="00384F11">
        <w:rPr>
          <w:rFonts w:eastAsia="Century" w:cs="Century"/>
        </w:rPr>
        <w:t xml:space="preserve">. 2017. </w:t>
      </w:r>
      <w:r w:rsidRPr="004B5EFA">
        <w:rPr>
          <w:rFonts w:eastAsia="Georgia"/>
          <w:i/>
        </w:rPr>
        <w:t>The People</w:t>
      </w:r>
      <w:r w:rsidR="00BF25EC" w:rsidRPr="004B5EFA">
        <w:rPr>
          <w:rFonts w:eastAsia="Georgia"/>
          <w:i/>
        </w:rPr>
        <w:t>’</w:t>
      </w:r>
      <w:r w:rsidRPr="004B5EFA">
        <w:rPr>
          <w:rFonts w:eastAsia="Georgia"/>
          <w:i/>
        </w:rPr>
        <w:t xml:space="preserve">s Mental Health Report: A </w:t>
      </w:r>
      <w:proofErr w:type="spellStart"/>
      <w:r w:rsidRPr="004B5EFA">
        <w:rPr>
          <w:rFonts w:eastAsia="Georgia"/>
          <w:i/>
        </w:rPr>
        <w:t>crowdfunded</w:t>
      </w:r>
      <w:proofErr w:type="spellEnd"/>
      <w:r w:rsidRPr="004B5EFA">
        <w:rPr>
          <w:rFonts w:eastAsia="Georgia"/>
          <w:i/>
        </w:rPr>
        <w:t xml:space="preserve"> and </w:t>
      </w:r>
      <w:proofErr w:type="spellStart"/>
      <w:r w:rsidRPr="004B5EFA">
        <w:rPr>
          <w:rFonts w:eastAsia="Georgia"/>
          <w:i/>
        </w:rPr>
        <w:t>crowdsourced</w:t>
      </w:r>
      <w:proofErr w:type="spellEnd"/>
      <w:r w:rsidRPr="004B5EFA">
        <w:rPr>
          <w:rFonts w:eastAsia="Georgia"/>
          <w:i/>
        </w:rPr>
        <w:t xml:space="preserve"> story-based inquiry into the public mental health system in </w:t>
      </w:r>
      <w:proofErr w:type="spellStart"/>
      <w:r w:rsidRPr="004B5EFA">
        <w:rPr>
          <w:rFonts w:eastAsia="Georgia"/>
          <w:i/>
        </w:rPr>
        <w:t>Aotearoa</w:t>
      </w:r>
      <w:proofErr w:type="spellEnd"/>
      <w:r w:rsidRPr="004B5EFA">
        <w:rPr>
          <w:rFonts w:eastAsia="Georgia"/>
          <w:i/>
        </w:rPr>
        <w:t xml:space="preserve"> New Zealand</w:t>
      </w:r>
      <w:r w:rsidRPr="00384F11">
        <w:rPr>
          <w:rFonts w:eastAsia="Georgia"/>
        </w:rPr>
        <w:t xml:space="preserve">. </w:t>
      </w:r>
      <w:r w:rsidRPr="00384F11">
        <w:rPr>
          <w:rFonts w:eastAsia="Century" w:cs="Century"/>
        </w:rPr>
        <w:t xml:space="preserve">URL: </w:t>
      </w:r>
      <w:hyperlink r:id="rId71">
        <w:r w:rsidRPr="00384F11">
          <w:rPr>
            <w:rFonts w:eastAsia="Century" w:cs="Century"/>
          </w:rPr>
          <w:t>www.peoplesmentalhealthreport.com/</w:t>
        </w:r>
      </w:hyperlink>
    </w:p>
    <w:p w:rsidR="00A47CF6" w:rsidRPr="00384F11" w:rsidRDefault="00A47CF6" w:rsidP="00384F11">
      <w:pPr>
        <w:pStyle w:val="References"/>
        <w:rPr>
          <w:rFonts w:eastAsia="Century" w:cs="Century"/>
        </w:rPr>
      </w:pPr>
      <w:r w:rsidRPr="00384F11">
        <w:t xml:space="preserve">American Psychiatric Association. 2001. </w:t>
      </w:r>
      <w:r w:rsidRPr="004B5EFA">
        <w:rPr>
          <w:i/>
        </w:rPr>
        <w:t>The Practice of ECT: A task force report</w:t>
      </w:r>
      <w:r w:rsidRPr="00384F11">
        <w:t xml:space="preserve"> (2nd </w:t>
      </w:r>
      <w:proofErr w:type="spellStart"/>
      <w:proofErr w:type="gramStart"/>
      <w:r w:rsidRPr="00384F11">
        <w:t>ed</w:t>
      </w:r>
      <w:proofErr w:type="spellEnd"/>
      <w:proofErr w:type="gramEnd"/>
      <w:r w:rsidRPr="00384F11">
        <w:t>). Washington, DC: American Psychiatric Association.</w:t>
      </w:r>
    </w:p>
    <w:p w:rsidR="00A47CF6" w:rsidRPr="00384F11" w:rsidRDefault="00A47CF6" w:rsidP="00384F11">
      <w:pPr>
        <w:pStyle w:val="References"/>
        <w:rPr>
          <w:rFonts w:eastAsia="Century" w:cs="Century"/>
        </w:rPr>
      </w:pPr>
      <w:r w:rsidRPr="00384F11">
        <w:rPr>
          <w:rFonts w:eastAsia="Century" w:cs="Century"/>
        </w:rPr>
        <w:t xml:space="preserve">Associate Minister of Health. 2006. </w:t>
      </w:r>
      <w:r w:rsidRPr="004B5EFA">
        <w:rPr>
          <w:rFonts w:eastAsia="Georgia"/>
          <w:i/>
        </w:rPr>
        <w:t>New Zealand Suicide Prevention Strategy 2006–2016</w:t>
      </w:r>
      <w:r w:rsidRPr="00384F11">
        <w:rPr>
          <w:rFonts w:eastAsia="Century" w:cs="Century"/>
        </w:rPr>
        <w:t>. Wellington: Ministry of Health.</w:t>
      </w:r>
    </w:p>
    <w:p w:rsidR="00A47CF6" w:rsidRPr="00384F11" w:rsidRDefault="00A47CF6" w:rsidP="00384F11">
      <w:pPr>
        <w:pStyle w:val="References"/>
        <w:rPr>
          <w:rFonts w:eastAsia="Century" w:cs="Century"/>
        </w:rPr>
      </w:pPr>
      <w:r w:rsidRPr="00384F11">
        <w:t xml:space="preserve">Baker M. 2015. </w:t>
      </w:r>
      <w:r w:rsidRPr="004B5EFA">
        <w:rPr>
          <w:i/>
        </w:rPr>
        <w:t xml:space="preserve">He Kai </w:t>
      </w:r>
      <w:proofErr w:type="spellStart"/>
      <w:r w:rsidRPr="004B5EFA">
        <w:rPr>
          <w:i/>
        </w:rPr>
        <w:t>i</w:t>
      </w:r>
      <w:proofErr w:type="spellEnd"/>
      <w:r w:rsidRPr="004B5EFA">
        <w:rPr>
          <w:i/>
        </w:rPr>
        <w:t xml:space="preserve"> </w:t>
      </w:r>
      <w:proofErr w:type="spellStart"/>
      <w:r w:rsidRPr="004B5EFA">
        <w:rPr>
          <w:i/>
        </w:rPr>
        <w:t>nga</w:t>
      </w:r>
      <w:proofErr w:type="spellEnd"/>
      <w:r w:rsidRPr="004B5EFA">
        <w:rPr>
          <w:i/>
        </w:rPr>
        <w:t xml:space="preserve"> </w:t>
      </w:r>
      <w:proofErr w:type="spellStart"/>
      <w:r w:rsidRPr="004B5EFA">
        <w:rPr>
          <w:i/>
        </w:rPr>
        <w:t>Rangatira</w:t>
      </w:r>
      <w:proofErr w:type="spellEnd"/>
      <w:r w:rsidRPr="004B5EFA">
        <w:rPr>
          <w:i/>
        </w:rPr>
        <w:t xml:space="preserve">: He korero o </w:t>
      </w:r>
      <w:proofErr w:type="spellStart"/>
      <w:r w:rsidRPr="004B5EFA">
        <w:rPr>
          <w:i/>
        </w:rPr>
        <w:t>nga</w:t>
      </w:r>
      <w:proofErr w:type="spellEnd"/>
      <w:r w:rsidRPr="004B5EFA">
        <w:rPr>
          <w:i/>
        </w:rPr>
        <w:t xml:space="preserve"> </w:t>
      </w:r>
      <w:proofErr w:type="spellStart"/>
      <w:r w:rsidRPr="004B5EFA">
        <w:rPr>
          <w:i/>
        </w:rPr>
        <w:t>whānau</w:t>
      </w:r>
      <w:proofErr w:type="spellEnd"/>
      <w:r w:rsidRPr="004B5EFA">
        <w:rPr>
          <w:i/>
        </w:rPr>
        <w:t xml:space="preserve"> </w:t>
      </w:r>
      <w:proofErr w:type="spellStart"/>
      <w:r w:rsidRPr="004B5EFA">
        <w:rPr>
          <w:i/>
        </w:rPr>
        <w:t>whaiora</w:t>
      </w:r>
      <w:proofErr w:type="spellEnd"/>
      <w:r w:rsidRPr="00384F11">
        <w:t xml:space="preserve">. Wellington: </w:t>
      </w:r>
      <w:proofErr w:type="spellStart"/>
      <w:r w:rsidRPr="00384F11">
        <w:t>Te</w:t>
      </w:r>
      <w:proofErr w:type="spellEnd"/>
      <w:r w:rsidRPr="00384F11">
        <w:t xml:space="preserve"> Rau </w:t>
      </w:r>
      <w:proofErr w:type="spellStart"/>
      <w:r w:rsidRPr="00384F11">
        <w:t>Matatini</w:t>
      </w:r>
      <w:proofErr w:type="spellEnd"/>
      <w:r w:rsidRPr="00384F11">
        <w:t xml:space="preserve"> Ltd.</w:t>
      </w:r>
    </w:p>
    <w:p w:rsidR="00A47CF6" w:rsidRPr="00384F11" w:rsidRDefault="00A47CF6" w:rsidP="00384F11">
      <w:pPr>
        <w:pStyle w:val="References"/>
        <w:rPr>
          <w:rFonts w:eastAsia="Century" w:cs="Century"/>
        </w:rPr>
      </w:pPr>
      <w:proofErr w:type="spellStart"/>
      <w:r w:rsidRPr="00384F11">
        <w:t>Beautrais</w:t>
      </w:r>
      <w:proofErr w:type="spellEnd"/>
      <w:r w:rsidRPr="00384F11">
        <w:t xml:space="preserve"> AL, </w:t>
      </w:r>
      <w:proofErr w:type="spellStart"/>
      <w:r w:rsidRPr="00384F11">
        <w:t>Collings</w:t>
      </w:r>
      <w:proofErr w:type="spellEnd"/>
      <w:r w:rsidRPr="00384F11">
        <w:t xml:space="preserve"> SCD, </w:t>
      </w:r>
      <w:proofErr w:type="spellStart"/>
      <w:r w:rsidRPr="00384F11">
        <w:t>Ehrhardt</w:t>
      </w:r>
      <w:proofErr w:type="spellEnd"/>
      <w:r w:rsidRPr="00384F11">
        <w:t xml:space="preserve"> P, et al. 2005. </w:t>
      </w:r>
      <w:r w:rsidRPr="004B5EFA">
        <w:rPr>
          <w:i/>
        </w:rPr>
        <w:t>Suicide Prevention: A review of evidence of risk and protective factors, and points of effective intervention</w:t>
      </w:r>
      <w:r w:rsidRPr="00384F11">
        <w:t>. Wellington: Ministry of Health.</w:t>
      </w:r>
    </w:p>
    <w:p w:rsidR="00A47CF6" w:rsidRPr="00384F11" w:rsidRDefault="00A47CF6" w:rsidP="00384F11">
      <w:pPr>
        <w:pStyle w:val="References"/>
        <w:rPr>
          <w:rFonts w:eastAsia="Century" w:cs="Century"/>
        </w:rPr>
      </w:pPr>
      <w:r w:rsidRPr="00384F11">
        <w:rPr>
          <w:rFonts w:eastAsia="Century" w:cs="Century"/>
        </w:rPr>
        <w:t xml:space="preserve">Elder H, </w:t>
      </w:r>
      <w:proofErr w:type="spellStart"/>
      <w:r w:rsidRPr="00384F11">
        <w:rPr>
          <w:rFonts w:eastAsia="Century" w:cs="Century"/>
        </w:rPr>
        <w:t>Tapsell</w:t>
      </w:r>
      <w:proofErr w:type="spellEnd"/>
      <w:r w:rsidRPr="00384F11">
        <w:rPr>
          <w:rFonts w:eastAsia="Century" w:cs="Century"/>
        </w:rPr>
        <w:t xml:space="preserve"> R. 2013. </w:t>
      </w:r>
      <w:r w:rsidRPr="004B5EFA">
        <w:rPr>
          <w:rFonts w:eastAsia="Georgia"/>
          <w:i/>
        </w:rPr>
        <w:t>Māori and the Mental Health Act</w:t>
      </w:r>
      <w:r w:rsidRPr="00384F11">
        <w:rPr>
          <w:rFonts w:eastAsia="Century" w:cs="Century"/>
        </w:rPr>
        <w:t>. In J Dawson and K Gledhill (</w:t>
      </w:r>
      <w:proofErr w:type="spellStart"/>
      <w:proofErr w:type="gramStart"/>
      <w:r w:rsidRPr="00384F11">
        <w:rPr>
          <w:rFonts w:eastAsia="Century" w:cs="Century"/>
        </w:rPr>
        <w:t>eds</w:t>
      </w:r>
      <w:proofErr w:type="spellEnd"/>
      <w:proofErr w:type="gramEnd"/>
      <w:r w:rsidRPr="00384F11">
        <w:rPr>
          <w:rFonts w:eastAsia="Century" w:cs="Century"/>
        </w:rPr>
        <w:t xml:space="preserve">). </w:t>
      </w:r>
      <w:r w:rsidRPr="004B5EFA">
        <w:rPr>
          <w:rFonts w:eastAsia="Georgia"/>
          <w:i/>
        </w:rPr>
        <w:t>New Zealand</w:t>
      </w:r>
      <w:r w:rsidR="00BF25EC" w:rsidRPr="004B5EFA">
        <w:rPr>
          <w:rFonts w:eastAsia="Georgia"/>
          <w:i/>
        </w:rPr>
        <w:t>’</w:t>
      </w:r>
      <w:r w:rsidRPr="004B5EFA">
        <w:rPr>
          <w:rFonts w:eastAsia="Georgia"/>
          <w:i/>
        </w:rPr>
        <w:t>s Mental Health Act in Practice</w:t>
      </w:r>
      <w:r w:rsidRPr="00384F11">
        <w:rPr>
          <w:rFonts w:eastAsia="Century" w:cs="Century"/>
        </w:rPr>
        <w:t>. Wellington: Victoria University Press.</w:t>
      </w:r>
    </w:p>
    <w:p w:rsidR="00A47CF6" w:rsidRPr="00384F11" w:rsidRDefault="00A47CF6" w:rsidP="00384F11">
      <w:pPr>
        <w:pStyle w:val="References"/>
        <w:rPr>
          <w:rFonts w:eastAsia="Century" w:cs="Century"/>
        </w:rPr>
      </w:pPr>
      <w:proofErr w:type="spellStart"/>
      <w:r w:rsidRPr="00384F11">
        <w:t>Huckshorn</w:t>
      </w:r>
      <w:proofErr w:type="spellEnd"/>
      <w:r w:rsidRPr="00384F11">
        <w:t xml:space="preserve"> KA. 2005. </w:t>
      </w:r>
      <w:r w:rsidRPr="004B5EFA">
        <w:rPr>
          <w:i/>
        </w:rPr>
        <w:t>Six Core Strategies to Reduce the Use of Seclusion and Restraint Planning Tool</w:t>
      </w:r>
      <w:r w:rsidRPr="00384F11">
        <w:t>. Alexandria, VA: National Association of State Mental Health Program Directors.</w:t>
      </w:r>
    </w:p>
    <w:p w:rsidR="00A47CF6" w:rsidRPr="00384F11" w:rsidRDefault="00A47CF6" w:rsidP="00384F11">
      <w:pPr>
        <w:pStyle w:val="References"/>
        <w:rPr>
          <w:rFonts w:eastAsia="Century" w:cs="Century"/>
        </w:rPr>
      </w:pPr>
      <w:r w:rsidRPr="00384F11">
        <w:t xml:space="preserve">Ministry of Health. 2004. </w:t>
      </w:r>
      <w:r w:rsidRPr="004B5EFA">
        <w:rPr>
          <w:i/>
        </w:rPr>
        <w:t>Use of Electroconvulsive Therapy (ECT) in New Zealand: A review of efficacy, safety, and regulatory controls</w:t>
      </w:r>
      <w:r w:rsidRPr="00384F11">
        <w:t>. Wellington: Ministry of Health.</w:t>
      </w:r>
    </w:p>
    <w:p w:rsidR="00A47CF6" w:rsidRPr="00384F11" w:rsidRDefault="00A47CF6" w:rsidP="00384F11">
      <w:pPr>
        <w:pStyle w:val="References"/>
        <w:rPr>
          <w:rFonts w:eastAsia="Century" w:cs="Century"/>
        </w:rPr>
      </w:pPr>
      <w:r w:rsidRPr="00384F11">
        <w:t xml:space="preserve">Ministry of Health. 2006. </w:t>
      </w:r>
      <w:r w:rsidRPr="004B5EFA">
        <w:rPr>
          <w:i/>
        </w:rPr>
        <w:t>Review of the Application of Section 7A of the Mental Health (Compulsory Assessment and Treatment) Act 1992</w:t>
      </w:r>
      <w:r w:rsidRPr="00384F11">
        <w:t>. Wellington: Ministry of Health.</w:t>
      </w:r>
    </w:p>
    <w:p w:rsidR="00A47CF6" w:rsidRPr="00384F11" w:rsidRDefault="00A47CF6" w:rsidP="00384F11">
      <w:pPr>
        <w:pStyle w:val="References"/>
        <w:rPr>
          <w:rFonts w:eastAsia="Century" w:cs="Century"/>
        </w:rPr>
      </w:pPr>
      <w:r w:rsidRPr="00384F11">
        <w:t xml:space="preserve">Ministry of Health. 2007. </w:t>
      </w:r>
      <w:r w:rsidRPr="004B5EFA">
        <w:rPr>
          <w:i/>
        </w:rPr>
        <w:t>National Guidelines: Interim methadone prescribing</w:t>
      </w:r>
      <w:r w:rsidRPr="00384F11">
        <w:t>. Wellington: Ministry of Health.</w:t>
      </w:r>
    </w:p>
    <w:p w:rsidR="00A47CF6" w:rsidRPr="00384F11" w:rsidRDefault="00A47CF6" w:rsidP="00384F11">
      <w:pPr>
        <w:pStyle w:val="References"/>
        <w:rPr>
          <w:rFonts w:eastAsia="Century" w:cs="Century"/>
        </w:rPr>
      </w:pPr>
      <w:r w:rsidRPr="00384F11">
        <w:t xml:space="preserve">Ministry of Health. 2009. </w:t>
      </w:r>
      <w:r w:rsidRPr="004B5EFA">
        <w:rPr>
          <w:i/>
        </w:rPr>
        <w:t xml:space="preserve">Electroconvulsive Therapy (ECT) in New Zealand: What you and your family and </w:t>
      </w:r>
      <w:proofErr w:type="spellStart"/>
      <w:r w:rsidRPr="004B5EFA">
        <w:rPr>
          <w:i/>
        </w:rPr>
        <w:t>whānau</w:t>
      </w:r>
      <w:proofErr w:type="spellEnd"/>
      <w:r w:rsidRPr="004B5EFA">
        <w:rPr>
          <w:i/>
        </w:rPr>
        <w:t xml:space="preserve"> need to know</w:t>
      </w:r>
      <w:r w:rsidRPr="00384F11">
        <w:t>. Wellington: Ministry of Health.</w:t>
      </w:r>
    </w:p>
    <w:p w:rsidR="00A47CF6" w:rsidRPr="00384F11" w:rsidRDefault="00A47CF6" w:rsidP="00384F11">
      <w:pPr>
        <w:pStyle w:val="References"/>
        <w:rPr>
          <w:rFonts w:eastAsia="Century" w:cs="Century"/>
        </w:rPr>
      </w:pPr>
      <w:r w:rsidRPr="00384F11">
        <w:t xml:space="preserve">Ministry of Health. 2010. </w:t>
      </w:r>
      <w:r w:rsidRPr="004B5EFA">
        <w:rPr>
          <w:i/>
        </w:rPr>
        <w:t>Seclusion under the Mental Health (Compulsory Assessment and Treatment) Act 1992</w:t>
      </w:r>
      <w:r w:rsidRPr="00384F11">
        <w:t>. Wellington: Ministry of Health.</w:t>
      </w:r>
    </w:p>
    <w:p w:rsidR="00A47CF6" w:rsidRPr="00384F11" w:rsidRDefault="00A47CF6" w:rsidP="00384F11">
      <w:pPr>
        <w:pStyle w:val="References"/>
        <w:rPr>
          <w:rFonts w:eastAsia="Century" w:cs="Century"/>
        </w:rPr>
      </w:pPr>
      <w:r w:rsidRPr="00384F11">
        <w:t xml:space="preserve">Ministry of Health. 2012a. </w:t>
      </w:r>
      <w:r w:rsidRPr="004B5EFA">
        <w:rPr>
          <w:i/>
        </w:rPr>
        <w:t>Guidelines for the Role and Function of Directors of Area Mental Health Services</w:t>
      </w:r>
      <w:r w:rsidRPr="00384F11">
        <w:t>. Wellington: Ministry of Health.</w:t>
      </w:r>
    </w:p>
    <w:p w:rsidR="00A47CF6" w:rsidRPr="00384F11" w:rsidRDefault="00A47CF6" w:rsidP="00384F11">
      <w:pPr>
        <w:pStyle w:val="References"/>
        <w:rPr>
          <w:rFonts w:eastAsia="Century" w:cs="Century"/>
        </w:rPr>
      </w:pPr>
      <w:r w:rsidRPr="00384F11">
        <w:t xml:space="preserve">Ministry of Health. 2012b. </w:t>
      </w:r>
      <w:r w:rsidRPr="004B5EFA">
        <w:rPr>
          <w:i/>
        </w:rPr>
        <w:t>Guidelines for the Role and Function of District Inspectors Appointed under the Mental Health (Compulsory Assessment and Treatment) Act 1992</w:t>
      </w:r>
      <w:r w:rsidRPr="00384F11">
        <w:t>. Wellington: Ministry of Health.</w:t>
      </w:r>
    </w:p>
    <w:p w:rsidR="00A47CF6" w:rsidRPr="00384F11" w:rsidRDefault="00A47CF6" w:rsidP="00384F11">
      <w:pPr>
        <w:pStyle w:val="References"/>
        <w:rPr>
          <w:rFonts w:eastAsia="Century" w:cs="Century"/>
        </w:rPr>
      </w:pPr>
      <w:r w:rsidRPr="00384F11">
        <w:t xml:space="preserve">Ministry of Health. 2012c. </w:t>
      </w:r>
      <w:r w:rsidRPr="004B5EFA">
        <w:rPr>
          <w:i/>
        </w:rPr>
        <w:t>Guidelines for the Role and Function of Duly Authorised Officers under the Mental Health Act 1992</w:t>
      </w:r>
      <w:r w:rsidRPr="00384F11">
        <w:t>. Wellington: Ministry of Health.</w:t>
      </w:r>
    </w:p>
    <w:p w:rsidR="00A47CF6" w:rsidRPr="00384F11" w:rsidRDefault="00A47CF6" w:rsidP="00384F11">
      <w:pPr>
        <w:pStyle w:val="References"/>
        <w:rPr>
          <w:rFonts w:eastAsia="Century" w:cs="Century"/>
        </w:rPr>
      </w:pPr>
      <w:r w:rsidRPr="00384F11">
        <w:t xml:space="preserve">Ministry of Health. 2012d. </w:t>
      </w:r>
      <w:r w:rsidRPr="004B5EFA">
        <w:rPr>
          <w:i/>
        </w:rPr>
        <w:t>Guidelines to the Mental Health (Compulsory Assessment and Treatment) Act 1992</w:t>
      </w:r>
      <w:r w:rsidRPr="00384F11">
        <w:t>. Wellington: Ministry of Health.</w:t>
      </w:r>
    </w:p>
    <w:p w:rsidR="00A47CF6" w:rsidRPr="00384F11" w:rsidRDefault="00A47CF6" w:rsidP="00384F11">
      <w:pPr>
        <w:pStyle w:val="References"/>
        <w:rPr>
          <w:rFonts w:eastAsia="Century" w:cs="Century"/>
        </w:rPr>
      </w:pPr>
      <w:r w:rsidRPr="00384F11">
        <w:rPr>
          <w:rFonts w:eastAsia="Century" w:cs="Century"/>
        </w:rPr>
        <w:t xml:space="preserve">Ministry of Health. 2012e. </w:t>
      </w:r>
      <w:r w:rsidRPr="004B5EFA">
        <w:rPr>
          <w:rFonts w:eastAsia="Georgia"/>
          <w:i/>
        </w:rPr>
        <w:t>Rising to the Challenge: The Mental Health and Addiction Service Development Plan 2012–2017</w:t>
      </w:r>
      <w:r w:rsidRPr="00384F11">
        <w:rPr>
          <w:rFonts w:eastAsia="Century" w:cs="Century"/>
        </w:rPr>
        <w:t>. Wellington: Ministry of Health.</w:t>
      </w:r>
    </w:p>
    <w:p w:rsidR="00A47CF6" w:rsidRPr="00384F11" w:rsidRDefault="00A47CF6" w:rsidP="00384F11">
      <w:pPr>
        <w:pStyle w:val="References"/>
        <w:rPr>
          <w:rFonts w:eastAsia="Century" w:cs="Century"/>
        </w:rPr>
      </w:pPr>
      <w:r w:rsidRPr="00384F11">
        <w:rPr>
          <w:rFonts w:eastAsia="Century" w:cs="Century"/>
        </w:rPr>
        <w:t xml:space="preserve">Ministry of Health. 2013a. </w:t>
      </w:r>
      <w:r w:rsidRPr="004B5EFA">
        <w:rPr>
          <w:rFonts w:eastAsia="Georgia"/>
          <w:i/>
        </w:rPr>
        <w:t>New Zealand Suicide Prevention Action Plan 2013–2016</w:t>
      </w:r>
      <w:r w:rsidRPr="00384F11">
        <w:rPr>
          <w:rFonts w:eastAsia="Century" w:cs="Century"/>
        </w:rPr>
        <w:t>. Wellington: Ministry of Health.</w:t>
      </w:r>
    </w:p>
    <w:p w:rsidR="00A47CF6" w:rsidRPr="00384F11" w:rsidRDefault="00A47CF6" w:rsidP="00384F11">
      <w:pPr>
        <w:pStyle w:val="References"/>
        <w:rPr>
          <w:rFonts w:eastAsia="Century" w:cs="Century"/>
        </w:rPr>
      </w:pPr>
      <w:r w:rsidRPr="00384F11">
        <w:t xml:space="preserve">Ministry of Health. 2013b. </w:t>
      </w:r>
      <w:r w:rsidRPr="004B5EFA">
        <w:rPr>
          <w:i/>
        </w:rPr>
        <w:t>PRIMHD: Mental health data</w:t>
      </w:r>
      <w:r w:rsidRPr="00384F11">
        <w:t xml:space="preserve">. URL: </w:t>
      </w:r>
      <w:hyperlink r:id="rId72">
        <w:r w:rsidRPr="00384F11">
          <w:t>www.health.govt.nz/nz-health-statistics/</w:t>
        </w:r>
      </w:hyperlink>
      <w:r w:rsidRPr="00384F11">
        <w:t xml:space="preserve"> </w:t>
      </w:r>
      <w:hyperlink r:id="rId73">
        <w:r w:rsidRPr="00384F11">
          <w:t>national-collections-and-surveys/collections/primhd-mental-health-data</w:t>
        </w:r>
      </w:hyperlink>
      <w:r w:rsidRPr="00384F11">
        <w:t xml:space="preserve"> (accessed 8</w:t>
      </w:r>
      <w:r w:rsidR="004B5EFA">
        <w:t> </w:t>
      </w:r>
      <w:r w:rsidRPr="00384F11">
        <w:t>September 2016).</w:t>
      </w:r>
    </w:p>
    <w:p w:rsidR="00A47CF6" w:rsidRPr="00384F11" w:rsidRDefault="00A47CF6" w:rsidP="00384F11">
      <w:pPr>
        <w:pStyle w:val="References"/>
        <w:rPr>
          <w:rFonts w:eastAsia="Century" w:cs="Century"/>
        </w:rPr>
      </w:pPr>
      <w:r w:rsidRPr="00384F11">
        <w:t xml:space="preserve">Ministry of Health. 2014. </w:t>
      </w:r>
      <w:r w:rsidRPr="004B5EFA">
        <w:rPr>
          <w:i/>
        </w:rPr>
        <w:t>New Zealand Practice Guidelines for Opioid Substitution Treatment</w:t>
      </w:r>
      <w:r w:rsidRPr="00384F11">
        <w:t>. Wellington: Ministry of Health.</w:t>
      </w:r>
    </w:p>
    <w:p w:rsidR="00A47CF6" w:rsidRPr="00384F11" w:rsidRDefault="00A47CF6" w:rsidP="00384F11">
      <w:pPr>
        <w:pStyle w:val="References"/>
        <w:rPr>
          <w:rFonts w:eastAsia="Century" w:cs="Century"/>
        </w:rPr>
      </w:pPr>
      <w:r w:rsidRPr="00384F11">
        <w:t xml:space="preserve">Ministry of Health. 2015a. </w:t>
      </w:r>
      <w:r w:rsidRPr="004B5EFA">
        <w:rPr>
          <w:i/>
        </w:rPr>
        <w:t>Suicide Facts: Deaths and intentional self-harm hospitalisations 2012</w:t>
      </w:r>
      <w:r w:rsidRPr="00384F11">
        <w:t>. Wellington: Ministry of Health.</w:t>
      </w:r>
    </w:p>
    <w:p w:rsidR="00A47CF6" w:rsidRPr="00384F11" w:rsidRDefault="00A47CF6" w:rsidP="00384F11">
      <w:pPr>
        <w:pStyle w:val="References"/>
        <w:rPr>
          <w:rFonts w:eastAsia="Century" w:cs="Century"/>
        </w:rPr>
      </w:pPr>
      <w:r w:rsidRPr="00384F11">
        <w:rPr>
          <w:rFonts w:eastAsia="Century" w:cs="Century"/>
        </w:rPr>
        <w:t xml:space="preserve">Ministry of Health. 2016. </w:t>
      </w:r>
      <w:r w:rsidRPr="004B5EFA">
        <w:rPr>
          <w:rFonts w:eastAsia="Georgia"/>
          <w:i/>
        </w:rPr>
        <w:t>New Zealand Health Strategy 2016–2026</w:t>
      </w:r>
      <w:r w:rsidRPr="00384F11">
        <w:rPr>
          <w:rFonts w:eastAsia="Georgia"/>
        </w:rPr>
        <w:t xml:space="preserve">. </w:t>
      </w:r>
      <w:r w:rsidRPr="00384F11">
        <w:rPr>
          <w:rFonts w:eastAsia="Century" w:cs="Century"/>
        </w:rPr>
        <w:t>Wellington: Ministry of Health.</w:t>
      </w:r>
    </w:p>
    <w:p w:rsidR="00A47CF6" w:rsidRPr="00384F11" w:rsidRDefault="00A47CF6" w:rsidP="00384F11">
      <w:pPr>
        <w:pStyle w:val="References"/>
        <w:rPr>
          <w:rFonts w:eastAsia="Century" w:cs="Century"/>
        </w:rPr>
      </w:pPr>
      <w:r w:rsidRPr="00384F11">
        <w:t xml:space="preserve">New Zealand Law Commission. 2012. </w:t>
      </w:r>
      <w:r w:rsidRPr="004B5EFA">
        <w:rPr>
          <w:i/>
        </w:rPr>
        <w:t>Compulsory Treatment for Substance Dependence: A review of the Alcoholism and Drug Addiction Act 1966</w:t>
      </w:r>
      <w:r w:rsidRPr="00384F11">
        <w:t>. Wellington: New Zealand Law Commission.</w:t>
      </w:r>
    </w:p>
    <w:p w:rsidR="00A47CF6" w:rsidRPr="00384F11" w:rsidRDefault="00A47CF6" w:rsidP="00384F11">
      <w:pPr>
        <w:pStyle w:val="References"/>
        <w:rPr>
          <w:rFonts w:eastAsia="Century" w:cs="Century"/>
        </w:rPr>
      </w:pPr>
      <w:r w:rsidRPr="00384F11">
        <w:t>Oakley Browne MA, Wells JE, Scott KM (</w:t>
      </w:r>
      <w:proofErr w:type="spellStart"/>
      <w:proofErr w:type="gramStart"/>
      <w:r w:rsidRPr="00384F11">
        <w:t>eds</w:t>
      </w:r>
      <w:proofErr w:type="spellEnd"/>
      <w:proofErr w:type="gramEnd"/>
      <w:r w:rsidRPr="00384F11">
        <w:t xml:space="preserve">). 2006. </w:t>
      </w:r>
      <w:proofErr w:type="spellStart"/>
      <w:r w:rsidRPr="004B5EFA">
        <w:rPr>
          <w:i/>
        </w:rPr>
        <w:t>Te</w:t>
      </w:r>
      <w:proofErr w:type="spellEnd"/>
      <w:r w:rsidRPr="004B5EFA">
        <w:rPr>
          <w:i/>
        </w:rPr>
        <w:t xml:space="preserve"> Rau </w:t>
      </w:r>
      <w:proofErr w:type="spellStart"/>
      <w:r w:rsidRPr="004B5EFA">
        <w:rPr>
          <w:i/>
        </w:rPr>
        <w:t>Hinengaro</w:t>
      </w:r>
      <w:proofErr w:type="spellEnd"/>
      <w:r w:rsidRPr="004B5EFA">
        <w:rPr>
          <w:i/>
        </w:rPr>
        <w:t>: The New Zealand Mental Health Survey</w:t>
      </w:r>
      <w:r w:rsidRPr="00384F11">
        <w:t>. Wellington: Ministry of Health.</w:t>
      </w:r>
    </w:p>
    <w:p w:rsidR="00A47CF6" w:rsidRPr="00384F11" w:rsidRDefault="00A47CF6" w:rsidP="00384F11">
      <w:pPr>
        <w:pStyle w:val="References"/>
        <w:rPr>
          <w:rFonts w:eastAsia="Century" w:cs="Century"/>
        </w:rPr>
      </w:pPr>
      <w:r w:rsidRPr="00384F11">
        <w:t xml:space="preserve">Standards New Zealand. 2008a. </w:t>
      </w:r>
      <w:r w:rsidRPr="004B5EFA">
        <w:rPr>
          <w:i/>
        </w:rPr>
        <w:t>Health and Disability Services (General) Standard</w:t>
      </w:r>
      <w:r w:rsidRPr="00384F11">
        <w:t>. Wellington: Standards Council.</w:t>
      </w:r>
    </w:p>
    <w:p w:rsidR="00A47CF6" w:rsidRPr="00384F11" w:rsidRDefault="00A47CF6" w:rsidP="00384F11">
      <w:pPr>
        <w:pStyle w:val="References"/>
        <w:rPr>
          <w:rFonts w:eastAsia="Century" w:cs="Century"/>
        </w:rPr>
      </w:pPr>
      <w:r w:rsidRPr="00384F11">
        <w:t xml:space="preserve">Standards New Zealand. 2008b. </w:t>
      </w:r>
      <w:r w:rsidRPr="004B5EFA">
        <w:rPr>
          <w:i/>
        </w:rPr>
        <w:t>Health and Disability Services (Restraint Minimisation and Safe Practices) Standards</w:t>
      </w:r>
      <w:r w:rsidRPr="00384F11">
        <w:t>. Wellington: Standards Council.</w:t>
      </w:r>
    </w:p>
    <w:p w:rsidR="00A47CF6" w:rsidRPr="00666DF4" w:rsidRDefault="00A47CF6" w:rsidP="00384F11">
      <w:pPr>
        <w:rPr>
          <w:rFonts w:eastAsia="Century"/>
        </w:rPr>
      </w:pPr>
    </w:p>
    <w:p w:rsidR="00A47CF6" w:rsidRPr="00666DF4" w:rsidRDefault="00A47CF6" w:rsidP="004B5EFA">
      <w:pPr>
        <w:pStyle w:val="Heading1"/>
        <w:rPr>
          <w:bCs/>
        </w:rPr>
      </w:pPr>
      <w:bookmarkStart w:id="250" w:name="Appendix_1:_Caveats_relating_to_the_Prog"/>
      <w:bookmarkStart w:id="251" w:name="_bookmark58"/>
      <w:bookmarkStart w:id="252" w:name="_Toc508707289"/>
      <w:bookmarkEnd w:id="250"/>
      <w:bookmarkEnd w:id="251"/>
      <w:r w:rsidRPr="00666DF4">
        <w:t>Appendix 1: Caveats relating to the Programme for the Integration of Mental Health Data</w:t>
      </w:r>
      <w:bookmarkEnd w:id="252"/>
    </w:p>
    <w:p w:rsidR="00A47CF6" w:rsidRPr="00666DF4" w:rsidRDefault="00A47CF6" w:rsidP="004B5EFA">
      <w:r w:rsidRPr="00666DF4">
        <w:t xml:space="preserve">The Programme for the Integration of Mental Health Data, or PRIMHD (pronounced </w:t>
      </w:r>
      <w:r w:rsidR="00BF25EC">
        <w:t>‘</w:t>
      </w:r>
      <w:r w:rsidRPr="00666DF4">
        <w:t>primed</w:t>
      </w:r>
      <w:r w:rsidR="00BF25EC">
        <w:t>’</w:t>
      </w:r>
      <w:r w:rsidRPr="00666DF4">
        <w:t>), is the Ministry of Health</w:t>
      </w:r>
      <w:r w:rsidR="00BF25EC">
        <w:t>’</w:t>
      </w:r>
      <w:r w:rsidRPr="00666DF4">
        <w:t>s national collection for mental health and addiction service activity and outcome data for mental health consumers. PRIMHD data is used to report on what services are being provided, who is providing the services, and what outcomes are being achieved for health consumers across New Zealand</w:t>
      </w:r>
      <w:r w:rsidR="00BF25EC">
        <w:t>’</w:t>
      </w:r>
      <w:r w:rsidRPr="00666DF4">
        <w:t>s mental health sector. These reports enable mental health and addiction service providers</w:t>
      </w:r>
      <w:r w:rsidR="004B5EFA">
        <w:t xml:space="preserve"> </w:t>
      </w:r>
      <w:r w:rsidRPr="00666DF4">
        <w:t>to carry out better service planning and decision-making at the local, regional and national levels (Ministry of Health 2013b). PRIMHD reports are invaluable for facilitating important conversations and debates about mental health issues in New Zealand.</w:t>
      </w:r>
    </w:p>
    <w:p w:rsidR="00A47CF6" w:rsidRPr="00666DF4" w:rsidRDefault="00A47CF6" w:rsidP="004B5EFA">
      <w:pPr>
        <w:rPr>
          <w:rFonts w:eastAsia="Century"/>
        </w:rPr>
      </w:pPr>
    </w:p>
    <w:p w:rsidR="00A47CF6" w:rsidRPr="00666DF4" w:rsidRDefault="00A47CF6" w:rsidP="004B5EFA">
      <w:r w:rsidRPr="00666DF4">
        <w:t>In 2008, it became mandatory for DHBs to report to PRIMHD. In addition, from this date an increasing number of non-governmental organisations (NGOs) began reporting to the PRIMHD database. As of December 2016, 210 NGOs were reporting to PRIMHD.</w:t>
      </w:r>
    </w:p>
    <w:p w:rsidR="00A47CF6" w:rsidRPr="00666DF4" w:rsidRDefault="00A47CF6" w:rsidP="004B5EFA">
      <w:pPr>
        <w:rPr>
          <w:rFonts w:eastAsia="Century"/>
        </w:rPr>
      </w:pPr>
    </w:p>
    <w:p w:rsidR="00A47CF6" w:rsidRPr="00666DF4" w:rsidRDefault="00A47CF6" w:rsidP="004B5EFA">
      <w:r w:rsidRPr="00666DF4">
        <w:t>Because of both its recent introduction and the enormous complexities of creating and maintaining a national data collection, the following caveats need to be kept in mind when reviewing statistics generated using PRIMHD data.</w:t>
      </w:r>
    </w:p>
    <w:p w:rsidR="00A47CF6" w:rsidRPr="00666DF4" w:rsidRDefault="00A47CF6" w:rsidP="004B5EFA">
      <w:pPr>
        <w:pStyle w:val="Bullet"/>
      </w:pPr>
      <w:r w:rsidRPr="00666DF4">
        <w:t>Shifts or patterns in the data after 2008 may reflect the gradual adaptation of service providers to the PRIMHD system, in addition to, or instead of, any trend in mental health service use or consumer</w:t>
      </w:r>
      <w:r w:rsidR="00BF25EC">
        <w:t xml:space="preserve"> </w:t>
      </w:r>
      <w:r w:rsidRPr="00666DF4">
        <w:t>outcomes.</w:t>
      </w:r>
    </w:p>
    <w:p w:rsidR="00A47CF6" w:rsidRPr="00666DF4" w:rsidRDefault="00A47CF6" w:rsidP="004B5EFA">
      <w:pPr>
        <w:pStyle w:val="Bullet"/>
      </w:pPr>
      <w:r w:rsidRPr="00666DF4">
        <w:t>PRIMHD is a living data collection that continues to be revised and updated as data reporting processes are improved. For this reason, previously published data may be liable to amendments.</w:t>
      </w:r>
    </w:p>
    <w:p w:rsidR="00A47CF6" w:rsidRPr="00666DF4" w:rsidRDefault="00A47CF6" w:rsidP="004B5EFA">
      <w:pPr>
        <w:pStyle w:val="Bullet"/>
      </w:pPr>
      <w:r w:rsidRPr="00666DF4">
        <w:t>Statistical variance between services may reflect different models of practice and different consumer populations. However, inter-service variance may also result from differences in data entry processes and information management.</w:t>
      </w:r>
    </w:p>
    <w:p w:rsidR="00A47CF6" w:rsidRPr="00666DF4" w:rsidRDefault="00A47CF6" w:rsidP="004B5EFA">
      <w:pPr>
        <w:pStyle w:val="Bullet"/>
      </w:pPr>
      <w:r w:rsidRPr="00666DF4">
        <w:t>To function as a national collection, PRIMHD requires integration with a wide range of person management systems across hundreds of unique service providers. As the services adjust to PRIMHD, it is expected that the quality of the data will improve.</w:t>
      </w:r>
    </w:p>
    <w:p w:rsidR="00A47CF6" w:rsidRPr="00666DF4" w:rsidRDefault="00A47CF6" w:rsidP="004B5EFA">
      <w:pPr>
        <w:pStyle w:val="Bullet"/>
      </w:pPr>
      <w:r w:rsidRPr="00666DF4">
        <w:t>The quality and accuracy of statistical reporting relies on consistent, correct and timely data</w:t>
      </w:r>
      <w:r w:rsidR="00BF25EC">
        <w:t xml:space="preserve"> </w:t>
      </w:r>
      <w:r w:rsidRPr="00666DF4">
        <w:t>entry by the services that report to PRIMHD. The Ministry of Health is actively engaged in an ongoing project to review and improve the data quality of PRIMHD. This project is considered a priority given the importance of mental health data in providing information about mental health consumption and outcomes, and in generating conversations and public debate about how to improve mental health care for New Zealanders.</w:t>
      </w:r>
    </w:p>
    <w:p w:rsidR="00A47CF6" w:rsidRPr="00666DF4" w:rsidRDefault="00A47CF6" w:rsidP="004B5EFA">
      <w:pPr>
        <w:rPr>
          <w:rFonts w:eastAsia="Century"/>
        </w:rPr>
      </w:pPr>
    </w:p>
    <w:p w:rsidR="00A47CF6" w:rsidRPr="00666DF4" w:rsidRDefault="00A47CF6" w:rsidP="004B5EFA">
      <w:pPr>
        <w:pStyle w:val="Heading1"/>
        <w:rPr>
          <w:bCs/>
        </w:rPr>
      </w:pPr>
      <w:bookmarkStart w:id="253" w:name="Appendix_2:_Deputy_Director_of_Mental_He"/>
      <w:bookmarkStart w:id="254" w:name="_bookmark59"/>
      <w:bookmarkStart w:id="255" w:name="_Toc508707290"/>
      <w:bookmarkEnd w:id="253"/>
      <w:bookmarkEnd w:id="254"/>
      <w:r w:rsidRPr="00666DF4">
        <w:t xml:space="preserve">Appendix 2: Deputy Director of Mental Health: Dr Ian </w:t>
      </w:r>
      <w:proofErr w:type="spellStart"/>
      <w:r w:rsidRPr="00666DF4">
        <w:t>Soosay</w:t>
      </w:r>
      <w:bookmarkEnd w:id="255"/>
      <w:proofErr w:type="spellEnd"/>
    </w:p>
    <w:p w:rsidR="00A47CF6" w:rsidRPr="00666DF4" w:rsidRDefault="00A47CF6" w:rsidP="004B5EFA">
      <w:r w:rsidRPr="00666DF4">
        <w:t xml:space="preserve">Dr Ian </w:t>
      </w:r>
      <w:proofErr w:type="spellStart"/>
      <w:r w:rsidRPr="00666DF4">
        <w:t>Soosay</w:t>
      </w:r>
      <w:proofErr w:type="spellEnd"/>
      <w:r w:rsidRPr="00666DF4">
        <w:t xml:space="preserve"> joined the Ministry of Health in November 2016 as Deputy Director of Mental Health from his role as a Senior Lecturer at the University of Auckland.</w:t>
      </w:r>
    </w:p>
    <w:p w:rsidR="00A47CF6" w:rsidRPr="00666DF4" w:rsidRDefault="00A47CF6" w:rsidP="004B5EFA">
      <w:pPr>
        <w:rPr>
          <w:rFonts w:eastAsia="Century"/>
        </w:rPr>
      </w:pPr>
    </w:p>
    <w:p w:rsidR="00A47CF6" w:rsidRPr="00666DF4" w:rsidRDefault="00A47CF6" w:rsidP="004B5EFA">
      <w:r w:rsidRPr="00666DF4">
        <w:t xml:space="preserve">Ian attended medical school in Edinburgh and went on to train in psychiatry in Edinburgh, Cambridge and London. Since moving to Auckland in 2009, he has worked in clinical roles across all three metropolitan DHBs in early intervention, general adult psychiatry and maternal mental health. Ian was also the Clinical Director for </w:t>
      </w:r>
      <w:proofErr w:type="spellStart"/>
      <w:r w:rsidRPr="00666DF4">
        <w:t>Raukura</w:t>
      </w:r>
      <w:proofErr w:type="spellEnd"/>
      <w:r w:rsidRPr="00666DF4">
        <w:t xml:space="preserve"> </w:t>
      </w:r>
      <w:proofErr w:type="spellStart"/>
      <w:r w:rsidRPr="00666DF4">
        <w:t>Hauora</w:t>
      </w:r>
      <w:proofErr w:type="spellEnd"/>
      <w:r w:rsidRPr="00666DF4">
        <w:t xml:space="preserve"> o </w:t>
      </w:r>
      <w:proofErr w:type="spellStart"/>
      <w:r w:rsidRPr="00666DF4">
        <w:t>Tainui</w:t>
      </w:r>
      <w:proofErr w:type="spellEnd"/>
      <w:r w:rsidRPr="00666DF4">
        <w:t xml:space="preserve"> PHO, which gave him valuable experience in primary care. Ian has been the psychiatrist responsible for Niue since 2010, which has aided his understanding of the mental health needs of </w:t>
      </w:r>
      <w:proofErr w:type="spellStart"/>
      <w:r w:rsidRPr="00666DF4">
        <w:t>Pasifika</w:t>
      </w:r>
      <w:proofErr w:type="spellEnd"/>
      <w:r w:rsidRPr="00666DF4">
        <w:t xml:space="preserve"> communities. In addition to his experience in the UK and New Zealand, Ian has worked for WHO in Indonesia in the aftermath of the 2004 tsunami and conducted mental health research in East Timor in 2004.</w:t>
      </w:r>
    </w:p>
    <w:p w:rsidR="00A47CF6" w:rsidRPr="00666DF4" w:rsidRDefault="00A47CF6" w:rsidP="004B5EFA">
      <w:pPr>
        <w:rPr>
          <w:rFonts w:eastAsia="Century"/>
        </w:rPr>
      </w:pPr>
    </w:p>
    <w:p w:rsidR="00A47CF6" w:rsidRPr="00666DF4" w:rsidRDefault="00A47CF6" w:rsidP="004B5EFA">
      <w:r w:rsidRPr="00666DF4">
        <w:t xml:space="preserve">Ian is a Fellow of the Royal College of Psychiatrists. He has </w:t>
      </w:r>
      <w:proofErr w:type="spellStart"/>
      <w:proofErr w:type="gramStart"/>
      <w:r w:rsidRPr="00666DF4">
        <w:t>masters</w:t>
      </w:r>
      <w:proofErr w:type="spellEnd"/>
      <w:proofErr w:type="gramEnd"/>
      <w:r w:rsidRPr="00666DF4">
        <w:t xml:space="preserve"> degrees in Social Epidemiology from University College London and in Mental Health Policy and Service Development from University Nova in Lisbon. He is based in Auckland, where he lives with his wife and daughter.</w:t>
      </w:r>
    </w:p>
    <w:p w:rsidR="00A47CF6" w:rsidRPr="00666DF4" w:rsidRDefault="00A47CF6" w:rsidP="004B5EFA">
      <w:pPr>
        <w:rPr>
          <w:rFonts w:eastAsia="Century"/>
        </w:rPr>
      </w:pPr>
    </w:p>
    <w:p w:rsidR="00A47CF6" w:rsidRPr="00666DF4" w:rsidRDefault="00A47CF6" w:rsidP="004B5EFA">
      <w:pPr>
        <w:pStyle w:val="Heading1"/>
        <w:rPr>
          <w:rFonts w:eastAsia="Georgia" w:cs="Georgia"/>
          <w:szCs w:val="70"/>
        </w:rPr>
      </w:pPr>
      <w:bookmarkStart w:id="256" w:name="Table_A1:_Outcome_of_Mental_Health_Act_a"/>
      <w:bookmarkStart w:id="257" w:name="Table_A2:_Results_of_inquiries_under_sec"/>
      <w:bookmarkStart w:id="258" w:name="Appendix_3:_Additional_statistics"/>
      <w:bookmarkStart w:id="259" w:name="_bookmark60"/>
      <w:bookmarkStart w:id="260" w:name="_Toc508707291"/>
      <w:bookmarkEnd w:id="256"/>
      <w:bookmarkEnd w:id="257"/>
      <w:bookmarkEnd w:id="258"/>
      <w:bookmarkEnd w:id="259"/>
      <w:r w:rsidRPr="00666DF4">
        <w:t>Appendix 3: Additional statistics</w:t>
      </w:r>
      <w:bookmarkEnd w:id="260"/>
    </w:p>
    <w:p w:rsidR="00A47CF6" w:rsidRPr="00666DF4" w:rsidRDefault="00A47CF6" w:rsidP="004B5EFA">
      <w:pPr>
        <w:pStyle w:val="Heading2"/>
        <w:rPr>
          <w:rFonts w:eastAsia="Georgia" w:cs="Georgia"/>
          <w:szCs w:val="40"/>
        </w:rPr>
      </w:pPr>
      <w:bookmarkStart w:id="261" w:name="_Toc500775150"/>
      <w:bookmarkStart w:id="262" w:name="_Toc508707292"/>
      <w:r w:rsidRPr="00666DF4">
        <w:t>The Mental Health Review Tribunal</w:t>
      </w:r>
      <w:bookmarkEnd w:id="261"/>
      <w:bookmarkEnd w:id="262"/>
    </w:p>
    <w:p w:rsidR="00A47CF6" w:rsidRPr="00666DF4" w:rsidRDefault="004B5EFA" w:rsidP="004B5EFA">
      <w:r>
        <w:t>D</w:t>
      </w:r>
      <w:r w:rsidR="00A47CF6" w:rsidRPr="00666DF4">
        <w:t>uring the year ended 30 June 2016, the Mental Health Review Tribunal received 134</w:t>
      </w:r>
      <w:r>
        <w:t> </w:t>
      </w:r>
      <w:r w:rsidR="00A47CF6" w:rsidRPr="00666DF4">
        <w:t>applications under the Mental Health Act. Table A1 presents the types of applications received (by governing section of the Act) and the outcomes of these applications.</w:t>
      </w:r>
    </w:p>
    <w:p w:rsidR="00A47CF6" w:rsidRPr="00666DF4" w:rsidRDefault="00A47CF6" w:rsidP="004B5EFA">
      <w:pPr>
        <w:rPr>
          <w:rFonts w:eastAsia="Century"/>
        </w:rPr>
      </w:pPr>
    </w:p>
    <w:p w:rsidR="00A47CF6" w:rsidRPr="00666DF4" w:rsidRDefault="00A47CF6" w:rsidP="004B5EFA">
      <w:pPr>
        <w:pStyle w:val="Table"/>
        <w:rPr>
          <w:rFonts w:eastAsia="Georgia" w:cs="Georgia"/>
          <w:szCs w:val="19"/>
        </w:rPr>
      </w:pPr>
      <w:bookmarkStart w:id="263" w:name="_Toc508707319"/>
      <w:r w:rsidRPr="00666DF4">
        <w:t>Table A1: Outcome of Mental Health Act applications received by the Mental Health Review Tribunal, 1 July 2015 to 30 June 2016</w:t>
      </w:r>
      <w:bookmarkEnd w:id="26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074"/>
        <w:gridCol w:w="1256"/>
        <w:gridCol w:w="1256"/>
        <w:gridCol w:w="1257"/>
        <w:gridCol w:w="1256"/>
        <w:gridCol w:w="1257"/>
      </w:tblGrid>
      <w:tr w:rsidR="00A47CF6" w:rsidRPr="001257C8" w:rsidTr="001257C8">
        <w:trPr>
          <w:cantSplit/>
        </w:trPr>
        <w:tc>
          <w:tcPr>
            <w:tcW w:w="3074" w:type="dxa"/>
            <w:tcBorders>
              <w:top w:val="single" w:sz="4" w:space="0" w:color="auto"/>
              <w:bottom w:val="single" w:sz="4" w:space="0" w:color="auto"/>
            </w:tcBorders>
          </w:tcPr>
          <w:p w:rsidR="00A47CF6" w:rsidRPr="001257C8" w:rsidRDefault="00A47CF6" w:rsidP="001257C8">
            <w:pPr>
              <w:pStyle w:val="TableText"/>
              <w:rPr>
                <w:rFonts w:eastAsia="Arial" w:cs="Arial"/>
                <w:b/>
                <w:szCs w:val="19"/>
              </w:rPr>
            </w:pPr>
            <w:r w:rsidRPr="001257C8">
              <w:rPr>
                <w:b/>
              </w:rPr>
              <w:t>Outcome</w:t>
            </w:r>
          </w:p>
        </w:tc>
        <w:tc>
          <w:tcPr>
            <w:tcW w:w="1256"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Section</w:t>
            </w:r>
            <w:r w:rsidR="004B5EFA" w:rsidRPr="001257C8">
              <w:rPr>
                <w:b/>
              </w:rPr>
              <w:t xml:space="preserve"> </w:t>
            </w:r>
            <w:r w:rsidRPr="001257C8">
              <w:rPr>
                <w:b/>
              </w:rPr>
              <w:t>79</w:t>
            </w:r>
          </w:p>
        </w:tc>
        <w:tc>
          <w:tcPr>
            <w:tcW w:w="1256"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Section</w:t>
            </w:r>
            <w:r w:rsidR="004B5EFA" w:rsidRPr="001257C8">
              <w:rPr>
                <w:b/>
              </w:rPr>
              <w:t xml:space="preserve"> </w:t>
            </w:r>
            <w:r w:rsidRPr="001257C8">
              <w:rPr>
                <w:b/>
              </w:rPr>
              <w:t>80</w:t>
            </w:r>
          </w:p>
        </w:tc>
        <w:tc>
          <w:tcPr>
            <w:tcW w:w="1257"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Section</w:t>
            </w:r>
            <w:r w:rsidR="004B5EFA" w:rsidRPr="001257C8">
              <w:rPr>
                <w:b/>
              </w:rPr>
              <w:t xml:space="preserve"> </w:t>
            </w:r>
            <w:r w:rsidRPr="001257C8">
              <w:rPr>
                <w:b/>
              </w:rPr>
              <w:t>81</w:t>
            </w:r>
          </w:p>
        </w:tc>
        <w:tc>
          <w:tcPr>
            <w:tcW w:w="1256"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Section</w:t>
            </w:r>
            <w:r w:rsidR="004B5EFA" w:rsidRPr="001257C8">
              <w:rPr>
                <w:b/>
              </w:rPr>
              <w:t xml:space="preserve"> </w:t>
            </w:r>
            <w:r w:rsidRPr="001257C8">
              <w:rPr>
                <w:b/>
              </w:rPr>
              <w:t>75</w:t>
            </w:r>
          </w:p>
        </w:tc>
        <w:tc>
          <w:tcPr>
            <w:tcW w:w="1257"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Total</w:t>
            </w:r>
          </w:p>
        </w:tc>
      </w:tr>
      <w:tr w:rsidR="00A47CF6" w:rsidRPr="00666DF4" w:rsidTr="001257C8">
        <w:trPr>
          <w:cantSplit/>
        </w:trPr>
        <w:tc>
          <w:tcPr>
            <w:tcW w:w="3074" w:type="dxa"/>
            <w:tcBorders>
              <w:top w:val="single" w:sz="4" w:space="0" w:color="auto"/>
            </w:tcBorders>
          </w:tcPr>
          <w:p w:rsidR="00A47CF6" w:rsidRPr="00666DF4" w:rsidRDefault="00A47CF6" w:rsidP="001257C8">
            <w:pPr>
              <w:pStyle w:val="TableText"/>
              <w:rPr>
                <w:rFonts w:eastAsia="Arial" w:cs="Arial"/>
                <w:szCs w:val="19"/>
              </w:rPr>
            </w:pPr>
            <w:r w:rsidRPr="00666DF4">
              <w:t>Deemed ineligible</w:t>
            </w:r>
          </w:p>
        </w:tc>
        <w:tc>
          <w:tcPr>
            <w:tcW w:w="1256" w:type="dxa"/>
            <w:tcBorders>
              <w:top w:val="single" w:sz="4" w:space="0" w:color="auto"/>
            </w:tcBorders>
          </w:tcPr>
          <w:p w:rsidR="00A47CF6" w:rsidRPr="00666DF4" w:rsidRDefault="00A47CF6" w:rsidP="001257C8">
            <w:pPr>
              <w:pStyle w:val="TableText"/>
              <w:tabs>
                <w:tab w:val="decimal" w:pos="744"/>
              </w:tabs>
              <w:rPr>
                <w:rFonts w:eastAsia="Arial" w:cs="Arial"/>
                <w:szCs w:val="19"/>
              </w:rPr>
            </w:pPr>
            <w:r w:rsidRPr="00666DF4">
              <w:t>16</w:t>
            </w:r>
          </w:p>
        </w:tc>
        <w:tc>
          <w:tcPr>
            <w:tcW w:w="1256" w:type="dxa"/>
            <w:tcBorders>
              <w:top w:val="single" w:sz="4" w:space="0" w:color="auto"/>
            </w:tcBorders>
          </w:tcPr>
          <w:p w:rsidR="00A47CF6" w:rsidRPr="00666DF4" w:rsidRDefault="00A47CF6" w:rsidP="001257C8">
            <w:pPr>
              <w:pStyle w:val="TableText"/>
              <w:tabs>
                <w:tab w:val="decimal" w:pos="744"/>
              </w:tabs>
              <w:rPr>
                <w:rFonts w:eastAsia="Arial" w:cs="Arial"/>
                <w:szCs w:val="19"/>
              </w:rPr>
            </w:pPr>
            <w:r w:rsidRPr="00666DF4">
              <w:t>0</w:t>
            </w:r>
          </w:p>
        </w:tc>
        <w:tc>
          <w:tcPr>
            <w:tcW w:w="1257" w:type="dxa"/>
            <w:tcBorders>
              <w:top w:val="single" w:sz="4" w:space="0" w:color="auto"/>
            </w:tcBorders>
          </w:tcPr>
          <w:p w:rsidR="00A47CF6" w:rsidRPr="00666DF4" w:rsidRDefault="00A47CF6" w:rsidP="001257C8">
            <w:pPr>
              <w:pStyle w:val="TableText"/>
              <w:tabs>
                <w:tab w:val="decimal" w:pos="744"/>
              </w:tabs>
              <w:rPr>
                <w:rFonts w:eastAsia="Arial" w:cs="Arial"/>
                <w:szCs w:val="19"/>
              </w:rPr>
            </w:pPr>
            <w:r w:rsidRPr="00666DF4">
              <w:t>0</w:t>
            </w:r>
          </w:p>
        </w:tc>
        <w:tc>
          <w:tcPr>
            <w:tcW w:w="1256" w:type="dxa"/>
            <w:tcBorders>
              <w:top w:val="single" w:sz="4" w:space="0" w:color="auto"/>
            </w:tcBorders>
          </w:tcPr>
          <w:p w:rsidR="00A47CF6" w:rsidRPr="00666DF4" w:rsidRDefault="00A47CF6" w:rsidP="001257C8">
            <w:pPr>
              <w:pStyle w:val="TableText"/>
              <w:tabs>
                <w:tab w:val="decimal" w:pos="744"/>
              </w:tabs>
              <w:rPr>
                <w:rFonts w:eastAsia="Arial" w:cs="Arial"/>
                <w:szCs w:val="19"/>
              </w:rPr>
            </w:pPr>
            <w:r w:rsidRPr="00666DF4">
              <w:t>0</w:t>
            </w:r>
          </w:p>
        </w:tc>
        <w:tc>
          <w:tcPr>
            <w:tcW w:w="1257" w:type="dxa"/>
            <w:tcBorders>
              <w:top w:val="single" w:sz="4" w:space="0" w:color="auto"/>
            </w:tcBorders>
          </w:tcPr>
          <w:p w:rsidR="00A47CF6" w:rsidRPr="00666DF4" w:rsidRDefault="00A47CF6" w:rsidP="001257C8">
            <w:pPr>
              <w:pStyle w:val="TableText"/>
              <w:tabs>
                <w:tab w:val="decimal" w:pos="744"/>
              </w:tabs>
              <w:rPr>
                <w:rFonts w:eastAsia="Arial" w:cs="Arial"/>
                <w:szCs w:val="19"/>
              </w:rPr>
            </w:pPr>
            <w:r w:rsidRPr="00666DF4">
              <w:t>16</w:t>
            </w:r>
          </w:p>
        </w:tc>
      </w:tr>
      <w:tr w:rsidR="00A47CF6" w:rsidRPr="00666DF4" w:rsidTr="001257C8">
        <w:trPr>
          <w:cantSplit/>
        </w:trPr>
        <w:tc>
          <w:tcPr>
            <w:tcW w:w="3074" w:type="dxa"/>
          </w:tcPr>
          <w:p w:rsidR="00A47CF6" w:rsidRPr="00666DF4" w:rsidRDefault="00A47CF6" w:rsidP="001257C8">
            <w:pPr>
              <w:pStyle w:val="TableText"/>
              <w:rPr>
                <w:rFonts w:eastAsia="Arial" w:cs="Arial"/>
                <w:szCs w:val="19"/>
              </w:rPr>
            </w:pPr>
            <w:r w:rsidRPr="00666DF4">
              <w:t>Withdrawn</w:t>
            </w:r>
          </w:p>
        </w:tc>
        <w:tc>
          <w:tcPr>
            <w:tcW w:w="1256" w:type="dxa"/>
          </w:tcPr>
          <w:p w:rsidR="00A47CF6" w:rsidRPr="00666DF4" w:rsidRDefault="00A47CF6" w:rsidP="001257C8">
            <w:pPr>
              <w:pStyle w:val="TableText"/>
              <w:tabs>
                <w:tab w:val="decimal" w:pos="744"/>
              </w:tabs>
              <w:rPr>
                <w:rFonts w:eastAsia="Arial" w:cs="Arial"/>
                <w:szCs w:val="19"/>
              </w:rPr>
            </w:pPr>
            <w:r w:rsidRPr="00666DF4">
              <w:t>55</w:t>
            </w:r>
          </w:p>
        </w:tc>
        <w:tc>
          <w:tcPr>
            <w:tcW w:w="1256" w:type="dxa"/>
          </w:tcPr>
          <w:p w:rsidR="00A47CF6" w:rsidRPr="00666DF4" w:rsidRDefault="00A47CF6" w:rsidP="001257C8">
            <w:pPr>
              <w:pStyle w:val="TableText"/>
              <w:tabs>
                <w:tab w:val="decimal" w:pos="744"/>
              </w:tabs>
              <w:rPr>
                <w:rFonts w:eastAsia="Arial" w:cs="Arial"/>
                <w:szCs w:val="19"/>
              </w:rPr>
            </w:pPr>
            <w:r w:rsidRPr="00666DF4">
              <w:t>2</w:t>
            </w:r>
          </w:p>
        </w:tc>
        <w:tc>
          <w:tcPr>
            <w:tcW w:w="1257" w:type="dxa"/>
          </w:tcPr>
          <w:p w:rsidR="00A47CF6" w:rsidRPr="00666DF4" w:rsidRDefault="00A47CF6" w:rsidP="001257C8">
            <w:pPr>
              <w:pStyle w:val="TableText"/>
              <w:tabs>
                <w:tab w:val="decimal" w:pos="744"/>
              </w:tabs>
              <w:rPr>
                <w:rFonts w:eastAsia="Arial" w:cs="Arial"/>
                <w:szCs w:val="19"/>
              </w:rPr>
            </w:pPr>
            <w:r w:rsidRPr="00666DF4">
              <w:t>0</w:t>
            </w:r>
          </w:p>
        </w:tc>
        <w:tc>
          <w:tcPr>
            <w:tcW w:w="1256" w:type="dxa"/>
          </w:tcPr>
          <w:p w:rsidR="00A47CF6" w:rsidRPr="00666DF4" w:rsidRDefault="00A47CF6" w:rsidP="001257C8">
            <w:pPr>
              <w:pStyle w:val="TableText"/>
              <w:tabs>
                <w:tab w:val="decimal" w:pos="744"/>
              </w:tabs>
              <w:rPr>
                <w:rFonts w:eastAsia="Arial" w:cs="Arial"/>
                <w:szCs w:val="19"/>
              </w:rPr>
            </w:pPr>
            <w:r w:rsidRPr="00666DF4">
              <w:t>0</w:t>
            </w:r>
          </w:p>
        </w:tc>
        <w:tc>
          <w:tcPr>
            <w:tcW w:w="1257" w:type="dxa"/>
          </w:tcPr>
          <w:p w:rsidR="00A47CF6" w:rsidRPr="00666DF4" w:rsidRDefault="00A47CF6" w:rsidP="001257C8">
            <w:pPr>
              <w:pStyle w:val="TableText"/>
              <w:tabs>
                <w:tab w:val="decimal" w:pos="744"/>
              </w:tabs>
              <w:rPr>
                <w:rFonts w:eastAsia="Arial" w:cs="Arial"/>
                <w:szCs w:val="19"/>
              </w:rPr>
            </w:pPr>
            <w:r w:rsidRPr="00666DF4">
              <w:t>57</w:t>
            </w:r>
          </w:p>
        </w:tc>
      </w:tr>
      <w:tr w:rsidR="00A47CF6" w:rsidRPr="00666DF4" w:rsidTr="001257C8">
        <w:trPr>
          <w:cantSplit/>
        </w:trPr>
        <w:tc>
          <w:tcPr>
            <w:tcW w:w="3074" w:type="dxa"/>
          </w:tcPr>
          <w:p w:rsidR="00A47CF6" w:rsidRPr="00666DF4" w:rsidRDefault="00A47CF6" w:rsidP="001257C8">
            <w:pPr>
              <w:pStyle w:val="TableText"/>
              <w:rPr>
                <w:rFonts w:eastAsia="Arial" w:cs="Arial"/>
                <w:szCs w:val="19"/>
              </w:rPr>
            </w:pPr>
            <w:r w:rsidRPr="00666DF4">
              <w:t>Held over to the next report year</w:t>
            </w:r>
          </w:p>
        </w:tc>
        <w:tc>
          <w:tcPr>
            <w:tcW w:w="1256" w:type="dxa"/>
          </w:tcPr>
          <w:p w:rsidR="00A47CF6" w:rsidRPr="00666DF4" w:rsidRDefault="00A47CF6" w:rsidP="001257C8">
            <w:pPr>
              <w:pStyle w:val="TableText"/>
              <w:tabs>
                <w:tab w:val="decimal" w:pos="744"/>
              </w:tabs>
              <w:rPr>
                <w:rFonts w:eastAsia="Arial" w:cs="Arial"/>
                <w:szCs w:val="19"/>
              </w:rPr>
            </w:pPr>
            <w:r w:rsidRPr="00666DF4">
              <w:t>5</w:t>
            </w:r>
          </w:p>
        </w:tc>
        <w:tc>
          <w:tcPr>
            <w:tcW w:w="1256" w:type="dxa"/>
          </w:tcPr>
          <w:p w:rsidR="00A47CF6" w:rsidRPr="00666DF4" w:rsidRDefault="00A47CF6" w:rsidP="001257C8">
            <w:pPr>
              <w:pStyle w:val="TableText"/>
              <w:tabs>
                <w:tab w:val="decimal" w:pos="744"/>
              </w:tabs>
              <w:rPr>
                <w:rFonts w:eastAsia="Arial" w:cs="Arial"/>
                <w:szCs w:val="19"/>
              </w:rPr>
            </w:pPr>
            <w:r w:rsidRPr="00666DF4">
              <w:t>0</w:t>
            </w:r>
          </w:p>
        </w:tc>
        <w:tc>
          <w:tcPr>
            <w:tcW w:w="1257" w:type="dxa"/>
          </w:tcPr>
          <w:p w:rsidR="00A47CF6" w:rsidRPr="00666DF4" w:rsidRDefault="00A47CF6" w:rsidP="001257C8">
            <w:pPr>
              <w:pStyle w:val="TableText"/>
              <w:tabs>
                <w:tab w:val="decimal" w:pos="744"/>
              </w:tabs>
              <w:rPr>
                <w:rFonts w:eastAsia="Arial" w:cs="Arial"/>
                <w:szCs w:val="19"/>
              </w:rPr>
            </w:pPr>
            <w:r w:rsidRPr="00666DF4">
              <w:t>0</w:t>
            </w:r>
          </w:p>
        </w:tc>
        <w:tc>
          <w:tcPr>
            <w:tcW w:w="1256" w:type="dxa"/>
          </w:tcPr>
          <w:p w:rsidR="00A47CF6" w:rsidRPr="00666DF4" w:rsidRDefault="00A47CF6" w:rsidP="001257C8">
            <w:pPr>
              <w:pStyle w:val="TableText"/>
              <w:tabs>
                <w:tab w:val="decimal" w:pos="744"/>
              </w:tabs>
              <w:rPr>
                <w:rFonts w:eastAsia="Arial" w:cs="Arial"/>
                <w:szCs w:val="19"/>
              </w:rPr>
            </w:pPr>
            <w:r w:rsidRPr="00666DF4">
              <w:t>0</w:t>
            </w:r>
          </w:p>
        </w:tc>
        <w:tc>
          <w:tcPr>
            <w:tcW w:w="1257" w:type="dxa"/>
          </w:tcPr>
          <w:p w:rsidR="00A47CF6" w:rsidRPr="00666DF4" w:rsidRDefault="00A47CF6" w:rsidP="001257C8">
            <w:pPr>
              <w:pStyle w:val="TableText"/>
              <w:tabs>
                <w:tab w:val="decimal" w:pos="744"/>
              </w:tabs>
              <w:rPr>
                <w:rFonts w:eastAsia="Arial" w:cs="Arial"/>
                <w:szCs w:val="19"/>
              </w:rPr>
            </w:pPr>
            <w:r w:rsidRPr="00666DF4">
              <w:t>5</w:t>
            </w:r>
          </w:p>
        </w:tc>
      </w:tr>
      <w:tr w:rsidR="00A47CF6" w:rsidRPr="00666DF4" w:rsidTr="001257C8">
        <w:trPr>
          <w:cantSplit/>
        </w:trPr>
        <w:tc>
          <w:tcPr>
            <w:tcW w:w="3074" w:type="dxa"/>
            <w:tcBorders>
              <w:bottom w:val="single" w:sz="4" w:space="0" w:color="A6A6A6" w:themeColor="background1" w:themeShade="A6"/>
            </w:tcBorders>
          </w:tcPr>
          <w:p w:rsidR="00A47CF6" w:rsidRPr="00666DF4" w:rsidRDefault="00A47CF6" w:rsidP="001257C8">
            <w:pPr>
              <w:pStyle w:val="TableText"/>
              <w:rPr>
                <w:rFonts w:eastAsia="Arial" w:cs="Arial"/>
                <w:szCs w:val="19"/>
              </w:rPr>
            </w:pPr>
            <w:r w:rsidRPr="00666DF4">
              <w:t>Heard in the report year</w:t>
            </w:r>
          </w:p>
        </w:tc>
        <w:tc>
          <w:tcPr>
            <w:tcW w:w="1256" w:type="dxa"/>
            <w:tcBorders>
              <w:bottom w:val="single" w:sz="4" w:space="0" w:color="A6A6A6" w:themeColor="background1" w:themeShade="A6"/>
            </w:tcBorders>
          </w:tcPr>
          <w:p w:rsidR="00A47CF6" w:rsidRPr="00666DF4" w:rsidRDefault="00A47CF6" w:rsidP="001257C8">
            <w:pPr>
              <w:pStyle w:val="TableText"/>
              <w:tabs>
                <w:tab w:val="decimal" w:pos="744"/>
              </w:tabs>
              <w:rPr>
                <w:rFonts w:eastAsia="Arial" w:cs="Arial"/>
                <w:szCs w:val="19"/>
              </w:rPr>
            </w:pPr>
            <w:r w:rsidRPr="00666DF4">
              <w:t>51</w:t>
            </w:r>
          </w:p>
        </w:tc>
        <w:tc>
          <w:tcPr>
            <w:tcW w:w="1256" w:type="dxa"/>
            <w:tcBorders>
              <w:bottom w:val="single" w:sz="4" w:space="0" w:color="A6A6A6" w:themeColor="background1" w:themeShade="A6"/>
            </w:tcBorders>
          </w:tcPr>
          <w:p w:rsidR="00A47CF6" w:rsidRPr="00666DF4" w:rsidRDefault="00A47CF6" w:rsidP="001257C8">
            <w:pPr>
              <w:pStyle w:val="TableText"/>
              <w:tabs>
                <w:tab w:val="decimal" w:pos="744"/>
              </w:tabs>
              <w:rPr>
                <w:rFonts w:eastAsia="Arial" w:cs="Arial"/>
                <w:szCs w:val="19"/>
              </w:rPr>
            </w:pPr>
            <w:r w:rsidRPr="00666DF4">
              <w:t>5</w:t>
            </w:r>
          </w:p>
        </w:tc>
        <w:tc>
          <w:tcPr>
            <w:tcW w:w="1257" w:type="dxa"/>
            <w:tcBorders>
              <w:bottom w:val="single" w:sz="4" w:space="0" w:color="A6A6A6" w:themeColor="background1" w:themeShade="A6"/>
            </w:tcBorders>
          </w:tcPr>
          <w:p w:rsidR="00A47CF6" w:rsidRPr="00666DF4" w:rsidRDefault="00A47CF6" w:rsidP="001257C8">
            <w:pPr>
              <w:pStyle w:val="TableText"/>
              <w:tabs>
                <w:tab w:val="decimal" w:pos="744"/>
              </w:tabs>
              <w:rPr>
                <w:rFonts w:eastAsia="Arial" w:cs="Arial"/>
                <w:szCs w:val="19"/>
              </w:rPr>
            </w:pPr>
            <w:r w:rsidRPr="00666DF4">
              <w:t>0</w:t>
            </w:r>
          </w:p>
        </w:tc>
        <w:tc>
          <w:tcPr>
            <w:tcW w:w="1256" w:type="dxa"/>
            <w:tcBorders>
              <w:bottom w:val="single" w:sz="4" w:space="0" w:color="A6A6A6" w:themeColor="background1" w:themeShade="A6"/>
            </w:tcBorders>
          </w:tcPr>
          <w:p w:rsidR="00A47CF6" w:rsidRPr="00666DF4" w:rsidRDefault="00A47CF6" w:rsidP="001257C8">
            <w:pPr>
              <w:pStyle w:val="TableText"/>
              <w:tabs>
                <w:tab w:val="decimal" w:pos="744"/>
              </w:tabs>
              <w:rPr>
                <w:rFonts w:eastAsia="Arial" w:cs="Arial"/>
                <w:szCs w:val="19"/>
              </w:rPr>
            </w:pPr>
            <w:r w:rsidRPr="00666DF4">
              <w:t>0</w:t>
            </w:r>
          </w:p>
        </w:tc>
        <w:tc>
          <w:tcPr>
            <w:tcW w:w="1257" w:type="dxa"/>
            <w:tcBorders>
              <w:bottom w:val="single" w:sz="4" w:space="0" w:color="A6A6A6" w:themeColor="background1" w:themeShade="A6"/>
            </w:tcBorders>
          </w:tcPr>
          <w:p w:rsidR="00A47CF6" w:rsidRPr="00666DF4" w:rsidRDefault="00A47CF6" w:rsidP="001257C8">
            <w:pPr>
              <w:pStyle w:val="TableText"/>
              <w:tabs>
                <w:tab w:val="decimal" w:pos="744"/>
              </w:tabs>
              <w:rPr>
                <w:rFonts w:eastAsia="Arial" w:cs="Arial"/>
                <w:szCs w:val="19"/>
              </w:rPr>
            </w:pPr>
            <w:r w:rsidRPr="00666DF4">
              <w:t>56</w:t>
            </w:r>
          </w:p>
        </w:tc>
      </w:tr>
      <w:tr w:rsidR="00A47CF6" w:rsidRPr="001257C8" w:rsidTr="001257C8">
        <w:trPr>
          <w:cantSplit/>
        </w:trPr>
        <w:tc>
          <w:tcPr>
            <w:tcW w:w="3074" w:type="dxa"/>
            <w:tcBorders>
              <w:top w:val="single" w:sz="4" w:space="0" w:color="A6A6A6" w:themeColor="background1" w:themeShade="A6"/>
              <w:bottom w:val="single" w:sz="4" w:space="0" w:color="auto"/>
            </w:tcBorders>
          </w:tcPr>
          <w:p w:rsidR="00A47CF6" w:rsidRPr="001257C8" w:rsidRDefault="00A47CF6" w:rsidP="001257C8">
            <w:pPr>
              <w:pStyle w:val="TableText"/>
              <w:rPr>
                <w:rFonts w:eastAsia="Arial" w:cs="Arial"/>
                <w:b/>
                <w:szCs w:val="19"/>
              </w:rPr>
            </w:pPr>
            <w:r w:rsidRPr="001257C8">
              <w:rPr>
                <w:b/>
              </w:rPr>
              <w:t>Total</w:t>
            </w:r>
          </w:p>
        </w:tc>
        <w:tc>
          <w:tcPr>
            <w:tcW w:w="1256"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744"/>
              </w:tabs>
              <w:rPr>
                <w:rFonts w:eastAsia="Arial" w:cs="Arial"/>
                <w:b/>
                <w:szCs w:val="19"/>
              </w:rPr>
            </w:pPr>
            <w:r w:rsidRPr="001257C8">
              <w:rPr>
                <w:b/>
              </w:rPr>
              <w:t>127</w:t>
            </w:r>
          </w:p>
        </w:tc>
        <w:tc>
          <w:tcPr>
            <w:tcW w:w="1256"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744"/>
              </w:tabs>
              <w:rPr>
                <w:rFonts w:eastAsia="Arial" w:cs="Arial"/>
                <w:b/>
                <w:szCs w:val="19"/>
              </w:rPr>
            </w:pPr>
            <w:r w:rsidRPr="001257C8">
              <w:rPr>
                <w:b/>
              </w:rPr>
              <w:t>7</w:t>
            </w:r>
          </w:p>
        </w:tc>
        <w:tc>
          <w:tcPr>
            <w:tcW w:w="1257"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744"/>
              </w:tabs>
              <w:rPr>
                <w:rFonts w:eastAsia="Arial" w:cs="Arial"/>
                <w:b/>
                <w:szCs w:val="19"/>
              </w:rPr>
            </w:pPr>
            <w:r w:rsidRPr="001257C8">
              <w:rPr>
                <w:b/>
              </w:rPr>
              <w:t>0</w:t>
            </w:r>
          </w:p>
        </w:tc>
        <w:tc>
          <w:tcPr>
            <w:tcW w:w="1256"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744"/>
              </w:tabs>
              <w:rPr>
                <w:rFonts w:eastAsia="Arial" w:cs="Arial"/>
                <w:b/>
                <w:szCs w:val="19"/>
              </w:rPr>
            </w:pPr>
            <w:r w:rsidRPr="001257C8">
              <w:rPr>
                <w:b/>
              </w:rPr>
              <w:t>0</w:t>
            </w:r>
          </w:p>
        </w:tc>
        <w:tc>
          <w:tcPr>
            <w:tcW w:w="1257"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744"/>
              </w:tabs>
              <w:rPr>
                <w:rFonts w:eastAsia="Arial" w:cs="Arial"/>
                <w:b/>
                <w:szCs w:val="19"/>
              </w:rPr>
            </w:pPr>
            <w:r w:rsidRPr="001257C8">
              <w:rPr>
                <w:b/>
              </w:rPr>
              <w:t>134</w:t>
            </w:r>
          </w:p>
        </w:tc>
      </w:tr>
    </w:tbl>
    <w:p w:rsidR="00A47CF6" w:rsidRPr="00666DF4" w:rsidRDefault="00A47CF6" w:rsidP="004B5EFA">
      <w:pPr>
        <w:pStyle w:val="Source"/>
        <w:rPr>
          <w:rFonts w:eastAsia="Arial" w:cs="Arial"/>
          <w:szCs w:val="19"/>
        </w:rPr>
      </w:pPr>
      <w:r w:rsidRPr="00666DF4">
        <w:t>Source: Annual Report of Mental Health Review Tribunal, 1 July 2015 to 30 June 2016</w:t>
      </w:r>
    </w:p>
    <w:p w:rsidR="00A47CF6" w:rsidRPr="00666DF4" w:rsidRDefault="00A47CF6" w:rsidP="004B5EFA">
      <w:pPr>
        <w:rPr>
          <w:rFonts w:eastAsia="Arial"/>
        </w:rPr>
      </w:pPr>
    </w:p>
    <w:p w:rsidR="00A47CF6" w:rsidRPr="00666DF4" w:rsidRDefault="00A47CF6" w:rsidP="004B5EFA">
      <w:r w:rsidRPr="00666DF4">
        <w:t>During the year ended 30 June 2016, the Tribunal heard 62 applications under section 79 of the Mental Health Act. Table A2 presents the results of those cases.</w:t>
      </w:r>
    </w:p>
    <w:p w:rsidR="00A47CF6" w:rsidRPr="00666DF4" w:rsidRDefault="00A47CF6" w:rsidP="004B5EFA">
      <w:pPr>
        <w:rPr>
          <w:rFonts w:eastAsia="Century"/>
        </w:rPr>
      </w:pPr>
    </w:p>
    <w:p w:rsidR="00A47CF6" w:rsidRPr="00666DF4" w:rsidRDefault="00A47CF6" w:rsidP="004B5EFA">
      <w:pPr>
        <w:pStyle w:val="Table"/>
        <w:rPr>
          <w:rFonts w:eastAsia="Georgia" w:cs="Georgia"/>
          <w:szCs w:val="19"/>
        </w:rPr>
      </w:pPr>
      <w:bookmarkStart w:id="264" w:name="_Toc508707320"/>
      <w:r w:rsidRPr="00666DF4">
        <w:t>Table A2: Results of inquiries under section 79 of the Mental Health Act held by the Mental Health Review Tribunal, 1 July 2015 to 30 June 2016</w:t>
      </w:r>
      <w:bookmarkEnd w:id="26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879"/>
        <w:gridCol w:w="1650"/>
      </w:tblGrid>
      <w:tr w:rsidR="00A47CF6" w:rsidRPr="001257C8" w:rsidTr="001257C8">
        <w:trPr>
          <w:cantSplit/>
        </w:trPr>
        <w:tc>
          <w:tcPr>
            <w:tcW w:w="3879" w:type="dxa"/>
            <w:tcBorders>
              <w:top w:val="single" w:sz="4" w:space="0" w:color="auto"/>
              <w:bottom w:val="single" w:sz="4" w:space="0" w:color="auto"/>
            </w:tcBorders>
          </w:tcPr>
          <w:p w:rsidR="00A47CF6" w:rsidRPr="001257C8" w:rsidRDefault="00A47CF6" w:rsidP="001257C8">
            <w:pPr>
              <w:pStyle w:val="TableText"/>
              <w:rPr>
                <w:rFonts w:eastAsia="Arial" w:cs="Arial"/>
                <w:b/>
                <w:szCs w:val="18"/>
              </w:rPr>
            </w:pPr>
            <w:r w:rsidRPr="001257C8">
              <w:rPr>
                <w:b/>
              </w:rPr>
              <w:t>Result</w:t>
            </w:r>
          </w:p>
        </w:tc>
        <w:tc>
          <w:tcPr>
            <w:tcW w:w="1650"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Number</w:t>
            </w:r>
          </w:p>
        </w:tc>
      </w:tr>
      <w:tr w:rsidR="00A47CF6" w:rsidRPr="00666DF4" w:rsidTr="001257C8">
        <w:trPr>
          <w:cantSplit/>
        </w:trPr>
        <w:tc>
          <w:tcPr>
            <w:tcW w:w="3879" w:type="dxa"/>
            <w:tcBorders>
              <w:top w:val="single" w:sz="4" w:space="0" w:color="auto"/>
            </w:tcBorders>
          </w:tcPr>
          <w:p w:rsidR="00A47CF6" w:rsidRPr="00666DF4" w:rsidRDefault="00A47CF6" w:rsidP="001257C8">
            <w:pPr>
              <w:pStyle w:val="TableText"/>
              <w:rPr>
                <w:rFonts w:eastAsia="Arial" w:cs="Arial"/>
                <w:szCs w:val="18"/>
              </w:rPr>
            </w:pPr>
            <w:r w:rsidRPr="00666DF4">
              <w:t>Not fit to be released from compulsory status</w:t>
            </w:r>
          </w:p>
        </w:tc>
        <w:tc>
          <w:tcPr>
            <w:tcW w:w="1650" w:type="dxa"/>
            <w:tcBorders>
              <w:top w:val="single" w:sz="4" w:space="0" w:color="auto"/>
            </w:tcBorders>
          </w:tcPr>
          <w:p w:rsidR="00A47CF6" w:rsidRPr="00666DF4" w:rsidRDefault="00A47CF6" w:rsidP="001257C8">
            <w:pPr>
              <w:pStyle w:val="TableText"/>
              <w:tabs>
                <w:tab w:val="decimal" w:pos="884"/>
              </w:tabs>
              <w:rPr>
                <w:rFonts w:eastAsia="Arial" w:cs="Arial"/>
                <w:szCs w:val="19"/>
              </w:rPr>
            </w:pPr>
            <w:r w:rsidRPr="00666DF4">
              <w:t>56</w:t>
            </w:r>
          </w:p>
        </w:tc>
      </w:tr>
      <w:tr w:rsidR="00A47CF6" w:rsidRPr="00666DF4" w:rsidTr="001257C8">
        <w:trPr>
          <w:cantSplit/>
        </w:trPr>
        <w:tc>
          <w:tcPr>
            <w:tcW w:w="3879" w:type="dxa"/>
            <w:tcBorders>
              <w:bottom w:val="single" w:sz="4" w:space="0" w:color="A6A6A6" w:themeColor="background1" w:themeShade="A6"/>
            </w:tcBorders>
          </w:tcPr>
          <w:p w:rsidR="00A47CF6" w:rsidRPr="00666DF4" w:rsidRDefault="00A47CF6" w:rsidP="001257C8">
            <w:pPr>
              <w:pStyle w:val="TableText"/>
              <w:rPr>
                <w:rFonts w:eastAsia="Arial" w:cs="Arial"/>
                <w:szCs w:val="19"/>
              </w:rPr>
            </w:pPr>
            <w:r w:rsidRPr="00666DF4">
              <w:t>Fit to be released from compulsory status</w:t>
            </w:r>
          </w:p>
        </w:tc>
        <w:tc>
          <w:tcPr>
            <w:tcW w:w="1650" w:type="dxa"/>
            <w:tcBorders>
              <w:bottom w:val="single" w:sz="4" w:space="0" w:color="A6A6A6" w:themeColor="background1" w:themeShade="A6"/>
            </w:tcBorders>
          </w:tcPr>
          <w:p w:rsidR="00A47CF6" w:rsidRPr="00666DF4" w:rsidRDefault="00A47CF6" w:rsidP="001257C8">
            <w:pPr>
              <w:pStyle w:val="TableText"/>
              <w:tabs>
                <w:tab w:val="decimal" w:pos="884"/>
              </w:tabs>
              <w:rPr>
                <w:rFonts w:eastAsia="Arial" w:cs="Arial"/>
                <w:szCs w:val="19"/>
              </w:rPr>
            </w:pPr>
            <w:r w:rsidRPr="00666DF4">
              <w:t>6</w:t>
            </w:r>
          </w:p>
        </w:tc>
      </w:tr>
      <w:tr w:rsidR="00A47CF6" w:rsidRPr="001257C8" w:rsidTr="001257C8">
        <w:trPr>
          <w:cantSplit/>
        </w:trPr>
        <w:tc>
          <w:tcPr>
            <w:tcW w:w="3879" w:type="dxa"/>
            <w:tcBorders>
              <w:top w:val="single" w:sz="4" w:space="0" w:color="A6A6A6" w:themeColor="background1" w:themeShade="A6"/>
              <w:bottom w:val="single" w:sz="4" w:space="0" w:color="auto"/>
            </w:tcBorders>
          </w:tcPr>
          <w:p w:rsidR="00A47CF6" w:rsidRPr="001257C8" w:rsidRDefault="00A47CF6" w:rsidP="001257C8">
            <w:pPr>
              <w:pStyle w:val="TableText"/>
              <w:rPr>
                <w:rFonts w:eastAsia="Arial" w:cs="Arial"/>
                <w:b/>
                <w:szCs w:val="19"/>
              </w:rPr>
            </w:pPr>
            <w:r w:rsidRPr="001257C8">
              <w:rPr>
                <w:b/>
              </w:rPr>
              <w:t>Total</w:t>
            </w:r>
          </w:p>
        </w:tc>
        <w:tc>
          <w:tcPr>
            <w:tcW w:w="1650" w:type="dxa"/>
            <w:tcBorders>
              <w:top w:val="single" w:sz="4" w:space="0" w:color="A6A6A6" w:themeColor="background1" w:themeShade="A6"/>
              <w:bottom w:val="single" w:sz="4" w:space="0" w:color="auto"/>
            </w:tcBorders>
          </w:tcPr>
          <w:p w:rsidR="00A47CF6" w:rsidRPr="001257C8" w:rsidRDefault="00A47CF6" w:rsidP="001257C8">
            <w:pPr>
              <w:pStyle w:val="TableText"/>
              <w:tabs>
                <w:tab w:val="decimal" w:pos="884"/>
              </w:tabs>
              <w:rPr>
                <w:rFonts w:eastAsia="Arial" w:cs="Arial"/>
                <w:b/>
                <w:szCs w:val="19"/>
              </w:rPr>
            </w:pPr>
            <w:r w:rsidRPr="001257C8">
              <w:rPr>
                <w:b/>
              </w:rPr>
              <w:t>62</w:t>
            </w:r>
          </w:p>
        </w:tc>
      </w:tr>
    </w:tbl>
    <w:p w:rsidR="00A47CF6" w:rsidRPr="00666DF4" w:rsidRDefault="00A47CF6" w:rsidP="004B5EFA">
      <w:pPr>
        <w:pStyle w:val="Source"/>
        <w:rPr>
          <w:rFonts w:eastAsia="Arial" w:cs="Arial"/>
          <w:szCs w:val="19"/>
        </w:rPr>
      </w:pPr>
      <w:r w:rsidRPr="00666DF4">
        <w:t>Source: Annual Report of Mental Health Review Tribunal, 1 July 2015 to 30 June 2016</w:t>
      </w:r>
    </w:p>
    <w:p w:rsidR="00A47CF6" w:rsidRPr="00666DF4" w:rsidRDefault="00A47CF6" w:rsidP="004B5EFA">
      <w:pPr>
        <w:rPr>
          <w:rFonts w:eastAsia="Arial"/>
        </w:rPr>
      </w:pPr>
    </w:p>
    <w:p w:rsidR="00A47CF6" w:rsidRPr="00666DF4" w:rsidRDefault="00A47CF6" w:rsidP="004B5EFA">
      <w:r w:rsidRPr="00666DF4">
        <w:t>Table A3 shows the ethnicity of the 115 people for whom ethnicity was identified in an application to the Tribunal in the year ended 30 June 2016.</w:t>
      </w:r>
    </w:p>
    <w:p w:rsidR="00A47CF6" w:rsidRPr="00666DF4" w:rsidRDefault="00A47CF6" w:rsidP="004B5EFA"/>
    <w:p w:rsidR="00A47CF6" w:rsidRPr="00666DF4" w:rsidRDefault="00A47CF6" w:rsidP="004B5EFA">
      <w:pPr>
        <w:pStyle w:val="Table"/>
        <w:rPr>
          <w:rFonts w:eastAsia="Georgia" w:cs="Georgia"/>
          <w:szCs w:val="19"/>
        </w:rPr>
      </w:pPr>
      <w:bookmarkStart w:id="265" w:name="Table_A3:_Ethnicity_of_people_who_identi"/>
      <w:bookmarkStart w:id="266" w:name="Table_A4:_Gender_of_people_making_Mental"/>
      <w:bookmarkStart w:id="267" w:name="_bookmark61"/>
      <w:bookmarkStart w:id="268" w:name="_Toc508707321"/>
      <w:bookmarkEnd w:id="265"/>
      <w:bookmarkEnd w:id="266"/>
      <w:bookmarkEnd w:id="267"/>
      <w:r w:rsidRPr="00666DF4">
        <w:t>Table A3: Ethnicity of people who identified their ethnicity in Mental Health Review Tribunal applications, 1 July 2015 to 30 June 2016</w:t>
      </w:r>
      <w:bookmarkEnd w:id="26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371"/>
        <w:gridCol w:w="1237"/>
        <w:gridCol w:w="1260"/>
      </w:tblGrid>
      <w:tr w:rsidR="00A47CF6" w:rsidRPr="001257C8" w:rsidTr="001257C8">
        <w:trPr>
          <w:cantSplit/>
        </w:trPr>
        <w:tc>
          <w:tcPr>
            <w:tcW w:w="2371" w:type="dxa"/>
            <w:tcBorders>
              <w:top w:val="single" w:sz="4" w:space="0" w:color="auto"/>
              <w:bottom w:val="single" w:sz="4" w:space="0" w:color="auto"/>
            </w:tcBorders>
          </w:tcPr>
          <w:p w:rsidR="00A47CF6" w:rsidRPr="001257C8" w:rsidRDefault="00A47CF6" w:rsidP="001257C8">
            <w:pPr>
              <w:pStyle w:val="TableText"/>
              <w:keepNext/>
              <w:rPr>
                <w:rFonts w:eastAsia="Arial" w:cs="Arial"/>
                <w:b/>
                <w:szCs w:val="19"/>
              </w:rPr>
            </w:pPr>
            <w:r w:rsidRPr="001257C8">
              <w:rPr>
                <w:b/>
              </w:rPr>
              <w:t>Ethnicity</w:t>
            </w:r>
          </w:p>
        </w:tc>
        <w:tc>
          <w:tcPr>
            <w:tcW w:w="1237"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w:t>
            </w:r>
          </w:p>
        </w:tc>
        <w:tc>
          <w:tcPr>
            <w:tcW w:w="126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Percentage</w:t>
            </w:r>
          </w:p>
        </w:tc>
      </w:tr>
      <w:tr w:rsidR="00A47CF6" w:rsidRPr="00666DF4" w:rsidTr="001257C8">
        <w:trPr>
          <w:cantSplit/>
        </w:trPr>
        <w:tc>
          <w:tcPr>
            <w:tcW w:w="2371" w:type="dxa"/>
            <w:tcBorders>
              <w:top w:val="single" w:sz="4" w:space="0" w:color="auto"/>
            </w:tcBorders>
          </w:tcPr>
          <w:p w:rsidR="00A47CF6" w:rsidRPr="00666DF4" w:rsidRDefault="00A47CF6" w:rsidP="001257C8">
            <w:pPr>
              <w:pStyle w:val="TableText"/>
              <w:keepNext/>
              <w:rPr>
                <w:rFonts w:eastAsia="Arial" w:cs="Arial"/>
                <w:szCs w:val="18"/>
              </w:rPr>
            </w:pPr>
            <w:r w:rsidRPr="00666DF4">
              <w:t>New Zealand European</w:t>
            </w:r>
          </w:p>
        </w:tc>
        <w:tc>
          <w:tcPr>
            <w:tcW w:w="1237" w:type="dxa"/>
            <w:tcBorders>
              <w:top w:val="single" w:sz="4" w:space="0" w:color="auto"/>
            </w:tcBorders>
          </w:tcPr>
          <w:p w:rsidR="00A47CF6" w:rsidRPr="00666DF4" w:rsidRDefault="00A47CF6" w:rsidP="001257C8">
            <w:pPr>
              <w:pStyle w:val="TableText"/>
              <w:keepNext/>
              <w:tabs>
                <w:tab w:val="decimal" w:pos="688"/>
              </w:tabs>
              <w:rPr>
                <w:rFonts w:eastAsia="Arial" w:cs="Arial"/>
                <w:szCs w:val="19"/>
              </w:rPr>
            </w:pPr>
            <w:r w:rsidRPr="00666DF4">
              <w:t>70</w:t>
            </w:r>
          </w:p>
        </w:tc>
        <w:tc>
          <w:tcPr>
            <w:tcW w:w="1260" w:type="dxa"/>
            <w:tcBorders>
              <w:top w:val="single" w:sz="4" w:space="0" w:color="auto"/>
            </w:tcBorders>
          </w:tcPr>
          <w:p w:rsidR="00A47CF6" w:rsidRPr="00666DF4" w:rsidRDefault="00A47CF6" w:rsidP="001257C8">
            <w:pPr>
              <w:pStyle w:val="TableText"/>
              <w:keepNext/>
              <w:tabs>
                <w:tab w:val="decimal" w:pos="588"/>
              </w:tabs>
              <w:rPr>
                <w:rFonts w:eastAsia="Arial" w:cs="Arial"/>
                <w:szCs w:val="19"/>
              </w:rPr>
            </w:pPr>
            <w:r w:rsidRPr="00666DF4">
              <w:t>61%</w:t>
            </w:r>
          </w:p>
        </w:tc>
      </w:tr>
      <w:tr w:rsidR="00A47CF6" w:rsidRPr="00666DF4" w:rsidTr="001257C8">
        <w:trPr>
          <w:cantSplit/>
        </w:trPr>
        <w:tc>
          <w:tcPr>
            <w:tcW w:w="2371" w:type="dxa"/>
          </w:tcPr>
          <w:p w:rsidR="00A47CF6" w:rsidRPr="00666DF4" w:rsidRDefault="00A47CF6" w:rsidP="001257C8">
            <w:pPr>
              <w:pStyle w:val="TableText"/>
              <w:keepNext/>
              <w:rPr>
                <w:rFonts w:eastAsia="Arial" w:cs="Arial"/>
                <w:szCs w:val="19"/>
              </w:rPr>
            </w:pPr>
            <w:r w:rsidRPr="00666DF4">
              <w:t>Māori</w:t>
            </w:r>
          </w:p>
        </w:tc>
        <w:tc>
          <w:tcPr>
            <w:tcW w:w="1237" w:type="dxa"/>
          </w:tcPr>
          <w:p w:rsidR="00A47CF6" w:rsidRPr="00666DF4" w:rsidRDefault="00A47CF6" w:rsidP="001257C8">
            <w:pPr>
              <w:pStyle w:val="TableText"/>
              <w:keepNext/>
              <w:tabs>
                <w:tab w:val="decimal" w:pos="688"/>
              </w:tabs>
              <w:rPr>
                <w:rFonts w:eastAsia="Arial" w:cs="Arial"/>
                <w:szCs w:val="19"/>
              </w:rPr>
            </w:pPr>
            <w:r w:rsidRPr="00666DF4">
              <w:t>23</w:t>
            </w:r>
          </w:p>
        </w:tc>
        <w:tc>
          <w:tcPr>
            <w:tcW w:w="1260" w:type="dxa"/>
          </w:tcPr>
          <w:p w:rsidR="00A47CF6" w:rsidRPr="00666DF4" w:rsidRDefault="00A47CF6" w:rsidP="001257C8">
            <w:pPr>
              <w:pStyle w:val="TableText"/>
              <w:keepNext/>
              <w:tabs>
                <w:tab w:val="decimal" w:pos="588"/>
              </w:tabs>
              <w:rPr>
                <w:rFonts w:eastAsia="Arial" w:cs="Arial"/>
                <w:szCs w:val="19"/>
              </w:rPr>
            </w:pPr>
            <w:r w:rsidRPr="00666DF4">
              <w:t>20%</w:t>
            </w:r>
          </w:p>
        </w:tc>
      </w:tr>
      <w:tr w:rsidR="00A47CF6" w:rsidRPr="00666DF4" w:rsidTr="001257C8">
        <w:trPr>
          <w:cantSplit/>
        </w:trPr>
        <w:tc>
          <w:tcPr>
            <w:tcW w:w="2371" w:type="dxa"/>
          </w:tcPr>
          <w:p w:rsidR="00A47CF6" w:rsidRPr="00666DF4" w:rsidRDefault="00A47CF6" w:rsidP="001257C8">
            <w:pPr>
              <w:pStyle w:val="TableText"/>
              <w:keepNext/>
              <w:rPr>
                <w:rFonts w:eastAsia="Arial" w:cs="Arial"/>
                <w:szCs w:val="19"/>
              </w:rPr>
            </w:pPr>
            <w:r w:rsidRPr="00666DF4">
              <w:t>Pacific</w:t>
            </w:r>
          </w:p>
        </w:tc>
        <w:tc>
          <w:tcPr>
            <w:tcW w:w="1237" w:type="dxa"/>
          </w:tcPr>
          <w:p w:rsidR="00A47CF6" w:rsidRPr="00666DF4" w:rsidRDefault="00A47CF6" w:rsidP="001257C8">
            <w:pPr>
              <w:pStyle w:val="TableText"/>
              <w:keepNext/>
              <w:tabs>
                <w:tab w:val="decimal" w:pos="688"/>
              </w:tabs>
              <w:rPr>
                <w:rFonts w:eastAsia="Arial" w:cs="Arial"/>
                <w:szCs w:val="19"/>
              </w:rPr>
            </w:pPr>
            <w:r w:rsidRPr="00666DF4">
              <w:t>3</w:t>
            </w:r>
          </w:p>
        </w:tc>
        <w:tc>
          <w:tcPr>
            <w:tcW w:w="1260" w:type="dxa"/>
          </w:tcPr>
          <w:p w:rsidR="00A47CF6" w:rsidRPr="00666DF4" w:rsidRDefault="00A47CF6" w:rsidP="001257C8">
            <w:pPr>
              <w:pStyle w:val="TableText"/>
              <w:keepNext/>
              <w:tabs>
                <w:tab w:val="decimal" w:pos="588"/>
              </w:tabs>
              <w:rPr>
                <w:rFonts w:eastAsia="Arial" w:cs="Arial"/>
                <w:szCs w:val="19"/>
              </w:rPr>
            </w:pPr>
            <w:r w:rsidRPr="00666DF4">
              <w:t>3%</w:t>
            </w:r>
          </w:p>
        </w:tc>
      </w:tr>
      <w:tr w:rsidR="00A47CF6" w:rsidRPr="00666DF4" w:rsidTr="001257C8">
        <w:trPr>
          <w:cantSplit/>
        </w:trPr>
        <w:tc>
          <w:tcPr>
            <w:tcW w:w="2371" w:type="dxa"/>
          </w:tcPr>
          <w:p w:rsidR="00A47CF6" w:rsidRPr="00666DF4" w:rsidRDefault="00A47CF6" w:rsidP="001257C8">
            <w:pPr>
              <w:pStyle w:val="TableText"/>
              <w:keepNext/>
              <w:rPr>
                <w:rFonts w:eastAsia="Arial" w:cs="Arial"/>
                <w:szCs w:val="19"/>
              </w:rPr>
            </w:pPr>
            <w:r w:rsidRPr="00666DF4">
              <w:t>Asian</w:t>
            </w:r>
          </w:p>
        </w:tc>
        <w:tc>
          <w:tcPr>
            <w:tcW w:w="1237" w:type="dxa"/>
          </w:tcPr>
          <w:p w:rsidR="00A47CF6" w:rsidRPr="00666DF4" w:rsidRDefault="00A47CF6" w:rsidP="001257C8">
            <w:pPr>
              <w:pStyle w:val="TableText"/>
              <w:keepNext/>
              <w:tabs>
                <w:tab w:val="decimal" w:pos="688"/>
              </w:tabs>
              <w:rPr>
                <w:rFonts w:eastAsia="Arial" w:cs="Arial"/>
                <w:szCs w:val="19"/>
              </w:rPr>
            </w:pPr>
            <w:r w:rsidRPr="00666DF4">
              <w:t>12</w:t>
            </w:r>
          </w:p>
        </w:tc>
        <w:tc>
          <w:tcPr>
            <w:tcW w:w="1260" w:type="dxa"/>
          </w:tcPr>
          <w:p w:rsidR="00A47CF6" w:rsidRPr="00666DF4" w:rsidRDefault="00A47CF6" w:rsidP="001257C8">
            <w:pPr>
              <w:pStyle w:val="TableText"/>
              <w:keepNext/>
              <w:tabs>
                <w:tab w:val="decimal" w:pos="588"/>
              </w:tabs>
              <w:rPr>
                <w:rFonts w:eastAsia="Arial" w:cs="Arial"/>
                <w:szCs w:val="19"/>
              </w:rPr>
            </w:pPr>
            <w:r w:rsidRPr="00666DF4">
              <w:t>10%</w:t>
            </w:r>
          </w:p>
        </w:tc>
      </w:tr>
      <w:tr w:rsidR="00A47CF6" w:rsidRPr="00666DF4" w:rsidTr="001257C8">
        <w:trPr>
          <w:cantSplit/>
        </w:trPr>
        <w:tc>
          <w:tcPr>
            <w:tcW w:w="2371" w:type="dxa"/>
            <w:tcBorders>
              <w:bottom w:val="single" w:sz="4" w:space="0" w:color="A6A6A6" w:themeColor="background1" w:themeShade="A6"/>
            </w:tcBorders>
          </w:tcPr>
          <w:p w:rsidR="00A47CF6" w:rsidRPr="00666DF4" w:rsidRDefault="00A47CF6" w:rsidP="001257C8">
            <w:pPr>
              <w:pStyle w:val="TableText"/>
              <w:keepNext/>
              <w:rPr>
                <w:rFonts w:eastAsia="Arial" w:cs="Arial"/>
                <w:szCs w:val="19"/>
              </w:rPr>
            </w:pPr>
            <w:r w:rsidRPr="00666DF4">
              <w:t>Other</w:t>
            </w:r>
          </w:p>
        </w:tc>
        <w:tc>
          <w:tcPr>
            <w:tcW w:w="1237" w:type="dxa"/>
            <w:tcBorders>
              <w:bottom w:val="single" w:sz="4" w:space="0" w:color="A6A6A6" w:themeColor="background1" w:themeShade="A6"/>
            </w:tcBorders>
          </w:tcPr>
          <w:p w:rsidR="00A47CF6" w:rsidRPr="00666DF4" w:rsidRDefault="00A47CF6" w:rsidP="001257C8">
            <w:pPr>
              <w:pStyle w:val="TableText"/>
              <w:keepNext/>
              <w:tabs>
                <w:tab w:val="decimal" w:pos="688"/>
              </w:tabs>
              <w:rPr>
                <w:rFonts w:eastAsia="Arial" w:cs="Arial"/>
                <w:szCs w:val="19"/>
              </w:rPr>
            </w:pPr>
            <w:r w:rsidRPr="00666DF4">
              <w:t>7</w:t>
            </w:r>
          </w:p>
        </w:tc>
        <w:tc>
          <w:tcPr>
            <w:tcW w:w="1260" w:type="dxa"/>
            <w:tcBorders>
              <w:bottom w:val="single" w:sz="4" w:space="0" w:color="A6A6A6" w:themeColor="background1" w:themeShade="A6"/>
            </w:tcBorders>
          </w:tcPr>
          <w:p w:rsidR="00A47CF6" w:rsidRPr="00666DF4" w:rsidRDefault="00A47CF6" w:rsidP="001257C8">
            <w:pPr>
              <w:pStyle w:val="TableText"/>
              <w:keepNext/>
              <w:tabs>
                <w:tab w:val="decimal" w:pos="588"/>
              </w:tabs>
              <w:rPr>
                <w:rFonts w:eastAsia="Arial" w:cs="Arial"/>
                <w:szCs w:val="19"/>
              </w:rPr>
            </w:pPr>
            <w:r w:rsidRPr="00666DF4">
              <w:t>6%</w:t>
            </w:r>
          </w:p>
        </w:tc>
      </w:tr>
      <w:tr w:rsidR="00A47CF6" w:rsidRPr="001257C8" w:rsidTr="001257C8">
        <w:trPr>
          <w:cantSplit/>
        </w:trPr>
        <w:tc>
          <w:tcPr>
            <w:tcW w:w="2371" w:type="dxa"/>
            <w:tcBorders>
              <w:top w:val="single" w:sz="4" w:space="0" w:color="A6A6A6" w:themeColor="background1" w:themeShade="A6"/>
              <w:bottom w:val="single" w:sz="4" w:space="0" w:color="auto"/>
            </w:tcBorders>
          </w:tcPr>
          <w:p w:rsidR="00A47CF6" w:rsidRPr="001257C8" w:rsidRDefault="00A47CF6" w:rsidP="001257C8">
            <w:pPr>
              <w:pStyle w:val="TableText"/>
              <w:keepNext/>
              <w:rPr>
                <w:rFonts w:eastAsia="Arial" w:cs="Arial"/>
                <w:b/>
                <w:szCs w:val="19"/>
              </w:rPr>
            </w:pPr>
            <w:r w:rsidRPr="001257C8">
              <w:rPr>
                <w:b/>
              </w:rPr>
              <w:t>Total</w:t>
            </w:r>
          </w:p>
        </w:tc>
        <w:tc>
          <w:tcPr>
            <w:tcW w:w="1237" w:type="dxa"/>
            <w:tcBorders>
              <w:top w:val="single" w:sz="4" w:space="0" w:color="A6A6A6" w:themeColor="background1" w:themeShade="A6"/>
              <w:bottom w:val="single" w:sz="4" w:space="0" w:color="auto"/>
            </w:tcBorders>
          </w:tcPr>
          <w:p w:rsidR="00A47CF6" w:rsidRPr="001257C8" w:rsidRDefault="00A47CF6" w:rsidP="001257C8">
            <w:pPr>
              <w:pStyle w:val="TableText"/>
              <w:keepNext/>
              <w:tabs>
                <w:tab w:val="decimal" w:pos="688"/>
              </w:tabs>
              <w:rPr>
                <w:rFonts w:eastAsia="Arial" w:cs="Arial"/>
                <w:b/>
                <w:szCs w:val="19"/>
              </w:rPr>
            </w:pPr>
            <w:r w:rsidRPr="001257C8">
              <w:rPr>
                <w:b/>
              </w:rPr>
              <w:t>115</w:t>
            </w:r>
          </w:p>
        </w:tc>
        <w:tc>
          <w:tcPr>
            <w:tcW w:w="1260" w:type="dxa"/>
            <w:tcBorders>
              <w:top w:val="single" w:sz="4" w:space="0" w:color="A6A6A6" w:themeColor="background1" w:themeShade="A6"/>
              <w:bottom w:val="single" w:sz="4" w:space="0" w:color="auto"/>
            </w:tcBorders>
          </w:tcPr>
          <w:p w:rsidR="00A47CF6" w:rsidRPr="001257C8" w:rsidRDefault="00A47CF6" w:rsidP="001257C8">
            <w:pPr>
              <w:pStyle w:val="TableText"/>
              <w:keepNext/>
              <w:tabs>
                <w:tab w:val="decimal" w:pos="588"/>
              </w:tabs>
              <w:rPr>
                <w:rFonts w:eastAsia="Arial" w:cs="Arial"/>
                <w:b/>
                <w:szCs w:val="19"/>
              </w:rPr>
            </w:pPr>
            <w:r w:rsidRPr="001257C8">
              <w:rPr>
                <w:b/>
              </w:rPr>
              <w:t>100%</w:t>
            </w:r>
          </w:p>
        </w:tc>
      </w:tr>
    </w:tbl>
    <w:p w:rsidR="00A47CF6" w:rsidRPr="00666DF4" w:rsidRDefault="00A47CF6" w:rsidP="004B5EFA">
      <w:pPr>
        <w:pStyle w:val="Source"/>
        <w:rPr>
          <w:rFonts w:eastAsia="Arial" w:cs="Arial"/>
          <w:szCs w:val="19"/>
        </w:rPr>
      </w:pPr>
      <w:r w:rsidRPr="00666DF4">
        <w:t>Source: Annual Report of Mental Health Review Tribunal, 1 July 2015 to 30 June 2016</w:t>
      </w:r>
    </w:p>
    <w:p w:rsidR="00A47CF6" w:rsidRPr="00666DF4" w:rsidRDefault="00A47CF6" w:rsidP="004B5EFA">
      <w:pPr>
        <w:rPr>
          <w:rFonts w:eastAsia="Arial"/>
        </w:rPr>
      </w:pPr>
    </w:p>
    <w:p w:rsidR="00A47CF6" w:rsidRPr="00666DF4" w:rsidRDefault="00A47CF6" w:rsidP="004B5EFA">
      <w:r w:rsidRPr="00666DF4">
        <w:t>Of the 134 Mental Health Act applications received by the Tribunal during the year ended 30</w:t>
      </w:r>
      <w:r w:rsidR="004B5EFA">
        <w:t> </w:t>
      </w:r>
      <w:r w:rsidRPr="00666DF4">
        <w:t>June 2016, 88 (66%) were from males and 46 (34%) from females. Table A4 presents these figures.</w:t>
      </w:r>
    </w:p>
    <w:p w:rsidR="00A47CF6" w:rsidRPr="00666DF4" w:rsidRDefault="00A47CF6" w:rsidP="004B5EFA">
      <w:pPr>
        <w:rPr>
          <w:rFonts w:eastAsia="Century"/>
        </w:rPr>
      </w:pPr>
    </w:p>
    <w:p w:rsidR="00A47CF6" w:rsidRPr="00666DF4" w:rsidRDefault="00A47CF6" w:rsidP="004B5EFA">
      <w:pPr>
        <w:pStyle w:val="Table"/>
        <w:rPr>
          <w:rFonts w:eastAsia="Georgia" w:cs="Georgia"/>
          <w:szCs w:val="19"/>
        </w:rPr>
      </w:pPr>
      <w:bookmarkStart w:id="269" w:name="_Toc508707322"/>
      <w:r w:rsidRPr="00666DF4">
        <w:t>Table A4: Gender of people making Mental Health Review Tribunal applications, 1 July 2015 to 30 June 2016</w:t>
      </w:r>
      <w:bookmarkEnd w:id="26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563"/>
        <w:gridCol w:w="1693"/>
        <w:gridCol w:w="1148"/>
        <w:gridCol w:w="1018"/>
      </w:tblGrid>
      <w:tr w:rsidR="00A47CF6" w:rsidRPr="001257C8" w:rsidTr="001257C8">
        <w:trPr>
          <w:cantSplit/>
        </w:trPr>
        <w:tc>
          <w:tcPr>
            <w:tcW w:w="2563" w:type="dxa"/>
            <w:tcBorders>
              <w:top w:val="single" w:sz="4" w:space="0" w:color="auto"/>
              <w:bottom w:val="single" w:sz="4" w:space="0" w:color="auto"/>
            </w:tcBorders>
          </w:tcPr>
          <w:p w:rsidR="00A47CF6" w:rsidRPr="001257C8" w:rsidRDefault="00A47CF6" w:rsidP="001257C8">
            <w:pPr>
              <w:pStyle w:val="TableText"/>
              <w:rPr>
                <w:rFonts w:eastAsia="Arial" w:cs="Arial"/>
                <w:b/>
                <w:szCs w:val="19"/>
              </w:rPr>
            </w:pPr>
            <w:r w:rsidRPr="001257C8">
              <w:rPr>
                <w:b/>
              </w:rPr>
              <w:t>Subject of application</w:t>
            </w:r>
          </w:p>
        </w:tc>
        <w:tc>
          <w:tcPr>
            <w:tcW w:w="1693"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9"/>
              </w:rPr>
            </w:pPr>
            <w:r w:rsidRPr="001257C8">
              <w:rPr>
                <w:b/>
              </w:rPr>
              <w:t>Total number (percentage)</w:t>
            </w:r>
          </w:p>
        </w:tc>
        <w:tc>
          <w:tcPr>
            <w:tcW w:w="1148"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9"/>
              </w:rPr>
            </w:pPr>
            <w:r w:rsidRPr="001257C8">
              <w:rPr>
                <w:b/>
              </w:rPr>
              <w:t>Gender</w:t>
            </w:r>
          </w:p>
        </w:tc>
        <w:tc>
          <w:tcPr>
            <w:tcW w:w="1018" w:type="dxa"/>
            <w:tcBorders>
              <w:top w:val="single" w:sz="4" w:space="0" w:color="auto"/>
              <w:bottom w:val="single" w:sz="4" w:space="0" w:color="auto"/>
            </w:tcBorders>
          </w:tcPr>
          <w:p w:rsidR="00A47CF6" w:rsidRPr="001257C8" w:rsidRDefault="00A47CF6" w:rsidP="001257C8">
            <w:pPr>
              <w:pStyle w:val="TableText"/>
              <w:jc w:val="center"/>
              <w:rPr>
                <w:rFonts w:eastAsia="Arial" w:cs="Arial"/>
                <w:b/>
                <w:szCs w:val="18"/>
              </w:rPr>
            </w:pPr>
            <w:r w:rsidRPr="001257C8">
              <w:rPr>
                <w:b/>
              </w:rPr>
              <w:t>Number</w:t>
            </w:r>
          </w:p>
        </w:tc>
      </w:tr>
      <w:tr w:rsidR="00A47CF6" w:rsidRPr="00666DF4" w:rsidTr="001257C8">
        <w:trPr>
          <w:cantSplit/>
        </w:trPr>
        <w:tc>
          <w:tcPr>
            <w:tcW w:w="2563" w:type="dxa"/>
            <w:tcBorders>
              <w:top w:val="single" w:sz="4" w:space="0" w:color="auto"/>
            </w:tcBorders>
          </w:tcPr>
          <w:p w:rsidR="00A47CF6" w:rsidRPr="00666DF4" w:rsidRDefault="00A47CF6" w:rsidP="001257C8">
            <w:pPr>
              <w:pStyle w:val="TableText"/>
              <w:rPr>
                <w:rFonts w:eastAsia="Arial" w:cs="Arial"/>
                <w:szCs w:val="18"/>
              </w:rPr>
            </w:pPr>
            <w:r w:rsidRPr="00666DF4">
              <w:t>Community treatment order</w:t>
            </w:r>
          </w:p>
        </w:tc>
        <w:tc>
          <w:tcPr>
            <w:tcW w:w="1693" w:type="dxa"/>
            <w:tcBorders>
              <w:top w:val="single" w:sz="4" w:space="0" w:color="auto"/>
            </w:tcBorders>
          </w:tcPr>
          <w:p w:rsidR="00A47CF6" w:rsidRPr="00666DF4" w:rsidRDefault="00A47CF6" w:rsidP="001257C8">
            <w:pPr>
              <w:pStyle w:val="TableText"/>
              <w:tabs>
                <w:tab w:val="decimal" w:pos="641"/>
              </w:tabs>
              <w:rPr>
                <w:rFonts w:eastAsia="Arial" w:cs="Arial"/>
                <w:szCs w:val="18"/>
              </w:rPr>
            </w:pPr>
            <w:r w:rsidRPr="00666DF4">
              <w:t>97 (72%)</w:t>
            </w:r>
          </w:p>
        </w:tc>
        <w:tc>
          <w:tcPr>
            <w:tcW w:w="1148" w:type="dxa"/>
            <w:tcBorders>
              <w:top w:val="single" w:sz="4" w:space="0" w:color="auto"/>
            </w:tcBorders>
          </w:tcPr>
          <w:p w:rsidR="00A47CF6" w:rsidRPr="00666DF4" w:rsidRDefault="00A47CF6" w:rsidP="001257C8">
            <w:pPr>
              <w:pStyle w:val="TableText"/>
              <w:rPr>
                <w:rFonts w:eastAsia="Arial" w:cs="Arial"/>
                <w:szCs w:val="18"/>
              </w:rPr>
            </w:pPr>
            <w:r w:rsidRPr="00666DF4">
              <w:t>Female</w:t>
            </w:r>
            <w:r w:rsidR="001257C8">
              <w:br/>
            </w:r>
            <w:r w:rsidRPr="00666DF4">
              <w:t>Male</w:t>
            </w:r>
          </w:p>
        </w:tc>
        <w:tc>
          <w:tcPr>
            <w:tcW w:w="1018" w:type="dxa"/>
            <w:tcBorders>
              <w:top w:val="single" w:sz="4" w:space="0" w:color="auto"/>
            </w:tcBorders>
          </w:tcPr>
          <w:p w:rsidR="00A47CF6" w:rsidRPr="00666DF4" w:rsidRDefault="00A47CF6" w:rsidP="001257C8">
            <w:pPr>
              <w:pStyle w:val="TableText"/>
              <w:tabs>
                <w:tab w:val="decimal" w:pos="548"/>
              </w:tabs>
              <w:rPr>
                <w:rFonts w:eastAsia="Arial" w:cs="Arial"/>
                <w:szCs w:val="18"/>
              </w:rPr>
            </w:pPr>
            <w:r w:rsidRPr="00666DF4">
              <w:t>37</w:t>
            </w:r>
            <w:r w:rsidR="004B5EFA">
              <w:br/>
            </w:r>
            <w:r w:rsidRPr="00666DF4">
              <w:t>60</w:t>
            </w:r>
          </w:p>
        </w:tc>
      </w:tr>
      <w:tr w:rsidR="00A47CF6" w:rsidRPr="00666DF4" w:rsidTr="001257C8">
        <w:trPr>
          <w:cantSplit/>
        </w:trPr>
        <w:tc>
          <w:tcPr>
            <w:tcW w:w="2563" w:type="dxa"/>
          </w:tcPr>
          <w:p w:rsidR="00A47CF6" w:rsidRPr="00666DF4" w:rsidRDefault="00A47CF6" w:rsidP="001257C8">
            <w:pPr>
              <w:pStyle w:val="TableText"/>
              <w:rPr>
                <w:rFonts w:eastAsia="Arial" w:cs="Arial"/>
                <w:szCs w:val="18"/>
              </w:rPr>
            </w:pPr>
            <w:r w:rsidRPr="00666DF4">
              <w:t>Inpatient treatment order</w:t>
            </w:r>
          </w:p>
        </w:tc>
        <w:tc>
          <w:tcPr>
            <w:tcW w:w="1693" w:type="dxa"/>
          </w:tcPr>
          <w:p w:rsidR="00A47CF6" w:rsidRPr="00666DF4" w:rsidRDefault="00A47CF6" w:rsidP="001257C8">
            <w:pPr>
              <w:pStyle w:val="TableText"/>
              <w:tabs>
                <w:tab w:val="decimal" w:pos="641"/>
              </w:tabs>
              <w:rPr>
                <w:rFonts w:eastAsia="Arial" w:cs="Arial"/>
                <w:szCs w:val="18"/>
              </w:rPr>
            </w:pPr>
            <w:r w:rsidRPr="00666DF4">
              <w:t>30 (22%)</w:t>
            </w:r>
          </w:p>
        </w:tc>
        <w:tc>
          <w:tcPr>
            <w:tcW w:w="1148" w:type="dxa"/>
          </w:tcPr>
          <w:p w:rsidR="00A47CF6" w:rsidRPr="00666DF4" w:rsidRDefault="00A47CF6" w:rsidP="001257C8">
            <w:pPr>
              <w:pStyle w:val="TableText"/>
              <w:rPr>
                <w:rFonts w:eastAsia="Arial" w:cs="Arial"/>
                <w:szCs w:val="18"/>
              </w:rPr>
            </w:pPr>
            <w:r w:rsidRPr="00666DF4">
              <w:t>Female</w:t>
            </w:r>
            <w:r w:rsidR="001257C8">
              <w:br/>
            </w:r>
            <w:r w:rsidRPr="00666DF4">
              <w:t>Male</w:t>
            </w:r>
          </w:p>
        </w:tc>
        <w:tc>
          <w:tcPr>
            <w:tcW w:w="1018" w:type="dxa"/>
          </w:tcPr>
          <w:p w:rsidR="00A47CF6" w:rsidRPr="00666DF4" w:rsidRDefault="00A47CF6" w:rsidP="001257C8">
            <w:pPr>
              <w:pStyle w:val="TableText"/>
              <w:tabs>
                <w:tab w:val="decimal" w:pos="548"/>
              </w:tabs>
              <w:rPr>
                <w:rFonts w:eastAsia="Arial" w:cs="Arial"/>
                <w:szCs w:val="18"/>
              </w:rPr>
            </w:pPr>
            <w:r w:rsidRPr="00666DF4">
              <w:t>9</w:t>
            </w:r>
            <w:r w:rsidR="004B5EFA">
              <w:br/>
            </w:r>
            <w:r w:rsidRPr="00666DF4">
              <w:t>21</w:t>
            </w:r>
          </w:p>
        </w:tc>
      </w:tr>
      <w:tr w:rsidR="00A47CF6" w:rsidRPr="00666DF4" w:rsidTr="001257C8">
        <w:trPr>
          <w:cantSplit/>
        </w:trPr>
        <w:tc>
          <w:tcPr>
            <w:tcW w:w="2563" w:type="dxa"/>
          </w:tcPr>
          <w:p w:rsidR="00A47CF6" w:rsidRPr="00666DF4" w:rsidRDefault="00A47CF6" w:rsidP="001257C8">
            <w:pPr>
              <w:pStyle w:val="TableText"/>
              <w:rPr>
                <w:rFonts w:eastAsia="Arial" w:cs="Arial"/>
                <w:szCs w:val="18"/>
              </w:rPr>
            </w:pPr>
            <w:r w:rsidRPr="00666DF4">
              <w:t>Special patient order</w:t>
            </w:r>
          </w:p>
        </w:tc>
        <w:tc>
          <w:tcPr>
            <w:tcW w:w="1693" w:type="dxa"/>
          </w:tcPr>
          <w:p w:rsidR="00A47CF6" w:rsidRPr="00666DF4" w:rsidRDefault="00A47CF6" w:rsidP="001257C8">
            <w:pPr>
              <w:pStyle w:val="TableText"/>
              <w:tabs>
                <w:tab w:val="decimal" w:pos="641"/>
              </w:tabs>
              <w:rPr>
                <w:rFonts w:eastAsia="Arial" w:cs="Arial"/>
                <w:szCs w:val="18"/>
              </w:rPr>
            </w:pPr>
            <w:r w:rsidRPr="00666DF4">
              <w:t>7 (5%)</w:t>
            </w:r>
          </w:p>
        </w:tc>
        <w:tc>
          <w:tcPr>
            <w:tcW w:w="1148" w:type="dxa"/>
          </w:tcPr>
          <w:p w:rsidR="00A47CF6" w:rsidRPr="00666DF4" w:rsidRDefault="00A47CF6" w:rsidP="001257C8">
            <w:pPr>
              <w:pStyle w:val="TableText"/>
              <w:rPr>
                <w:rFonts w:eastAsia="Arial" w:cs="Arial"/>
                <w:szCs w:val="18"/>
              </w:rPr>
            </w:pPr>
            <w:r w:rsidRPr="00666DF4">
              <w:t>Female</w:t>
            </w:r>
            <w:r w:rsidR="001257C8">
              <w:br/>
            </w:r>
            <w:r w:rsidRPr="00666DF4">
              <w:t>Male</w:t>
            </w:r>
          </w:p>
        </w:tc>
        <w:tc>
          <w:tcPr>
            <w:tcW w:w="1018" w:type="dxa"/>
          </w:tcPr>
          <w:p w:rsidR="00A47CF6" w:rsidRPr="00666DF4" w:rsidRDefault="00A47CF6" w:rsidP="001257C8">
            <w:pPr>
              <w:pStyle w:val="TableText"/>
              <w:tabs>
                <w:tab w:val="decimal" w:pos="548"/>
              </w:tabs>
              <w:rPr>
                <w:rFonts w:eastAsia="Arial" w:cs="Arial"/>
                <w:szCs w:val="18"/>
              </w:rPr>
            </w:pPr>
            <w:r w:rsidRPr="00666DF4">
              <w:t>0</w:t>
            </w:r>
            <w:r w:rsidR="004B5EFA">
              <w:br/>
            </w:r>
            <w:r w:rsidRPr="00666DF4">
              <w:t>7</w:t>
            </w:r>
          </w:p>
        </w:tc>
      </w:tr>
      <w:tr w:rsidR="00A47CF6" w:rsidRPr="00666DF4" w:rsidTr="001257C8">
        <w:trPr>
          <w:cantSplit/>
        </w:trPr>
        <w:tc>
          <w:tcPr>
            <w:tcW w:w="2563" w:type="dxa"/>
          </w:tcPr>
          <w:p w:rsidR="00A47CF6" w:rsidRPr="00666DF4" w:rsidRDefault="00A47CF6" w:rsidP="001257C8">
            <w:pPr>
              <w:pStyle w:val="TableText"/>
              <w:rPr>
                <w:rFonts w:eastAsia="Arial" w:cs="Arial"/>
                <w:szCs w:val="18"/>
              </w:rPr>
            </w:pPr>
            <w:r w:rsidRPr="00666DF4">
              <w:t>Restricted person order</w:t>
            </w:r>
          </w:p>
        </w:tc>
        <w:tc>
          <w:tcPr>
            <w:tcW w:w="1693" w:type="dxa"/>
          </w:tcPr>
          <w:p w:rsidR="00A47CF6" w:rsidRPr="00666DF4" w:rsidRDefault="00A47CF6" w:rsidP="001257C8">
            <w:pPr>
              <w:pStyle w:val="TableText"/>
              <w:tabs>
                <w:tab w:val="decimal" w:pos="641"/>
              </w:tabs>
              <w:rPr>
                <w:rFonts w:eastAsia="Arial" w:cs="Arial"/>
                <w:szCs w:val="18"/>
              </w:rPr>
            </w:pPr>
            <w:r w:rsidRPr="00666DF4">
              <w:t>0 (0%)</w:t>
            </w:r>
          </w:p>
        </w:tc>
        <w:tc>
          <w:tcPr>
            <w:tcW w:w="1148" w:type="dxa"/>
          </w:tcPr>
          <w:p w:rsidR="00A47CF6" w:rsidRPr="00666DF4" w:rsidRDefault="00A47CF6" w:rsidP="001257C8">
            <w:pPr>
              <w:pStyle w:val="TableText"/>
              <w:rPr>
                <w:rFonts w:eastAsia="Arial" w:cs="Arial"/>
                <w:szCs w:val="18"/>
              </w:rPr>
            </w:pPr>
            <w:r w:rsidRPr="00666DF4">
              <w:t>Female</w:t>
            </w:r>
            <w:r w:rsidR="001257C8">
              <w:br/>
            </w:r>
            <w:r w:rsidRPr="00666DF4">
              <w:t>Male</w:t>
            </w:r>
          </w:p>
        </w:tc>
        <w:tc>
          <w:tcPr>
            <w:tcW w:w="1018" w:type="dxa"/>
          </w:tcPr>
          <w:p w:rsidR="00A47CF6" w:rsidRPr="00666DF4" w:rsidRDefault="00A47CF6" w:rsidP="001257C8">
            <w:pPr>
              <w:pStyle w:val="TableText"/>
              <w:tabs>
                <w:tab w:val="decimal" w:pos="548"/>
              </w:tabs>
              <w:rPr>
                <w:rFonts w:eastAsia="Arial" w:cs="Arial"/>
                <w:szCs w:val="18"/>
              </w:rPr>
            </w:pPr>
            <w:r w:rsidRPr="00666DF4">
              <w:t>0</w:t>
            </w:r>
            <w:r w:rsidR="004B5EFA">
              <w:br/>
            </w:r>
            <w:r w:rsidRPr="00666DF4">
              <w:t>0</w:t>
            </w:r>
          </w:p>
        </w:tc>
      </w:tr>
    </w:tbl>
    <w:p w:rsidR="00A47CF6" w:rsidRPr="00666DF4" w:rsidRDefault="00A47CF6" w:rsidP="004B5EFA">
      <w:pPr>
        <w:pStyle w:val="Source"/>
        <w:rPr>
          <w:rFonts w:eastAsia="Arial" w:cs="Arial"/>
          <w:szCs w:val="19"/>
        </w:rPr>
      </w:pPr>
      <w:r w:rsidRPr="00666DF4">
        <w:t>Source: Annual Report of Mental Health Review Tribunal, 1 July 2015 to 30 June 2016</w:t>
      </w:r>
    </w:p>
    <w:p w:rsidR="00A47CF6" w:rsidRPr="00666DF4" w:rsidRDefault="00A47CF6" w:rsidP="004B5EFA">
      <w:pPr>
        <w:rPr>
          <w:rFonts w:eastAsia="Arial"/>
        </w:rPr>
      </w:pPr>
    </w:p>
    <w:p w:rsidR="00A47CF6" w:rsidRPr="00666DF4" w:rsidRDefault="00A47CF6" w:rsidP="004B5EFA">
      <w:pPr>
        <w:pStyle w:val="Heading2"/>
        <w:rPr>
          <w:rFonts w:eastAsia="Georgia" w:cs="Georgia"/>
          <w:szCs w:val="40"/>
        </w:rPr>
      </w:pPr>
      <w:bookmarkStart w:id="270" w:name="Table_A5:_Applications_for_compulsory_tr"/>
      <w:bookmarkStart w:id="271" w:name="_bookmark62"/>
      <w:bookmarkStart w:id="272" w:name="_Toc500775151"/>
      <w:bookmarkStart w:id="273" w:name="_Toc508707293"/>
      <w:bookmarkEnd w:id="270"/>
      <w:bookmarkEnd w:id="271"/>
      <w:r w:rsidRPr="00666DF4">
        <w:t>Ministry of Justice statistics</w:t>
      </w:r>
      <w:bookmarkEnd w:id="272"/>
      <w:bookmarkEnd w:id="273"/>
    </w:p>
    <w:p w:rsidR="00A47CF6" w:rsidRPr="00666DF4" w:rsidRDefault="00A47CF6" w:rsidP="001257C8">
      <w:pPr>
        <w:keepNext/>
      </w:pPr>
      <w:r w:rsidRPr="00666DF4">
        <w:t>Table A5 presents data on applications for a compulsory treatment order from 2004 to 2016. Table A6 shows the types of orders granted over the same period.</w:t>
      </w:r>
    </w:p>
    <w:p w:rsidR="00A47CF6" w:rsidRPr="00666DF4" w:rsidRDefault="00A47CF6" w:rsidP="001257C8">
      <w:pPr>
        <w:keepNext/>
        <w:rPr>
          <w:rFonts w:eastAsia="Century"/>
        </w:rPr>
      </w:pPr>
    </w:p>
    <w:p w:rsidR="00A47CF6" w:rsidRPr="00666DF4" w:rsidRDefault="00A47CF6" w:rsidP="001257C8">
      <w:pPr>
        <w:pStyle w:val="Table"/>
        <w:rPr>
          <w:rFonts w:eastAsia="Georgia"/>
        </w:rPr>
      </w:pPr>
      <w:bookmarkStart w:id="274" w:name="_Toc508707323"/>
      <w:r w:rsidRPr="00666DF4">
        <w:rPr>
          <w:rFonts w:eastAsia="Georgia"/>
        </w:rPr>
        <w:t>Table A5: Applications for compulsory treatment orders (or extensions), 2004–2016</w:t>
      </w:r>
      <w:bookmarkEnd w:id="27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957"/>
        <w:gridCol w:w="1679"/>
        <w:gridCol w:w="1680"/>
        <w:gridCol w:w="1680"/>
        <w:gridCol w:w="1680"/>
        <w:gridCol w:w="1680"/>
      </w:tblGrid>
      <w:tr w:rsidR="00A47CF6" w:rsidRPr="001257C8" w:rsidTr="001257C8">
        <w:trPr>
          <w:cantSplit/>
        </w:trPr>
        <w:tc>
          <w:tcPr>
            <w:tcW w:w="957" w:type="dxa"/>
            <w:tcBorders>
              <w:top w:val="single" w:sz="4" w:space="0" w:color="auto"/>
              <w:bottom w:val="single" w:sz="4" w:space="0" w:color="auto"/>
            </w:tcBorders>
          </w:tcPr>
          <w:p w:rsidR="00A47CF6" w:rsidRPr="001257C8" w:rsidRDefault="00A47CF6" w:rsidP="001257C8">
            <w:pPr>
              <w:pStyle w:val="TableText"/>
              <w:keepNext/>
              <w:rPr>
                <w:rFonts w:eastAsia="Arial" w:cs="Arial"/>
                <w:b/>
                <w:szCs w:val="19"/>
              </w:rPr>
            </w:pPr>
            <w:r w:rsidRPr="001257C8">
              <w:rPr>
                <w:b/>
              </w:rPr>
              <w:t>Year</w:t>
            </w:r>
          </w:p>
        </w:tc>
        <w:tc>
          <w:tcPr>
            <w:tcW w:w="1679"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for</w:t>
            </w:r>
            <w:r w:rsidR="001257C8">
              <w:rPr>
                <w:b/>
              </w:rPr>
              <w:br/>
            </w:r>
            <w:r w:rsidRPr="001257C8">
              <w:rPr>
                <w:b/>
              </w:rPr>
              <w:t>a CTO, or extension to a</w:t>
            </w:r>
            <w:r w:rsidR="004B5EFA" w:rsidRPr="001257C8">
              <w:rPr>
                <w:b/>
              </w:rPr>
              <w:t xml:space="preserve"> </w:t>
            </w:r>
            <w:r w:rsidRPr="001257C8">
              <w:rPr>
                <w:b/>
              </w:rPr>
              <w:t>CTO</w:t>
            </w:r>
          </w:p>
        </w:tc>
        <w:tc>
          <w:tcPr>
            <w:tcW w:w="168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granted, or granted with</w:t>
            </w:r>
            <w:r w:rsidR="001257C8" w:rsidRPr="001257C8">
              <w:rPr>
                <w:b/>
              </w:rPr>
              <w:t xml:space="preserve"> </w:t>
            </w:r>
            <w:r w:rsidRPr="001257C8">
              <w:rPr>
                <w:b/>
              </w:rPr>
              <w:t>consent</w:t>
            </w:r>
          </w:p>
        </w:tc>
        <w:tc>
          <w:tcPr>
            <w:tcW w:w="168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dismissed or struck out</w:t>
            </w:r>
          </w:p>
        </w:tc>
        <w:tc>
          <w:tcPr>
            <w:tcW w:w="168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withdrawn, lapsed or discontinued</w:t>
            </w:r>
          </w:p>
        </w:tc>
        <w:tc>
          <w:tcPr>
            <w:tcW w:w="168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transferred to the High Court</w:t>
            </w:r>
          </w:p>
        </w:tc>
      </w:tr>
      <w:tr w:rsidR="00A47CF6" w:rsidRPr="00666DF4" w:rsidTr="001257C8">
        <w:trPr>
          <w:cantSplit/>
        </w:trPr>
        <w:tc>
          <w:tcPr>
            <w:tcW w:w="957" w:type="dxa"/>
            <w:tcBorders>
              <w:top w:val="single" w:sz="4" w:space="0" w:color="auto"/>
            </w:tcBorders>
          </w:tcPr>
          <w:p w:rsidR="00A47CF6" w:rsidRPr="00666DF4" w:rsidRDefault="00A47CF6" w:rsidP="001257C8">
            <w:pPr>
              <w:pStyle w:val="TableText"/>
              <w:keepNext/>
              <w:rPr>
                <w:rFonts w:eastAsia="Arial" w:cs="Arial"/>
                <w:szCs w:val="19"/>
              </w:rPr>
            </w:pPr>
            <w:r w:rsidRPr="00666DF4">
              <w:t>2004</w:t>
            </w:r>
          </w:p>
        </w:tc>
        <w:tc>
          <w:tcPr>
            <w:tcW w:w="1679" w:type="dxa"/>
            <w:tcBorders>
              <w:top w:val="single" w:sz="4" w:space="0" w:color="auto"/>
            </w:tcBorders>
          </w:tcPr>
          <w:p w:rsidR="00A47CF6" w:rsidRPr="00666DF4" w:rsidRDefault="00A47CF6" w:rsidP="001257C8">
            <w:pPr>
              <w:pStyle w:val="TableText"/>
              <w:keepNext/>
              <w:tabs>
                <w:tab w:val="decimal" w:pos="989"/>
              </w:tabs>
              <w:rPr>
                <w:rFonts w:eastAsia="Arial" w:cs="Arial"/>
                <w:szCs w:val="19"/>
              </w:rPr>
            </w:pPr>
            <w:r w:rsidRPr="00666DF4">
              <w:t>4,443</w:t>
            </w:r>
          </w:p>
        </w:tc>
        <w:tc>
          <w:tcPr>
            <w:tcW w:w="1680" w:type="dxa"/>
            <w:tcBorders>
              <w:top w:val="single" w:sz="4" w:space="0" w:color="auto"/>
            </w:tcBorders>
          </w:tcPr>
          <w:p w:rsidR="00A47CF6" w:rsidRPr="00666DF4" w:rsidRDefault="00A47CF6" w:rsidP="001257C8">
            <w:pPr>
              <w:pStyle w:val="TableText"/>
              <w:keepNext/>
              <w:tabs>
                <w:tab w:val="decimal" w:pos="989"/>
              </w:tabs>
              <w:rPr>
                <w:rFonts w:eastAsia="Arial" w:cs="Arial"/>
                <w:szCs w:val="19"/>
              </w:rPr>
            </w:pPr>
            <w:r w:rsidRPr="00666DF4">
              <w:t>3,863</w:t>
            </w:r>
          </w:p>
        </w:tc>
        <w:tc>
          <w:tcPr>
            <w:tcW w:w="1680" w:type="dxa"/>
            <w:tcBorders>
              <w:top w:val="single" w:sz="4" w:space="0" w:color="auto"/>
            </w:tcBorders>
          </w:tcPr>
          <w:p w:rsidR="00A47CF6" w:rsidRPr="00666DF4" w:rsidRDefault="00A47CF6" w:rsidP="001257C8">
            <w:pPr>
              <w:pStyle w:val="TableText"/>
              <w:keepNext/>
              <w:tabs>
                <w:tab w:val="decimal" w:pos="916"/>
              </w:tabs>
              <w:rPr>
                <w:rFonts w:eastAsia="Arial" w:cs="Arial"/>
                <w:szCs w:val="19"/>
              </w:rPr>
            </w:pPr>
            <w:r w:rsidRPr="00666DF4">
              <w:t>100</w:t>
            </w:r>
          </w:p>
        </w:tc>
        <w:tc>
          <w:tcPr>
            <w:tcW w:w="1680" w:type="dxa"/>
            <w:tcBorders>
              <w:top w:val="single" w:sz="4" w:space="0" w:color="auto"/>
            </w:tcBorders>
          </w:tcPr>
          <w:p w:rsidR="00A47CF6" w:rsidRPr="00666DF4" w:rsidRDefault="00A47CF6" w:rsidP="001257C8">
            <w:pPr>
              <w:pStyle w:val="TableText"/>
              <w:keepNext/>
              <w:tabs>
                <w:tab w:val="decimal" w:pos="916"/>
              </w:tabs>
              <w:rPr>
                <w:rFonts w:eastAsia="Arial" w:cs="Arial"/>
                <w:szCs w:val="19"/>
              </w:rPr>
            </w:pPr>
            <w:r w:rsidRPr="00666DF4">
              <w:t>460</w:t>
            </w:r>
          </w:p>
        </w:tc>
        <w:tc>
          <w:tcPr>
            <w:tcW w:w="1680" w:type="dxa"/>
            <w:tcBorders>
              <w:top w:val="single" w:sz="4" w:space="0" w:color="auto"/>
            </w:tcBorders>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2005</w:t>
            </w:r>
          </w:p>
        </w:tc>
        <w:tc>
          <w:tcPr>
            <w:tcW w:w="1679" w:type="dxa"/>
          </w:tcPr>
          <w:p w:rsidR="00A47CF6" w:rsidRPr="00666DF4" w:rsidRDefault="00A47CF6" w:rsidP="001257C8">
            <w:pPr>
              <w:pStyle w:val="TableText"/>
              <w:keepNext/>
              <w:tabs>
                <w:tab w:val="decimal" w:pos="989"/>
              </w:tabs>
              <w:rPr>
                <w:rFonts w:eastAsia="Arial" w:cs="Arial"/>
                <w:szCs w:val="19"/>
              </w:rPr>
            </w:pPr>
            <w:r w:rsidRPr="00666DF4">
              <w:t>4,298</w:t>
            </w:r>
          </w:p>
        </w:tc>
        <w:tc>
          <w:tcPr>
            <w:tcW w:w="1680" w:type="dxa"/>
          </w:tcPr>
          <w:p w:rsidR="00A47CF6" w:rsidRPr="00666DF4" w:rsidRDefault="00A47CF6" w:rsidP="001257C8">
            <w:pPr>
              <w:pStyle w:val="TableText"/>
              <w:keepNext/>
              <w:tabs>
                <w:tab w:val="decimal" w:pos="989"/>
              </w:tabs>
              <w:rPr>
                <w:rFonts w:eastAsia="Arial" w:cs="Arial"/>
                <w:szCs w:val="19"/>
              </w:rPr>
            </w:pPr>
            <w:r w:rsidRPr="00666DF4">
              <w:t>3,682</w:t>
            </w:r>
          </w:p>
        </w:tc>
        <w:tc>
          <w:tcPr>
            <w:tcW w:w="1680" w:type="dxa"/>
          </w:tcPr>
          <w:p w:rsidR="00A47CF6" w:rsidRPr="00666DF4" w:rsidRDefault="00A47CF6" w:rsidP="001257C8">
            <w:pPr>
              <w:pStyle w:val="TableText"/>
              <w:keepNext/>
              <w:tabs>
                <w:tab w:val="decimal" w:pos="916"/>
              </w:tabs>
              <w:rPr>
                <w:rFonts w:eastAsia="Arial" w:cs="Arial"/>
                <w:szCs w:val="19"/>
              </w:rPr>
            </w:pPr>
            <w:r w:rsidRPr="00666DF4">
              <w:t>100</w:t>
            </w:r>
          </w:p>
        </w:tc>
        <w:tc>
          <w:tcPr>
            <w:tcW w:w="1680" w:type="dxa"/>
          </w:tcPr>
          <w:p w:rsidR="00A47CF6" w:rsidRPr="00666DF4" w:rsidRDefault="00A47CF6" w:rsidP="001257C8">
            <w:pPr>
              <w:pStyle w:val="TableText"/>
              <w:keepNext/>
              <w:tabs>
                <w:tab w:val="decimal" w:pos="916"/>
              </w:tabs>
              <w:rPr>
                <w:rFonts w:eastAsia="Arial" w:cs="Arial"/>
                <w:szCs w:val="19"/>
              </w:rPr>
            </w:pPr>
            <w:r w:rsidRPr="00666DF4">
              <w:t>520</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2006</w:t>
            </w:r>
          </w:p>
        </w:tc>
        <w:tc>
          <w:tcPr>
            <w:tcW w:w="1679" w:type="dxa"/>
          </w:tcPr>
          <w:p w:rsidR="00A47CF6" w:rsidRPr="00666DF4" w:rsidRDefault="00A47CF6" w:rsidP="001257C8">
            <w:pPr>
              <w:pStyle w:val="TableText"/>
              <w:keepNext/>
              <w:tabs>
                <w:tab w:val="decimal" w:pos="989"/>
              </w:tabs>
              <w:rPr>
                <w:rFonts w:eastAsia="Arial" w:cs="Arial"/>
                <w:szCs w:val="19"/>
              </w:rPr>
            </w:pPr>
            <w:r w:rsidRPr="00666DF4">
              <w:t>4,254</w:t>
            </w:r>
          </w:p>
        </w:tc>
        <w:tc>
          <w:tcPr>
            <w:tcW w:w="1680" w:type="dxa"/>
          </w:tcPr>
          <w:p w:rsidR="00A47CF6" w:rsidRPr="00666DF4" w:rsidRDefault="00A47CF6" w:rsidP="001257C8">
            <w:pPr>
              <w:pStyle w:val="TableText"/>
              <w:keepNext/>
              <w:tabs>
                <w:tab w:val="decimal" w:pos="989"/>
              </w:tabs>
              <w:rPr>
                <w:rFonts w:eastAsia="Arial" w:cs="Arial"/>
                <w:szCs w:val="19"/>
              </w:rPr>
            </w:pPr>
            <w:r w:rsidRPr="00666DF4">
              <w:t>3,643</w:t>
            </w:r>
          </w:p>
        </w:tc>
        <w:tc>
          <w:tcPr>
            <w:tcW w:w="1680" w:type="dxa"/>
          </w:tcPr>
          <w:p w:rsidR="00A47CF6" w:rsidRPr="00666DF4" w:rsidRDefault="00A47CF6" w:rsidP="001257C8">
            <w:pPr>
              <w:pStyle w:val="TableText"/>
              <w:keepNext/>
              <w:tabs>
                <w:tab w:val="decimal" w:pos="916"/>
              </w:tabs>
              <w:rPr>
                <w:rFonts w:eastAsia="Arial" w:cs="Arial"/>
                <w:szCs w:val="19"/>
              </w:rPr>
            </w:pPr>
            <w:r w:rsidRPr="00666DF4">
              <w:t>109</w:t>
            </w:r>
          </w:p>
        </w:tc>
        <w:tc>
          <w:tcPr>
            <w:tcW w:w="1680" w:type="dxa"/>
          </w:tcPr>
          <w:p w:rsidR="00A47CF6" w:rsidRPr="00666DF4" w:rsidRDefault="00A47CF6" w:rsidP="001257C8">
            <w:pPr>
              <w:pStyle w:val="TableText"/>
              <w:keepNext/>
              <w:tabs>
                <w:tab w:val="decimal" w:pos="916"/>
              </w:tabs>
              <w:rPr>
                <w:rFonts w:eastAsia="Arial" w:cs="Arial"/>
                <w:szCs w:val="19"/>
              </w:rPr>
            </w:pPr>
            <w:r w:rsidRPr="00666DF4">
              <w:t>515</w:t>
            </w:r>
          </w:p>
        </w:tc>
        <w:tc>
          <w:tcPr>
            <w:tcW w:w="1680" w:type="dxa"/>
          </w:tcPr>
          <w:p w:rsidR="00A47CF6" w:rsidRPr="00666DF4" w:rsidRDefault="00A47CF6" w:rsidP="001257C8">
            <w:pPr>
              <w:pStyle w:val="TableText"/>
              <w:keepNext/>
              <w:jc w:val="center"/>
              <w:rPr>
                <w:rFonts w:eastAsia="Arial" w:cs="Arial"/>
                <w:szCs w:val="19"/>
              </w:rPr>
            </w:pPr>
            <w:r w:rsidRPr="00666DF4">
              <w:t>1</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2007</w:t>
            </w:r>
          </w:p>
        </w:tc>
        <w:tc>
          <w:tcPr>
            <w:tcW w:w="1679" w:type="dxa"/>
          </w:tcPr>
          <w:p w:rsidR="00A47CF6" w:rsidRPr="00666DF4" w:rsidRDefault="00A47CF6" w:rsidP="001257C8">
            <w:pPr>
              <w:pStyle w:val="TableText"/>
              <w:keepNext/>
              <w:tabs>
                <w:tab w:val="decimal" w:pos="989"/>
              </w:tabs>
              <w:rPr>
                <w:rFonts w:eastAsia="Arial" w:cs="Arial"/>
                <w:szCs w:val="19"/>
              </w:rPr>
            </w:pPr>
            <w:r w:rsidRPr="00666DF4">
              <w:t>4,535</w:t>
            </w:r>
          </w:p>
        </w:tc>
        <w:tc>
          <w:tcPr>
            <w:tcW w:w="1680" w:type="dxa"/>
          </w:tcPr>
          <w:p w:rsidR="00A47CF6" w:rsidRPr="00666DF4" w:rsidRDefault="00A47CF6" w:rsidP="001257C8">
            <w:pPr>
              <w:pStyle w:val="TableText"/>
              <w:keepNext/>
              <w:tabs>
                <w:tab w:val="decimal" w:pos="989"/>
              </w:tabs>
              <w:rPr>
                <w:rFonts w:eastAsia="Arial" w:cs="Arial"/>
                <w:szCs w:val="19"/>
              </w:rPr>
            </w:pPr>
            <w:r w:rsidRPr="00666DF4">
              <w:t>3,916</w:t>
            </w:r>
          </w:p>
        </w:tc>
        <w:tc>
          <w:tcPr>
            <w:tcW w:w="1680" w:type="dxa"/>
          </w:tcPr>
          <w:p w:rsidR="00A47CF6" w:rsidRPr="00666DF4" w:rsidRDefault="00A47CF6" w:rsidP="001257C8">
            <w:pPr>
              <w:pStyle w:val="TableText"/>
              <w:keepNext/>
              <w:tabs>
                <w:tab w:val="decimal" w:pos="916"/>
              </w:tabs>
              <w:rPr>
                <w:rFonts w:eastAsia="Arial" w:cs="Arial"/>
                <w:szCs w:val="19"/>
              </w:rPr>
            </w:pPr>
            <w:r w:rsidRPr="00666DF4">
              <w:t>99</w:t>
            </w:r>
          </w:p>
        </w:tc>
        <w:tc>
          <w:tcPr>
            <w:tcW w:w="1680" w:type="dxa"/>
          </w:tcPr>
          <w:p w:rsidR="00A47CF6" w:rsidRPr="00666DF4" w:rsidRDefault="00A47CF6" w:rsidP="001257C8">
            <w:pPr>
              <w:pStyle w:val="TableText"/>
              <w:keepNext/>
              <w:tabs>
                <w:tab w:val="decimal" w:pos="916"/>
              </w:tabs>
              <w:rPr>
                <w:rFonts w:eastAsia="Arial" w:cs="Arial"/>
                <w:szCs w:val="19"/>
              </w:rPr>
            </w:pPr>
            <w:r w:rsidRPr="00666DF4">
              <w:t>542</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2008</w:t>
            </w:r>
          </w:p>
        </w:tc>
        <w:tc>
          <w:tcPr>
            <w:tcW w:w="1679" w:type="dxa"/>
          </w:tcPr>
          <w:p w:rsidR="00A47CF6" w:rsidRPr="00666DF4" w:rsidRDefault="00A47CF6" w:rsidP="001257C8">
            <w:pPr>
              <w:pStyle w:val="TableText"/>
              <w:keepNext/>
              <w:tabs>
                <w:tab w:val="decimal" w:pos="989"/>
              </w:tabs>
              <w:rPr>
                <w:rFonts w:eastAsia="Arial" w:cs="Arial"/>
                <w:szCs w:val="19"/>
              </w:rPr>
            </w:pPr>
            <w:r w:rsidRPr="00666DF4">
              <w:t>4,633</w:t>
            </w:r>
          </w:p>
        </w:tc>
        <w:tc>
          <w:tcPr>
            <w:tcW w:w="1680" w:type="dxa"/>
          </w:tcPr>
          <w:p w:rsidR="00A47CF6" w:rsidRPr="00666DF4" w:rsidRDefault="00A47CF6" w:rsidP="001257C8">
            <w:pPr>
              <w:pStyle w:val="TableText"/>
              <w:keepNext/>
              <w:tabs>
                <w:tab w:val="decimal" w:pos="989"/>
              </w:tabs>
              <w:rPr>
                <w:rFonts w:eastAsia="Arial" w:cs="Arial"/>
                <w:szCs w:val="19"/>
              </w:rPr>
            </w:pPr>
            <w:r w:rsidRPr="00666DF4">
              <w:t>3,969</w:t>
            </w:r>
          </w:p>
        </w:tc>
        <w:tc>
          <w:tcPr>
            <w:tcW w:w="1680" w:type="dxa"/>
          </w:tcPr>
          <w:p w:rsidR="00A47CF6" w:rsidRPr="00666DF4" w:rsidRDefault="00A47CF6" w:rsidP="001257C8">
            <w:pPr>
              <w:pStyle w:val="TableText"/>
              <w:keepNext/>
              <w:tabs>
                <w:tab w:val="decimal" w:pos="916"/>
              </w:tabs>
              <w:rPr>
                <w:rFonts w:eastAsia="Arial" w:cs="Arial"/>
                <w:szCs w:val="19"/>
              </w:rPr>
            </w:pPr>
            <w:r w:rsidRPr="00666DF4">
              <w:t>103</w:t>
            </w:r>
          </w:p>
        </w:tc>
        <w:tc>
          <w:tcPr>
            <w:tcW w:w="1680" w:type="dxa"/>
          </w:tcPr>
          <w:p w:rsidR="00A47CF6" w:rsidRPr="00666DF4" w:rsidRDefault="00A47CF6" w:rsidP="001257C8">
            <w:pPr>
              <w:pStyle w:val="TableText"/>
              <w:keepNext/>
              <w:tabs>
                <w:tab w:val="decimal" w:pos="916"/>
              </w:tabs>
              <w:rPr>
                <w:rFonts w:eastAsia="Arial" w:cs="Arial"/>
                <w:szCs w:val="19"/>
              </w:rPr>
            </w:pPr>
            <w:r w:rsidRPr="00666DF4">
              <w:t>485</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2009</w:t>
            </w:r>
          </w:p>
        </w:tc>
        <w:tc>
          <w:tcPr>
            <w:tcW w:w="1679" w:type="dxa"/>
          </w:tcPr>
          <w:p w:rsidR="00A47CF6" w:rsidRPr="00666DF4" w:rsidRDefault="00A47CF6" w:rsidP="001257C8">
            <w:pPr>
              <w:pStyle w:val="TableText"/>
              <w:keepNext/>
              <w:tabs>
                <w:tab w:val="decimal" w:pos="989"/>
              </w:tabs>
              <w:rPr>
                <w:rFonts w:eastAsia="Arial" w:cs="Arial"/>
                <w:szCs w:val="19"/>
              </w:rPr>
            </w:pPr>
            <w:r w:rsidRPr="00666DF4">
              <w:t>4,562</w:t>
            </w:r>
          </w:p>
        </w:tc>
        <w:tc>
          <w:tcPr>
            <w:tcW w:w="1680" w:type="dxa"/>
          </w:tcPr>
          <w:p w:rsidR="00A47CF6" w:rsidRPr="00666DF4" w:rsidRDefault="00A47CF6" w:rsidP="001257C8">
            <w:pPr>
              <w:pStyle w:val="TableText"/>
              <w:keepNext/>
              <w:tabs>
                <w:tab w:val="decimal" w:pos="989"/>
              </w:tabs>
              <w:rPr>
                <w:rFonts w:eastAsia="Arial" w:cs="Arial"/>
                <w:szCs w:val="19"/>
              </w:rPr>
            </w:pPr>
            <w:r w:rsidRPr="00666DF4">
              <w:t>4,038</w:t>
            </w:r>
          </w:p>
        </w:tc>
        <w:tc>
          <w:tcPr>
            <w:tcW w:w="1680" w:type="dxa"/>
          </w:tcPr>
          <w:p w:rsidR="00A47CF6" w:rsidRPr="00666DF4" w:rsidRDefault="00A47CF6" w:rsidP="001257C8">
            <w:pPr>
              <w:pStyle w:val="TableText"/>
              <w:keepNext/>
              <w:tabs>
                <w:tab w:val="decimal" w:pos="916"/>
              </w:tabs>
              <w:rPr>
                <w:rFonts w:eastAsia="Arial" w:cs="Arial"/>
                <w:szCs w:val="19"/>
              </w:rPr>
            </w:pPr>
            <w:r w:rsidRPr="00666DF4">
              <w:t>54</w:t>
            </w:r>
          </w:p>
        </w:tc>
        <w:tc>
          <w:tcPr>
            <w:tcW w:w="1680" w:type="dxa"/>
          </w:tcPr>
          <w:p w:rsidR="00A47CF6" w:rsidRPr="00666DF4" w:rsidRDefault="00A47CF6" w:rsidP="001257C8">
            <w:pPr>
              <w:pStyle w:val="TableText"/>
              <w:keepNext/>
              <w:tabs>
                <w:tab w:val="decimal" w:pos="916"/>
              </w:tabs>
              <w:rPr>
                <w:rFonts w:eastAsia="Arial" w:cs="Arial"/>
                <w:szCs w:val="19"/>
              </w:rPr>
            </w:pPr>
            <w:r w:rsidRPr="00666DF4">
              <w:t>494</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2010</w:t>
            </w:r>
          </w:p>
        </w:tc>
        <w:tc>
          <w:tcPr>
            <w:tcW w:w="1679" w:type="dxa"/>
          </w:tcPr>
          <w:p w:rsidR="00A47CF6" w:rsidRPr="00666DF4" w:rsidRDefault="00A47CF6" w:rsidP="001257C8">
            <w:pPr>
              <w:pStyle w:val="TableText"/>
              <w:keepNext/>
              <w:tabs>
                <w:tab w:val="decimal" w:pos="989"/>
              </w:tabs>
              <w:rPr>
                <w:rFonts w:eastAsia="Arial" w:cs="Arial"/>
                <w:szCs w:val="19"/>
              </w:rPr>
            </w:pPr>
            <w:r w:rsidRPr="00666DF4">
              <w:t>4,783</w:t>
            </w:r>
          </w:p>
        </w:tc>
        <w:tc>
          <w:tcPr>
            <w:tcW w:w="1680" w:type="dxa"/>
          </w:tcPr>
          <w:p w:rsidR="00A47CF6" w:rsidRPr="00666DF4" w:rsidRDefault="00A47CF6" w:rsidP="001257C8">
            <w:pPr>
              <w:pStyle w:val="TableText"/>
              <w:keepNext/>
              <w:tabs>
                <w:tab w:val="decimal" w:pos="989"/>
              </w:tabs>
              <w:rPr>
                <w:rFonts w:eastAsia="Arial" w:cs="Arial"/>
                <w:szCs w:val="19"/>
              </w:rPr>
            </w:pPr>
            <w:r w:rsidRPr="00666DF4">
              <w:t>4,156</w:t>
            </w:r>
          </w:p>
        </w:tc>
        <w:tc>
          <w:tcPr>
            <w:tcW w:w="1680" w:type="dxa"/>
          </w:tcPr>
          <w:p w:rsidR="00A47CF6" w:rsidRPr="00666DF4" w:rsidRDefault="00A47CF6" w:rsidP="001257C8">
            <w:pPr>
              <w:pStyle w:val="TableText"/>
              <w:keepNext/>
              <w:tabs>
                <w:tab w:val="decimal" w:pos="916"/>
              </w:tabs>
              <w:rPr>
                <w:rFonts w:eastAsia="Arial" w:cs="Arial"/>
                <w:szCs w:val="19"/>
              </w:rPr>
            </w:pPr>
            <w:r w:rsidRPr="00666DF4">
              <w:t>74</w:t>
            </w:r>
          </w:p>
        </w:tc>
        <w:tc>
          <w:tcPr>
            <w:tcW w:w="1680" w:type="dxa"/>
          </w:tcPr>
          <w:p w:rsidR="00A47CF6" w:rsidRPr="00666DF4" w:rsidRDefault="00A47CF6" w:rsidP="001257C8">
            <w:pPr>
              <w:pStyle w:val="TableText"/>
              <w:keepNext/>
              <w:tabs>
                <w:tab w:val="decimal" w:pos="916"/>
              </w:tabs>
              <w:rPr>
                <w:rFonts w:eastAsia="Arial" w:cs="Arial"/>
                <w:szCs w:val="19"/>
              </w:rPr>
            </w:pPr>
            <w:r w:rsidRPr="00666DF4">
              <w:t>523</w:t>
            </w:r>
          </w:p>
        </w:tc>
        <w:tc>
          <w:tcPr>
            <w:tcW w:w="1680" w:type="dxa"/>
          </w:tcPr>
          <w:p w:rsidR="00A47CF6" w:rsidRPr="00666DF4" w:rsidRDefault="00A47CF6" w:rsidP="001257C8">
            <w:pPr>
              <w:pStyle w:val="TableText"/>
              <w:keepNext/>
              <w:jc w:val="center"/>
              <w:rPr>
                <w:rFonts w:eastAsia="Arial" w:cs="Arial"/>
                <w:szCs w:val="19"/>
              </w:rPr>
            </w:pPr>
            <w:r w:rsidRPr="00666DF4">
              <w:t>1</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2011</w:t>
            </w:r>
          </w:p>
        </w:tc>
        <w:tc>
          <w:tcPr>
            <w:tcW w:w="1679" w:type="dxa"/>
          </w:tcPr>
          <w:p w:rsidR="00A47CF6" w:rsidRPr="00666DF4" w:rsidRDefault="00A47CF6" w:rsidP="001257C8">
            <w:pPr>
              <w:pStyle w:val="TableText"/>
              <w:keepNext/>
              <w:tabs>
                <w:tab w:val="decimal" w:pos="989"/>
              </w:tabs>
              <w:rPr>
                <w:rFonts w:eastAsia="Arial" w:cs="Arial"/>
                <w:szCs w:val="19"/>
              </w:rPr>
            </w:pPr>
            <w:r w:rsidRPr="00666DF4">
              <w:t>4,780</w:t>
            </w:r>
          </w:p>
        </w:tc>
        <w:tc>
          <w:tcPr>
            <w:tcW w:w="1680" w:type="dxa"/>
          </w:tcPr>
          <w:p w:rsidR="00A47CF6" w:rsidRPr="00666DF4" w:rsidRDefault="00A47CF6" w:rsidP="001257C8">
            <w:pPr>
              <w:pStyle w:val="TableText"/>
              <w:keepNext/>
              <w:tabs>
                <w:tab w:val="decimal" w:pos="989"/>
              </w:tabs>
              <w:rPr>
                <w:rFonts w:eastAsia="Arial" w:cs="Arial"/>
                <w:szCs w:val="19"/>
              </w:rPr>
            </w:pPr>
            <w:r w:rsidRPr="00666DF4">
              <w:t>4,215</w:t>
            </w:r>
          </w:p>
        </w:tc>
        <w:tc>
          <w:tcPr>
            <w:tcW w:w="1680" w:type="dxa"/>
          </w:tcPr>
          <w:p w:rsidR="00A47CF6" w:rsidRPr="00666DF4" w:rsidRDefault="00A47CF6" w:rsidP="001257C8">
            <w:pPr>
              <w:pStyle w:val="TableText"/>
              <w:keepNext/>
              <w:tabs>
                <w:tab w:val="decimal" w:pos="916"/>
              </w:tabs>
              <w:rPr>
                <w:rFonts w:eastAsia="Arial" w:cs="Arial"/>
                <w:szCs w:val="19"/>
              </w:rPr>
            </w:pPr>
            <w:r w:rsidRPr="00666DF4">
              <w:t>70</w:t>
            </w:r>
          </w:p>
        </w:tc>
        <w:tc>
          <w:tcPr>
            <w:tcW w:w="1680" w:type="dxa"/>
          </w:tcPr>
          <w:p w:rsidR="00A47CF6" w:rsidRPr="00666DF4" w:rsidRDefault="00A47CF6" w:rsidP="001257C8">
            <w:pPr>
              <w:pStyle w:val="TableText"/>
              <w:keepNext/>
              <w:tabs>
                <w:tab w:val="decimal" w:pos="916"/>
              </w:tabs>
              <w:rPr>
                <w:rFonts w:eastAsia="Arial" w:cs="Arial"/>
                <w:szCs w:val="19"/>
              </w:rPr>
            </w:pPr>
            <w:r w:rsidRPr="00666DF4">
              <w:t>516</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keepNext/>
              <w:rPr>
                <w:rFonts w:eastAsia="Arial" w:cs="Arial"/>
                <w:szCs w:val="19"/>
              </w:rPr>
            </w:pPr>
            <w:r w:rsidRPr="00666DF4">
              <w:t>2012</w:t>
            </w:r>
          </w:p>
        </w:tc>
        <w:tc>
          <w:tcPr>
            <w:tcW w:w="1679" w:type="dxa"/>
          </w:tcPr>
          <w:p w:rsidR="00A47CF6" w:rsidRPr="00666DF4" w:rsidRDefault="00A47CF6" w:rsidP="001257C8">
            <w:pPr>
              <w:pStyle w:val="TableText"/>
              <w:keepNext/>
              <w:tabs>
                <w:tab w:val="decimal" w:pos="989"/>
              </w:tabs>
              <w:rPr>
                <w:rFonts w:eastAsia="Arial" w:cs="Arial"/>
                <w:szCs w:val="19"/>
              </w:rPr>
            </w:pPr>
            <w:r w:rsidRPr="00666DF4">
              <w:t>4,885</w:t>
            </w:r>
          </w:p>
        </w:tc>
        <w:tc>
          <w:tcPr>
            <w:tcW w:w="1680" w:type="dxa"/>
          </w:tcPr>
          <w:p w:rsidR="00A47CF6" w:rsidRPr="00666DF4" w:rsidRDefault="00A47CF6" w:rsidP="001257C8">
            <w:pPr>
              <w:pStyle w:val="TableText"/>
              <w:keepNext/>
              <w:tabs>
                <w:tab w:val="decimal" w:pos="989"/>
              </w:tabs>
              <w:rPr>
                <w:rFonts w:eastAsia="Arial" w:cs="Arial"/>
                <w:szCs w:val="19"/>
              </w:rPr>
            </w:pPr>
            <w:r w:rsidRPr="00666DF4">
              <w:t>4,343</w:t>
            </w:r>
          </w:p>
        </w:tc>
        <w:tc>
          <w:tcPr>
            <w:tcW w:w="1680" w:type="dxa"/>
          </w:tcPr>
          <w:p w:rsidR="00A47CF6" w:rsidRPr="00666DF4" w:rsidRDefault="00A47CF6" w:rsidP="001257C8">
            <w:pPr>
              <w:pStyle w:val="TableText"/>
              <w:keepNext/>
              <w:tabs>
                <w:tab w:val="decimal" w:pos="916"/>
              </w:tabs>
              <w:rPr>
                <w:rFonts w:eastAsia="Arial" w:cs="Arial"/>
                <w:szCs w:val="19"/>
              </w:rPr>
            </w:pPr>
            <w:r w:rsidRPr="00666DF4">
              <w:t>71</w:t>
            </w:r>
          </w:p>
        </w:tc>
        <w:tc>
          <w:tcPr>
            <w:tcW w:w="1680" w:type="dxa"/>
          </w:tcPr>
          <w:p w:rsidR="00A47CF6" w:rsidRPr="00666DF4" w:rsidRDefault="00A47CF6" w:rsidP="001257C8">
            <w:pPr>
              <w:pStyle w:val="TableText"/>
              <w:keepNext/>
              <w:tabs>
                <w:tab w:val="decimal" w:pos="916"/>
              </w:tabs>
              <w:rPr>
                <w:rFonts w:eastAsia="Arial" w:cs="Arial"/>
                <w:szCs w:val="19"/>
              </w:rPr>
            </w:pPr>
            <w:r w:rsidRPr="00666DF4">
              <w:t>443</w:t>
            </w:r>
          </w:p>
        </w:tc>
        <w:tc>
          <w:tcPr>
            <w:tcW w:w="1680" w:type="dxa"/>
          </w:tcPr>
          <w:p w:rsidR="00A47CF6" w:rsidRPr="00666DF4" w:rsidRDefault="00A47CF6" w:rsidP="001257C8">
            <w:pPr>
              <w:pStyle w:val="TableText"/>
              <w:keepN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rPr>
                <w:rFonts w:eastAsia="Arial" w:cs="Arial"/>
                <w:szCs w:val="19"/>
              </w:rPr>
            </w:pPr>
            <w:r w:rsidRPr="00666DF4">
              <w:t>2013</w:t>
            </w:r>
          </w:p>
        </w:tc>
        <w:tc>
          <w:tcPr>
            <w:tcW w:w="1679" w:type="dxa"/>
          </w:tcPr>
          <w:p w:rsidR="00A47CF6" w:rsidRPr="00666DF4" w:rsidRDefault="00A47CF6" w:rsidP="001257C8">
            <w:pPr>
              <w:pStyle w:val="TableText"/>
              <w:tabs>
                <w:tab w:val="decimal" w:pos="989"/>
              </w:tabs>
              <w:rPr>
                <w:rFonts w:eastAsia="Arial" w:cs="Arial"/>
                <w:szCs w:val="19"/>
              </w:rPr>
            </w:pPr>
            <w:r w:rsidRPr="00666DF4">
              <w:t>5,062</w:t>
            </w:r>
          </w:p>
        </w:tc>
        <w:tc>
          <w:tcPr>
            <w:tcW w:w="1680" w:type="dxa"/>
          </w:tcPr>
          <w:p w:rsidR="00A47CF6" w:rsidRPr="00666DF4" w:rsidRDefault="00A47CF6" w:rsidP="001257C8">
            <w:pPr>
              <w:pStyle w:val="TableText"/>
              <w:tabs>
                <w:tab w:val="decimal" w:pos="989"/>
              </w:tabs>
              <w:rPr>
                <w:rFonts w:eastAsia="Arial" w:cs="Arial"/>
                <w:szCs w:val="19"/>
              </w:rPr>
            </w:pPr>
            <w:r w:rsidRPr="00666DF4">
              <w:t>4,607</w:t>
            </w:r>
          </w:p>
        </w:tc>
        <w:tc>
          <w:tcPr>
            <w:tcW w:w="1680" w:type="dxa"/>
          </w:tcPr>
          <w:p w:rsidR="00A47CF6" w:rsidRPr="00666DF4" w:rsidRDefault="00A47CF6" w:rsidP="001257C8">
            <w:pPr>
              <w:pStyle w:val="TableText"/>
              <w:tabs>
                <w:tab w:val="decimal" w:pos="916"/>
              </w:tabs>
              <w:rPr>
                <w:rFonts w:eastAsia="Arial" w:cs="Arial"/>
                <w:szCs w:val="19"/>
              </w:rPr>
            </w:pPr>
            <w:r w:rsidRPr="00666DF4">
              <w:t>68</w:t>
            </w:r>
          </w:p>
        </w:tc>
        <w:tc>
          <w:tcPr>
            <w:tcW w:w="1680" w:type="dxa"/>
          </w:tcPr>
          <w:p w:rsidR="00A47CF6" w:rsidRPr="00666DF4" w:rsidRDefault="00A47CF6" w:rsidP="001257C8">
            <w:pPr>
              <w:pStyle w:val="TableText"/>
              <w:tabs>
                <w:tab w:val="decimal" w:pos="916"/>
              </w:tabs>
              <w:rPr>
                <w:rFonts w:eastAsia="Arial" w:cs="Arial"/>
                <w:szCs w:val="19"/>
              </w:rPr>
            </w:pPr>
            <w:r w:rsidRPr="00666DF4">
              <w:t>411</w:t>
            </w:r>
          </w:p>
        </w:tc>
        <w:tc>
          <w:tcPr>
            <w:tcW w:w="1680" w:type="dxa"/>
          </w:tcPr>
          <w:p w:rsidR="00A47CF6" w:rsidRPr="00666DF4" w:rsidRDefault="00A47CF6" w:rsidP="001257C8">
            <w:pPr>
              <w:pStyle w:val="TableT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rPr>
                <w:rFonts w:eastAsia="Arial" w:cs="Arial"/>
                <w:szCs w:val="19"/>
              </w:rPr>
            </w:pPr>
            <w:r w:rsidRPr="00666DF4">
              <w:t>2014</w:t>
            </w:r>
          </w:p>
        </w:tc>
        <w:tc>
          <w:tcPr>
            <w:tcW w:w="1679" w:type="dxa"/>
          </w:tcPr>
          <w:p w:rsidR="00A47CF6" w:rsidRPr="00666DF4" w:rsidRDefault="00A47CF6" w:rsidP="001257C8">
            <w:pPr>
              <w:pStyle w:val="TableText"/>
              <w:tabs>
                <w:tab w:val="decimal" w:pos="989"/>
              </w:tabs>
              <w:rPr>
                <w:rFonts w:eastAsia="Arial" w:cs="Arial"/>
                <w:szCs w:val="19"/>
              </w:rPr>
            </w:pPr>
            <w:r w:rsidRPr="00666DF4">
              <w:t>5,227</w:t>
            </w:r>
          </w:p>
        </w:tc>
        <w:tc>
          <w:tcPr>
            <w:tcW w:w="1680" w:type="dxa"/>
          </w:tcPr>
          <w:p w:rsidR="00A47CF6" w:rsidRPr="00666DF4" w:rsidRDefault="00A47CF6" w:rsidP="001257C8">
            <w:pPr>
              <w:pStyle w:val="TableText"/>
              <w:tabs>
                <w:tab w:val="decimal" w:pos="989"/>
              </w:tabs>
              <w:rPr>
                <w:rFonts w:eastAsia="Arial" w:cs="Arial"/>
                <w:szCs w:val="19"/>
              </w:rPr>
            </w:pPr>
            <w:r w:rsidRPr="00666DF4">
              <w:t>4,632</w:t>
            </w:r>
          </w:p>
        </w:tc>
        <w:tc>
          <w:tcPr>
            <w:tcW w:w="1680" w:type="dxa"/>
          </w:tcPr>
          <w:p w:rsidR="00A47CF6" w:rsidRPr="00666DF4" w:rsidRDefault="00A47CF6" w:rsidP="001257C8">
            <w:pPr>
              <w:pStyle w:val="TableText"/>
              <w:tabs>
                <w:tab w:val="decimal" w:pos="916"/>
              </w:tabs>
              <w:rPr>
                <w:rFonts w:eastAsia="Arial" w:cs="Arial"/>
                <w:szCs w:val="19"/>
              </w:rPr>
            </w:pPr>
            <w:r w:rsidRPr="00666DF4">
              <w:t>47</w:t>
            </w:r>
          </w:p>
        </w:tc>
        <w:tc>
          <w:tcPr>
            <w:tcW w:w="1680" w:type="dxa"/>
          </w:tcPr>
          <w:p w:rsidR="00A47CF6" w:rsidRPr="00666DF4" w:rsidRDefault="00A47CF6" w:rsidP="001257C8">
            <w:pPr>
              <w:pStyle w:val="TableText"/>
              <w:tabs>
                <w:tab w:val="decimal" w:pos="916"/>
              </w:tabs>
              <w:rPr>
                <w:rFonts w:eastAsia="Arial" w:cs="Arial"/>
                <w:szCs w:val="19"/>
              </w:rPr>
            </w:pPr>
            <w:r w:rsidRPr="00666DF4">
              <w:t>575</w:t>
            </w:r>
          </w:p>
        </w:tc>
        <w:tc>
          <w:tcPr>
            <w:tcW w:w="1680" w:type="dxa"/>
          </w:tcPr>
          <w:p w:rsidR="00A47CF6" w:rsidRPr="00666DF4" w:rsidRDefault="00A47CF6" w:rsidP="001257C8">
            <w:pPr>
              <w:pStyle w:val="TableT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rPr>
                <w:rFonts w:eastAsia="Arial" w:cs="Arial"/>
                <w:szCs w:val="19"/>
              </w:rPr>
            </w:pPr>
            <w:r w:rsidRPr="00666DF4">
              <w:t>2015</w:t>
            </w:r>
          </w:p>
        </w:tc>
        <w:tc>
          <w:tcPr>
            <w:tcW w:w="1679" w:type="dxa"/>
          </w:tcPr>
          <w:p w:rsidR="00A47CF6" w:rsidRPr="00666DF4" w:rsidRDefault="00A47CF6" w:rsidP="001257C8">
            <w:pPr>
              <w:pStyle w:val="TableText"/>
              <w:tabs>
                <w:tab w:val="decimal" w:pos="989"/>
              </w:tabs>
              <w:rPr>
                <w:rFonts w:eastAsia="Arial" w:cs="Arial"/>
                <w:szCs w:val="19"/>
              </w:rPr>
            </w:pPr>
            <w:r w:rsidRPr="00666DF4">
              <w:t>5,367</w:t>
            </w:r>
          </w:p>
        </w:tc>
        <w:tc>
          <w:tcPr>
            <w:tcW w:w="1680" w:type="dxa"/>
          </w:tcPr>
          <w:p w:rsidR="00A47CF6" w:rsidRPr="00666DF4" w:rsidRDefault="00A47CF6" w:rsidP="001257C8">
            <w:pPr>
              <w:pStyle w:val="TableText"/>
              <w:tabs>
                <w:tab w:val="decimal" w:pos="989"/>
              </w:tabs>
              <w:rPr>
                <w:rFonts w:eastAsia="Arial" w:cs="Arial"/>
                <w:szCs w:val="19"/>
              </w:rPr>
            </w:pPr>
            <w:r w:rsidRPr="00666DF4">
              <w:t>4,746</w:t>
            </w:r>
          </w:p>
        </w:tc>
        <w:tc>
          <w:tcPr>
            <w:tcW w:w="1680" w:type="dxa"/>
          </w:tcPr>
          <w:p w:rsidR="00A47CF6" w:rsidRPr="00666DF4" w:rsidRDefault="00A47CF6" w:rsidP="001257C8">
            <w:pPr>
              <w:pStyle w:val="TableText"/>
              <w:tabs>
                <w:tab w:val="decimal" w:pos="916"/>
              </w:tabs>
              <w:rPr>
                <w:rFonts w:eastAsia="Arial" w:cs="Arial"/>
                <w:szCs w:val="19"/>
              </w:rPr>
            </w:pPr>
            <w:r w:rsidRPr="00666DF4">
              <w:t>52</w:t>
            </w:r>
          </w:p>
        </w:tc>
        <w:tc>
          <w:tcPr>
            <w:tcW w:w="1680" w:type="dxa"/>
          </w:tcPr>
          <w:p w:rsidR="00A47CF6" w:rsidRPr="00666DF4" w:rsidRDefault="00A47CF6" w:rsidP="001257C8">
            <w:pPr>
              <w:pStyle w:val="TableText"/>
              <w:tabs>
                <w:tab w:val="decimal" w:pos="916"/>
              </w:tabs>
              <w:rPr>
                <w:rFonts w:eastAsia="Arial" w:cs="Arial"/>
                <w:szCs w:val="19"/>
              </w:rPr>
            </w:pPr>
            <w:r w:rsidRPr="00666DF4">
              <w:t>550</w:t>
            </w:r>
          </w:p>
        </w:tc>
        <w:tc>
          <w:tcPr>
            <w:tcW w:w="1680" w:type="dxa"/>
          </w:tcPr>
          <w:p w:rsidR="00A47CF6" w:rsidRPr="00666DF4" w:rsidRDefault="00A47CF6" w:rsidP="001257C8">
            <w:pPr>
              <w:pStyle w:val="TableText"/>
              <w:jc w:val="center"/>
              <w:rPr>
                <w:rFonts w:eastAsia="Arial" w:cs="Arial"/>
                <w:szCs w:val="19"/>
              </w:rPr>
            </w:pPr>
            <w:r w:rsidRPr="00666DF4">
              <w:t>0</w:t>
            </w:r>
          </w:p>
        </w:tc>
      </w:tr>
      <w:tr w:rsidR="00A47CF6" w:rsidRPr="00666DF4" w:rsidTr="001257C8">
        <w:trPr>
          <w:cantSplit/>
        </w:trPr>
        <w:tc>
          <w:tcPr>
            <w:tcW w:w="957" w:type="dxa"/>
          </w:tcPr>
          <w:p w:rsidR="00A47CF6" w:rsidRPr="00666DF4" w:rsidRDefault="00A47CF6" w:rsidP="001257C8">
            <w:pPr>
              <w:pStyle w:val="TableText"/>
              <w:rPr>
                <w:rFonts w:eastAsia="Arial" w:cs="Arial"/>
                <w:szCs w:val="19"/>
              </w:rPr>
            </w:pPr>
            <w:r w:rsidRPr="00666DF4">
              <w:t>2016</w:t>
            </w:r>
          </w:p>
        </w:tc>
        <w:tc>
          <w:tcPr>
            <w:tcW w:w="1679" w:type="dxa"/>
          </w:tcPr>
          <w:p w:rsidR="00A47CF6" w:rsidRPr="00666DF4" w:rsidRDefault="00A47CF6" w:rsidP="001257C8">
            <w:pPr>
              <w:pStyle w:val="TableText"/>
              <w:tabs>
                <w:tab w:val="decimal" w:pos="989"/>
              </w:tabs>
              <w:rPr>
                <w:rFonts w:eastAsia="Arial" w:cs="Arial"/>
                <w:szCs w:val="19"/>
              </w:rPr>
            </w:pPr>
            <w:r w:rsidRPr="00666DF4">
              <w:t>5,602</w:t>
            </w:r>
          </w:p>
        </w:tc>
        <w:tc>
          <w:tcPr>
            <w:tcW w:w="1680" w:type="dxa"/>
          </w:tcPr>
          <w:p w:rsidR="00A47CF6" w:rsidRPr="00666DF4" w:rsidRDefault="00A47CF6" w:rsidP="001257C8">
            <w:pPr>
              <w:pStyle w:val="TableText"/>
              <w:tabs>
                <w:tab w:val="decimal" w:pos="989"/>
              </w:tabs>
              <w:rPr>
                <w:rFonts w:eastAsia="Arial" w:cs="Arial"/>
                <w:szCs w:val="19"/>
              </w:rPr>
            </w:pPr>
            <w:r w:rsidRPr="00666DF4">
              <w:t>4,921</w:t>
            </w:r>
          </w:p>
        </w:tc>
        <w:tc>
          <w:tcPr>
            <w:tcW w:w="1680" w:type="dxa"/>
          </w:tcPr>
          <w:p w:rsidR="00A47CF6" w:rsidRPr="00666DF4" w:rsidRDefault="00A47CF6" w:rsidP="001257C8">
            <w:pPr>
              <w:pStyle w:val="TableText"/>
              <w:tabs>
                <w:tab w:val="decimal" w:pos="916"/>
              </w:tabs>
              <w:rPr>
                <w:rFonts w:eastAsia="Arial" w:cs="Arial"/>
                <w:szCs w:val="19"/>
              </w:rPr>
            </w:pPr>
            <w:r w:rsidRPr="00666DF4">
              <w:t>70</w:t>
            </w:r>
          </w:p>
        </w:tc>
        <w:tc>
          <w:tcPr>
            <w:tcW w:w="1680" w:type="dxa"/>
          </w:tcPr>
          <w:p w:rsidR="00A47CF6" w:rsidRPr="00666DF4" w:rsidRDefault="00A47CF6" w:rsidP="001257C8">
            <w:pPr>
              <w:pStyle w:val="TableText"/>
              <w:tabs>
                <w:tab w:val="decimal" w:pos="916"/>
              </w:tabs>
              <w:rPr>
                <w:rFonts w:eastAsia="Arial" w:cs="Arial"/>
                <w:szCs w:val="19"/>
              </w:rPr>
            </w:pPr>
            <w:r w:rsidRPr="00666DF4">
              <w:t>544</w:t>
            </w:r>
          </w:p>
        </w:tc>
        <w:tc>
          <w:tcPr>
            <w:tcW w:w="1680" w:type="dxa"/>
          </w:tcPr>
          <w:p w:rsidR="00A47CF6" w:rsidRPr="00666DF4" w:rsidRDefault="00A47CF6" w:rsidP="001257C8">
            <w:pPr>
              <w:pStyle w:val="TableText"/>
              <w:jc w:val="center"/>
              <w:rPr>
                <w:rFonts w:eastAsia="Arial" w:cs="Arial"/>
                <w:szCs w:val="19"/>
              </w:rPr>
            </w:pPr>
            <w:r w:rsidRPr="00666DF4">
              <w:t>0</w:t>
            </w:r>
          </w:p>
        </w:tc>
      </w:tr>
    </w:tbl>
    <w:p w:rsidR="00A47CF6" w:rsidRPr="00666DF4" w:rsidRDefault="00A47CF6" w:rsidP="004B5EFA">
      <w:pPr>
        <w:pStyle w:val="Note"/>
        <w:ind w:right="0"/>
        <w:rPr>
          <w:rFonts w:eastAsia="Arial" w:cs="Arial"/>
          <w:szCs w:val="19"/>
        </w:rPr>
      </w:pPr>
      <w:r w:rsidRPr="00666DF4">
        <w:t>Notes: The table presents applications that had been processed at the time of data extraction on 2 May 2017.</w:t>
      </w:r>
    </w:p>
    <w:p w:rsidR="00A47CF6" w:rsidRPr="00666DF4" w:rsidRDefault="00A47CF6" w:rsidP="004B5EFA">
      <w:pPr>
        <w:pStyle w:val="Note"/>
        <w:ind w:right="0"/>
        <w:rPr>
          <w:rFonts w:eastAsia="Arial" w:cs="Arial"/>
          <w:szCs w:val="19"/>
        </w:rPr>
      </w:pPr>
      <w:r w:rsidRPr="00666DF4">
        <w:t>The year is determined by the final outcome date. CTO = Compulsory treatment order.</w:t>
      </w:r>
    </w:p>
    <w:p w:rsidR="00A47CF6" w:rsidRPr="00666DF4" w:rsidRDefault="00A47CF6" w:rsidP="004B5EFA">
      <w:pPr>
        <w:pStyle w:val="Source"/>
        <w:ind w:right="0"/>
        <w:rPr>
          <w:rFonts w:eastAsia="Arial"/>
        </w:rPr>
      </w:pPr>
      <w:r w:rsidRPr="00666DF4">
        <w:rPr>
          <w:rFonts w:eastAsia="Arial"/>
        </w:rPr>
        <w:t>Source: Ministry of Justice</w:t>
      </w:r>
      <w:r w:rsidR="00BF25EC">
        <w:rPr>
          <w:rFonts w:eastAsia="Arial"/>
        </w:rPr>
        <w:t>’</w:t>
      </w:r>
      <w:r w:rsidRPr="00666DF4">
        <w:rPr>
          <w:rFonts w:eastAsia="Arial"/>
        </w:rPr>
        <w:t>s Integrated Sector Intelligence System, which uses data entered into the Case Management System. The CMS is a live operational database. Figures are subject to minor changes at any time</w:t>
      </w:r>
      <w:r w:rsidR="004B5EFA">
        <w:rPr>
          <w:rFonts w:eastAsia="Arial"/>
        </w:rPr>
        <w:t>.</w:t>
      </w:r>
    </w:p>
    <w:p w:rsidR="00A47CF6" w:rsidRPr="00666DF4" w:rsidRDefault="00A47CF6" w:rsidP="001257C8">
      <w:pPr>
        <w:rPr>
          <w:rFonts w:eastAsia="Arial"/>
        </w:rPr>
      </w:pPr>
    </w:p>
    <w:p w:rsidR="00A47CF6" w:rsidRPr="00666DF4" w:rsidRDefault="00A47CF6" w:rsidP="004B5EFA">
      <w:pPr>
        <w:pStyle w:val="Table"/>
        <w:rPr>
          <w:rFonts w:eastAsia="Georgia"/>
        </w:rPr>
      </w:pPr>
      <w:bookmarkStart w:id="275" w:name="Table_A6:_Types_of_compulsory_treatment_"/>
      <w:bookmarkStart w:id="276" w:name="_bookmark63"/>
      <w:bookmarkStart w:id="277" w:name="_Toc508707324"/>
      <w:bookmarkEnd w:id="275"/>
      <w:bookmarkEnd w:id="276"/>
      <w:r w:rsidRPr="00666DF4">
        <w:rPr>
          <w:rFonts w:eastAsia="Georgia"/>
        </w:rPr>
        <w:t>Table A6: Types of compulsory treatment orders made on granted applications</w:t>
      </w:r>
      <w:proofErr w:type="gramStart"/>
      <w:r w:rsidRPr="00666DF4">
        <w:rPr>
          <w:rFonts w:eastAsia="Georgia"/>
        </w:rPr>
        <w:t>,</w:t>
      </w:r>
      <w:proofErr w:type="gramEnd"/>
      <w:r w:rsidR="004B5EFA">
        <w:rPr>
          <w:rFonts w:eastAsia="Georgia"/>
        </w:rPr>
        <w:br/>
      </w:r>
      <w:r w:rsidRPr="00666DF4">
        <w:rPr>
          <w:rFonts w:eastAsia="Georgia"/>
        </w:rPr>
        <w:t>2004–2016</w:t>
      </w:r>
      <w:bookmarkEnd w:id="27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691"/>
        <w:gridCol w:w="1436"/>
        <w:gridCol w:w="1733"/>
        <w:gridCol w:w="1733"/>
        <w:gridCol w:w="2345"/>
        <w:gridCol w:w="1450"/>
      </w:tblGrid>
      <w:tr w:rsidR="00A47CF6" w:rsidRPr="001257C8" w:rsidTr="001257C8">
        <w:trPr>
          <w:cantSplit/>
        </w:trPr>
        <w:tc>
          <w:tcPr>
            <w:tcW w:w="691" w:type="dxa"/>
            <w:tcBorders>
              <w:top w:val="single" w:sz="4" w:space="0" w:color="auto"/>
              <w:bottom w:val="single" w:sz="4" w:space="0" w:color="auto"/>
            </w:tcBorders>
          </w:tcPr>
          <w:p w:rsidR="00A47CF6" w:rsidRPr="001257C8" w:rsidRDefault="00A47CF6" w:rsidP="001257C8">
            <w:pPr>
              <w:pStyle w:val="TableText"/>
              <w:keepNext/>
              <w:rPr>
                <w:rFonts w:eastAsia="Arial" w:cs="Arial"/>
                <w:b/>
                <w:szCs w:val="19"/>
              </w:rPr>
            </w:pPr>
            <w:r w:rsidRPr="001257C8">
              <w:rPr>
                <w:b/>
              </w:rPr>
              <w:t>Year</w:t>
            </w:r>
          </w:p>
        </w:tc>
        <w:tc>
          <w:tcPr>
            <w:tcW w:w="1436"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granted applications</w:t>
            </w:r>
            <w:r w:rsidR="001257C8">
              <w:rPr>
                <w:b/>
              </w:rPr>
              <w:br/>
            </w:r>
            <w:r w:rsidRPr="001257C8">
              <w:rPr>
                <w:b/>
              </w:rPr>
              <w:t>for</w:t>
            </w:r>
            <w:r w:rsidR="004B5EFA" w:rsidRPr="001257C8">
              <w:rPr>
                <w:b/>
              </w:rPr>
              <w:t xml:space="preserve"> </w:t>
            </w:r>
            <w:r w:rsidRPr="001257C8">
              <w:rPr>
                <w:b/>
              </w:rPr>
              <w:t>orders</w:t>
            </w:r>
          </w:p>
        </w:tc>
        <w:tc>
          <w:tcPr>
            <w:tcW w:w="1733"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compulsory community treatment orders (or extension)</w:t>
            </w:r>
          </w:p>
        </w:tc>
        <w:tc>
          <w:tcPr>
            <w:tcW w:w="1733"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compulsory inpatient treatment orders (or extension)</w:t>
            </w:r>
          </w:p>
        </w:tc>
        <w:tc>
          <w:tcPr>
            <w:tcW w:w="2345"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orders</w:t>
            </w:r>
            <w:r w:rsidR="004B5EFA" w:rsidRPr="001257C8">
              <w:rPr>
                <w:b/>
              </w:rPr>
              <w:t xml:space="preserve"> </w:t>
            </w:r>
            <w:r w:rsidRPr="001257C8">
              <w:rPr>
                <w:b/>
              </w:rPr>
              <w:t>recorded as both compulsory community and inpatient treatment</w:t>
            </w:r>
            <w:r w:rsidR="004B5EFA" w:rsidRPr="001257C8">
              <w:rPr>
                <w:b/>
              </w:rPr>
              <w:t xml:space="preserve"> </w:t>
            </w:r>
            <w:r w:rsidRPr="001257C8">
              <w:rPr>
                <w:b/>
              </w:rPr>
              <w:t>orders (or extension)</w:t>
            </w:r>
          </w:p>
        </w:tc>
        <w:tc>
          <w:tcPr>
            <w:tcW w:w="1450" w:type="dxa"/>
            <w:tcBorders>
              <w:top w:val="single" w:sz="4" w:space="0" w:color="auto"/>
              <w:bottom w:val="single" w:sz="4" w:space="0" w:color="auto"/>
            </w:tcBorders>
          </w:tcPr>
          <w:p w:rsidR="00A47CF6" w:rsidRPr="001257C8" w:rsidRDefault="00A47CF6" w:rsidP="001257C8">
            <w:pPr>
              <w:pStyle w:val="TableText"/>
              <w:keepNext/>
              <w:jc w:val="center"/>
              <w:rPr>
                <w:rFonts w:eastAsia="Arial" w:cs="Arial"/>
                <w:b/>
                <w:szCs w:val="19"/>
              </w:rPr>
            </w:pPr>
            <w:r w:rsidRPr="001257C8">
              <w:rPr>
                <w:b/>
              </w:rPr>
              <w:t>Number of applications where type of order not recorded</w:t>
            </w:r>
          </w:p>
        </w:tc>
      </w:tr>
      <w:tr w:rsidR="00A47CF6" w:rsidRPr="00666DF4" w:rsidTr="001257C8">
        <w:trPr>
          <w:cantSplit/>
        </w:trPr>
        <w:tc>
          <w:tcPr>
            <w:tcW w:w="691" w:type="dxa"/>
            <w:tcBorders>
              <w:top w:val="single" w:sz="4" w:space="0" w:color="auto"/>
            </w:tcBorders>
          </w:tcPr>
          <w:p w:rsidR="00A47CF6" w:rsidRPr="00666DF4" w:rsidRDefault="00A47CF6" w:rsidP="001257C8">
            <w:pPr>
              <w:pStyle w:val="TableText"/>
              <w:keepNext/>
              <w:rPr>
                <w:rFonts w:eastAsia="Arial" w:cs="Arial"/>
                <w:szCs w:val="19"/>
              </w:rPr>
            </w:pPr>
            <w:r w:rsidRPr="00666DF4">
              <w:t>2004</w:t>
            </w:r>
          </w:p>
        </w:tc>
        <w:tc>
          <w:tcPr>
            <w:tcW w:w="1436" w:type="dxa"/>
            <w:tcBorders>
              <w:top w:val="single" w:sz="4" w:space="0" w:color="auto"/>
            </w:tcBorders>
          </w:tcPr>
          <w:p w:rsidR="00A47CF6" w:rsidRPr="00666DF4" w:rsidRDefault="00A47CF6" w:rsidP="001257C8">
            <w:pPr>
              <w:pStyle w:val="TableText"/>
              <w:keepNext/>
              <w:jc w:val="center"/>
              <w:rPr>
                <w:rFonts w:eastAsia="Arial" w:cs="Arial"/>
                <w:szCs w:val="19"/>
              </w:rPr>
            </w:pPr>
            <w:r w:rsidRPr="00666DF4">
              <w:t>3,863</w:t>
            </w:r>
          </w:p>
        </w:tc>
        <w:tc>
          <w:tcPr>
            <w:tcW w:w="1733" w:type="dxa"/>
            <w:tcBorders>
              <w:top w:val="single" w:sz="4" w:space="0" w:color="auto"/>
            </w:tcBorders>
          </w:tcPr>
          <w:p w:rsidR="00A47CF6" w:rsidRPr="00666DF4" w:rsidRDefault="00A47CF6" w:rsidP="001257C8">
            <w:pPr>
              <w:pStyle w:val="TableText"/>
              <w:keepNext/>
              <w:jc w:val="center"/>
              <w:rPr>
                <w:rFonts w:eastAsia="Arial" w:cs="Arial"/>
                <w:szCs w:val="19"/>
              </w:rPr>
            </w:pPr>
            <w:r w:rsidRPr="00666DF4">
              <w:t>1,832</w:t>
            </w:r>
          </w:p>
        </w:tc>
        <w:tc>
          <w:tcPr>
            <w:tcW w:w="1733" w:type="dxa"/>
            <w:tcBorders>
              <w:top w:val="single" w:sz="4" w:space="0" w:color="auto"/>
            </w:tcBorders>
          </w:tcPr>
          <w:p w:rsidR="00A47CF6" w:rsidRPr="00666DF4" w:rsidRDefault="00A47CF6" w:rsidP="001257C8">
            <w:pPr>
              <w:pStyle w:val="TableText"/>
              <w:keepNext/>
              <w:jc w:val="center"/>
              <w:rPr>
                <w:rFonts w:eastAsia="Arial" w:cs="Arial"/>
                <w:szCs w:val="19"/>
              </w:rPr>
            </w:pPr>
            <w:r w:rsidRPr="00666DF4">
              <w:t>1,534</w:t>
            </w:r>
          </w:p>
        </w:tc>
        <w:tc>
          <w:tcPr>
            <w:tcW w:w="2345" w:type="dxa"/>
            <w:tcBorders>
              <w:top w:val="single" w:sz="4" w:space="0" w:color="auto"/>
            </w:tcBorders>
          </w:tcPr>
          <w:p w:rsidR="00A47CF6" w:rsidRPr="00666DF4" w:rsidRDefault="00A47CF6" w:rsidP="001257C8">
            <w:pPr>
              <w:pStyle w:val="TableText"/>
              <w:keepNext/>
              <w:tabs>
                <w:tab w:val="decimal" w:pos="1301"/>
              </w:tabs>
              <w:rPr>
                <w:rFonts w:eastAsia="Arial" w:cs="Arial"/>
                <w:szCs w:val="19"/>
              </w:rPr>
            </w:pPr>
            <w:r w:rsidRPr="00666DF4">
              <w:t>117</w:t>
            </w:r>
          </w:p>
        </w:tc>
        <w:tc>
          <w:tcPr>
            <w:tcW w:w="1450" w:type="dxa"/>
            <w:tcBorders>
              <w:top w:val="single" w:sz="4" w:space="0" w:color="auto"/>
            </w:tcBorders>
          </w:tcPr>
          <w:p w:rsidR="00A47CF6" w:rsidRPr="00666DF4" w:rsidRDefault="00A47CF6" w:rsidP="001257C8">
            <w:pPr>
              <w:pStyle w:val="TableText"/>
              <w:keepNext/>
              <w:tabs>
                <w:tab w:val="decimal" w:pos="841"/>
              </w:tabs>
              <w:rPr>
                <w:rFonts w:eastAsia="Arial" w:cs="Arial"/>
                <w:szCs w:val="19"/>
              </w:rPr>
            </w:pPr>
            <w:r w:rsidRPr="00666DF4">
              <w:t>368</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2005</w:t>
            </w:r>
          </w:p>
        </w:tc>
        <w:tc>
          <w:tcPr>
            <w:tcW w:w="1436" w:type="dxa"/>
          </w:tcPr>
          <w:p w:rsidR="00A47CF6" w:rsidRPr="00666DF4" w:rsidRDefault="00A47CF6" w:rsidP="001257C8">
            <w:pPr>
              <w:pStyle w:val="TableText"/>
              <w:keepNext/>
              <w:jc w:val="center"/>
              <w:rPr>
                <w:rFonts w:eastAsia="Arial" w:cs="Arial"/>
                <w:szCs w:val="19"/>
              </w:rPr>
            </w:pPr>
            <w:r w:rsidRPr="00666DF4">
              <w:t>3,682</w:t>
            </w:r>
          </w:p>
        </w:tc>
        <w:tc>
          <w:tcPr>
            <w:tcW w:w="1733" w:type="dxa"/>
          </w:tcPr>
          <w:p w:rsidR="00A47CF6" w:rsidRPr="00666DF4" w:rsidRDefault="00A47CF6" w:rsidP="001257C8">
            <w:pPr>
              <w:pStyle w:val="TableText"/>
              <w:keepNext/>
              <w:jc w:val="center"/>
              <w:rPr>
                <w:rFonts w:eastAsia="Arial" w:cs="Arial"/>
                <w:szCs w:val="19"/>
              </w:rPr>
            </w:pPr>
            <w:r w:rsidRPr="00666DF4">
              <w:t>1,576</w:t>
            </w:r>
          </w:p>
        </w:tc>
        <w:tc>
          <w:tcPr>
            <w:tcW w:w="1733" w:type="dxa"/>
          </w:tcPr>
          <w:p w:rsidR="00A47CF6" w:rsidRPr="00666DF4" w:rsidRDefault="00A47CF6" w:rsidP="001257C8">
            <w:pPr>
              <w:pStyle w:val="TableText"/>
              <w:keepNext/>
              <w:jc w:val="center"/>
              <w:rPr>
                <w:rFonts w:eastAsia="Arial" w:cs="Arial"/>
                <w:szCs w:val="19"/>
              </w:rPr>
            </w:pPr>
            <w:r w:rsidRPr="00666DF4">
              <w:t>1,439</w:t>
            </w:r>
          </w:p>
        </w:tc>
        <w:tc>
          <w:tcPr>
            <w:tcW w:w="2345" w:type="dxa"/>
          </w:tcPr>
          <w:p w:rsidR="00A47CF6" w:rsidRPr="00666DF4" w:rsidRDefault="00A47CF6" w:rsidP="001257C8">
            <w:pPr>
              <w:pStyle w:val="TableText"/>
              <w:keepNext/>
              <w:tabs>
                <w:tab w:val="decimal" w:pos="1301"/>
              </w:tabs>
              <w:rPr>
                <w:rFonts w:eastAsia="Arial" w:cs="Arial"/>
                <w:szCs w:val="19"/>
              </w:rPr>
            </w:pPr>
            <w:r w:rsidRPr="00666DF4">
              <w:t>92</w:t>
            </w:r>
          </w:p>
        </w:tc>
        <w:tc>
          <w:tcPr>
            <w:tcW w:w="1450" w:type="dxa"/>
          </w:tcPr>
          <w:p w:rsidR="00A47CF6" w:rsidRPr="00666DF4" w:rsidRDefault="00A47CF6" w:rsidP="001257C8">
            <w:pPr>
              <w:pStyle w:val="TableText"/>
              <w:keepNext/>
              <w:tabs>
                <w:tab w:val="decimal" w:pos="841"/>
              </w:tabs>
              <w:rPr>
                <w:rFonts w:eastAsia="Arial" w:cs="Arial"/>
                <w:szCs w:val="19"/>
              </w:rPr>
            </w:pPr>
            <w:r w:rsidRPr="00666DF4">
              <w:t>565</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2006</w:t>
            </w:r>
          </w:p>
        </w:tc>
        <w:tc>
          <w:tcPr>
            <w:tcW w:w="1436" w:type="dxa"/>
          </w:tcPr>
          <w:p w:rsidR="00A47CF6" w:rsidRPr="00666DF4" w:rsidRDefault="00A47CF6" w:rsidP="001257C8">
            <w:pPr>
              <w:pStyle w:val="TableText"/>
              <w:keepNext/>
              <w:jc w:val="center"/>
              <w:rPr>
                <w:rFonts w:eastAsia="Arial" w:cs="Arial"/>
                <w:szCs w:val="19"/>
              </w:rPr>
            </w:pPr>
            <w:r w:rsidRPr="00666DF4">
              <w:t>3,643</w:t>
            </w:r>
          </w:p>
        </w:tc>
        <w:tc>
          <w:tcPr>
            <w:tcW w:w="1733" w:type="dxa"/>
          </w:tcPr>
          <w:p w:rsidR="00A47CF6" w:rsidRPr="00666DF4" w:rsidRDefault="00A47CF6" w:rsidP="001257C8">
            <w:pPr>
              <w:pStyle w:val="TableText"/>
              <w:keepNext/>
              <w:jc w:val="center"/>
              <w:rPr>
                <w:rFonts w:eastAsia="Arial" w:cs="Arial"/>
                <w:szCs w:val="19"/>
              </w:rPr>
            </w:pPr>
            <w:r w:rsidRPr="00666DF4">
              <w:t>1,614</w:t>
            </w:r>
          </w:p>
        </w:tc>
        <w:tc>
          <w:tcPr>
            <w:tcW w:w="1733" w:type="dxa"/>
          </w:tcPr>
          <w:p w:rsidR="00A47CF6" w:rsidRPr="00666DF4" w:rsidRDefault="00A47CF6" w:rsidP="001257C8">
            <w:pPr>
              <w:pStyle w:val="TableText"/>
              <w:keepNext/>
              <w:jc w:val="center"/>
              <w:rPr>
                <w:rFonts w:eastAsia="Arial" w:cs="Arial"/>
                <w:szCs w:val="19"/>
              </w:rPr>
            </w:pPr>
            <w:r w:rsidRPr="00666DF4">
              <w:t>1,384</w:t>
            </w:r>
          </w:p>
        </w:tc>
        <w:tc>
          <w:tcPr>
            <w:tcW w:w="2345" w:type="dxa"/>
          </w:tcPr>
          <w:p w:rsidR="00A47CF6" w:rsidRPr="00666DF4" w:rsidRDefault="00A47CF6" w:rsidP="001257C8">
            <w:pPr>
              <w:pStyle w:val="TableText"/>
              <w:keepNext/>
              <w:tabs>
                <w:tab w:val="decimal" w:pos="1301"/>
              </w:tabs>
              <w:rPr>
                <w:rFonts w:eastAsia="Arial" w:cs="Arial"/>
                <w:szCs w:val="19"/>
              </w:rPr>
            </w:pPr>
            <w:r w:rsidRPr="00666DF4">
              <w:t>91</w:t>
            </w:r>
          </w:p>
        </w:tc>
        <w:tc>
          <w:tcPr>
            <w:tcW w:w="1450" w:type="dxa"/>
          </w:tcPr>
          <w:p w:rsidR="00A47CF6" w:rsidRPr="00666DF4" w:rsidRDefault="00A47CF6" w:rsidP="001257C8">
            <w:pPr>
              <w:pStyle w:val="TableText"/>
              <w:keepNext/>
              <w:tabs>
                <w:tab w:val="decimal" w:pos="841"/>
              </w:tabs>
              <w:rPr>
                <w:rFonts w:eastAsia="Arial" w:cs="Arial"/>
                <w:szCs w:val="19"/>
              </w:rPr>
            </w:pPr>
            <w:r w:rsidRPr="00666DF4">
              <w:t>540</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2007</w:t>
            </w:r>
          </w:p>
        </w:tc>
        <w:tc>
          <w:tcPr>
            <w:tcW w:w="1436" w:type="dxa"/>
          </w:tcPr>
          <w:p w:rsidR="00A47CF6" w:rsidRPr="00666DF4" w:rsidRDefault="00A47CF6" w:rsidP="001257C8">
            <w:pPr>
              <w:pStyle w:val="TableText"/>
              <w:keepNext/>
              <w:jc w:val="center"/>
              <w:rPr>
                <w:rFonts w:eastAsia="Arial" w:cs="Arial"/>
                <w:szCs w:val="19"/>
              </w:rPr>
            </w:pPr>
            <w:r w:rsidRPr="00666DF4">
              <w:t>3,916</w:t>
            </w:r>
          </w:p>
        </w:tc>
        <w:tc>
          <w:tcPr>
            <w:tcW w:w="1733" w:type="dxa"/>
          </w:tcPr>
          <w:p w:rsidR="00A47CF6" w:rsidRPr="00666DF4" w:rsidRDefault="00A47CF6" w:rsidP="001257C8">
            <w:pPr>
              <w:pStyle w:val="TableText"/>
              <w:keepNext/>
              <w:jc w:val="center"/>
              <w:rPr>
                <w:rFonts w:eastAsia="Arial" w:cs="Arial"/>
                <w:szCs w:val="19"/>
              </w:rPr>
            </w:pPr>
            <w:r w:rsidRPr="00666DF4">
              <w:t>1,716</w:t>
            </w:r>
          </w:p>
        </w:tc>
        <w:tc>
          <w:tcPr>
            <w:tcW w:w="1733" w:type="dxa"/>
          </w:tcPr>
          <w:p w:rsidR="00A47CF6" w:rsidRPr="00666DF4" w:rsidRDefault="00A47CF6" w:rsidP="001257C8">
            <w:pPr>
              <w:pStyle w:val="TableText"/>
              <w:keepNext/>
              <w:jc w:val="center"/>
              <w:rPr>
                <w:rFonts w:eastAsia="Arial" w:cs="Arial"/>
                <w:szCs w:val="19"/>
              </w:rPr>
            </w:pPr>
            <w:r w:rsidRPr="00666DF4">
              <w:t>1,336</w:t>
            </w:r>
          </w:p>
        </w:tc>
        <w:tc>
          <w:tcPr>
            <w:tcW w:w="2345" w:type="dxa"/>
          </w:tcPr>
          <w:p w:rsidR="00A47CF6" w:rsidRPr="00666DF4" w:rsidRDefault="00A47CF6" w:rsidP="001257C8">
            <w:pPr>
              <w:pStyle w:val="TableText"/>
              <w:keepNext/>
              <w:tabs>
                <w:tab w:val="decimal" w:pos="1301"/>
              </w:tabs>
              <w:rPr>
                <w:rFonts w:eastAsia="Arial" w:cs="Arial"/>
                <w:szCs w:val="19"/>
              </w:rPr>
            </w:pPr>
            <w:r w:rsidRPr="00666DF4">
              <w:t>116</w:t>
            </w:r>
          </w:p>
        </w:tc>
        <w:tc>
          <w:tcPr>
            <w:tcW w:w="1450" w:type="dxa"/>
          </w:tcPr>
          <w:p w:rsidR="00A47CF6" w:rsidRPr="00666DF4" w:rsidRDefault="00A47CF6" w:rsidP="001257C8">
            <w:pPr>
              <w:pStyle w:val="TableText"/>
              <w:keepNext/>
              <w:tabs>
                <w:tab w:val="decimal" w:pos="841"/>
              </w:tabs>
              <w:rPr>
                <w:rFonts w:eastAsia="Arial" w:cs="Arial"/>
                <w:szCs w:val="19"/>
              </w:rPr>
            </w:pPr>
            <w:r w:rsidRPr="00666DF4">
              <w:t>725</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2008</w:t>
            </w:r>
          </w:p>
        </w:tc>
        <w:tc>
          <w:tcPr>
            <w:tcW w:w="1436" w:type="dxa"/>
          </w:tcPr>
          <w:p w:rsidR="00A47CF6" w:rsidRPr="00666DF4" w:rsidRDefault="00A47CF6" w:rsidP="001257C8">
            <w:pPr>
              <w:pStyle w:val="TableText"/>
              <w:keepNext/>
              <w:jc w:val="center"/>
              <w:rPr>
                <w:rFonts w:eastAsia="Arial" w:cs="Arial"/>
                <w:szCs w:val="19"/>
              </w:rPr>
            </w:pPr>
            <w:r w:rsidRPr="00666DF4">
              <w:t>3,969</w:t>
            </w:r>
          </w:p>
        </w:tc>
        <w:tc>
          <w:tcPr>
            <w:tcW w:w="1733" w:type="dxa"/>
          </w:tcPr>
          <w:p w:rsidR="00A47CF6" w:rsidRPr="00666DF4" w:rsidRDefault="00A47CF6" w:rsidP="001257C8">
            <w:pPr>
              <w:pStyle w:val="TableText"/>
              <w:keepNext/>
              <w:jc w:val="center"/>
              <w:rPr>
                <w:rFonts w:eastAsia="Arial" w:cs="Arial"/>
                <w:szCs w:val="19"/>
              </w:rPr>
            </w:pPr>
            <w:r w:rsidRPr="00666DF4">
              <w:t>1,841</w:t>
            </w:r>
          </w:p>
        </w:tc>
        <w:tc>
          <w:tcPr>
            <w:tcW w:w="1733" w:type="dxa"/>
          </w:tcPr>
          <w:p w:rsidR="00A47CF6" w:rsidRPr="00666DF4" w:rsidRDefault="00A47CF6" w:rsidP="001257C8">
            <w:pPr>
              <w:pStyle w:val="TableText"/>
              <w:keepNext/>
              <w:jc w:val="center"/>
              <w:rPr>
                <w:rFonts w:eastAsia="Arial" w:cs="Arial"/>
                <w:szCs w:val="19"/>
              </w:rPr>
            </w:pPr>
            <w:r w:rsidRPr="00666DF4">
              <w:t>1,430</w:t>
            </w:r>
          </w:p>
        </w:tc>
        <w:tc>
          <w:tcPr>
            <w:tcW w:w="2345" w:type="dxa"/>
          </w:tcPr>
          <w:p w:rsidR="00A47CF6" w:rsidRPr="00666DF4" w:rsidRDefault="00A47CF6" w:rsidP="001257C8">
            <w:pPr>
              <w:pStyle w:val="TableText"/>
              <w:keepNext/>
              <w:tabs>
                <w:tab w:val="decimal" w:pos="1301"/>
              </w:tabs>
              <w:rPr>
                <w:rFonts w:eastAsia="Arial" w:cs="Arial"/>
                <w:szCs w:val="19"/>
              </w:rPr>
            </w:pPr>
            <w:r w:rsidRPr="00666DF4">
              <w:t>120</w:t>
            </w:r>
          </w:p>
        </w:tc>
        <w:tc>
          <w:tcPr>
            <w:tcW w:w="1450" w:type="dxa"/>
          </w:tcPr>
          <w:p w:rsidR="00A47CF6" w:rsidRPr="00666DF4" w:rsidRDefault="00A47CF6" w:rsidP="001257C8">
            <w:pPr>
              <w:pStyle w:val="TableText"/>
              <w:keepNext/>
              <w:tabs>
                <w:tab w:val="decimal" w:pos="841"/>
              </w:tabs>
              <w:rPr>
                <w:rFonts w:eastAsia="Arial" w:cs="Arial"/>
                <w:szCs w:val="19"/>
              </w:rPr>
            </w:pPr>
            <w:r w:rsidRPr="00666DF4">
              <w:t>565</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2009</w:t>
            </w:r>
          </w:p>
        </w:tc>
        <w:tc>
          <w:tcPr>
            <w:tcW w:w="1436" w:type="dxa"/>
          </w:tcPr>
          <w:p w:rsidR="00A47CF6" w:rsidRPr="00666DF4" w:rsidRDefault="00A47CF6" w:rsidP="001257C8">
            <w:pPr>
              <w:pStyle w:val="TableText"/>
              <w:keepNext/>
              <w:jc w:val="center"/>
              <w:rPr>
                <w:rFonts w:eastAsia="Arial" w:cs="Arial"/>
                <w:szCs w:val="19"/>
              </w:rPr>
            </w:pPr>
            <w:r w:rsidRPr="00666DF4">
              <w:t>4,038</w:t>
            </w:r>
          </w:p>
        </w:tc>
        <w:tc>
          <w:tcPr>
            <w:tcW w:w="1733" w:type="dxa"/>
          </w:tcPr>
          <w:p w:rsidR="00A47CF6" w:rsidRPr="00666DF4" w:rsidRDefault="00A47CF6" w:rsidP="001257C8">
            <w:pPr>
              <w:pStyle w:val="TableText"/>
              <w:keepNext/>
              <w:jc w:val="center"/>
              <w:rPr>
                <w:rFonts w:eastAsia="Arial" w:cs="Arial"/>
                <w:szCs w:val="19"/>
              </w:rPr>
            </w:pPr>
            <w:r w:rsidRPr="00666DF4">
              <w:t>2,085</w:t>
            </w:r>
          </w:p>
        </w:tc>
        <w:tc>
          <w:tcPr>
            <w:tcW w:w="1733" w:type="dxa"/>
          </w:tcPr>
          <w:p w:rsidR="00A47CF6" w:rsidRPr="00666DF4" w:rsidRDefault="00A47CF6" w:rsidP="001257C8">
            <w:pPr>
              <w:pStyle w:val="TableText"/>
              <w:keepNext/>
              <w:jc w:val="center"/>
              <w:rPr>
                <w:rFonts w:eastAsia="Arial" w:cs="Arial"/>
                <w:szCs w:val="19"/>
              </w:rPr>
            </w:pPr>
            <w:r w:rsidRPr="00666DF4">
              <w:t>1,564</w:t>
            </w:r>
          </w:p>
        </w:tc>
        <w:tc>
          <w:tcPr>
            <w:tcW w:w="2345" w:type="dxa"/>
          </w:tcPr>
          <w:p w:rsidR="00A47CF6" w:rsidRPr="00666DF4" w:rsidRDefault="00A47CF6" w:rsidP="001257C8">
            <w:pPr>
              <w:pStyle w:val="TableText"/>
              <w:keepNext/>
              <w:tabs>
                <w:tab w:val="decimal" w:pos="1301"/>
              </w:tabs>
              <w:rPr>
                <w:rFonts w:eastAsia="Arial" w:cs="Arial"/>
                <w:szCs w:val="19"/>
              </w:rPr>
            </w:pPr>
            <w:r w:rsidRPr="00666DF4">
              <w:t>106</w:t>
            </w:r>
          </w:p>
        </w:tc>
        <w:tc>
          <w:tcPr>
            <w:tcW w:w="1450" w:type="dxa"/>
          </w:tcPr>
          <w:p w:rsidR="00A47CF6" w:rsidRPr="00666DF4" w:rsidRDefault="00A47CF6" w:rsidP="001257C8">
            <w:pPr>
              <w:pStyle w:val="TableText"/>
              <w:keepNext/>
              <w:tabs>
                <w:tab w:val="decimal" w:pos="841"/>
              </w:tabs>
              <w:rPr>
                <w:rFonts w:eastAsia="Arial" w:cs="Arial"/>
                <w:szCs w:val="19"/>
              </w:rPr>
            </w:pPr>
            <w:r w:rsidRPr="00666DF4">
              <w:t>268</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2010</w:t>
            </w:r>
          </w:p>
        </w:tc>
        <w:tc>
          <w:tcPr>
            <w:tcW w:w="1436" w:type="dxa"/>
          </w:tcPr>
          <w:p w:rsidR="00A47CF6" w:rsidRPr="00666DF4" w:rsidRDefault="00A47CF6" w:rsidP="001257C8">
            <w:pPr>
              <w:pStyle w:val="TableText"/>
              <w:keepNext/>
              <w:jc w:val="center"/>
              <w:rPr>
                <w:rFonts w:eastAsia="Arial" w:cs="Arial"/>
                <w:szCs w:val="19"/>
              </w:rPr>
            </w:pPr>
            <w:r w:rsidRPr="00666DF4">
              <w:t>4,156</w:t>
            </w:r>
          </w:p>
        </w:tc>
        <w:tc>
          <w:tcPr>
            <w:tcW w:w="1733" w:type="dxa"/>
          </w:tcPr>
          <w:p w:rsidR="00A47CF6" w:rsidRPr="00666DF4" w:rsidRDefault="00A47CF6" w:rsidP="001257C8">
            <w:pPr>
              <w:pStyle w:val="TableText"/>
              <w:keepNext/>
              <w:jc w:val="center"/>
              <w:rPr>
                <w:rFonts w:eastAsia="Arial" w:cs="Arial"/>
                <w:szCs w:val="19"/>
              </w:rPr>
            </w:pPr>
            <w:r w:rsidRPr="00666DF4">
              <w:t>2,253</w:t>
            </w:r>
          </w:p>
        </w:tc>
        <w:tc>
          <w:tcPr>
            <w:tcW w:w="1733" w:type="dxa"/>
          </w:tcPr>
          <w:p w:rsidR="00A47CF6" w:rsidRPr="00666DF4" w:rsidRDefault="00A47CF6" w:rsidP="001257C8">
            <w:pPr>
              <w:pStyle w:val="TableText"/>
              <w:keepNext/>
              <w:jc w:val="center"/>
              <w:rPr>
                <w:rFonts w:eastAsia="Arial" w:cs="Arial"/>
                <w:szCs w:val="19"/>
              </w:rPr>
            </w:pPr>
            <w:r w:rsidRPr="00666DF4">
              <w:t>1,625</w:t>
            </w:r>
          </w:p>
        </w:tc>
        <w:tc>
          <w:tcPr>
            <w:tcW w:w="2345" w:type="dxa"/>
          </w:tcPr>
          <w:p w:rsidR="00A47CF6" w:rsidRPr="00666DF4" w:rsidRDefault="00A47CF6" w:rsidP="001257C8">
            <w:pPr>
              <w:pStyle w:val="TableText"/>
              <w:keepNext/>
              <w:tabs>
                <w:tab w:val="decimal" w:pos="1301"/>
              </w:tabs>
              <w:rPr>
                <w:rFonts w:eastAsia="Arial" w:cs="Arial"/>
                <w:szCs w:val="19"/>
              </w:rPr>
            </w:pPr>
            <w:r w:rsidRPr="00666DF4">
              <w:t>111</w:t>
            </w:r>
          </w:p>
        </w:tc>
        <w:tc>
          <w:tcPr>
            <w:tcW w:w="1450" w:type="dxa"/>
          </w:tcPr>
          <w:p w:rsidR="00A47CF6" w:rsidRPr="00666DF4" w:rsidRDefault="00A47CF6" w:rsidP="001257C8">
            <w:pPr>
              <w:pStyle w:val="TableText"/>
              <w:keepNext/>
              <w:tabs>
                <w:tab w:val="decimal" w:pos="841"/>
              </w:tabs>
              <w:rPr>
                <w:rFonts w:eastAsia="Arial" w:cs="Arial"/>
                <w:szCs w:val="19"/>
              </w:rPr>
            </w:pPr>
            <w:r w:rsidRPr="00666DF4">
              <w:t>158</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2011</w:t>
            </w:r>
          </w:p>
        </w:tc>
        <w:tc>
          <w:tcPr>
            <w:tcW w:w="1436" w:type="dxa"/>
          </w:tcPr>
          <w:p w:rsidR="00A47CF6" w:rsidRPr="00666DF4" w:rsidRDefault="00A47CF6" w:rsidP="001257C8">
            <w:pPr>
              <w:pStyle w:val="TableText"/>
              <w:keepNext/>
              <w:jc w:val="center"/>
              <w:rPr>
                <w:rFonts w:eastAsia="Arial" w:cs="Arial"/>
                <w:szCs w:val="19"/>
              </w:rPr>
            </w:pPr>
            <w:r w:rsidRPr="00666DF4">
              <w:t>4,215</w:t>
            </w:r>
          </w:p>
        </w:tc>
        <w:tc>
          <w:tcPr>
            <w:tcW w:w="1733" w:type="dxa"/>
          </w:tcPr>
          <w:p w:rsidR="00A47CF6" w:rsidRPr="00666DF4" w:rsidRDefault="00A47CF6" w:rsidP="001257C8">
            <w:pPr>
              <w:pStyle w:val="TableText"/>
              <w:keepNext/>
              <w:jc w:val="center"/>
              <w:rPr>
                <w:rFonts w:eastAsia="Arial" w:cs="Arial"/>
                <w:szCs w:val="19"/>
              </w:rPr>
            </w:pPr>
            <w:r w:rsidRPr="00666DF4">
              <w:t>2,255</w:t>
            </w:r>
          </w:p>
        </w:tc>
        <w:tc>
          <w:tcPr>
            <w:tcW w:w="1733" w:type="dxa"/>
          </w:tcPr>
          <w:p w:rsidR="00A47CF6" w:rsidRPr="00666DF4" w:rsidRDefault="00A47CF6" w:rsidP="001257C8">
            <w:pPr>
              <w:pStyle w:val="TableText"/>
              <w:keepNext/>
              <w:jc w:val="center"/>
              <w:rPr>
                <w:rFonts w:eastAsia="Arial" w:cs="Arial"/>
                <w:szCs w:val="19"/>
              </w:rPr>
            </w:pPr>
            <w:r w:rsidRPr="00666DF4">
              <w:t>1,677</w:t>
            </w:r>
          </w:p>
        </w:tc>
        <w:tc>
          <w:tcPr>
            <w:tcW w:w="2345" w:type="dxa"/>
          </w:tcPr>
          <w:p w:rsidR="00A47CF6" w:rsidRPr="00666DF4" w:rsidRDefault="00A47CF6" w:rsidP="001257C8">
            <w:pPr>
              <w:pStyle w:val="TableText"/>
              <w:keepNext/>
              <w:tabs>
                <w:tab w:val="decimal" w:pos="1301"/>
              </w:tabs>
              <w:rPr>
                <w:rFonts w:eastAsia="Arial" w:cs="Arial"/>
                <w:szCs w:val="19"/>
              </w:rPr>
            </w:pPr>
            <w:r w:rsidRPr="00666DF4">
              <w:t>90</w:t>
            </w:r>
          </w:p>
        </w:tc>
        <w:tc>
          <w:tcPr>
            <w:tcW w:w="1450" w:type="dxa"/>
          </w:tcPr>
          <w:p w:rsidR="00A47CF6" w:rsidRPr="00666DF4" w:rsidRDefault="00A47CF6" w:rsidP="001257C8">
            <w:pPr>
              <w:pStyle w:val="TableText"/>
              <w:keepNext/>
              <w:tabs>
                <w:tab w:val="decimal" w:pos="841"/>
              </w:tabs>
              <w:rPr>
                <w:rFonts w:eastAsia="Arial" w:cs="Arial"/>
                <w:szCs w:val="19"/>
              </w:rPr>
            </w:pPr>
            <w:r w:rsidRPr="00666DF4">
              <w:t>185</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2012</w:t>
            </w:r>
          </w:p>
        </w:tc>
        <w:tc>
          <w:tcPr>
            <w:tcW w:w="1436" w:type="dxa"/>
          </w:tcPr>
          <w:p w:rsidR="00A47CF6" w:rsidRPr="00666DF4" w:rsidRDefault="00A47CF6" w:rsidP="001257C8">
            <w:pPr>
              <w:pStyle w:val="TableText"/>
              <w:keepNext/>
              <w:jc w:val="center"/>
              <w:rPr>
                <w:rFonts w:eastAsia="Arial" w:cs="Arial"/>
                <w:szCs w:val="19"/>
              </w:rPr>
            </w:pPr>
            <w:r w:rsidRPr="00666DF4">
              <w:t>4,343</w:t>
            </w:r>
          </w:p>
        </w:tc>
        <w:tc>
          <w:tcPr>
            <w:tcW w:w="1733" w:type="dxa"/>
          </w:tcPr>
          <w:p w:rsidR="00A47CF6" w:rsidRPr="00666DF4" w:rsidRDefault="00A47CF6" w:rsidP="001257C8">
            <w:pPr>
              <w:pStyle w:val="TableText"/>
              <w:keepNext/>
              <w:jc w:val="center"/>
              <w:rPr>
                <w:rFonts w:eastAsia="Arial" w:cs="Arial"/>
                <w:szCs w:val="19"/>
              </w:rPr>
            </w:pPr>
            <w:r w:rsidRPr="00666DF4">
              <w:t>2,437</w:t>
            </w:r>
          </w:p>
        </w:tc>
        <w:tc>
          <w:tcPr>
            <w:tcW w:w="1733" w:type="dxa"/>
          </w:tcPr>
          <w:p w:rsidR="00A47CF6" w:rsidRPr="00666DF4" w:rsidRDefault="00A47CF6" w:rsidP="001257C8">
            <w:pPr>
              <w:pStyle w:val="TableText"/>
              <w:keepNext/>
              <w:jc w:val="center"/>
              <w:rPr>
                <w:rFonts w:eastAsia="Arial" w:cs="Arial"/>
                <w:szCs w:val="19"/>
              </w:rPr>
            </w:pPr>
            <w:r w:rsidRPr="00666DF4">
              <w:t>1,684</w:t>
            </w:r>
          </w:p>
        </w:tc>
        <w:tc>
          <w:tcPr>
            <w:tcW w:w="2345" w:type="dxa"/>
          </w:tcPr>
          <w:p w:rsidR="00A47CF6" w:rsidRPr="00666DF4" w:rsidRDefault="00A47CF6" w:rsidP="001257C8">
            <w:pPr>
              <w:pStyle w:val="TableText"/>
              <w:keepNext/>
              <w:tabs>
                <w:tab w:val="decimal" w:pos="1301"/>
              </w:tabs>
              <w:rPr>
                <w:rFonts w:eastAsia="Arial" w:cs="Arial"/>
                <w:szCs w:val="19"/>
              </w:rPr>
            </w:pPr>
            <w:r w:rsidRPr="00666DF4">
              <w:t>78</w:t>
            </w:r>
          </w:p>
        </w:tc>
        <w:tc>
          <w:tcPr>
            <w:tcW w:w="1450" w:type="dxa"/>
          </w:tcPr>
          <w:p w:rsidR="00A47CF6" w:rsidRPr="00666DF4" w:rsidRDefault="00A47CF6" w:rsidP="001257C8">
            <w:pPr>
              <w:pStyle w:val="TableText"/>
              <w:keepNext/>
              <w:tabs>
                <w:tab w:val="decimal" w:pos="841"/>
              </w:tabs>
              <w:rPr>
                <w:rFonts w:eastAsia="Arial" w:cs="Arial"/>
                <w:szCs w:val="19"/>
              </w:rPr>
            </w:pPr>
            <w:r w:rsidRPr="00666DF4">
              <w:t>141</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2013</w:t>
            </w:r>
          </w:p>
        </w:tc>
        <w:tc>
          <w:tcPr>
            <w:tcW w:w="1436" w:type="dxa"/>
          </w:tcPr>
          <w:p w:rsidR="00A47CF6" w:rsidRPr="00666DF4" w:rsidRDefault="00A47CF6" w:rsidP="001257C8">
            <w:pPr>
              <w:pStyle w:val="TableText"/>
              <w:keepNext/>
              <w:jc w:val="center"/>
              <w:rPr>
                <w:rFonts w:eastAsia="Arial" w:cs="Arial"/>
                <w:szCs w:val="19"/>
              </w:rPr>
            </w:pPr>
            <w:r w:rsidRPr="00666DF4">
              <w:t>4,607</w:t>
            </w:r>
          </w:p>
        </w:tc>
        <w:tc>
          <w:tcPr>
            <w:tcW w:w="1733" w:type="dxa"/>
          </w:tcPr>
          <w:p w:rsidR="00A47CF6" w:rsidRPr="00666DF4" w:rsidRDefault="00A47CF6" w:rsidP="001257C8">
            <w:pPr>
              <w:pStyle w:val="TableText"/>
              <w:keepNext/>
              <w:jc w:val="center"/>
              <w:rPr>
                <w:rFonts w:eastAsia="Arial" w:cs="Arial"/>
                <w:szCs w:val="19"/>
              </w:rPr>
            </w:pPr>
            <w:r w:rsidRPr="00666DF4">
              <w:t>2,640</w:t>
            </w:r>
          </w:p>
        </w:tc>
        <w:tc>
          <w:tcPr>
            <w:tcW w:w="1733" w:type="dxa"/>
          </w:tcPr>
          <w:p w:rsidR="00A47CF6" w:rsidRPr="00666DF4" w:rsidRDefault="00A47CF6" w:rsidP="001257C8">
            <w:pPr>
              <w:pStyle w:val="TableText"/>
              <w:keepNext/>
              <w:jc w:val="center"/>
              <w:rPr>
                <w:rFonts w:eastAsia="Arial" w:cs="Arial"/>
                <w:szCs w:val="19"/>
              </w:rPr>
            </w:pPr>
            <w:r w:rsidRPr="00666DF4">
              <w:t>1,765</w:t>
            </w:r>
          </w:p>
        </w:tc>
        <w:tc>
          <w:tcPr>
            <w:tcW w:w="2345" w:type="dxa"/>
          </w:tcPr>
          <w:p w:rsidR="00A47CF6" w:rsidRPr="00666DF4" w:rsidRDefault="00A47CF6" w:rsidP="001257C8">
            <w:pPr>
              <w:pStyle w:val="TableText"/>
              <w:keepNext/>
              <w:tabs>
                <w:tab w:val="decimal" w:pos="1301"/>
              </w:tabs>
              <w:rPr>
                <w:rFonts w:eastAsia="Arial" w:cs="Arial"/>
                <w:szCs w:val="19"/>
              </w:rPr>
            </w:pPr>
            <w:r w:rsidRPr="00666DF4">
              <w:t>71</w:t>
            </w:r>
          </w:p>
        </w:tc>
        <w:tc>
          <w:tcPr>
            <w:tcW w:w="1450" w:type="dxa"/>
          </w:tcPr>
          <w:p w:rsidR="00A47CF6" w:rsidRPr="00666DF4" w:rsidRDefault="00A47CF6" w:rsidP="001257C8">
            <w:pPr>
              <w:pStyle w:val="TableText"/>
              <w:keepNext/>
              <w:tabs>
                <w:tab w:val="decimal" w:pos="841"/>
              </w:tabs>
              <w:rPr>
                <w:rFonts w:eastAsia="Arial" w:cs="Arial"/>
                <w:szCs w:val="19"/>
              </w:rPr>
            </w:pPr>
            <w:r w:rsidRPr="00666DF4">
              <w:t>130</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2014</w:t>
            </w:r>
          </w:p>
        </w:tc>
        <w:tc>
          <w:tcPr>
            <w:tcW w:w="1436" w:type="dxa"/>
          </w:tcPr>
          <w:p w:rsidR="00A47CF6" w:rsidRPr="00666DF4" w:rsidRDefault="00A47CF6" w:rsidP="001257C8">
            <w:pPr>
              <w:pStyle w:val="TableText"/>
              <w:keepNext/>
              <w:jc w:val="center"/>
              <w:rPr>
                <w:rFonts w:eastAsia="Arial" w:cs="Arial"/>
                <w:szCs w:val="19"/>
              </w:rPr>
            </w:pPr>
            <w:r w:rsidRPr="00666DF4">
              <w:t>4,632</w:t>
            </w:r>
          </w:p>
        </w:tc>
        <w:tc>
          <w:tcPr>
            <w:tcW w:w="1733" w:type="dxa"/>
          </w:tcPr>
          <w:p w:rsidR="00A47CF6" w:rsidRPr="00666DF4" w:rsidRDefault="00A47CF6" w:rsidP="001257C8">
            <w:pPr>
              <w:pStyle w:val="TableText"/>
              <w:keepNext/>
              <w:jc w:val="center"/>
              <w:rPr>
                <w:rFonts w:eastAsia="Arial" w:cs="Arial"/>
                <w:szCs w:val="19"/>
              </w:rPr>
            </w:pPr>
            <w:r w:rsidRPr="00666DF4">
              <w:t>2,659</w:t>
            </w:r>
          </w:p>
        </w:tc>
        <w:tc>
          <w:tcPr>
            <w:tcW w:w="1733" w:type="dxa"/>
          </w:tcPr>
          <w:p w:rsidR="00A47CF6" w:rsidRPr="00666DF4" w:rsidRDefault="00A47CF6" w:rsidP="001257C8">
            <w:pPr>
              <w:pStyle w:val="TableText"/>
              <w:keepNext/>
              <w:jc w:val="center"/>
              <w:rPr>
                <w:rFonts w:eastAsia="Arial" w:cs="Arial"/>
                <w:szCs w:val="19"/>
              </w:rPr>
            </w:pPr>
            <w:r w:rsidRPr="00666DF4">
              <w:t>1,784</w:t>
            </w:r>
          </w:p>
        </w:tc>
        <w:tc>
          <w:tcPr>
            <w:tcW w:w="2345" w:type="dxa"/>
          </w:tcPr>
          <w:p w:rsidR="00A47CF6" w:rsidRPr="00666DF4" w:rsidRDefault="00A47CF6" w:rsidP="001257C8">
            <w:pPr>
              <w:pStyle w:val="TableText"/>
              <w:keepNext/>
              <w:tabs>
                <w:tab w:val="decimal" w:pos="1301"/>
              </w:tabs>
              <w:rPr>
                <w:rFonts w:eastAsia="Arial" w:cs="Arial"/>
                <w:szCs w:val="19"/>
              </w:rPr>
            </w:pPr>
            <w:r w:rsidRPr="00666DF4">
              <w:t>83</w:t>
            </w:r>
          </w:p>
        </w:tc>
        <w:tc>
          <w:tcPr>
            <w:tcW w:w="1450" w:type="dxa"/>
          </w:tcPr>
          <w:p w:rsidR="00A47CF6" w:rsidRPr="00666DF4" w:rsidRDefault="00A47CF6" w:rsidP="001257C8">
            <w:pPr>
              <w:pStyle w:val="TableText"/>
              <w:keepNext/>
              <w:tabs>
                <w:tab w:val="decimal" w:pos="841"/>
              </w:tabs>
              <w:rPr>
                <w:rFonts w:eastAsia="Arial" w:cs="Arial"/>
                <w:szCs w:val="19"/>
              </w:rPr>
            </w:pPr>
            <w:r w:rsidRPr="00666DF4">
              <w:t>105</w:t>
            </w:r>
          </w:p>
        </w:tc>
      </w:tr>
      <w:tr w:rsidR="00A47CF6" w:rsidRPr="00666DF4" w:rsidTr="001257C8">
        <w:trPr>
          <w:cantSplit/>
        </w:trPr>
        <w:tc>
          <w:tcPr>
            <w:tcW w:w="691" w:type="dxa"/>
          </w:tcPr>
          <w:p w:rsidR="00A47CF6" w:rsidRPr="00666DF4" w:rsidRDefault="00A47CF6" w:rsidP="001257C8">
            <w:pPr>
              <w:pStyle w:val="TableText"/>
              <w:keepNext/>
              <w:rPr>
                <w:rFonts w:eastAsia="Arial" w:cs="Arial"/>
                <w:szCs w:val="19"/>
              </w:rPr>
            </w:pPr>
            <w:r w:rsidRPr="00666DF4">
              <w:t>2015</w:t>
            </w:r>
          </w:p>
        </w:tc>
        <w:tc>
          <w:tcPr>
            <w:tcW w:w="1436" w:type="dxa"/>
          </w:tcPr>
          <w:p w:rsidR="00A47CF6" w:rsidRPr="00666DF4" w:rsidRDefault="00A47CF6" w:rsidP="001257C8">
            <w:pPr>
              <w:pStyle w:val="TableText"/>
              <w:keepNext/>
              <w:jc w:val="center"/>
              <w:rPr>
                <w:rFonts w:eastAsia="Arial" w:cs="Arial"/>
                <w:szCs w:val="19"/>
              </w:rPr>
            </w:pPr>
            <w:r w:rsidRPr="00666DF4">
              <w:t>4,746</w:t>
            </w:r>
          </w:p>
        </w:tc>
        <w:tc>
          <w:tcPr>
            <w:tcW w:w="1733" w:type="dxa"/>
          </w:tcPr>
          <w:p w:rsidR="00A47CF6" w:rsidRPr="00666DF4" w:rsidRDefault="00A47CF6" w:rsidP="001257C8">
            <w:pPr>
              <w:pStyle w:val="TableText"/>
              <w:keepNext/>
              <w:jc w:val="center"/>
              <w:rPr>
                <w:rFonts w:eastAsia="Arial" w:cs="Arial"/>
                <w:szCs w:val="19"/>
              </w:rPr>
            </w:pPr>
            <w:r w:rsidRPr="00666DF4">
              <w:t>2,802</w:t>
            </w:r>
          </w:p>
        </w:tc>
        <w:tc>
          <w:tcPr>
            <w:tcW w:w="1733" w:type="dxa"/>
          </w:tcPr>
          <w:p w:rsidR="00A47CF6" w:rsidRPr="00666DF4" w:rsidRDefault="00A47CF6" w:rsidP="001257C8">
            <w:pPr>
              <w:pStyle w:val="TableText"/>
              <w:keepNext/>
              <w:jc w:val="center"/>
              <w:rPr>
                <w:rFonts w:eastAsia="Arial" w:cs="Arial"/>
                <w:szCs w:val="19"/>
              </w:rPr>
            </w:pPr>
            <w:r w:rsidRPr="00666DF4">
              <w:t>1,791</w:t>
            </w:r>
          </w:p>
        </w:tc>
        <w:tc>
          <w:tcPr>
            <w:tcW w:w="2345" w:type="dxa"/>
          </w:tcPr>
          <w:p w:rsidR="00A47CF6" w:rsidRPr="00666DF4" w:rsidRDefault="00A47CF6" w:rsidP="001257C8">
            <w:pPr>
              <w:pStyle w:val="TableText"/>
              <w:keepNext/>
              <w:tabs>
                <w:tab w:val="decimal" w:pos="1301"/>
              </w:tabs>
              <w:rPr>
                <w:rFonts w:eastAsia="Arial" w:cs="Arial"/>
                <w:szCs w:val="19"/>
              </w:rPr>
            </w:pPr>
            <w:r w:rsidRPr="00666DF4">
              <w:t>66</w:t>
            </w:r>
          </w:p>
        </w:tc>
        <w:tc>
          <w:tcPr>
            <w:tcW w:w="1450" w:type="dxa"/>
          </w:tcPr>
          <w:p w:rsidR="00A47CF6" w:rsidRPr="00666DF4" w:rsidRDefault="00A47CF6" w:rsidP="001257C8">
            <w:pPr>
              <w:pStyle w:val="TableText"/>
              <w:keepNext/>
              <w:tabs>
                <w:tab w:val="decimal" w:pos="841"/>
              </w:tabs>
              <w:rPr>
                <w:rFonts w:eastAsia="Arial" w:cs="Arial"/>
                <w:szCs w:val="19"/>
              </w:rPr>
            </w:pPr>
            <w:r w:rsidRPr="00666DF4">
              <w:t>86</w:t>
            </w:r>
          </w:p>
        </w:tc>
      </w:tr>
      <w:tr w:rsidR="00A47CF6" w:rsidRPr="00666DF4" w:rsidTr="001257C8">
        <w:trPr>
          <w:cantSplit/>
        </w:trPr>
        <w:tc>
          <w:tcPr>
            <w:tcW w:w="691" w:type="dxa"/>
          </w:tcPr>
          <w:p w:rsidR="00A47CF6" w:rsidRPr="00666DF4" w:rsidRDefault="00A47CF6" w:rsidP="001257C8">
            <w:pPr>
              <w:pStyle w:val="TableText"/>
              <w:rPr>
                <w:rFonts w:eastAsia="Arial" w:cs="Arial"/>
                <w:szCs w:val="19"/>
              </w:rPr>
            </w:pPr>
            <w:r w:rsidRPr="00666DF4">
              <w:t>2016</w:t>
            </w:r>
          </w:p>
        </w:tc>
        <w:tc>
          <w:tcPr>
            <w:tcW w:w="1436" w:type="dxa"/>
          </w:tcPr>
          <w:p w:rsidR="00A47CF6" w:rsidRPr="00666DF4" w:rsidRDefault="00A47CF6" w:rsidP="001257C8">
            <w:pPr>
              <w:pStyle w:val="TableText"/>
              <w:jc w:val="center"/>
              <w:rPr>
                <w:rFonts w:eastAsia="Arial" w:cs="Arial"/>
                <w:szCs w:val="19"/>
              </w:rPr>
            </w:pPr>
            <w:r w:rsidRPr="00666DF4">
              <w:t>4,921</w:t>
            </w:r>
          </w:p>
        </w:tc>
        <w:tc>
          <w:tcPr>
            <w:tcW w:w="1733" w:type="dxa"/>
          </w:tcPr>
          <w:p w:rsidR="00A47CF6" w:rsidRPr="00666DF4" w:rsidRDefault="00A47CF6" w:rsidP="001257C8">
            <w:pPr>
              <w:pStyle w:val="TableText"/>
              <w:jc w:val="center"/>
              <w:rPr>
                <w:rFonts w:eastAsia="Arial" w:cs="Arial"/>
                <w:szCs w:val="19"/>
              </w:rPr>
            </w:pPr>
            <w:r w:rsidRPr="00666DF4">
              <w:t>2,888</w:t>
            </w:r>
          </w:p>
        </w:tc>
        <w:tc>
          <w:tcPr>
            <w:tcW w:w="1733" w:type="dxa"/>
          </w:tcPr>
          <w:p w:rsidR="00A47CF6" w:rsidRPr="00666DF4" w:rsidRDefault="00A47CF6" w:rsidP="001257C8">
            <w:pPr>
              <w:pStyle w:val="TableText"/>
              <w:jc w:val="center"/>
              <w:rPr>
                <w:rFonts w:eastAsia="Arial" w:cs="Arial"/>
                <w:szCs w:val="19"/>
              </w:rPr>
            </w:pPr>
            <w:r w:rsidRPr="00666DF4">
              <w:t>1,722</w:t>
            </w:r>
          </w:p>
        </w:tc>
        <w:tc>
          <w:tcPr>
            <w:tcW w:w="2345" w:type="dxa"/>
          </w:tcPr>
          <w:p w:rsidR="00A47CF6" w:rsidRPr="00666DF4" w:rsidRDefault="00A47CF6" w:rsidP="001257C8">
            <w:pPr>
              <w:pStyle w:val="TableText"/>
              <w:tabs>
                <w:tab w:val="decimal" w:pos="1301"/>
              </w:tabs>
              <w:rPr>
                <w:rFonts w:eastAsia="Arial" w:cs="Arial"/>
                <w:szCs w:val="19"/>
              </w:rPr>
            </w:pPr>
            <w:r w:rsidRPr="00666DF4">
              <w:t>63</w:t>
            </w:r>
          </w:p>
        </w:tc>
        <w:tc>
          <w:tcPr>
            <w:tcW w:w="1450" w:type="dxa"/>
          </w:tcPr>
          <w:p w:rsidR="00A47CF6" w:rsidRPr="00666DF4" w:rsidRDefault="00A47CF6" w:rsidP="001257C8">
            <w:pPr>
              <w:pStyle w:val="TableText"/>
              <w:tabs>
                <w:tab w:val="decimal" w:pos="841"/>
              </w:tabs>
              <w:rPr>
                <w:rFonts w:eastAsia="Arial" w:cs="Arial"/>
                <w:szCs w:val="19"/>
              </w:rPr>
            </w:pPr>
            <w:r w:rsidRPr="00666DF4">
              <w:t>245</w:t>
            </w:r>
          </w:p>
        </w:tc>
      </w:tr>
    </w:tbl>
    <w:p w:rsidR="00A47CF6" w:rsidRPr="00666DF4" w:rsidRDefault="00A47CF6" w:rsidP="004B5EFA">
      <w:pPr>
        <w:pStyle w:val="Note"/>
        <w:ind w:right="0"/>
        <w:rPr>
          <w:rFonts w:eastAsia="Arial" w:cs="Arial"/>
          <w:szCs w:val="19"/>
        </w:rPr>
      </w:pPr>
      <w:r w:rsidRPr="00666DF4">
        <w:t>Notes: The table presents applications that had been processed at the time of data extraction on 2 May 2017.</w:t>
      </w:r>
      <w:r w:rsidR="006C4C54">
        <w:t xml:space="preserve"> </w:t>
      </w:r>
      <w:r w:rsidRPr="00666DF4">
        <w:t>The year is determined by the final outcome date.</w:t>
      </w:r>
      <w:r w:rsidR="006C4C54">
        <w:t xml:space="preserve"> </w:t>
      </w:r>
      <w:r w:rsidRPr="00666DF4">
        <w:t>Where more than one type of order is shown, it is likely to be because new orders are being linked to a previous application in the CMS.</w:t>
      </w:r>
    </w:p>
    <w:p w:rsidR="00A47CF6" w:rsidRPr="00666DF4" w:rsidRDefault="00A47CF6" w:rsidP="004B5EFA">
      <w:pPr>
        <w:pStyle w:val="Source"/>
        <w:ind w:right="0"/>
        <w:rPr>
          <w:rFonts w:eastAsia="Arial"/>
        </w:rPr>
      </w:pPr>
      <w:r w:rsidRPr="00666DF4">
        <w:rPr>
          <w:rFonts w:eastAsia="Arial"/>
        </w:rPr>
        <w:t>Source: Ministry of Justice</w:t>
      </w:r>
      <w:r w:rsidR="00BF25EC">
        <w:rPr>
          <w:rFonts w:eastAsia="Arial"/>
        </w:rPr>
        <w:t>’</w:t>
      </w:r>
      <w:r w:rsidRPr="00666DF4">
        <w:rPr>
          <w:rFonts w:eastAsia="Arial"/>
        </w:rPr>
        <w:t>s Integrated Sector Intelligence System, which uses data entered into the Case Management System. The CMS is a live operational database. Figures are subject to minor changes at any time</w:t>
      </w:r>
      <w:r w:rsidR="004B5EFA">
        <w:rPr>
          <w:rFonts w:eastAsia="Arial"/>
        </w:rPr>
        <w:t>.</w:t>
      </w:r>
    </w:p>
    <w:p w:rsidR="00A47CF6" w:rsidRPr="00666DF4" w:rsidRDefault="00A47CF6" w:rsidP="001257C8">
      <w:pPr>
        <w:rPr>
          <w:rFonts w:eastAsia="Arial"/>
        </w:rPr>
      </w:pPr>
    </w:p>
    <w:p w:rsidR="00A47CF6" w:rsidRPr="00666DF4" w:rsidRDefault="00A47CF6" w:rsidP="004B5EFA">
      <w:pPr>
        <w:pStyle w:val="Heading2"/>
        <w:rPr>
          <w:bCs/>
        </w:rPr>
      </w:pPr>
      <w:bookmarkStart w:id="278" w:name="_Toc500775153"/>
      <w:bookmarkStart w:id="279" w:name="_Toc508707294"/>
      <w:r w:rsidRPr="00666DF4">
        <w:t>Special patient legal status types</w:t>
      </w:r>
      <w:bookmarkEnd w:id="278"/>
      <w:bookmarkEnd w:id="27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29"/>
        <w:gridCol w:w="3600"/>
        <w:gridCol w:w="2101"/>
      </w:tblGrid>
      <w:tr w:rsidR="00A47CF6" w:rsidRPr="001257C8" w:rsidTr="00930DD7">
        <w:trPr>
          <w:cantSplit/>
        </w:trPr>
        <w:tc>
          <w:tcPr>
            <w:tcW w:w="1529" w:type="dxa"/>
            <w:tcBorders>
              <w:top w:val="single" w:sz="4" w:space="0" w:color="auto"/>
              <w:bottom w:val="single" w:sz="4" w:space="0" w:color="auto"/>
            </w:tcBorders>
          </w:tcPr>
          <w:p w:rsidR="00A47CF6" w:rsidRPr="001257C8" w:rsidRDefault="00A47CF6" w:rsidP="001257C8">
            <w:pPr>
              <w:pStyle w:val="TableText"/>
              <w:rPr>
                <w:rFonts w:eastAsia="Arial" w:cs="Arial"/>
                <w:b/>
                <w:szCs w:val="19"/>
              </w:rPr>
            </w:pPr>
            <w:r w:rsidRPr="001257C8">
              <w:rPr>
                <w:b/>
              </w:rPr>
              <w:t>Act</w:t>
            </w:r>
          </w:p>
        </w:tc>
        <w:tc>
          <w:tcPr>
            <w:tcW w:w="3600" w:type="dxa"/>
            <w:tcBorders>
              <w:top w:val="single" w:sz="4" w:space="0" w:color="auto"/>
              <w:bottom w:val="single" w:sz="4" w:space="0" w:color="auto"/>
            </w:tcBorders>
          </w:tcPr>
          <w:p w:rsidR="00A47CF6" w:rsidRPr="001257C8" w:rsidRDefault="00A47CF6" w:rsidP="001257C8">
            <w:pPr>
              <w:pStyle w:val="TableText"/>
              <w:rPr>
                <w:rFonts w:eastAsia="Arial" w:cs="Arial"/>
                <w:b/>
                <w:szCs w:val="19"/>
              </w:rPr>
            </w:pPr>
            <w:r w:rsidRPr="001257C8">
              <w:rPr>
                <w:b/>
              </w:rPr>
              <w:t>Section</w:t>
            </w:r>
          </w:p>
        </w:tc>
        <w:tc>
          <w:tcPr>
            <w:tcW w:w="2101" w:type="dxa"/>
            <w:tcBorders>
              <w:top w:val="single" w:sz="4" w:space="0" w:color="auto"/>
              <w:bottom w:val="single" w:sz="4" w:space="0" w:color="auto"/>
            </w:tcBorders>
          </w:tcPr>
          <w:p w:rsidR="00A47CF6" w:rsidRPr="001257C8" w:rsidRDefault="00A47CF6" w:rsidP="00930DD7">
            <w:pPr>
              <w:pStyle w:val="TableText"/>
              <w:jc w:val="center"/>
              <w:rPr>
                <w:rFonts w:eastAsia="Arial" w:cs="Arial"/>
                <w:b/>
                <w:szCs w:val="19"/>
              </w:rPr>
            </w:pPr>
            <w:r w:rsidRPr="001257C8">
              <w:rPr>
                <w:b/>
              </w:rPr>
              <w:t>Special patient type</w:t>
            </w:r>
          </w:p>
        </w:tc>
      </w:tr>
      <w:tr w:rsidR="00A47CF6" w:rsidRPr="00666DF4" w:rsidTr="00930DD7">
        <w:trPr>
          <w:cantSplit/>
        </w:trPr>
        <w:tc>
          <w:tcPr>
            <w:tcW w:w="1529" w:type="dxa"/>
            <w:tcBorders>
              <w:top w:val="single" w:sz="4" w:space="0" w:color="auto"/>
            </w:tcBorders>
          </w:tcPr>
          <w:p w:rsidR="00A47CF6" w:rsidRPr="00666DF4" w:rsidRDefault="00A47CF6" w:rsidP="001257C8">
            <w:pPr>
              <w:pStyle w:val="TableText"/>
              <w:rPr>
                <w:rFonts w:eastAsia="Arial" w:cs="Arial"/>
                <w:szCs w:val="19"/>
              </w:rPr>
            </w:pPr>
            <w:r w:rsidRPr="00666DF4">
              <w:t>CP(MIP) Act</w:t>
            </w:r>
          </w:p>
        </w:tc>
        <w:tc>
          <w:tcPr>
            <w:tcW w:w="3600" w:type="dxa"/>
            <w:tcBorders>
              <w:top w:val="single" w:sz="4" w:space="0" w:color="auto"/>
            </w:tcBorders>
          </w:tcPr>
          <w:p w:rsidR="00A47CF6" w:rsidRPr="00666DF4" w:rsidRDefault="00A47CF6" w:rsidP="001257C8">
            <w:pPr>
              <w:pStyle w:val="TableText"/>
              <w:rPr>
                <w:rFonts w:eastAsia="Arial" w:cs="Arial"/>
                <w:szCs w:val="19"/>
              </w:rPr>
            </w:pPr>
            <w:r w:rsidRPr="00666DF4">
              <w:t>Section 38(2)(c)</w:t>
            </w:r>
          </w:p>
        </w:tc>
        <w:tc>
          <w:tcPr>
            <w:tcW w:w="2101" w:type="dxa"/>
            <w:tcBorders>
              <w:top w:val="single" w:sz="4" w:space="0" w:color="auto"/>
            </w:tcBorders>
          </w:tcPr>
          <w:p w:rsidR="00A47CF6" w:rsidRPr="00666DF4" w:rsidRDefault="00A47CF6" w:rsidP="00930DD7">
            <w:pPr>
              <w:pStyle w:val="TableText"/>
              <w:jc w:val="center"/>
              <w:rPr>
                <w:rFonts w:eastAsia="Arial" w:cs="Arial"/>
                <w:szCs w:val="19"/>
              </w:rPr>
            </w:pPr>
            <w:r w:rsidRPr="00666DF4">
              <w:t>Other</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24(2)(a) (Unfit to stand trial)</w:t>
            </w:r>
          </w:p>
        </w:tc>
        <w:tc>
          <w:tcPr>
            <w:tcW w:w="2101" w:type="dxa"/>
          </w:tcPr>
          <w:p w:rsidR="00A47CF6" w:rsidRPr="00666DF4" w:rsidRDefault="00A47CF6" w:rsidP="00930DD7">
            <w:pPr>
              <w:pStyle w:val="TableText"/>
              <w:jc w:val="center"/>
              <w:rPr>
                <w:rFonts w:eastAsia="Arial" w:cs="Arial"/>
                <w:szCs w:val="19"/>
              </w:rPr>
            </w:pPr>
            <w:r w:rsidRPr="00666DF4">
              <w:t>EFC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24(2)(a) (Found to be insane)</w:t>
            </w:r>
          </w:p>
        </w:tc>
        <w:tc>
          <w:tcPr>
            <w:tcW w:w="2101" w:type="dxa"/>
          </w:tcPr>
          <w:p w:rsidR="00A47CF6" w:rsidRPr="00666DF4" w:rsidRDefault="00A47CF6" w:rsidP="00930DD7">
            <w:pPr>
              <w:pStyle w:val="TableText"/>
              <w:jc w:val="center"/>
              <w:rPr>
                <w:rFonts w:eastAsia="Arial" w:cs="Arial"/>
                <w:szCs w:val="19"/>
              </w:rPr>
            </w:pPr>
            <w:r w:rsidRPr="00666DF4">
              <w:t>EFC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44(1)</w:t>
            </w:r>
          </w:p>
        </w:tc>
        <w:tc>
          <w:tcPr>
            <w:tcW w:w="2101" w:type="dxa"/>
          </w:tcPr>
          <w:p w:rsidR="00A47CF6" w:rsidRPr="00666DF4" w:rsidRDefault="00A47CF6" w:rsidP="00930DD7">
            <w:pPr>
              <w:pStyle w:val="TableText"/>
              <w:jc w:val="center"/>
              <w:rPr>
                <w:rFonts w:eastAsia="Arial" w:cs="Arial"/>
                <w:szCs w:val="19"/>
              </w:rPr>
            </w:pPr>
            <w:r w:rsidRPr="00666DF4">
              <w:t>Other</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34(1)(a)(</w:t>
            </w:r>
            <w:proofErr w:type="spellStart"/>
            <w:r w:rsidRPr="00666DF4">
              <w:t>i</w:t>
            </w:r>
            <w:proofErr w:type="spellEnd"/>
            <w:r w:rsidRPr="00666DF4">
              <w:t>)</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23</w:t>
            </w:r>
          </w:p>
        </w:tc>
        <w:tc>
          <w:tcPr>
            <w:tcW w:w="2101" w:type="dxa"/>
          </w:tcPr>
          <w:p w:rsidR="00A47CF6" w:rsidRPr="00666DF4" w:rsidRDefault="00A47CF6" w:rsidP="00930DD7">
            <w:pPr>
              <w:pStyle w:val="TableText"/>
              <w:jc w:val="center"/>
              <w:rPr>
                <w:rFonts w:eastAsia="Arial" w:cs="Arial"/>
                <w:szCs w:val="19"/>
              </w:rPr>
            </w:pPr>
            <w:r w:rsidRPr="00666DF4">
              <w:t>Other</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CP(MIP) Act</w:t>
            </w:r>
          </w:p>
        </w:tc>
        <w:tc>
          <w:tcPr>
            <w:tcW w:w="3600" w:type="dxa"/>
          </w:tcPr>
          <w:p w:rsidR="00A47CF6" w:rsidRPr="00666DF4" w:rsidRDefault="00A47CF6" w:rsidP="001257C8">
            <w:pPr>
              <w:pStyle w:val="TableText"/>
              <w:rPr>
                <w:rFonts w:eastAsia="Arial" w:cs="Arial"/>
                <w:szCs w:val="19"/>
              </w:rPr>
            </w:pPr>
            <w:r w:rsidRPr="00666DF4">
              <w:t>Section 35</w:t>
            </w:r>
          </w:p>
        </w:tc>
        <w:tc>
          <w:tcPr>
            <w:tcW w:w="2101" w:type="dxa"/>
          </w:tcPr>
          <w:p w:rsidR="00A47CF6" w:rsidRPr="00666DF4" w:rsidRDefault="00A47CF6" w:rsidP="00930DD7">
            <w:pPr>
              <w:pStyle w:val="TableText"/>
              <w:jc w:val="center"/>
              <w:rPr>
                <w:rFonts w:eastAsia="Arial" w:cs="Arial"/>
                <w:szCs w:val="19"/>
              </w:rPr>
            </w:pPr>
            <w:r w:rsidRPr="00666DF4">
              <w:t>Other</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 55, Restricted</w:t>
            </w:r>
          </w:p>
        </w:tc>
        <w:tc>
          <w:tcPr>
            <w:tcW w:w="2101" w:type="dxa"/>
          </w:tcPr>
          <w:p w:rsidR="00A47CF6" w:rsidRPr="00666DF4" w:rsidRDefault="00A47CF6" w:rsidP="00930DD7">
            <w:pPr>
              <w:pStyle w:val="TableText"/>
              <w:jc w:val="center"/>
              <w:rPr>
                <w:rFonts w:eastAsia="Arial" w:cs="Arial"/>
                <w:szCs w:val="19"/>
              </w:rPr>
            </w:pPr>
            <w:r w:rsidRPr="00666DF4">
              <w:t>EFC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Special Patient, Sections 45 and 11</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13</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 46</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30 Extension</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14</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30</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15(1)</w:t>
            </w:r>
          </w:p>
        </w:tc>
        <w:tc>
          <w:tcPr>
            <w:tcW w:w="2101" w:type="dxa"/>
          </w:tcPr>
          <w:p w:rsidR="00A47CF6" w:rsidRPr="00666DF4" w:rsidRDefault="00A47CF6" w:rsidP="00930DD7">
            <w:pPr>
              <w:pStyle w:val="TableText"/>
              <w:jc w:val="center"/>
              <w:rPr>
                <w:rFonts w:eastAsia="Arial" w:cs="Arial"/>
                <w:szCs w:val="19"/>
              </w:rPr>
            </w:pPr>
            <w:r w:rsidRPr="00666DF4">
              <w:t>SFC</w:t>
            </w:r>
          </w:p>
        </w:tc>
      </w:tr>
      <w:tr w:rsidR="00A47CF6" w:rsidRPr="00666DF4" w:rsidTr="00930DD7">
        <w:trPr>
          <w:cantSplit/>
        </w:trPr>
        <w:tc>
          <w:tcPr>
            <w:tcW w:w="1529" w:type="dxa"/>
          </w:tcPr>
          <w:p w:rsidR="00A47CF6" w:rsidRPr="00666DF4" w:rsidRDefault="00A47CF6" w:rsidP="001257C8">
            <w:pPr>
              <w:pStyle w:val="TableText"/>
              <w:rPr>
                <w:rFonts w:eastAsia="Arial" w:cs="Arial"/>
                <w:szCs w:val="19"/>
              </w:rPr>
            </w:pPr>
            <w:r w:rsidRPr="00666DF4">
              <w:t>MH (CAT) Act</w:t>
            </w:r>
          </w:p>
        </w:tc>
        <w:tc>
          <w:tcPr>
            <w:tcW w:w="3600" w:type="dxa"/>
          </w:tcPr>
          <w:p w:rsidR="00A47CF6" w:rsidRPr="00666DF4" w:rsidRDefault="00A47CF6" w:rsidP="001257C8">
            <w:pPr>
              <w:pStyle w:val="TableText"/>
              <w:rPr>
                <w:rFonts w:eastAsia="Arial" w:cs="Arial"/>
                <w:szCs w:val="19"/>
              </w:rPr>
            </w:pPr>
            <w:r w:rsidRPr="00666DF4">
              <w:t>Sections 45 and 15(2)</w:t>
            </w:r>
          </w:p>
        </w:tc>
        <w:tc>
          <w:tcPr>
            <w:tcW w:w="2101" w:type="dxa"/>
          </w:tcPr>
          <w:p w:rsidR="00A47CF6" w:rsidRPr="00666DF4" w:rsidRDefault="00A47CF6" w:rsidP="00930DD7">
            <w:pPr>
              <w:pStyle w:val="TableText"/>
              <w:jc w:val="center"/>
              <w:rPr>
                <w:rFonts w:eastAsia="Arial" w:cs="Arial"/>
                <w:szCs w:val="19"/>
              </w:rPr>
            </w:pPr>
            <w:r w:rsidRPr="00666DF4">
              <w:t>SFC</w:t>
            </w:r>
          </w:p>
        </w:tc>
      </w:tr>
    </w:tbl>
    <w:p w:rsidR="00A47CF6" w:rsidRPr="00666DF4" w:rsidRDefault="00A47CF6" w:rsidP="004B5EFA">
      <w:pPr>
        <w:pStyle w:val="Note"/>
        <w:rPr>
          <w:rFonts w:eastAsia="Arial" w:cs="Arial"/>
          <w:szCs w:val="19"/>
        </w:rPr>
      </w:pPr>
      <w:proofErr w:type="gramStart"/>
      <w:r w:rsidRPr="00666DF4">
        <w:t>MH(</w:t>
      </w:r>
      <w:proofErr w:type="gramEnd"/>
      <w:r w:rsidRPr="00666DF4">
        <w:t>CAT) Act = Mental Health Act</w:t>
      </w:r>
    </w:p>
    <w:p w:rsidR="00A47CF6" w:rsidRPr="00666DF4" w:rsidRDefault="00A47CF6" w:rsidP="004B5EFA">
      <w:pPr>
        <w:pStyle w:val="Note"/>
        <w:rPr>
          <w:rFonts w:eastAsia="Arial" w:cs="Arial"/>
          <w:szCs w:val="19"/>
        </w:rPr>
      </w:pPr>
      <w:proofErr w:type="gramStart"/>
      <w:r w:rsidRPr="00666DF4">
        <w:t>CP(</w:t>
      </w:r>
      <w:proofErr w:type="gramEnd"/>
      <w:r w:rsidRPr="00666DF4">
        <w:t>MIP) = Criminal Procedure (Mentally Impaired Persons) Act</w:t>
      </w:r>
    </w:p>
    <w:p w:rsidR="00A47CF6" w:rsidRPr="00666DF4" w:rsidRDefault="00A47CF6" w:rsidP="004B5EFA">
      <w:pPr>
        <w:rPr>
          <w:rFonts w:eastAsia="Arial"/>
        </w:rPr>
      </w:pPr>
    </w:p>
    <w:p w:rsidR="00A47CF6" w:rsidRPr="00666DF4" w:rsidRDefault="00A47CF6" w:rsidP="004B5EFA">
      <w:pPr>
        <w:pStyle w:val="Heading1"/>
        <w:rPr>
          <w:bCs/>
        </w:rPr>
      </w:pPr>
      <w:bookmarkStart w:id="280" w:name="Appendix_4:_Developments_in_mental_healt"/>
      <w:bookmarkStart w:id="281" w:name="_bookmark65"/>
      <w:bookmarkStart w:id="282" w:name="_Toc508707295"/>
      <w:bookmarkEnd w:id="280"/>
      <w:bookmarkEnd w:id="281"/>
      <w:r w:rsidRPr="00666DF4">
        <w:t>Appendix 4: Developments in mental health and addiction reporting and improvement</w:t>
      </w:r>
      <w:bookmarkEnd w:id="282"/>
    </w:p>
    <w:p w:rsidR="00A47CF6" w:rsidRPr="00666DF4" w:rsidRDefault="00A47CF6" w:rsidP="004B5EFA">
      <w:pPr>
        <w:pStyle w:val="Heading2"/>
        <w:rPr>
          <w:bCs/>
        </w:rPr>
      </w:pPr>
      <w:bookmarkStart w:id="283" w:name="_Toc500775155"/>
      <w:bookmarkStart w:id="284" w:name="_Toc508707296"/>
      <w:r w:rsidRPr="00666DF4">
        <w:t>Updated National Adverse Events Reporting Policy 2017</w:t>
      </w:r>
      <w:bookmarkEnd w:id="283"/>
      <w:bookmarkEnd w:id="284"/>
    </w:p>
    <w:p w:rsidR="00A47CF6" w:rsidRPr="004B5EFA" w:rsidRDefault="00A47CF6" w:rsidP="004B5EFA">
      <w:r w:rsidRPr="00666DF4">
        <w:t>The Health Quality &amp; Safety Commission</w:t>
      </w:r>
      <w:r w:rsidR="00BF25EC">
        <w:t>’</w:t>
      </w:r>
      <w:r w:rsidRPr="00666DF4">
        <w:t>s (the Commission</w:t>
      </w:r>
      <w:r w:rsidR="00BF25EC">
        <w:t>’</w:t>
      </w:r>
      <w:r w:rsidRPr="00666DF4">
        <w:t>s) Adverse Events Learning Programme continues to focus on learning from reviews of adverse events, including those in mental health and addiction services. Following broad consultation, the Commission released the updated National Adverse Events Reporting Policy on 1 July 2017 (the 2017 Policy), with a number of associated guidance documents and resources.</w:t>
      </w:r>
      <w:r w:rsidR="004B5EFA">
        <w:rPr>
          <w:rStyle w:val="FootnoteReference"/>
        </w:rPr>
        <w:footnoteReference w:id="47"/>
      </w:r>
    </w:p>
    <w:p w:rsidR="00A47CF6" w:rsidRPr="00666DF4" w:rsidRDefault="00A47CF6" w:rsidP="004B5EFA">
      <w:pPr>
        <w:rPr>
          <w:rFonts w:eastAsia="Century"/>
        </w:rPr>
      </w:pPr>
    </w:p>
    <w:p w:rsidR="00A47CF6" w:rsidRPr="00666DF4" w:rsidRDefault="00A47CF6" w:rsidP="004B5EFA">
      <w:r w:rsidRPr="00666DF4">
        <w:t>The 2017 Policy supports a shift so that adverse events within mental health and addiction services will follow the same reporting and review processes as non-mental health and addiction events. Since 2013, adverse events relating to users of DHB-funded mental health and addiction services have been reported to the Commission, in line with the Policy, but publicly reported by the Office of the Director of Mental Health (ODMH). Historically, most adverse events occurring in mental health and addiction services were reviewed using the London Protocol,</w:t>
      </w:r>
      <w:r w:rsidR="004B5EFA">
        <w:rPr>
          <w:rStyle w:val="FootnoteReference"/>
        </w:rPr>
        <w:footnoteReference w:id="48"/>
      </w:r>
      <w:r w:rsidR="004B5EFA">
        <w:t xml:space="preserve"> </w:t>
      </w:r>
      <w:r w:rsidRPr="00666DF4">
        <w:t>as this methodology was deemed by the sector to be more suitable than the root cause analysis approach more commonly used in the wider health and disability sector.</w:t>
      </w:r>
    </w:p>
    <w:p w:rsidR="00A47CF6" w:rsidRPr="00666DF4" w:rsidRDefault="00A47CF6" w:rsidP="004B5EFA">
      <w:pPr>
        <w:rPr>
          <w:rFonts w:eastAsia="Century"/>
        </w:rPr>
      </w:pPr>
    </w:p>
    <w:p w:rsidR="00A47CF6" w:rsidRPr="00666DF4" w:rsidRDefault="00A47CF6" w:rsidP="004B5EFA">
      <w:r w:rsidRPr="00666DF4">
        <w:t>In the updated Policy, separate reporting and review processes specific to mental health and addiction services have been removed. The 2017 Policy allows for use of a broader range of review methodologies, including those more suited to mental health and addiction services. The Commission is working with the ODMH to determine how the learnings from these reviews will be reported and shared in the future. In the meantime, numbers of events will continue to be shared through the ODMH annual report, and learnings from reviews will be shared through the Commission</w:t>
      </w:r>
      <w:r w:rsidR="00BF25EC">
        <w:t>’</w:t>
      </w:r>
      <w:r w:rsidRPr="00666DF4">
        <w:t>s Open Book reports and other learning forums.</w:t>
      </w:r>
    </w:p>
    <w:p w:rsidR="00A47CF6" w:rsidRPr="00666DF4" w:rsidRDefault="00A47CF6" w:rsidP="004B5EFA">
      <w:pPr>
        <w:rPr>
          <w:rFonts w:eastAsia="Century"/>
        </w:rPr>
      </w:pPr>
    </w:p>
    <w:p w:rsidR="00A47CF6" w:rsidRPr="00666DF4" w:rsidRDefault="00A47CF6" w:rsidP="004B5EFA">
      <w:pPr>
        <w:pStyle w:val="Heading2"/>
        <w:rPr>
          <w:rFonts w:eastAsia="Georgia" w:cs="Georgia"/>
          <w:szCs w:val="28"/>
        </w:rPr>
      </w:pPr>
      <w:bookmarkStart w:id="285" w:name="_Toc500775156"/>
      <w:bookmarkStart w:id="286" w:name="_Toc508707297"/>
      <w:r w:rsidRPr="00666DF4">
        <w:t>National mental health and addiction quality improvement programme</w:t>
      </w:r>
      <w:bookmarkEnd w:id="285"/>
      <w:bookmarkEnd w:id="286"/>
    </w:p>
    <w:p w:rsidR="00A47CF6" w:rsidRPr="00666DF4" w:rsidRDefault="00A47CF6" w:rsidP="004B5EFA">
      <w:r w:rsidRPr="00666DF4">
        <w:t>On 1 July 2017, a new five-year national mental health and addiction quality improvement programme, led by the Commission, was launched by the Minister of Health. This programme will see the Commission work with consumers, their families/</w:t>
      </w:r>
      <w:proofErr w:type="spellStart"/>
      <w:r w:rsidRPr="00666DF4">
        <w:t>whānau</w:t>
      </w:r>
      <w:proofErr w:type="spellEnd"/>
      <w:r w:rsidRPr="00666DF4">
        <w:t xml:space="preserve"> and service providers to continue to improve the quality of mental health and addiction services in New Zealand.</w:t>
      </w:r>
    </w:p>
    <w:p w:rsidR="00A47CF6" w:rsidRPr="00666DF4" w:rsidRDefault="00A47CF6" w:rsidP="004B5EFA">
      <w:pPr>
        <w:rPr>
          <w:rFonts w:eastAsia="Century"/>
        </w:rPr>
      </w:pPr>
    </w:p>
    <w:p w:rsidR="00A47CF6" w:rsidRPr="004B5EFA" w:rsidRDefault="00A47CF6" w:rsidP="004B5EFA">
      <w:r w:rsidRPr="00666DF4">
        <w:t>The programme will use improvement science</w:t>
      </w:r>
      <w:r w:rsidR="004B5EFA">
        <w:rPr>
          <w:rStyle w:val="FootnoteReference"/>
        </w:rPr>
        <w:footnoteReference w:id="49"/>
      </w:r>
      <w:r w:rsidR="004B5EFA">
        <w:t xml:space="preserve"> </w:t>
      </w:r>
      <w:r w:rsidRPr="00666DF4">
        <w:t>to test evidence-based changes and interventions locally, to measure the impact of these changes and, if they are successful, to work with other services to implement the changes more widely. It will focus on five priority areas.</w:t>
      </w:r>
      <w:r w:rsidR="004B5EFA">
        <w:rPr>
          <w:rStyle w:val="FootnoteReference"/>
        </w:rPr>
        <w:footnoteReference w:id="50"/>
      </w:r>
    </w:p>
    <w:p w:rsidR="00A47CF6" w:rsidRPr="00666DF4" w:rsidRDefault="004B5EFA" w:rsidP="004B5EFA">
      <w:pPr>
        <w:spacing w:before="120"/>
        <w:ind w:left="567" w:hanging="567"/>
      </w:pPr>
      <w:r>
        <w:t>1.</w:t>
      </w:r>
      <w:r>
        <w:tab/>
      </w:r>
      <w:r w:rsidR="00A47CF6" w:rsidRPr="00666DF4">
        <w:t>Minimising restrictive care</w:t>
      </w:r>
    </w:p>
    <w:p w:rsidR="00A47CF6" w:rsidRPr="00666DF4" w:rsidRDefault="004B5EFA" w:rsidP="004B5EFA">
      <w:pPr>
        <w:spacing w:before="120"/>
        <w:ind w:left="567" w:hanging="567"/>
      </w:pPr>
      <w:r>
        <w:t>2.</w:t>
      </w:r>
      <w:r>
        <w:tab/>
      </w:r>
      <w:r w:rsidR="00A47CF6" w:rsidRPr="00666DF4">
        <w:t>Improving medication management and prescribing</w:t>
      </w:r>
    </w:p>
    <w:p w:rsidR="00A47CF6" w:rsidRPr="00666DF4" w:rsidRDefault="004B5EFA" w:rsidP="004B5EFA">
      <w:pPr>
        <w:spacing w:before="120"/>
        <w:ind w:left="567" w:hanging="567"/>
      </w:pPr>
      <w:r>
        <w:t>3.</w:t>
      </w:r>
      <w:r>
        <w:tab/>
      </w:r>
      <w:r w:rsidR="00A47CF6" w:rsidRPr="00666DF4">
        <w:t>Improving service transitions</w:t>
      </w:r>
    </w:p>
    <w:p w:rsidR="00A47CF6" w:rsidRPr="00666DF4" w:rsidRDefault="004B5EFA" w:rsidP="004B5EFA">
      <w:pPr>
        <w:spacing w:before="120"/>
        <w:ind w:left="567" w:hanging="567"/>
      </w:pPr>
      <w:r>
        <w:t>4.</w:t>
      </w:r>
      <w:r>
        <w:tab/>
      </w:r>
      <w:r w:rsidR="00A47CF6" w:rsidRPr="00666DF4">
        <w:t>Maximising the physical health of people with mental health and addiction problems</w:t>
      </w:r>
    </w:p>
    <w:p w:rsidR="00A47CF6" w:rsidRPr="00666DF4" w:rsidRDefault="004B5EFA" w:rsidP="004B5EFA">
      <w:pPr>
        <w:spacing w:before="120"/>
        <w:ind w:left="567" w:hanging="567"/>
      </w:pPr>
      <w:r>
        <w:t>5.</w:t>
      </w:r>
      <w:r>
        <w:tab/>
      </w:r>
      <w:r w:rsidR="00A47CF6" w:rsidRPr="00666DF4">
        <w:t>Learning from serious adverse events and consumer experience.</w:t>
      </w:r>
    </w:p>
    <w:p w:rsidR="00A47CF6" w:rsidRPr="00666DF4" w:rsidRDefault="00A47CF6" w:rsidP="004B5EFA">
      <w:pPr>
        <w:rPr>
          <w:rFonts w:eastAsia="Century"/>
        </w:rPr>
      </w:pPr>
    </w:p>
    <w:p w:rsidR="00A47CF6" w:rsidRPr="00666DF4" w:rsidRDefault="00A47CF6" w:rsidP="004B5EFA">
      <w:r w:rsidRPr="00666DF4">
        <w:t>As well as leading this work, the Commission will also support leadership in the sector to deliver quality improvement initiatives and to build quality improvement capability within mental health and addiction services.</w:t>
      </w:r>
    </w:p>
    <w:p w:rsidR="00A47CF6" w:rsidRPr="00666DF4" w:rsidRDefault="00A47CF6" w:rsidP="004B5EFA">
      <w:pPr>
        <w:rPr>
          <w:rFonts w:eastAsia="Century"/>
        </w:rPr>
      </w:pPr>
    </w:p>
    <w:p w:rsidR="00A47CF6" w:rsidRPr="00666DF4" w:rsidRDefault="00A47CF6" w:rsidP="004B5EFA">
      <w:pPr>
        <w:pStyle w:val="Heading2"/>
        <w:rPr>
          <w:bCs/>
        </w:rPr>
      </w:pPr>
      <w:bookmarkStart w:id="287" w:name="_Toc500775157"/>
      <w:bookmarkStart w:id="288" w:name="_Toc508707298"/>
      <w:r w:rsidRPr="00666DF4">
        <w:t>Suicide Mortality Review Committee</w:t>
      </w:r>
      <w:bookmarkEnd w:id="287"/>
      <w:bookmarkEnd w:id="288"/>
    </w:p>
    <w:p w:rsidR="00A47CF6" w:rsidRPr="00666DF4" w:rsidRDefault="00A47CF6" w:rsidP="004B5EFA">
      <w:r w:rsidRPr="00666DF4">
        <w:t xml:space="preserve">Suicide is a major cause of death in New Zealand and the most common cause of death for young people. In September 2013, the Ministry of Health contracted the Commission to trial a suicide mortality review, an action set out in the </w:t>
      </w:r>
      <w:r w:rsidRPr="00666DF4">
        <w:rPr>
          <w:rFonts w:eastAsia="Georgia" w:cs="Georgia"/>
          <w:i/>
        </w:rPr>
        <w:t>New Zealand Suicide Prevention Action Plan 2013–16</w:t>
      </w:r>
      <w:r w:rsidRPr="00666DF4">
        <w:t>.</w:t>
      </w:r>
      <w:r w:rsidR="00A04FA5">
        <w:rPr>
          <w:rStyle w:val="FootnoteReference"/>
        </w:rPr>
        <w:footnoteReference w:id="51"/>
      </w:r>
      <w:r w:rsidR="00A04FA5">
        <w:t xml:space="preserve"> </w:t>
      </w:r>
      <w:r w:rsidRPr="00666DF4">
        <w:t>This resulted in establishing the Suicide Mortality Review Committee (</w:t>
      </w:r>
      <w:proofErr w:type="spellStart"/>
      <w:r w:rsidRPr="00666DF4">
        <w:t>SuMRC</w:t>
      </w:r>
      <w:proofErr w:type="spellEnd"/>
      <w:r w:rsidRPr="00666DF4">
        <w:t>) within the Commission and the Suicide Mortality Review Feasibility Study.</w:t>
      </w:r>
    </w:p>
    <w:p w:rsidR="00A47CF6" w:rsidRPr="00666DF4" w:rsidRDefault="00A47CF6" w:rsidP="00A04FA5">
      <w:pPr>
        <w:rPr>
          <w:rFonts w:eastAsia="Century"/>
        </w:rPr>
      </w:pPr>
    </w:p>
    <w:p w:rsidR="00A47CF6" w:rsidRPr="00A04FA5" w:rsidRDefault="00A47CF6" w:rsidP="00A04FA5">
      <w:r w:rsidRPr="00666DF4">
        <w:t>The Commission published the resulting reports, including recommendations, in May 2016.</w:t>
      </w:r>
      <w:r w:rsidR="00A04FA5">
        <w:rPr>
          <w:rStyle w:val="FootnoteReference"/>
        </w:rPr>
        <w:footnoteReference w:id="52"/>
      </w:r>
    </w:p>
    <w:p w:rsidR="00A47CF6" w:rsidRPr="00666DF4" w:rsidRDefault="00A47CF6" w:rsidP="00A04FA5">
      <w:pPr>
        <w:rPr>
          <w:rFonts w:eastAsia="Century"/>
        </w:rPr>
      </w:pPr>
    </w:p>
    <w:p w:rsidR="00A47CF6" w:rsidRPr="00666DF4" w:rsidRDefault="00A47CF6" w:rsidP="00A04FA5">
      <w:r w:rsidRPr="00666DF4">
        <w:t xml:space="preserve">Following the successful </w:t>
      </w:r>
      <w:proofErr w:type="spellStart"/>
      <w:r w:rsidRPr="00666DF4">
        <w:t>SuMRC</w:t>
      </w:r>
      <w:proofErr w:type="spellEnd"/>
      <w:r w:rsidRPr="00666DF4">
        <w:t xml:space="preserve"> trial, the Minister of Health announced in July 2017 that </w:t>
      </w:r>
      <w:proofErr w:type="spellStart"/>
      <w:r w:rsidRPr="00666DF4">
        <w:t>SuMRC</w:t>
      </w:r>
      <w:proofErr w:type="spellEnd"/>
      <w:r w:rsidRPr="00666DF4">
        <w:t xml:space="preserve"> will receive funding for ongoing work. The </w:t>
      </w:r>
      <w:proofErr w:type="spellStart"/>
      <w:r w:rsidRPr="00666DF4">
        <w:t>SuMRC</w:t>
      </w:r>
      <w:proofErr w:type="spellEnd"/>
      <w:r w:rsidRPr="00666DF4">
        <w:t xml:space="preserve"> will provide vital knowledge about factors and patterns of suicide to guide new suicide prevention activities and reinforce and strengthen existing activities. The first meeting of the </w:t>
      </w:r>
      <w:proofErr w:type="spellStart"/>
      <w:r w:rsidRPr="00666DF4">
        <w:t>SuMRC</w:t>
      </w:r>
      <w:proofErr w:type="spellEnd"/>
      <w:r w:rsidRPr="00666DF4">
        <w:t xml:space="preserve"> took place in September 2017.</w:t>
      </w:r>
    </w:p>
    <w:p w:rsidR="00A47CF6" w:rsidRPr="00666DF4" w:rsidRDefault="00A47CF6" w:rsidP="00A04FA5">
      <w:pPr>
        <w:rPr>
          <w:rFonts w:eastAsia="Century"/>
        </w:rPr>
      </w:pPr>
      <w:bookmarkStart w:id="289" w:name="_GoBack"/>
      <w:bookmarkEnd w:id="289"/>
    </w:p>
    <w:sectPr w:rsidR="00A47CF6" w:rsidRPr="00666DF4" w:rsidSect="009D5125">
      <w:headerReference w:type="default" r:id="rId74"/>
      <w:footerReference w:type="default" r:id="rId75"/>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8A9" w:rsidRDefault="00EA28A9">
      <w:pPr>
        <w:spacing w:line="240" w:lineRule="auto"/>
      </w:pPr>
      <w:r>
        <w:separator/>
      </w:r>
    </w:p>
    <w:p w:rsidR="00EA28A9" w:rsidRDefault="00EA28A9"/>
  </w:endnote>
  <w:endnote w:type="continuationSeparator" w:id="0">
    <w:p w:rsidR="00EA28A9" w:rsidRDefault="00EA28A9">
      <w:pPr>
        <w:spacing w:line="240" w:lineRule="auto"/>
      </w:pPr>
      <w:r>
        <w:continuationSeparator/>
      </w:r>
    </w:p>
    <w:p w:rsidR="00EA28A9" w:rsidRDefault="00EA2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Pr="00581136" w:rsidRDefault="00EA28A9"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Pr="00275D08" w:rsidRDefault="00EA28A9"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E6276">
      <w:rPr>
        <w:rStyle w:val="PageNumber"/>
        <w:noProof/>
      </w:rPr>
      <w:t>78</w:t>
    </w:r>
    <w:r w:rsidRPr="00FC46E7">
      <w:rPr>
        <w:rStyle w:val="PageNumber"/>
      </w:rPr>
      <w:fldChar w:fldCharType="end"/>
    </w:r>
    <w:r>
      <w:tab/>
      <w:t>Office of the Director of Mental Health Annual Report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533B90">
    <w:pPr>
      <w:pStyle w:val="RectoFooter"/>
    </w:pPr>
    <w:r>
      <w:tab/>
      <w:t>Office of the Director of Mental Health Annual Report 2016</w:t>
    </w:r>
    <w:r>
      <w:tab/>
    </w:r>
    <w:r>
      <w:rPr>
        <w:rStyle w:val="PageNumber"/>
      </w:rPr>
      <w:fldChar w:fldCharType="begin"/>
    </w:r>
    <w:r>
      <w:rPr>
        <w:rStyle w:val="PageNumber"/>
      </w:rPr>
      <w:instrText xml:space="preserve"> PAGE </w:instrText>
    </w:r>
    <w:r>
      <w:rPr>
        <w:rStyle w:val="PageNumber"/>
      </w:rPr>
      <w:fldChar w:fldCharType="separate"/>
    </w:r>
    <w:r w:rsidR="006E6276">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9E3C8C">
    <w:pPr>
      <w:pStyle w:val="RectoFooter"/>
    </w:pPr>
    <w:r>
      <w:tab/>
      <w:t>Office of the Director of Mental Health Annual Report 2016</w:t>
    </w:r>
    <w:r>
      <w:tab/>
    </w:r>
    <w:r>
      <w:rPr>
        <w:rStyle w:val="PageNumber"/>
      </w:rPr>
      <w:fldChar w:fldCharType="begin"/>
    </w:r>
    <w:r>
      <w:rPr>
        <w:rStyle w:val="PageNumber"/>
      </w:rPr>
      <w:instrText xml:space="preserve"> PAGE </w:instrText>
    </w:r>
    <w:r>
      <w:rPr>
        <w:rStyle w:val="PageNumber"/>
      </w:rPr>
      <w:fldChar w:fldCharType="separate"/>
    </w:r>
    <w:r w:rsidR="006E6276">
      <w:rPr>
        <w:rStyle w:val="PageNumber"/>
        <w:noProof/>
      </w:rPr>
      <w:t>77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8A9" w:rsidRPr="00A26E6B" w:rsidRDefault="00EA28A9" w:rsidP="00A26E6B"/>
  </w:footnote>
  <w:footnote w:type="continuationSeparator" w:id="0">
    <w:p w:rsidR="00EA28A9" w:rsidRDefault="00EA28A9">
      <w:pPr>
        <w:spacing w:line="240" w:lineRule="auto"/>
      </w:pPr>
      <w:r>
        <w:continuationSeparator/>
      </w:r>
    </w:p>
    <w:p w:rsidR="00EA28A9" w:rsidRDefault="00EA28A9"/>
  </w:footnote>
  <w:footnote w:id="1">
    <w:p w:rsidR="00EA28A9" w:rsidRDefault="00EA28A9">
      <w:pPr>
        <w:pStyle w:val="FootnoteText"/>
      </w:pPr>
      <w:r>
        <w:rPr>
          <w:rStyle w:val="FootnoteReference"/>
        </w:rPr>
        <w:footnoteRef/>
      </w:r>
      <w:r>
        <w:tab/>
      </w:r>
      <w:r w:rsidRPr="00666DF4">
        <w:rPr>
          <w:rFonts w:eastAsia="Century"/>
        </w:rPr>
        <w:t>Data from 2014 is used because it can take more than two years for a coroner</w:t>
      </w:r>
      <w:r>
        <w:rPr>
          <w:rFonts w:eastAsia="Century"/>
        </w:rPr>
        <w:t>’</w:t>
      </w:r>
      <w:r w:rsidRPr="00666DF4">
        <w:rPr>
          <w:rFonts w:eastAsia="Century"/>
        </w:rPr>
        <w:t>s investigation into a suicide to be complet</w:t>
      </w:r>
      <w:r>
        <w:rPr>
          <w:rFonts w:eastAsia="Century"/>
        </w:rPr>
        <w:t>ed.</w:t>
      </w:r>
    </w:p>
  </w:footnote>
  <w:footnote w:id="2">
    <w:p w:rsidR="00EA28A9" w:rsidRDefault="00EA28A9" w:rsidP="008663FA">
      <w:pPr>
        <w:pStyle w:val="FootnoteText"/>
      </w:pPr>
      <w:r>
        <w:rPr>
          <w:rStyle w:val="FootnoteReference"/>
        </w:rPr>
        <w:footnoteRef/>
      </w:r>
      <w:r>
        <w:tab/>
      </w:r>
      <w:r w:rsidRPr="00666DF4">
        <w:rPr>
          <w:rFonts w:eastAsia="Century"/>
        </w:rPr>
        <w:t>More information on the Ministry of Health</w:t>
      </w:r>
      <w:r>
        <w:rPr>
          <w:rFonts w:eastAsia="Century"/>
        </w:rPr>
        <w:t>’</w:t>
      </w:r>
      <w:r w:rsidRPr="00666DF4">
        <w:rPr>
          <w:rFonts w:eastAsia="Century"/>
        </w:rPr>
        <w:t xml:space="preserve">s work in the areas of mental health, depression and suicide prevention is at </w:t>
      </w:r>
      <w:hyperlink r:id="rId1">
        <w:r w:rsidRPr="00666DF4">
          <w:rPr>
            <w:rFonts w:eastAsia="Century"/>
          </w:rPr>
          <w:t>www.health.govt.nz/our-work/mental-health-and-addictions.</w:t>
        </w:r>
      </w:hyperlink>
    </w:p>
  </w:footnote>
  <w:footnote w:id="3">
    <w:p w:rsidR="00EA28A9" w:rsidRDefault="00EA28A9" w:rsidP="008663FA">
      <w:pPr>
        <w:pStyle w:val="FootnoteText"/>
      </w:pPr>
      <w:r>
        <w:rPr>
          <w:rStyle w:val="FootnoteReference"/>
        </w:rPr>
        <w:footnoteRef/>
      </w:r>
      <w:r>
        <w:tab/>
      </w:r>
      <w:r w:rsidRPr="00666DF4">
        <w:t>This number includes people seen by addiction services only.</w:t>
      </w:r>
    </w:p>
  </w:footnote>
  <w:footnote w:id="4">
    <w:p w:rsidR="00EA28A9" w:rsidRDefault="00EA28A9">
      <w:pPr>
        <w:pStyle w:val="FootnoteText"/>
      </w:pPr>
      <w:r>
        <w:rPr>
          <w:rStyle w:val="FootnoteReference"/>
        </w:rPr>
        <w:footnoteRef/>
      </w:r>
      <w:r>
        <w:tab/>
      </w:r>
      <w:r w:rsidRPr="00666DF4">
        <w:t>Between 2011 and 2016, the total New Zealand population increased by approximately 7 percent.</w:t>
      </w:r>
    </w:p>
  </w:footnote>
  <w:footnote w:id="5">
    <w:p w:rsidR="00EA28A9" w:rsidRDefault="00EA28A9" w:rsidP="0093477B">
      <w:pPr>
        <w:pStyle w:val="FootnoteText"/>
      </w:pPr>
      <w:r>
        <w:rPr>
          <w:rStyle w:val="FootnoteReference"/>
        </w:rPr>
        <w:footnoteRef/>
      </w:r>
      <w:r>
        <w:tab/>
      </w:r>
      <w:hyperlink r:id="rId2">
        <w:r w:rsidRPr="0093477B">
          <w:t>www.health.govt.nz/our-work/regulation-health-and-disability-system/health-practitioners-competence-assurance-act.</w:t>
        </w:r>
      </w:hyperlink>
    </w:p>
  </w:footnote>
  <w:footnote w:id="6">
    <w:p w:rsidR="00EA28A9" w:rsidRDefault="00EA28A9" w:rsidP="0093477B">
      <w:pPr>
        <w:pStyle w:val="FootnoteText"/>
      </w:pPr>
      <w:r>
        <w:rPr>
          <w:rStyle w:val="FootnoteReference"/>
        </w:rPr>
        <w:footnoteRef/>
      </w:r>
      <w:r>
        <w:tab/>
      </w:r>
      <w:hyperlink r:id="rId3">
        <w:r w:rsidRPr="0093477B">
          <w:t>www.oag.govt.nz/2017/mental-health/docs/mental-health.pdf/view</w:t>
        </w:r>
      </w:hyperlink>
    </w:p>
  </w:footnote>
  <w:footnote w:id="7">
    <w:p w:rsidR="00EA28A9" w:rsidRDefault="00EA28A9">
      <w:pPr>
        <w:pStyle w:val="FootnoteText"/>
      </w:pPr>
      <w:r>
        <w:rPr>
          <w:rStyle w:val="FootnoteReference"/>
        </w:rPr>
        <w:footnoteRef/>
      </w:r>
      <w:r>
        <w:tab/>
      </w:r>
      <w:r w:rsidRPr="00666DF4">
        <w:t>Some DHBs submitted responses to both surveys.</w:t>
      </w:r>
    </w:p>
  </w:footnote>
  <w:footnote w:id="8">
    <w:p w:rsidR="00EA28A9" w:rsidRDefault="00EA28A9">
      <w:pPr>
        <w:pStyle w:val="FootnoteText"/>
      </w:pPr>
      <w:r>
        <w:rPr>
          <w:rStyle w:val="FootnoteReference"/>
        </w:rPr>
        <w:footnoteRef/>
      </w:r>
      <w:r>
        <w:tab/>
      </w:r>
      <w:r w:rsidRPr="00666DF4">
        <w:t>MARAMA real-time feedback system, 2016 calendar year.</w:t>
      </w:r>
    </w:p>
  </w:footnote>
  <w:footnote w:id="9">
    <w:p w:rsidR="00EA28A9" w:rsidRDefault="00EA28A9">
      <w:pPr>
        <w:pStyle w:val="FootnoteText"/>
      </w:pPr>
      <w:r>
        <w:rPr>
          <w:rStyle w:val="FootnoteReference"/>
        </w:rPr>
        <w:footnoteRef/>
      </w:r>
      <w:r>
        <w:tab/>
      </w:r>
      <w:r w:rsidRPr="00666DF4">
        <w:t>Mental Health Act sections 11, 13, 14(4), 15(1), 15(2), 29, 30 and 31. It should be noted that some legal status statistics for 2016 are over-counted due to a known data issue when reporting transfers between DHBs. This over count is estimated to affect less than 1% of the legal status records used to collate the statistics published in this report.</w:t>
      </w:r>
    </w:p>
  </w:footnote>
  <w:footnote w:id="10">
    <w:p w:rsidR="00EA28A9" w:rsidRDefault="00EA28A9">
      <w:pPr>
        <w:pStyle w:val="FootnoteText"/>
      </w:pPr>
      <w:r>
        <w:rPr>
          <w:rStyle w:val="FootnoteReference"/>
        </w:rPr>
        <w:footnoteRef/>
      </w:r>
      <w:r>
        <w:tab/>
      </w:r>
      <w:r w:rsidRPr="00666DF4">
        <w:rPr>
          <w:rFonts w:eastAsia="Century"/>
        </w:rPr>
        <w:t>Source: Ministry of Justice</w:t>
      </w:r>
      <w:r>
        <w:rPr>
          <w:rFonts w:eastAsia="Century"/>
        </w:rPr>
        <w:t>’</w:t>
      </w:r>
      <w:r w:rsidRPr="00666DF4">
        <w:rPr>
          <w:rFonts w:eastAsia="Century"/>
        </w:rPr>
        <w:t>s Integrated Sector Intelligence System as at 2 May 2017; this system uses data entered into the Case Management System (CMS). The CMS is a live operational database. Figures are subject to minor changes at any time.</w:t>
      </w:r>
    </w:p>
  </w:footnote>
  <w:footnote w:id="11">
    <w:p w:rsidR="00EA28A9" w:rsidRDefault="00EA28A9" w:rsidP="00436D8F">
      <w:pPr>
        <w:pStyle w:val="FootnoteText"/>
      </w:pPr>
      <w:r>
        <w:rPr>
          <w:rStyle w:val="FootnoteReference"/>
        </w:rPr>
        <w:footnoteRef/>
      </w:r>
      <w:r>
        <w:tab/>
      </w:r>
      <w:r w:rsidRPr="00666DF4">
        <w:t>Source: PRIMHD data, extracted on 26 July 2017.</w:t>
      </w:r>
    </w:p>
  </w:footnote>
  <w:footnote w:id="12">
    <w:p w:rsidR="00EA28A9" w:rsidRDefault="00EA28A9">
      <w:pPr>
        <w:pStyle w:val="FootnoteText"/>
      </w:pPr>
      <w:r>
        <w:rPr>
          <w:rStyle w:val="FootnoteReference"/>
        </w:rPr>
        <w:footnoteRef/>
      </w:r>
      <w:r>
        <w:tab/>
      </w:r>
      <w:r w:rsidRPr="00666DF4">
        <w:t>Source: PRIMHD data, extracted on 26 July 2017, except for data from Southern DHB, which was supplied manually.</w:t>
      </w:r>
    </w:p>
  </w:footnote>
  <w:footnote w:id="13">
    <w:p w:rsidR="00EA28A9" w:rsidRDefault="00EA28A9">
      <w:pPr>
        <w:pStyle w:val="FootnoteText"/>
      </w:pPr>
      <w:r>
        <w:rPr>
          <w:rStyle w:val="FootnoteReference"/>
        </w:rPr>
        <w:footnoteRef/>
      </w:r>
      <w:r>
        <w:tab/>
      </w:r>
      <w:r w:rsidRPr="00666DF4">
        <w:rPr>
          <w:rFonts w:eastAsia="Century"/>
        </w:rPr>
        <w:t xml:space="preserve">Source: PRIMHD data, extracted on 26 July 2017, except for data from Southern and Counties </w:t>
      </w:r>
      <w:proofErr w:type="spellStart"/>
      <w:r w:rsidRPr="00666DF4">
        <w:rPr>
          <w:rFonts w:eastAsia="Century"/>
        </w:rPr>
        <w:t>Manukau</w:t>
      </w:r>
      <w:proofErr w:type="spellEnd"/>
      <w:r w:rsidRPr="00666DF4">
        <w:rPr>
          <w:rFonts w:eastAsia="Century"/>
        </w:rPr>
        <w:t xml:space="preserve"> DHBs, which was supplied manually. </w:t>
      </w:r>
      <w:r>
        <w:rPr>
          <w:rFonts w:eastAsia="Century"/>
        </w:rPr>
        <w:t>‘</w:t>
      </w:r>
      <w:r w:rsidRPr="00666DF4">
        <w:rPr>
          <w:rFonts w:eastAsia="Century"/>
        </w:rPr>
        <w:t>On a given day</w:t>
      </w:r>
      <w:r>
        <w:rPr>
          <w:rFonts w:eastAsia="Century"/>
        </w:rPr>
        <w:t>’</w:t>
      </w:r>
      <w:r w:rsidRPr="00666DF4">
        <w:rPr>
          <w:rFonts w:eastAsia="Century"/>
        </w:rPr>
        <w:t xml:space="preserve"> is the average of the last day of each month.</w:t>
      </w:r>
    </w:p>
  </w:footnote>
  <w:footnote w:id="14">
    <w:p w:rsidR="00EA28A9" w:rsidRDefault="00EA28A9">
      <w:pPr>
        <w:pStyle w:val="FootnoteText"/>
      </w:pPr>
      <w:r>
        <w:rPr>
          <w:rStyle w:val="FootnoteReference"/>
        </w:rPr>
        <w:footnoteRef/>
      </w:r>
      <w:r>
        <w:tab/>
      </w:r>
      <w:r w:rsidRPr="00666DF4">
        <w:rPr>
          <w:rFonts w:eastAsia="Century"/>
        </w:rPr>
        <w:t>Source: Ministry of Justice</w:t>
      </w:r>
      <w:r>
        <w:rPr>
          <w:rFonts w:eastAsia="Century"/>
        </w:rPr>
        <w:t>’</w:t>
      </w:r>
      <w:r w:rsidRPr="00666DF4">
        <w:rPr>
          <w:rFonts w:eastAsia="Century"/>
        </w:rPr>
        <w:t>s Integrated Sector Intelligence System as at 2 May 2017; this system uses data entered into the Case Management System (CMS). The CMS is a live operational database. Figures are subject to minor changes at any time.</w:t>
      </w:r>
    </w:p>
  </w:footnote>
  <w:footnote w:id="15">
    <w:p w:rsidR="00EA28A9" w:rsidRDefault="00EA28A9">
      <w:pPr>
        <w:pStyle w:val="FootnoteText"/>
      </w:pPr>
      <w:r>
        <w:rPr>
          <w:rStyle w:val="FootnoteReference"/>
        </w:rPr>
        <w:footnoteRef/>
      </w:r>
      <w:r>
        <w:tab/>
      </w:r>
      <w:r w:rsidRPr="00666DF4">
        <w:t>This is a specific action outlined in Rising to the Challenge (Ministry of Health 2012e). In addition, the number of Māori subject to section 29 of the Mental Health Act is now an indicator in the Māori Health Plans that the Ministry of Health requires every DHB to produce.</w:t>
      </w:r>
    </w:p>
  </w:footnote>
  <w:footnote w:id="16">
    <w:p w:rsidR="00EA28A9" w:rsidRDefault="00EA28A9">
      <w:pPr>
        <w:pStyle w:val="FootnoteText"/>
      </w:pPr>
      <w:r>
        <w:rPr>
          <w:rStyle w:val="FootnoteReference"/>
        </w:rPr>
        <w:footnoteRef/>
      </w:r>
      <w:r>
        <w:tab/>
      </w:r>
      <w:r w:rsidRPr="00666DF4">
        <w:t>These ratios are based on the age-standardised rates of the Māori and non-Māori populations.</w:t>
      </w:r>
    </w:p>
  </w:footnote>
  <w:footnote w:id="17">
    <w:p w:rsidR="00EA28A9" w:rsidRDefault="00EA28A9">
      <w:pPr>
        <w:pStyle w:val="FootnoteText"/>
      </w:pPr>
      <w:r>
        <w:rPr>
          <w:rStyle w:val="FootnoteReference"/>
        </w:rPr>
        <w:footnoteRef/>
      </w:r>
      <w:r>
        <w:tab/>
      </w:r>
      <w:r w:rsidRPr="00666DF4">
        <w:t>Source: PRIMHD data, extracted on 27 July 2017. This applies to both voluntary service users and those treated under the Mental Health Act.</w:t>
      </w:r>
    </w:p>
  </w:footnote>
  <w:footnote w:id="18">
    <w:p w:rsidR="00EA28A9" w:rsidRDefault="00EA28A9">
      <w:pPr>
        <w:pStyle w:val="FootnoteText"/>
      </w:pPr>
      <w:r>
        <w:rPr>
          <w:rStyle w:val="FootnoteReference"/>
        </w:rPr>
        <w:footnoteRef/>
      </w:r>
      <w:r>
        <w:tab/>
      </w:r>
      <w:r w:rsidRPr="00666DF4">
        <w:t>Source: PRIMHD data, extracted 26 July 2017.</w:t>
      </w:r>
    </w:p>
  </w:footnote>
  <w:footnote w:id="19">
    <w:p w:rsidR="00EA28A9" w:rsidRDefault="00EA28A9">
      <w:pPr>
        <w:pStyle w:val="FootnoteText"/>
      </w:pPr>
      <w:r>
        <w:rPr>
          <w:rStyle w:val="FootnoteReference"/>
        </w:rPr>
        <w:footnoteRef/>
      </w:r>
      <w:r>
        <w:tab/>
      </w:r>
      <w:r w:rsidRPr="00666DF4">
        <w:rPr>
          <w:rFonts w:eastAsia="Century"/>
        </w:rPr>
        <w:t>The Ministry</w:t>
      </w:r>
      <w:r>
        <w:rPr>
          <w:rFonts w:eastAsia="Century"/>
        </w:rPr>
        <w:t>’</w:t>
      </w:r>
      <w:r w:rsidRPr="00666DF4">
        <w:rPr>
          <w:rFonts w:eastAsia="Century"/>
        </w:rPr>
        <w:t xml:space="preserve">s leadership of Action 9(d) of the Disability Action Plan 2014–18, to </w:t>
      </w:r>
      <w:r>
        <w:rPr>
          <w:rFonts w:eastAsia="Century"/>
        </w:rPr>
        <w:t>‘</w:t>
      </w:r>
      <w:r w:rsidRPr="00666DF4">
        <w:rPr>
          <w:rFonts w:eastAsia="Century"/>
        </w:rPr>
        <w:t>explore how the Mental Health Act</w:t>
      </w:r>
      <w:r>
        <w:rPr>
          <w:rFonts w:eastAsia="Century"/>
        </w:rPr>
        <w:t xml:space="preserve"> </w:t>
      </w:r>
      <w:r w:rsidRPr="00666DF4">
        <w:rPr>
          <w:rFonts w:eastAsia="Century"/>
        </w:rPr>
        <w:t>relates to the NZ Bill of Rights Act and the Convention on the Rights of People with Disabilities</w:t>
      </w:r>
      <w:r>
        <w:rPr>
          <w:rFonts w:eastAsia="Century"/>
        </w:rPr>
        <w:t>’</w:t>
      </w:r>
      <w:r w:rsidRPr="00666DF4">
        <w:rPr>
          <w:rFonts w:eastAsia="Century"/>
        </w:rPr>
        <w:t xml:space="preserve"> is expected to meaningfully contribute to this conversation.</w:t>
      </w:r>
    </w:p>
  </w:footnote>
  <w:footnote w:id="20">
    <w:p w:rsidR="00EA28A9" w:rsidRDefault="00EA28A9" w:rsidP="00C33BD3">
      <w:pPr>
        <w:pStyle w:val="FootnoteText"/>
      </w:pPr>
      <w:r>
        <w:rPr>
          <w:rStyle w:val="FootnoteReference"/>
        </w:rPr>
        <w:footnoteRef/>
      </w:r>
      <w:r>
        <w:tab/>
      </w:r>
      <w:r w:rsidRPr="00666DF4">
        <w:rPr>
          <w:rFonts w:eastAsia="Century"/>
        </w:rPr>
        <w:t>Adult mental health services generally care for people aged 20–64 years. Adult inpatient services are distinct from forensic services, youth services, intellectual disability services and services for older people.</w:t>
      </w:r>
    </w:p>
  </w:footnote>
  <w:footnote w:id="21">
    <w:p w:rsidR="00EA28A9" w:rsidRDefault="00EA28A9">
      <w:pPr>
        <w:pStyle w:val="FootnoteText"/>
      </w:pPr>
      <w:r>
        <w:rPr>
          <w:rStyle w:val="FootnoteReference"/>
        </w:rPr>
        <w:footnoteRef/>
      </w:r>
      <w:r>
        <w:tab/>
      </w:r>
      <w:r w:rsidRPr="00C33BD3">
        <w:rPr>
          <w:rStyle w:val="FootnoteTextChar"/>
        </w:rPr>
        <w:t>Source: PRIMHD data, extracted on 27 July 2017. Auckland and Southern DHBs supplied data manually.</w:t>
      </w:r>
    </w:p>
  </w:footnote>
  <w:footnote w:id="22">
    <w:p w:rsidR="00EA28A9" w:rsidRDefault="00EA28A9">
      <w:pPr>
        <w:pStyle w:val="FootnoteText"/>
      </w:pPr>
      <w:r>
        <w:rPr>
          <w:rStyle w:val="FootnoteReference"/>
        </w:rPr>
        <w:footnoteRef/>
      </w:r>
      <w:r>
        <w:tab/>
      </w:r>
      <w:r w:rsidRPr="00666DF4">
        <w:t>Source: PRIMHD data, extracted on 27 July 2017. Auckland and Southern DHBs supplied data manually.</w:t>
      </w:r>
    </w:p>
  </w:footnote>
  <w:footnote w:id="23">
    <w:p w:rsidR="00EA28A9" w:rsidRDefault="00EA28A9">
      <w:pPr>
        <w:pStyle w:val="FootnoteText"/>
      </w:pPr>
      <w:r>
        <w:rPr>
          <w:rStyle w:val="FootnoteReference"/>
        </w:rPr>
        <w:footnoteRef/>
      </w:r>
      <w:r>
        <w:tab/>
      </w:r>
      <w:r w:rsidRPr="00666DF4">
        <w:rPr>
          <w:rFonts w:eastAsia="Century"/>
        </w:rPr>
        <w:t>Of the 102 young people secluded, 38 were secluded in the country</w:t>
      </w:r>
      <w:r>
        <w:rPr>
          <w:rFonts w:eastAsia="Century"/>
        </w:rPr>
        <w:t>’</w:t>
      </w:r>
      <w:r w:rsidRPr="00666DF4">
        <w:rPr>
          <w:rFonts w:eastAsia="Century"/>
        </w:rPr>
        <w:t>s specialist facilities for children and young people (in Christchurch, Auckland and Wellington). Of the 323 seclusion events, 169 occurred in those specialist facilities.</w:t>
      </w:r>
    </w:p>
  </w:footnote>
  <w:footnote w:id="24">
    <w:p w:rsidR="00EA28A9" w:rsidRDefault="00EA28A9">
      <w:pPr>
        <w:pStyle w:val="FootnoteText"/>
      </w:pPr>
      <w:r>
        <w:rPr>
          <w:rStyle w:val="FootnoteReference"/>
        </w:rPr>
        <w:footnoteRef/>
      </w:r>
      <w:r>
        <w:tab/>
      </w:r>
      <w:r w:rsidRPr="00666DF4">
        <w:rPr>
          <w:rFonts w:eastAsia="Century"/>
        </w:rPr>
        <w:t xml:space="preserve">If a person in </w:t>
      </w:r>
      <w:proofErr w:type="spellStart"/>
      <w:r w:rsidRPr="00666DF4">
        <w:rPr>
          <w:rFonts w:eastAsia="Century"/>
        </w:rPr>
        <w:t>Wairarapa</w:t>
      </w:r>
      <w:proofErr w:type="spellEnd"/>
      <w:r w:rsidRPr="00666DF4">
        <w:rPr>
          <w:rFonts w:eastAsia="Century"/>
        </w:rPr>
        <w:t xml:space="preserve"> requires admission to mental health inpatient services, they are transported to Hutt Valley or </w:t>
      </w:r>
      <w:proofErr w:type="spellStart"/>
      <w:r w:rsidRPr="00666DF4">
        <w:rPr>
          <w:rFonts w:eastAsia="Century"/>
        </w:rPr>
        <w:t>MidCentral</w:t>
      </w:r>
      <w:proofErr w:type="spellEnd"/>
      <w:r w:rsidRPr="00666DF4">
        <w:rPr>
          <w:rFonts w:eastAsia="Century"/>
        </w:rPr>
        <w:t xml:space="preserve"> DHB; seclusion statistics in relation to these service users appear on the corresponding DHB</w:t>
      </w:r>
      <w:r>
        <w:rPr>
          <w:rFonts w:eastAsia="Century"/>
        </w:rPr>
        <w:t>’</w:t>
      </w:r>
      <w:r w:rsidRPr="00666DF4">
        <w:rPr>
          <w:rFonts w:eastAsia="Century"/>
        </w:rPr>
        <w:t>s database.</w:t>
      </w:r>
    </w:p>
  </w:footnote>
  <w:footnote w:id="25">
    <w:p w:rsidR="00EA28A9" w:rsidRDefault="00EA28A9">
      <w:pPr>
        <w:pStyle w:val="FootnoteText"/>
      </w:pPr>
      <w:r>
        <w:rPr>
          <w:rStyle w:val="FootnoteReference"/>
        </w:rPr>
        <w:footnoteRef/>
      </w:r>
      <w:r>
        <w:tab/>
      </w:r>
      <w:r w:rsidRPr="00666DF4">
        <w:rPr>
          <w:rFonts w:eastAsia="Century"/>
        </w:rPr>
        <w:t xml:space="preserve">The </w:t>
      </w:r>
      <w:proofErr w:type="spellStart"/>
      <w:r w:rsidRPr="00666DF4">
        <w:rPr>
          <w:rFonts w:eastAsia="Century"/>
        </w:rPr>
        <w:t>Whanganui</w:t>
      </w:r>
      <w:proofErr w:type="spellEnd"/>
      <w:r w:rsidRPr="00666DF4">
        <w:rPr>
          <w:rFonts w:eastAsia="Century"/>
        </w:rPr>
        <w:t xml:space="preserve"> inpatient unit comes under the Capital &amp; Coast</w:t>
      </w:r>
      <w:r>
        <w:rPr>
          <w:rFonts w:eastAsia="Century"/>
        </w:rPr>
        <w:t>’</w:t>
      </w:r>
      <w:r w:rsidRPr="00666DF4">
        <w:rPr>
          <w:rFonts w:eastAsia="Century"/>
        </w:rPr>
        <w:t>s forensic services.</w:t>
      </w:r>
    </w:p>
  </w:footnote>
  <w:footnote w:id="26">
    <w:p w:rsidR="00EA28A9" w:rsidRDefault="00EA28A9">
      <w:pPr>
        <w:pStyle w:val="FootnoteText"/>
      </w:pPr>
      <w:r>
        <w:rPr>
          <w:rStyle w:val="FootnoteReference"/>
        </w:rPr>
        <w:footnoteRef/>
      </w:r>
      <w:r>
        <w:tab/>
      </w:r>
      <w:r w:rsidRPr="00666DF4">
        <w:t>More detail of the legislative provisions used to define special or restricted patient status to inform the statistics used in this report is included in Appendix 3.</w:t>
      </w:r>
    </w:p>
  </w:footnote>
  <w:footnote w:id="27">
    <w:p w:rsidR="00EA28A9" w:rsidRDefault="00EA28A9">
      <w:pPr>
        <w:pStyle w:val="FootnoteText"/>
      </w:pPr>
      <w:r>
        <w:rPr>
          <w:rStyle w:val="FootnoteReference"/>
        </w:rPr>
        <w:footnoteRef/>
      </w:r>
      <w:r>
        <w:tab/>
      </w:r>
      <w:r w:rsidRPr="00666DF4">
        <w:t>As per section 2(1) of the Mental Health (Compulsory Assessment and Treatment) Act 1992. For the purposes of this report, the data does not include those subject to section 191(2</w:t>
      </w:r>
      <w:proofErr w:type="gramStart"/>
      <w:r w:rsidRPr="00666DF4">
        <w:t>)(</w:t>
      </w:r>
      <w:proofErr w:type="gramEnd"/>
      <w:r w:rsidRPr="00666DF4">
        <w:t>a) of the Armed Forces Discipline Act 1971 or section 136(5)(a) of the Intellectual Disability (Compulsory Care and Rehabilitation) Act 2003.</w:t>
      </w:r>
    </w:p>
  </w:footnote>
  <w:footnote w:id="28">
    <w:p w:rsidR="00EA28A9" w:rsidRDefault="00EA28A9">
      <w:pPr>
        <w:pStyle w:val="FootnoteText"/>
      </w:pPr>
      <w:r>
        <w:rPr>
          <w:rStyle w:val="FootnoteReference"/>
        </w:rPr>
        <w:footnoteRef/>
      </w:r>
      <w:r>
        <w:tab/>
      </w:r>
      <w:r w:rsidRPr="00666DF4">
        <w:rPr>
          <w:rFonts w:eastAsia="Century"/>
        </w:rPr>
        <w:t xml:space="preserve">There is also a smaller inpatient forensic service in </w:t>
      </w:r>
      <w:proofErr w:type="spellStart"/>
      <w:r w:rsidRPr="00666DF4">
        <w:rPr>
          <w:rFonts w:eastAsia="Century"/>
        </w:rPr>
        <w:t>Whanganui</w:t>
      </w:r>
      <w:proofErr w:type="spellEnd"/>
      <w:r w:rsidRPr="00666DF4">
        <w:rPr>
          <w:rFonts w:eastAsia="Century"/>
        </w:rPr>
        <w:t xml:space="preserve"> that operates under the Capital &amp; Coast</w:t>
      </w:r>
      <w:r>
        <w:rPr>
          <w:rFonts w:eastAsia="Century"/>
        </w:rPr>
        <w:t>’</w:t>
      </w:r>
      <w:r w:rsidRPr="00666DF4">
        <w:rPr>
          <w:rFonts w:eastAsia="Century"/>
        </w:rPr>
        <w:t>s forensic services. Additionally, in some circumstances certain special patient orders can enable a Court to direct treatment outside a regional forensic service.</w:t>
      </w:r>
    </w:p>
  </w:footnote>
  <w:footnote w:id="29">
    <w:p w:rsidR="00EA28A9" w:rsidRDefault="00EA28A9">
      <w:pPr>
        <w:pStyle w:val="FootnoteText"/>
      </w:pPr>
      <w:r>
        <w:rPr>
          <w:rStyle w:val="FootnoteReference"/>
        </w:rPr>
        <w:footnoteRef/>
      </w:r>
      <w:r>
        <w:tab/>
      </w:r>
      <w:r w:rsidRPr="00666DF4">
        <w:t>Counts of people with a special patient legal status code current on 30 June 2016.</w:t>
      </w:r>
    </w:p>
  </w:footnote>
  <w:footnote w:id="30">
    <w:p w:rsidR="00EA28A9" w:rsidRDefault="00EA28A9">
      <w:pPr>
        <w:pStyle w:val="FootnoteText"/>
      </w:pPr>
      <w:r>
        <w:rPr>
          <w:rStyle w:val="FootnoteReference"/>
        </w:rPr>
        <w:footnoteRef/>
      </w:r>
      <w:r>
        <w:tab/>
      </w:r>
      <w:r>
        <w:rPr>
          <w:rFonts w:eastAsia="Century"/>
        </w:rPr>
        <w:t>‘</w:t>
      </w:r>
      <w:r w:rsidRPr="00666DF4">
        <w:rPr>
          <w:rFonts w:eastAsia="Century"/>
        </w:rPr>
        <w:t>Other</w:t>
      </w:r>
      <w:r>
        <w:rPr>
          <w:rFonts w:eastAsia="Century"/>
        </w:rPr>
        <w:t>’</w:t>
      </w:r>
      <w:r w:rsidRPr="00666DF4">
        <w:rPr>
          <w:rFonts w:eastAsia="Century"/>
        </w:rPr>
        <w:t xml:space="preserve"> refers to any other ethnicity not otherwise specified in the data presented. This report uses prioritised ethnicity according to the ethnicity code tables on the Ministry of Health website </w:t>
      </w:r>
      <w:hyperlink r:id="rId4">
        <w:r w:rsidRPr="00666DF4">
          <w:rPr>
            <w:rFonts w:eastAsia="Century"/>
          </w:rPr>
          <w:t>(http:</w:t>
        </w:r>
      </w:hyperlink>
      <w:r w:rsidRPr="00666DF4">
        <w:rPr>
          <w:rFonts w:eastAsia="Century"/>
        </w:rPr>
        <w:t>/</w:t>
      </w:r>
      <w:hyperlink r:id="rId5">
        <w:r w:rsidRPr="00666DF4">
          <w:rPr>
            <w:rFonts w:eastAsia="Century"/>
          </w:rPr>
          <w:t>/www.health.govt.nz/nz-health-statistics/</w:t>
        </w:r>
      </w:hyperlink>
      <w:r w:rsidRPr="00666DF4">
        <w:rPr>
          <w:rFonts w:eastAsia="Century"/>
        </w:rPr>
        <w:t xml:space="preserve"> data-references/code-tables/common-code-tables/ethnicity-code-tables).</w:t>
      </w:r>
    </w:p>
  </w:footnote>
  <w:footnote w:id="31">
    <w:p w:rsidR="00EA28A9" w:rsidRDefault="00EA28A9">
      <w:pPr>
        <w:pStyle w:val="FootnoteText"/>
      </w:pPr>
      <w:r>
        <w:rPr>
          <w:rStyle w:val="FootnoteReference"/>
        </w:rPr>
        <w:footnoteRef/>
      </w:r>
      <w:r>
        <w:tab/>
      </w:r>
      <w:r w:rsidRPr="00B64CC8">
        <w:t>https:/</w:t>
      </w:r>
      <w:hyperlink r:id="rId6">
        <w:r w:rsidRPr="00B64CC8">
          <w:t>/www.hq</w:t>
        </w:r>
      </w:hyperlink>
      <w:r w:rsidRPr="00B64CC8">
        <w:t>s</w:t>
      </w:r>
      <w:hyperlink r:id="rId7">
        <w:r w:rsidRPr="00B64CC8">
          <w:t>c.govt.nz/our-programmes/adverse-events/publications</w:t>
        </w:r>
        <w:r>
          <w:t>-and-resources/publication/2933/</w:t>
        </w:r>
      </w:hyperlink>
    </w:p>
  </w:footnote>
  <w:footnote w:id="32">
    <w:p w:rsidR="00EA28A9" w:rsidRDefault="00EA28A9">
      <w:pPr>
        <w:pStyle w:val="FootnoteText"/>
      </w:pPr>
      <w:r>
        <w:rPr>
          <w:rStyle w:val="FootnoteReference"/>
        </w:rPr>
        <w:footnoteRef/>
      </w:r>
      <w:r>
        <w:tab/>
      </w:r>
      <w:r w:rsidRPr="00666DF4">
        <w:t>Any suicides or suspected suicides of people under the Mental Health Act also come under the serious adverse event reporting requirements of the Commission.</w:t>
      </w:r>
    </w:p>
  </w:footnote>
  <w:footnote w:id="33">
    <w:p w:rsidR="00EA28A9" w:rsidRDefault="00EA28A9">
      <w:pPr>
        <w:pStyle w:val="FootnoteText"/>
      </w:pPr>
      <w:r>
        <w:rPr>
          <w:rStyle w:val="FootnoteReference"/>
        </w:rPr>
        <w:footnoteRef/>
      </w:r>
      <w:r>
        <w:tab/>
      </w:r>
      <w:r w:rsidRPr="00666DF4">
        <w:rPr>
          <w:rFonts w:eastAsia="Century"/>
        </w:rPr>
        <w:t>In New Zealand, a death is only officially classified as suicide by the coroner on completion of the coroner</w:t>
      </w:r>
      <w:r>
        <w:rPr>
          <w:rFonts w:eastAsia="Century"/>
        </w:rPr>
        <w:t>’</w:t>
      </w:r>
      <w:r w:rsidRPr="00666DF4">
        <w:rPr>
          <w:rFonts w:eastAsia="Century"/>
        </w:rPr>
        <w:t xml:space="preserve">s inquiry. Only those deaths determined as </w:t>
      </w:r>
      <w:r>
        <w:rPr>
          <w:rFonts w:eastAsia="Century"/>
        </w:rPr>
        <w:t>‘</w:t>
      </w:r>
      <w:r w:rsidRPr="00666DF4">
        <w:rPr>
          <w:rFonts w:eastAsia="Century"/>
        </w:rPr>
        <w:t>intentionally self-inflicted</w:t>
      </w:r>
      <w:r>
        <w:rPr>
          <w:rFonts w:eastAsia="Century"/>
        </w:rPr>
        <w:t>’</w:t>
      </w:r>
      <w:r w:rsidRPr="00666DF4">
        <w:rPr>
          <w:rFonts w:eastAsia="Century"/>
        </w:rPr>
        <w:t xml:space="preserve"> after the inquiry will receive a final verdict of suicide. A coronial inquiry is unlikely to occur within a calendar year of an event occurring, therefore when a death appears to be self-inflicted but the intent has not yet been determined it is called a </w:t>
      </w:r>
      <w:r>
        <w:rPr>
          <w:rFonts w:eastAsia="Century"/>
        </w:rPr>
        <w:t>‘</w:t>
      </w:r>
      <w:r w:rsidRPr="00666DF4">
        <w:rPr>
          <w:rFonts w:eastAsia="Century"/>
        </w:rPr>
        <w:t>suspected suicide</w:t>
      </w:r>
      <w:r>
        <w:rPr>
          <w:rFonts w:eastAsia="Century"/>
        </w:rPr>
        <w:t>’</w:t>
      </w:r>
      <w:r w:rsidRPr="00666DF4">
        <w:rPr>
          <w:rFonts w:eastAsia="Century"/>
        </w:rPr>
        <w:t>.</w:t>
      </w:r>
    </w:p>
  </w:footnote>
  <w:footnote w:id="34">
    <w:p w:rsidR="00EA28A9" w:rsidRDefault="00EA28A9">
      <w:pPr>
        <w:pStyle w:val="FootnoteText"/>
      </w:pPr>
      <w:r>
        <w:rPr>
          <w:rStyle w:val="FootnoteReference"/>
        </w:rPr>
        <w:footnoteRef/>
      </w:r>
      <w:r>
        <w:tab/>
      </w:r>
      <w:r w:rsidRPr="00666DF4">
        <w:rPr>
          <w:rFonts w:eastAsia="Century"/>
        </w:rPr>
        <w:t>Reports published before the Commission</w:t>
      </w:r>
      <w:r>
        <w:rPr>
          <w:rFonts w:eastAsia="Century"/>
        </w:rPr>
        <w:t>’</w:t>
      </w:r>
      <w:r w:rsidRPr="00666DF4">
        <w:rPr>
          <w:rFonts w:eastAsia="Century"/>
        </w:rPr>
        <w:t>s first publication in 2010 were produced by the Quality Improvement Committee.</w:t>
      </w:r>
    </w:p>
  </w:footnote>
  <w:footnote w:id="35">
    <w:p w:rsidR="00EA28A9" w:rsidRDefault="00EA28A9">
      <w:pPr>
        <w:pStyle w:val="FootnoteText"/>
      </w:pPr>
      <w:r>
        <w:rPr>
          <w:rStyle w:val="FootnoteReference"/>
        </w:rPr>
        <w:footnoteRef/>
      </w:r>
      <w:r>
        <w:tab/>
      </w:r>
      <w:r w:rsidRPr="00666DF4">
        <w:rPr>
          <w:rFonts w:eastAsia="Century"/>
        </w:rPr>
        <w:t>For more detailed information regarding deaths by suicide, please refer to the Suicide Facts: Deaths and intentional self- harm 2014 publication available on the Ministry of Health</w:t>
      </w:r>
      <w:r>
        <w:rPr>
          <w:rFonts w:eastAsia="Century"/>
        </w:rPr>
        <w:t>’</w:t>
      </w:r>
      <w:r w:rsidRPr="00666DF4">
        <w:rPr>
          <w:rFonts w:eastAsia="Century"/>
        </w:rPr>
        <w:t>s website.</w:t>
      </w:r>
    </w:p>
  </w:footnote>
  <w:footnote w:id="36">
    <w:p w:rsidR="00EA28A9" w:rsidRDefault="00EA28A9">
      <w:pPr>
        <w:pStyle w:val="FootnoteText"/>
      </w:pPr>
      <w:r>
        <w:rPr>
          <w:rStyle w:val="FootnoteReference"/>
        </w:rPr>
        <w:footnoteRef/>
      </w:r>
      <w:r>
        <w:tab/>
      </w:r>
      <w:r w:rsidRPr="00666DF4">
        <w:t>Suicide is a death where evidence shows that the person deliberately brought about their own death as determined by coronial ruling. Death by undetermined intent is determined by a coroner in circumstances where intent was not determined or there was not enough information obtained about likely intent.</w:t>
      </w:r>
    </w:p>
  </w:footnote>
  <w:footnote w:id="37">
    <w:p w:rsidR="00EA28A9" w:rsidRDefault="00EA28A9">
      <w:pPr>
        <w:pStyle w:val="FootnoteText"/>
      </w:pPr>
      <w:r>
        <w:rPr>
          <w:rStyle w:val="FootnoteReference"/>
        </w:rPr>
        <w:footnoteRef/>
      </w:r>
      <w:r>
        <w:tab/>
      </w:r>
      <w:r w:rsidRPr="00666DF4">
        <w:t>These numbers are subject to change. The mortality database is a dynamic collection, and changes can be made even after the data is considered nominally final.</w:t>
      </w:r>
    </w:p>
  </w:footnote>
  <w:footnote w:id="38">
    <w:p w:rsidR="00EA28A9" w:rsidRDefault="00EA28A9">
      <w:pPr>
        <w:pStyle w:val="FootnoteText"/>
      </w:pPr>
      <w:r>
        <w:rPr>
          <w:rStyle w:val="FootnoteReference"/>
        </w:rPr>
        <w:footnoteRef/>
      </w:r>
      <w:r>
        <w:tab/>
      </w:r>
      <w:r w:rsidRPr="00666DF4">
        <w:rPr>
          <w:rFonts w:eastAsia="Century"/>
        </w:rPr>
        <w:t xml:space="preserve">This is because in the </w:t>
      </w:r>
      <w:proofErr w:type="gramStart"/>
      <w:r w:rsidRPr="00666DF4">
        <w:rPr>
          <w:rFonts w:eastAsia="Century"/>
        </w:rPr>
        <w:t>Central</w:t>
      </w:r>
      <w:proofErr w:type="gramEnd"/>
      <w:r w:rsidRPr="00666DF4">
        <w:rPr>
          <w:rFonts w:eastAsia="Century"/>
        </w:rPr>
        <w:t xml:space="preserve"> and Southern regions, older people</w:t>
      </w:r>
      <w:r>
        <w:rPr>
          <w:rFonts w:eastAsia="Century"/>
        </w:rPr>
        <w:t>’</w:t>
      </w:r>
      <w:r w:rsidRPr="00666DF4">
        <w:rPr>
          <w:rFonts w:eastAsia="Century"/>
        </w:rPr>
        <w:t xml:space="preserve">s mental health treatment was provided by health services for older people rather than mental health services, and was not necessarily recorded in PRIMHD. Each year, deaths of children under 10 years are also excluded because </w:t>
      </w:r>
      <w:r>
        <w:rPr>
          <w:rFonts w:eastAsia="Century"/>
        </w:rPr>
        <w:t>‘</w:t>
      </w:r>
      <w:r w:rsidRPr="00666DF4">
        <w:rPr>
          <w:rFonts w:eastAsia="Century"/>
        </w:rPr>
        <w:t>undetermined intent</w:t>
      </w:r>
      <w:r>
        <w:rPr>
          <w:rFonts w:eastAsia="Century"/>
        </w:rPr>
        <w:t>’</w:t>
      </w:r>
      <w:r w:rsidRPr="00666DF4">
        <w:rPr>
          <w:rFonts w:eastAsia="Century"/>
        </w:rPr>
        <w:t xml:space="preserve"> deaths in this age group are unlikely to be caused by suicide. The data was drawn from information provided to the Ministry</w:t>
      </w:r>
      <w:r>
        <w:rPr>
          <w:rFonts w:eastAsia="Century"/>
        </w:rPr>
        <w:t>’</w:t>
      </w:r>
      <w:r w:rsidRPr="00666DF4">
        <w:rPr>
          <w:rFonts w:eastAsia="Century"/>
        </w:rPr>
        <w:t>s national mortality database and PRIMHD.</w:t>
      </w:r>
    </w:p>
  </w:footnote>
  <w:footnote w:id="39">
    <w:p w:rsidR="00EA28A9" w:rsidRDefault="00EA28A9">
      <w:pPr>
        <w:pStyle w:val="FootnoteText"/>
        <w:rPr>
          <w:rStyle w:val="FootnoteTextChar"/>
        </w:rPr>
      </w:pPr>
      <w:r>
        <w:rPr>
          <w:rStyle w:val="FootnoteReference"/>
        </w:rPr>
        <w:footnoteRef/>
      </w:r>
      <w:r>
        <w:tab/>
      </w:r>
      <w:r w:rsidRPr="009D3A65">
        <w:rPr>
          <w:rStyle w:val="FootnoteTextChar"/>
        </w:rPr>
        <w:t>This figure is determined from the number of people who had an inpatient activity on the day they died; PRIMHD cannot determine the number of people who died at an inpatient unit. In addition to capturing suicide deaths that occurred in inpatient facilities, this figure may also capture</w:t>
      </w:r>
      <w:r>
        <w:rPr>
          <w:rStyle w:val="FootnoteTextChar"/>
        </w:rPr>
        <w:t>:</w:t>
      </w:r>
    </w:p>
    <w:p w:rsidR="00EA28A9" w:rsidRPr="009D3A65" w:rsidRDefault="00EA28A9" w:rsidP="009D3A65">
      <w:pPr>
        <w:pStyle w:val="Bullet"/>
        <w:spacing w:before="60"/>
        <w:ind w:left="568"/>
        <w:rPr>
          <w:sz w:val="18"/>
          <w:szCs w:val="18"/>
        </w:rPr>
      </w:pPr>
      <w:r w:rsidRPr="009D3A65">
        <w:rPr>
          <w:sz w:val="18"/>
          <w:szCs w:val="18"/>
        </w:rPr>
        <w:t>people who received care in an inpatient facility, were discharged, and died by suicide in the community later that day</w:t>
      </w:r>
    </w:p>
    <w:p w:rsidR="00EA28A9" w:rsidRPr="009D3A65" w:rsidRDefault="00EA28A9" w:rsidP="009D3A65">
      <w:pPr>
        <w:pStyle w:val="Bullet"/>
        <w:spacing w:before="60"/>
        <w:ind w:left="568"/>
        <w:rPr>
          <w:sz w:val="18"/>
          <w:szCs w:val="18"/>
        </w:rPr>
      </w:pPr>
      <w:r w:rsidRPr="009D3A65">
        <w:rPr>
          <w:sz w:val="18"/>
          <w:szCs w:val="18"/>
        </w:rPr>
        <w:t>people who attempted suicide in the community and later died in hospital</w:t>
      </w:r>
    </w:p>
    <w:p w:rsidR="00EA28A9" w:rsidRPr="009D3A65" w:rsidRDefault="00EA28A9" w:rsidP="009D3A65">
      <w:pPr>
        <w:pStyle w:val="Bullet"/>
        <w:spacing w:before="60"/>
        <w:ind w:left="568"/>
        <w:rPr>
          <w:sz w:val="18"/>
          <w:szCs w:val="18"/>
        </w:rPr>
      </w:pPr>
      <w:proofErr w:type="gramStart"/>
      <w:r w:rsidRPr="009D3A65">
        <w:rPr>
          <w:sz w:val="18"/>
          <w:szCs w:val="18"/>
        </w:rPr>
        <w:t>people</w:t>
      </w:r>
      <w:proofErr w:type="gramEnd"/>
      <w:r w:rsidRPr="009D3A65">
        <w:rPr>
          <w:sz w:val="18"/>
          <w:szCs w:val="18"/>
        </w:rPr>
        <w:t xml:space="preserve"> who died by suicide in the community while on leave from an inpatient facility.</w:t>
      </w:r>
    </w:p>
    <w:p w:rsidR="00EA28A9" w:rsidRDefault="00EA28A9" w:rsidP="009D3A65">
      <w:pPr>
        <w:pStyle w:val="FootnoteText"/>
        <w:ind w:firstLine="0"/>
      </w:pPr>
      <w:r w:rsidRPr="00666DF4">
        <w:t>Note that these figures should not be compared to those of previous annual reports, as the definitions of inpatient and community service users have been updated.</w:t>
      </w:r>
    </w:p>
  </w:footnote>
  <w:footnote w:id="40">
    <w:p w:rsidR="00EA28A9" w:rsidRDefault="00EA28A9">
      <w:pPr>
        <w:pStyle w:val="FootnoteText"/>
      </w:pPr>
      <w:r>
        <w:rPr>
          <w:rStyle w:val="FootnoteReference"/>
        </w:rPr>
        <w:footnoteRef/>
      </w:r>
      <w:r>
        <w:tab/>
      </w:r>
      <w:r w:rsidRPr="00666DF4">
        <w:t>Excluding those who received treatment on the day of their death.</w:t>
      </w:r>
    </w:p>
  </w:footnote>
  <w:footnote w:id="41">
    <w:p w:rsidR="00EA28A9" w:rsidRDefault="00EA28A9">
      <w:pPr>
        <w:pStyle w:val="FootnoteText"/>
      </w:pPr>
      <w:r>
        <w:rPr>
          <w:rStyle w:val="FootnoteReference"/>
        </w:rPr>
        <w:footnoteRef/>
      </w:r>
      <w:r>
        <w:tab/>
      </w:r>
      <w:r w:rsidRPr="00666DF4">
        <w:t>Excluding those who received treatment on the day of their death and those who died within a week of being discharged from an inpatient service.</w:t>
      </w:r>
    </w:p>
  </w:footnote>
  <w:footnote w:id="42">
    <w:p w:rsidR="00EA28A9" w:rsidRDefault="00EA28A9">
      <w:pPr>
        <w:pStyle w:val="FootnoteText"/>
      </w:pPr>
      <w:r>
        <w:rPr>
          <w:rStyle w:val="FootnoteReference"/>
        </w:rPr>
        <w:footnoteRef/>
      </w:r>
      <w:r>
        <w:tab/>
      </w:r>
      <w:r w:rsidRPr="00666DF4">
        <w:t>Includes deaths of undetermined intent.</w:t>
      </w:r>
    </w:p>
  </w:footnote>
  <w:footnote w:id="43">
    <w:p w:rsidR="00EA28A9" w:rsidRDefault="00EA28A9">
      <w:pPr>
        <w:pStyle w:val="FootnoteText"/>
      </w:pPr>
      <w:r>
        <w:rPr>
          <w:rStyle w:val="FootnoteReference"/>
        </w:rPr>
        <w:footnoteRef/>
      </w:r>
      <w:r>
        <w:tab/>
      </w:r>
      <w:r w:rsidRPr="00666DF4">
        <w:t>PHARMAC is the New Zealand government agency that decides which pharmaceuticals to publicly fund in New Zealand.</w:t>
      </w:r>
    </w:p>
  </w:footnote>
  <w:footnote w:id="44">
    <w:p w:rsidR="00EA28A9" w:rsidRDefault="00EA28A9">
      <w:pPr>
        <w:pStyle w:val="FootnoteText"/>
      </w:pPr>
      <w:r>
        <w:rPr>
          <w:rStyle w:val="FootnoteReference"/>
        </w:rPr>
        <w:footnoteRef/>
      </w:r>
      <w:r>
        <w:tab/>
      </w:r>
      <w:r w:rsidRPr="00841614">
        <w:rPr>
          <w:rStyle w:val="FootnoteTextChar"/>
        </w:rPr>
        <w:t>The table presents data by DHB of domicile; that is, the area where a person lives. This takes account of the fact that some DHBs do not perform ECT; people who live in such areas are referred to other DHBs for ECT treatment. Other ECT statistics are presented by DHB of service</w:t>
      </w:r>
      <w:r>
        <w:rPr>
          <w:rStyle w:val="FootnoteTextChar"/>
        </w:rPr>
        <w:t>.</w:t>
      </w:r>
    </w:p>
  </w:footnote>
  <w:footnote w:id="45">
    <w:p w:rsidR="00EA28A9" w:rsidRDefault="00EA28A9">
      <w:pPr>
        <w:pStyle w:val="FootnoteText"/>
      </w:pPr>
      <w:r>
        <w:rPr>
          <w:rStyle w:val="FootnoteReference"/>
        </w:rPr>
        <w:footnoteRef/>
      </w:r>
      <w:r>
        <w:tab/>
      </w:r>
      <w:r w:rsidRPr="00666DF4">
        <w:rPr>
          <w:rFonts w:eastAsia="Century"/>
        </w:rPr>
        <w:t>This psychiatrist must be independent of the person</w:t>
      </w:r>
      <w:r>
        <w:rPr>
          <w:rFonts w:eastAsia="Century"/>
        </w:rPr>
        <w:t>’</w:t>
      </w:r>
      <w:r w:rsidRPr="00666DF4">
        <w:rPr>
          <w:rFonts w:eastAsia="Century"/>
        </w:rPr>
        <w:t>s clinical team.</w:t>
      </w:r>
    </w:p>
  </w:footnote>
  <w:footnote w:id="46">
    <w:p w:rsidR="00EA28A9" w:rsidRPr="00BD6824" w:rsidRDefault="00EA28A9">
      <w:pPr>
        <w:pStyle w:val="FootnoteText"/>
      </w:pPr>
      <w:r>
        <w:rPr>
          <w:rStyle w:val="FootnoteReference"/>
        </w:rPr>
        <w:footnoteRef/>
      </w:r>
      <w:r>
        <w:tab/>
      </w:r>
      <w:r w:rsidRPr="00BD6824">
        <w:t>Refer to the Guidelines to the Mental Health (Compulsory Assessment and Treatment) Act 1992 (Ministry of Health 2012d).</w:t>
      </w:r>
    </w:p>
  </w:footnote>
  <w:footnote w:id="47">
    <w:p w:rsidR="00EA28A9" w:rsidRPr="004B5EFA" w:rsidRDefault="00EA28A9">
      <w:pPr>
        <w:pStyle w:val="FootnoteText"/>
      </w:pPr>
      <w:r>
        <w:rPr>
          <w:rStyle w:val="FootnoteReference"/>
        </w:rPr>
        <w:footnoteRef/>
      </w:r>
      <w:r>
        <w:tab/>
      </w:r>
      <w:r w:rsidRPr="004B5EFA">
        <w:rPr>
          <w:sz w:val="16"/>
        </w:rPr>
        <w:t>https:/</w:t>
      </w:r>
      <w:hyperlink r:id="rId8">
        <w:r w:rsidRPr="004B5EFA">
          <w:rPr>
            <w:sz w:val="16"/>
          </w:rPr>
          <w:t>/www.hq</w:t>
        </w:r>
      </w:hyperlink>
      <w:r w:rsidRPr="004B5EFA">
        <w:rPr>
          <w:sz w:val="16"/>
        </w:rPr>
        <w:t>s</w:t>
      </w:r>
      <w:hyperlink r:id="rId9">
        <w:r w:rsidRPr="004B5EFA">
          <w:rPr>
            <w:sz w:val="16"/>
          </w:rPr>
          <w:t>c.govt.nz/our-programmes/adverse-events/national-adverse-events-policy/</w:t>
        </w:r>
      </w:hyperlink>
    </w:p>
  </w:footnote>
  <w:footnote w:id="48">
    <w:p w:rsidR="00EA28A9" w:rsidRPr="004B5EFA" w:rsidRDefault="00EA28A9">
      <w:pPr>
        <w:pStyle w:val="FootnoteText"/>
      </w:pPr>
      <w:r>
        <w:rPr>
          <w:rStyle w:val="FootnoteReference"/>
        </w:rPr>
        <w:footnoteRef/>
      </w:r>
      <w:r>
        <w:tab/>
      </w:r>
      <w:hyperlink r:id="rId10">
        <w:r w:rsidRPr="004B5EFA">
          <w:rPr>
            <w:sz w:val="16"/>
          </w:rPr>
          <w:t>http://www.imperial.ac.uk/media/imperial-college/medicine/surgery-cancer/pstrc/londonprotocol_e.pdf</w:t>
        </w:r>
      </w:hyperlink>
    </w:p>
  </w:footnote>
  <w:footnote w:id="49">
    <w:p w:rsidR="00EA28A9" w:rsidRDefault="00EA28A9">
      <w:pPr>
        <w:pStyle w:val="FootnoteText"/>
      </w:pPr>
      <w:r>
        <w:rPr>
          <w:rStyle w:val="FootnoteReference"/>
        </w:rPr>
        <w:footnoteRef/>
      </w:r>
      <w:r>
        <w:tab/>
        <w:t>B</w:t>
      </w:r>
      <w:r w:rsidRPr="004B5EFA">
        <w:rPr>
          <w:rStyle w:val="FootnoteTextChar"/>
          <w:rFonts w:eastAsia="Century"/>
        </w:rPr>
        <w:t xml:space="preserve">ased on the Collaborative Breakthrough Series Methodology, by the Institute for Healthcare Improvement. </w:t>
      </w:r>
      <w:r w:rsidRPr="004B5EFA">
        <w:rPr>
          <w:rStyle w:val="FootnoteTextChar"/>
          <w:rFonts w:eastAsia="Cambria"/>
        </w:rPr>
        <w:t xml:space="preserve">The Breakthrough Series: IHI’s Collaborative Model for Achieving Breakthrough Improvement. </w:t>
      </w:r>
      <w:r w:rsidRPr="004B5EFA">
        <w:rPr>
          <w:rStyle w:val="FootnoteTextChar"/>
          <w:rFonts w:eastAsia="Century"/>
        </w:rPr>
        <w:t xml:space="preserve">IHI Innovation Series white paper. Boston: Institute for Healthcare Improvement; 2003. (Available at </w:t>
      </w:r>
      <w:hyperlink r:id="rId11">
        <w:r w:rsidRPr="004B5EFA">
          <w:rPr>
            <w:rStyle w:val="FootnoteTextChar"/>
            <w:rFonts w:eastAsia="Century"/>
          </w:rPr>
          <w:t>http://www.ihi.org/resources/Pages/IHIWhitePapers/</w:t>
        </w:r>
      </w:hyperlink>
      <w:r w:rsidRPr="004B5EFA">
        <w:rPr>
          <w:rStyle w:val="FootnoteTextChar"/>
          <w:rFonts w:eastAsia="Century"/>
        </w:rPr>
        <w:t xml:space="preserve"> TheBreakthroughSeriesIHIsCollaborativeModelforAchievingBreakthroughImprovement.aspx).</w:t>
      </w:r>
    </w:p>
  </w:footnote>
  <w:footnote w:id="50">
    <w:p w:rsidR="00EA28A9" w:rsidRDefault="00EA28A9">
      <w:pPr>
        <w:pStyle w:val="FootnoteText"/>
      </w:pPr>
      <w:r>
        <w:rPr>
          <w:rStyle w:val="FootnoteReference"/>
        </w:rPr>
        <w:footnoteRef/>
      </w:r>
      <w:r>
        <w:tab/>
      </w:r>
      <w:r w:rsidRPr="00666DF4">
        <w:t>The wording of these five priority areas may change slightly when the mental health and addictions quality improvement programme is finalised, but the topic themes will remain the same.</w:t>
      </w:r>
    </w:p>
  </w:footnote>
  <w:footnote w:id="51">
    <w:p w:rsidR="00EA28A9" w:rsidRPr="00A04FA5" w:rsidRDefault="00EA28A9">
      <w:pPr>
        <w:pStyle w:val="FootnoteText"/>
        <w:rPr>
          <w:szCs w:val="18"/>
        </w:rPr>
      </w:pPr>
      <w:r>
        <w:rPr>
          <w:rStyle w:val="FootnoteReference"/>
        </w:rPr>
        <w:footnoteRef/>
      </w:r>
      <w:r>
        <w:tab/>
      </w:r>
      <w:hyperlink r:id="rId12">
        <w:r w:rsidRPr="00A04FA5">
          <w:rPr>
            <w:szCs w:val="18"/>
          </w:rPr>
          <w:t>http://www.health.govt.nz/publication/new-zealand-suicide-prevention-action-plan-2013-2016</w:t>
        </w:r>
      </w:hyperlink>
    </w:p>
  </w:footnote>
  <w:footnote w:id="52">
    <w:p w:rsidR="00EA28A9" w:rsidRPr="00A04FA5" w:rsidRDefault="00EA28A9">
      <w:pPr>
        <w:pStyle w:val="FootnoteText"/>
        <w:rPr>
          <w:szCs w:val="18"/>
        </w:rPr>
      </w:pPr>
      <w:r>
        <w:rPr>
          <w:rStyle w:val="FootnoteReference"/>
        </w:rPr>
        <w:footnoteRef/>
      </w:r>
      <w:r>
        <w:tab/>
      </w:r>
      <w:hyperlink r:id="rId13">
        <w:r w:rsidRPr="00A04FA5">
          <w:rPr>
            <w:szCs w:val="18"/>
          </w:rPr>
          <w:t>www.hqsc.govt.nz/our-programmes/mrc/sumrc/publications-and-resources/publication/2471/.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9216CC">
    <w:pPr>
      <w:pStyle w:val="Header"/>
      <w:ind w:left="-1559"/>
    </w:pPr>
    <w:r>
      <w:rPr>
        <w:noProof/>
        <w:lang w:eastAsia="en-NZ"/>
      </w:rPr>
      <w:drawing>
        <wp:inline distT="0" distB="0" distL="0" distR="0" wp14:anchorId="0829C67C" wp14:editId="45B034B9">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A9" w:rsidRDefault="00EA28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nsid w:val="142634E8"/>
    <w:multiLevelType w:val="hybridMultilevel"/>
    <w:tmpl w:val="EDB0156A"/>
    <w:lvl w:ilvl="0" w:tplc="DEC83B1E">
      <w:start w:val="9"/>
      <w:numFmt w:val="decimal"/>
      <w:lvlText w:val="%1"/>
      <w:lvlJc w:val="left"/>
      <w:pPr>
        <w:ind w:left="473" w:hanging="340"/>
        <w:jc w:val="left"/>
      </w:pPr>
      <w:rPr>
        <w:rFonts w:ascii="Century" w:eastAsia="Century" w:hAnsi="Century" w:hint="default"/>
        <w:w w:val="103"/>
        <w:sz w:val="16"/>
        <w:szCs w:val="16"/>
      </w:rPr>
    </w:lvl>
    <w:lvl w:ilvl="1" w:tplc="4C3C1080">
      <w:start w:val="1"/>
      <w:numFmt w:val="bullet"/>
      <w:lvlText w:val="•"/>
      <w:lvlJc w:val="left"/>
      <w:pPr>
        <w:ind w:left="8216" w:hanging="340"/>
      </w:pPr>
      <w:rPr>
        <w:rFonts w:hint="default"/>
      </w:rPr>
    </w:lvl>
    <w:lvl w:ilvl="2" w:tplc="5D8A11DC">
      <w:start w:val="1"/>
      <w:numFmt w:val="bullet"/>
      <w:lvlText w:val="•"/>
      <w:lvlJc w:val="left"/>
      <w:pPr>
        <w:ind w:left="8408" w:hanging="340"/>
      </w:pPr>
      <w:rPr>
        <w:rFonts w:hint="default"/>
      </w:rPr>
    </w:lvl>
    <w:lvl w:ilvl="3" w:tplc="65480C5A">
      <w:start w:val="1"/>
      <w:numFmt w:val="bullet"/>
      <w:lvlText w:val="•"/>
      <w:lvlJc w:val="left"/>
      <w:pPr>
        <w:ind w:left="8600" w:hanging="340"/>
      </w:pPr>
      <w:rPr>
        <w:rFonts w:hint="default"/>
      </w:rPr>
    </w:lvl>
    <w:lvl w:ilvl="4" w:tplc="1512C282">
      <w:start w:val="1"/>
      <w:numFmt w:val="bullet"/>
      <w:lvlText w:val="•"/>
      <w:lvlJc w:val="left"/>
      <w:pPr>
        <w:ind w:left="8792" w:hanging="340"/>
      </w:pPr>
      <w:rPr>
        <w:rFonts w:hint="default"/>
      </w:rPr>
    </w:lvl>
    <w:lvl w:ilvl="5" w:tplc="6D409EBC">
      <w:start w:val="1"/>
      <w:numFmt w:val="bullet"/>
      <w:lvlText w:val="•"/>
      <w:lvlJc w:val="left"/>
      <w:pPr>
        <w:ind w:left="8984" w:hanging="340"/>
      </w:pPr>
      <w:rPr>
        <w:rFonts w:hint="default"/>
      </w:rPr>
    </w:lvl>
    <w:lvl w:ilvl="6" w:tplc="F9F27E16">
      <w:start w:val="1"/>
      <w:numFmt w:val="bullet"/>
      <w:lvlText w:val="•"/>
      <w:lvlJc w:val="left"/>
      <w:pPr>
        <w:ind w:left="9177" w:hanging="340"/>
      </w:pPr>
      <w:rPr>
        <w:rFonts w:hint="default"/>
      </w:rPr>
    </w:lvl>
    <w:lvl w:ilvl="7" w:tplc="9EF0EA20">
      <w:start w:val="1"/>
      <w:numFmt w:val="bullet"/>
      <w:lvlText w:val="•"/>
      <w:lvlJc w:val="left"/>
      <w:pPr>
        <w:ind w:left="9369" w:hanging="340"/>
      </w:pPr>
      <w:rPr>
        <w:rFonts w:hint="default"/>
      </w:rPr>
    </w:lvl>
    <w:lvl w:ilvl="8" w:tplc="6346C940">
      <w:start w:val="1"/>
      <w:numFmt w:val="bullet"/>
      <w:lvlText w:val="•"/>
      <w:lvlJc w:val="left"/>
      <w:pPr>
        <w:ind w:left="9561" w:hanging="340"/>
      </w:pPr>
      <w:rPr>
        <w:rFonts w:hint="default"/>
      </w:rPr>
    </w:lvl>
  </w:abstractNum>
  <w:abstractNum w:abstractNumId="5">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22B064C7"/>
    <w:multiLevelType w:val="hybridMultilevel"/>
    <w:tmpl w:val="04FA6A7A"/>
    <w:lvl w:ilvl="0" w:tplc="462E9FA6">
      <w:start w:val="1"/>
      <w:numFmt w:val="decimal"/>
      <w:lvlText w:val="%1."/>
      <w:lvlJc w:val="left"/>
      <w:pPr>
        <w:ind w:left="457" w:hanging="284"/>
        <w:jc w:val="left"/>
      </w:pPr>
      <w:rPr>
        <w:rFonts w:ascii="Century" w:eastAsia="Century" w:hAnsi="Century" w:hint="default"/>
        <w:spacing w:val="2"/>
        <w:w w:val="75"/>
        <w:sz w:val="20"/>
        <w:szCs w:val="20"/>
      </w:rPr>
    </w:lvl>
    <w:lvl w:ilvl="1" w:tplc="1E96D796">
      <w:start w:val="1"/>
      <w:numFmt w:val="bullet"/>
      <w:lvlText w:val="•"/>
      <w:lvlJc w:val="left"/>
      <w:pPr>
        <w:ind w:left="1406" w:hanging="284"/>
      </w:pPr>
      <w:rPr>
        <w:rFonts w:hint="default"/>
      </w:rPr>
    </w:lvl>
    <w:lvl w:ilvl="2" w:tplc="3BC45D40">
      <w:start w:val="1"/>
      <w:numFmt w:val="bullet"/>
      <w:lvlText w:val="•"/>
      <w:lvlJc w:val="left"/>
      <w:pPr>
        <w:ind w:left="2354" w:hanging="284"/>
      </w:pPr>
      <w:rPr>
        <w:rFonts w:hint="default"/>
      </w:rPr>
    </w:lvl>
    <w:lvl w:ilvl="3" w:tplc="BE5A2C5A">
      <w:start w:val="1"/>
      <w:numFmt w:val="bullet"/>
      <w:lvlText w:val="•"/>
      <w:lvlJc w:val="left"/>
      <w:pPr>
        <w:ind w:left="3303" w:hanging="284"/>
      </w:pPr>
      <w:rPr>
        <w:rFonts w:hint="default"/>
      </w:rPr>
    </w:lvl>
    <w:lvl w:ilvl="4" w:tplc="EB941354">
      <w:start w:val="1"/>
      <w:numFmt w:val="bullet"/>
      <w:lvlText w:val="•"/>
      <w:lvlJc w:val="left"/>
      <w:pPr>
        <w:ind w:left="4252" w:hanging="284"/>
      </w:pPr>
      <w:rPr>
        <w:rFonts w:hint="default"/>
      </w:rPr>
    </w:lvl>
    <w:lvl w:ilvl="5" w:tplc="C1C0670E">
      <w:start w:val="1"/>
      <w:numFmt w:val="bullet"/>
      <w:lvlText w:val="•"/>
      <w:lvlJc w:val="left"/>
      <w:pPr>
        <w:ind w:left="5201" w:hanging="284"/>
      </w:pPr>
      <w:rPr>
        <w:rFonts w:hint="default"/>
      </w:rPr>
    </w:lvl>
    <w:lvl w:ilvl="6" w:tplc="F5DE0FFA">
      <w:start w:val="1"/>
      <w:numFmt w:val="bullet"/>
      <w:lvlText w:val="•"/>
      <w:lvlJc w:val="left"/>
      <w:pPr>
        <w:ind w:left="6150" w:hanging="284"/>
      </w:pPr>
      <w:rPr>
        <w:rFonts w:hint="default"/>
      </w:rPr>
    </w:lvl>
    <w:lvl w:ilvl="7" w:tplc="3E9EC87C">
      <w:start w:val="1"/>
      <w:numFmt w:val="bullet"/>
      <w:lvlText w:val="•"/>
      <w:lvlJc w:val="left"/>
      <w:pPr>
        <w:ind w:left="7099" w:hanging="284"/>
      </w:pPr>
      <w:rPr>
        <w:rFonts w:hint="default"/>
      </w:rPr>
    </w:lvl>
    <w:lvl w:ilvl="8" w:tplc="AFCA5918">
      <w:start w:val="1"/>
      <w:numFmt w:val="bullet"/>
      <w:lvlText w:val="•"/>
      <w:lvlJc w:val="left"/>
      <w:pPr>
        <w:ind w:left="8047" w:hanging="284"/>
      </w:pPr>
      <w:rPr>
        <w:rFonts w:hint="default"/>
      </w:rPr>
    </w:lvl>
  </w:abstractNum>
  <w:abstractNum w:abstractNumId="9">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0">
    <w:nsid w:val="2AA65D57"/>
    <w:multiLevelType w:val="hybridMultilevel"/>
    <w:tmpl w:val="AD4A81D4"/>
    <w:lvl w:ilvl="0" w:tplc="66F4FDC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2D4272F"/>
    <w:multiLevelType w:val="hybridMultilevel"/>
    <w:tmpl w:val="FA726ED0"/>
    <w:lvl w:ilvl="0" w:tplc="895E3A80">
      <w:start w:val="1"/>
      <w:numFmt w:val="decimal"/>
      <w:lvlText w:val="%1."/>
      <w:lvlJc w:val="left"/>
      <w:pPr>
        <w:ind w:left="417" w:hanging="284"/>
        <w:jc w:val="left"/>
      </w:pPr>
      <w:rPr>
        <w:rFonts w:ascii="Century" w:eastAsia="Century" w:hAnsi="Century" w:hint="default"/>
        <w:spacing w:val="2"/>
        <w:w w:val="75"/>
        <w:sz w:val="20"/>
        <w:szCs w:val="20"/>
      </w:rPr>
    </w:lvl>
    <w:lvl w:ilvl="1" w:tplc="CF06AEAA">
      <w:start w:val="1"/>
      <w:numFmt w:val="bullet"/>
      <w:lvlText w:val="•"/>
      <w:lvlJc w:val="left"/>
      <w:pPr>
        <w:ind w:left="1368" w:hanging="284"/>
      </w:pPr>
      <w:rPr>
        <w:rFonts w:hint="default"/>
      </w:rPr>
    </w:lvl>
    <w:lvl w:ilvl="2" w:tplc="649AD480">
      <w:start w:val="1"/>
      <w:numFmt w:val="bullet"/>
      <w:lvlText w:val="•"/>
      <w:lvlJc w:val="left"/>
      <w:pPr>
        <w:ind w:left="2318" w:hanging="284"/>
      </w:pPr>
      <w:rPr>
        <w:rFonts w:hint="default"/>
      </w:rPr>
    </w:lvl>
    <w:lvl w:ilvl="3" w:tplc="CD8AD296">
      <w:start w:val="1"/>
      <w:numFmt w:val="bullet"/>
      <w:lvlText w:val="•"/>
      <w:lvlJc w:val="left"/>
      <w:pPr>
        <w:ind w:left="3269" w:hanging="284"/>
      </w:pPr>
      <w:rPr>
        <w:rFonts w:hint="default"/>
      </w:rPr>
    </w:lvl>
    <w:lvl w:ilvl="4" w:tplc="765E65EC">
      <w:start w:val="1"/>
      <w:numFmt w:val="bullet"/>
      <w:lvlText w:val="•"/>
      <w:lvlJc w:val="left"/>
      <w:pPr>
        <w:ind w:left="4220" w:hanging="284"/>
      </w:pPr>
      <w:rPr>
        <w:rFonts w:hint="default"/>
      </w:rPr>
    </w:lvl>
    <w:lvl w:ilvl="5" w:tplc="71125C7A">
      <w:start w:val="1"/>
      <w:numFmt w:val="bullet"/>
      <w:lvlText w:val="•"/>
      <w:lvlJc w:val="left"/>
      <w:pPr>
        <w:ind w:left="5171" w:hanging="284"/>
      </w:pPr>
      <w:rPr>
        <w:rFonts w:hint="default"/>
      </w:rPr>
    </w:lvl>
    <w:lvl w:ilvl="6" w:tplc="2132E936">
      <w:start w:val="1"/>
      <w:numFmt w:val="bullet"/>
      <w:lvlText w:val="•"/>
      <w:lvlJc w:val="left"/>
      <w:pPr>
        <w:ind w:left="6122" w:hanging="284"/>
      </w:pPr>
      <w:rPr>
        <w:rFonts w:hint="default"/>
      </w:rPr>
    </w:lvl>
    <w:lvl w:ilvl="7" w:tplc="4B06B36A">
      <w:start w:val="1"/>
      <w:numFmt w:val="bullet"/>
      <w:lvlText w:val="•"/>
      <w:lvlJc w:val="left"/>
      <w:pPr>
        <w:ind w:left="7073" w:hanging="284"/>
      </w:pPr>
      <w:rPr>
        <w:rFonts w:hint="default"/>
      </w:rPr>
    </w:lvl>
    <w:lvl w:ilvl="8" w:tplc="7C16BA88">
      <w:start w:val="1"/>
      <w:numFmt w:val="bullet"/>
      <w:lvlText w:val="•"/>
      <w:lvlJc w:val="left"/>
      <w:pPr>
        <w:ind w:left="8023" w:hanging="284"/>
      </w:pPr>
      <w:rPr>
        <w:rFonts w:hint="default"/>
      </w:rPr>
    </w:lvl>
  </w:abstractNum>
  <w:abstractNum w:abstractNumId="1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09672CB"/>
    <w:multiLevelType w:val="hybridMultilevel"/>
    <w:tmpl w:val="3300F8D4"/>
    <w:lvl w:ilvl="0" w:tplc="74C660B0">
      <w:start w:val="1"/>
      <w:numFmt w:val="bullet"/>
      <w:lvlText w:val="•"/>
      <w:lvlJc w:val="left"/>
      <w:pPr>
        <w:ind w:left="457" w:hanging="284"/>
      </w:pPr>
      <w:rPr>
        <w:rFonts w:ascii="Georgia" w:eastAsia="Georgia" w:hAnsi="Georgia" w:hint="default"/>
        <w:i/>
        <w:w w:val="105"/>
        <w:sz w:val="20"/>
        <w:szCs w:val="20"/>
      </w:rPr>
    </w:lvl>
    <w:lvl w:ilvl="1" w:tplc="D67628C4">
      <w:start w:val="1"/>
      <w:numFmt w:val="bullet"/>
      <w:lvlText w:val="•"/>
      <w:lvlJc w:val="left"/>
      <w:pPr>
        <w:ind w:left="1406" w:hanging="284"/>
      </w:pPr>
      <w:rPr>
        <w:rFonts w:hint="default"/>
      </w:rPr>
    </w:lvl>
    <w:lvl w:ilvl="2" w:tplc="565EAB84">
      <w:start w:val="1"/>
      <w:numFmt w:val="bullet"/>
      <w:lvlText w:val="•"/>
      <w:lvlJc w:val="left"/>
      <w:pPr>
        <w:ind w:left="2354" w:hanging="284"/>
      </w:pPr>
      <w:rPr>
        <w:rFonts w:hint="default"/>
      </w:rPr>
    </w:lvl>
    <w:lvl w:ilvl="3" w:tplc="78B40BA0">
      <w:start w:val="1"/>
      <w:numFmt w:val="bullet"/>
      <w:lvlText w:val="•"/>
      <w:lvlJc w:val="left"/>
      <w:pPr>
        <w:ind w:left="3303" w:hanging="284"/>
      </w:pPr>
      <w:rPr>
        <w:rFonts w:hint="default"/>
      </w:rPr>
    </w:lvl>
    <w:lvl w:ilvl="4" w:tplc="3CF8412E">
      <w:start w:val="1"/>
      <w:numFmt w:val="bullet"/>
      <w:lvlText w:val="•"/>
      <w:lvlJc w:val="left"/>
      <w:pPr>
        <w:ind w:left="4252" w:hanging="284"/>
      </w:pPr>
      <w:rPr>
        <w:rFonts w:hint="default"/>
      </w:rPr>
    </w:lvl>
    <w:lvl w:ilvl="5" w:tplc="E6FC067A">
      <w:start w:val="1"/>
      <w:numFmt w:val="bullet"/>
      <w:lvlText w:val="•"/>
      <w:lvlJc w:val="left"/>
      <w:pPr>
        <w:ind w:left="5201" w:hanging="284"/>
      </w:pPr>
      <w:rPr>
        <w:rFonts w:hint="default"/>
      </w:rPr>
    </w:lvl>
    <w:lvl w:ilvl="6" w:tplc="CEF2954E">
      <w:start w:val="1"/>
      <w:numFmt w:val="bullet"/>
      <w:lvlText w:val="•"/>
      <w:lvlJc w:val="left"/>
      <w:pPr>
        <w:ind w:left="6150" w:hanging="284"/>
      </w:pPr>
      <w:rPr>
        <w:rFonts w:hint="default"/>
      </w:rPr>
    </w:lvl>
    <w:lvl w:ilvl="7" w:tplc="4B020B1C">
      <w:start w:val="1"/>
      <w:numFmt w:val="bullet"/>
      <w:lvlText w:val="•"/>
      <w:lvlJc w:val="left"/>
      <w:pPr>
        <w:ind w:left="7099" w:hanging="284"/>
      </w:pPr>
      <w:rPr>
        <w:rFonts w:hint="default"/>
      </w:rPr>
    </w:lvl>
    <w:lvl w:ilvl="8" w:tplc="77101D9C">
      <w:start w:val="1"/>
      <w:numFmt w:val="bullet"/>
      <w:lvlText w:val="•"/>
      <w:lvlJc w:val="left"/>
      <w:pPr>
        <w:ind w:left="8047" w:hanging="284"/>
      </w:pPr>
      <w:rPr>
        <w:rFonts w:hint="default"/>
      </w:rPr>
    </w:lvl>
  </w:abstractNum>
  <w:abstractNum w:abstractNumId="15">
    <w:nsid w:val="42311F1D"/>
    <w:multiLevelType w:val="hybridMultilevel"/>
    <w:tmpl w:val="8424BC64"/>
    <w:lvl w:ilvl="0" w:tplc="D826A3C4">
      <w:start w:val="1"/>
      <w:numFmt w:val="decimal"/>
      <w:lvlText w:val="%1"/>
      <w:lvlJc w:val="left"/>
      <w:pPr>
        <w:ind w:left="513" w:hanging="340"/>
        <w:jc w:val="left"/>
      </w:pPr>
      <w:rPr>
        <w:rFonts w:ascii="Century" w:eastAsia="Century" w:hAnsi="Century" w:hint="default"/>
        <w:w w:val="75"/>
        <w:sz w:val="16"/>
        <w:szCs w:val="16"/>
      </w:rPr>
    </w:lvl>
    <w:lvl w:ilvl="1" w:tplc="3FD895C0">
      <w:start w:val="1"/>
      <w:numFmt w:val="bullet"/>
      <w:lvlText w:val="•"/>
      <w:lvlJc w:val="left"/>
      <w:pPr>
        <w:ind w:left="1457" w:hanging="340"/>
      </w:pPr>
      <w:rPr>
        <w:rFonts w:hint="default"/>
      </w:rPr>
    </w:lvl>
    <w:lvl w:ilvl="2" w:tplc="51B884DA">
      <w:start w:val="1"/>
      <w:numFmt w:val="bullet"/>
      <w:lvlText w:val="•"/>
      <w:lvlJc w:val="left"/>
      <w:pPr>
        <w:ind w:left="2400" w:hanging="340"/>
      </w:pPr>
      <w:rPr>
        <w:rFonts w:hint="default"/>
      </w:rPr>
    </w:lvl>
    <w:lvl w:ilvl="3" w:tplc="374CCCC0">
      <w:start w:val="1"/>
      <w:numFmt w:val="bullet"/>
      <w:lvlText w:val="•"/>
      <w:lvlJc w:val="left"/>
      <w:pPr>
        <w:ind w:left="3343" w:hanging="340"/>
      </w:pPr>
      <w:rPr>
        <w:rFonts w:hint="default"/>
      </w:rPr>
    </w:lvl>
    <w:lvl w:ilvl="4" w:tplc="8862A54E">
      <w:start w:val="1"/>
      <w:numFmt w:val="bullet"/>
      <w:lvlText w:val="•"/>
      <w:lvlJc w:val="left"/>
      <w:pPr>
        <w:ind w:left="4286" w:hanging="340"/>
      </w:pPr>
      <w:rPr>
        <w:rFonts w:hint="default"/>
      </w:rPr>
    </w:lvl>
    <w:lvl w:ilvl="5" w:tplc="30185E1E">
      <w:start w:val="1"/>
      <w:numFmt w:val="bullet"/>
      <w:lvlText w:val="•"/>
      <w:lvlJc w:val="left"/>
      <w:pPr>
        <w:ind w:left="5229" w:hanging="340"/>
      </w:pPr>
      <w:rPr>
        <w:rFonts w:hint="default"/>
      </w:rPr>
    </w:lvl>
    <w:lvl w:ilvl="6" w:tplc="19706032">
      <w:start w:val="1"/>
      <w:numFmt w:val="bullet"/>
      <w:lvlText w:val="•"/>
      <w:lvlJc w:val="left"/>
      <w:pPr>
        <w:ind w:left="6172" w:hanging="340"/>
      </w:pPr>
      <w:rPr>
        <w:rFonts w:hint="default"/>
      </w:rPr>
    </w:lvl>
    <w:lvl w:ilvl="7" w:tplc="E02A57FA">
      <w:start w:val="1"/>
      <w:numFmt w:val="bullet"/>
      <w:lvlText w:val="•"/>
      <w:lvlJc w:val="left"/>
      <w:pPr>
        <w:ind w:left="7116" w:hanging="340"/>
      </w:pPr>
      <w:rPr>
        <w:rFonts w:hint="default"/>
      </w:rPr>
    </w:lvl>
    <w:lvl w:ilvl="8" w:tplc="8CF63458">
      <w:start w:val="1"/>
      <w:numFmt w:val="bullet"/>
      <w:lvlText w:val="•"/>
      <w:lvlJc w:val="left"/>
      <w:pPr>
        <w:ind w:left="8059" w:hanging="340"/>
      </w:pPr>
      <w:rPr>
        <w:rFonts w:hint="default"/>
      </w:rPr>
    </w:lvl>
  </w:abstractNum>
  <w:abstractNum w:abstractNumId="16">
    <w:nsid w:val="4F7C157B"/>
    <w:multiLevelType w:val="hybridMultilevel"/>
    <w:tmpl w:val="A296E028"/>
    <w:lvl w:ilvl="0" w:tplc="1250E81C">
      <w:start w:val="1"/>
      <w:numFmt w:val="bullet"/>
      <w:lvlText w:val="•"/>
      <w:lvlJc w:val="left"/>
      <w:pPr>
        <w:ind w:left="417" w:hanging="284"/>
      </w:pPr>
      <w:rPr>
        <w:rFonts w:ascii="Century" w:eastAsia="Century" w:hAnsi="Century" w:hint="default"/>
        <w:w w:val="58"/>
        <w:sz w:val="20"/>
        <w:szCs w:val="20"/>
      </w:rPr>
    </w:lvl>
    <w:lvl w:ilvl="1" w:tplc="27FA07C6">
      <w:start w:val="1"/>
      <w:numFmt w:val="bullet"/>
      <w:lvlText w:val="•"/>
      <w:lvlJc w:val="left"/>
      <w:pPr>
        <w:ind w:left="1368" w:hanging="284"/>
      </w:pPr>
      <w:rPr>
        <w:rFonts w:hint="default"/>
      </w:rPr>
    </w:lvl>
    <w:lvl w:ilvl="2" w:tplc="B6C2D856">
      <w:start w:val="1"/>
      <w:numFmt w:val="bullet"/>
      <w:lvlText w:val="•"/>
      <w:lvlJc w:val="left"/>
      <w:pPr>
        <w:ind w:left="2318" w:hanging="284"/>
      </w:pPr>
      <w:rPr>
        <w:rFonts w:hint="default"/>
      </w:rPr>
    </w:lvl>
    <w:lvl w:ilvl="3" w:tplc="149AAFFA">
      <w:start w:val="1"/>
      <w:numFmt w:val="bullet"/>
      <w:lvlText w:val="•"/>
      <w:lvlJc w:val="left"/>
      <w:pPr>
        <w:ind w:left="3269" w:hanging="284"/>
      </w:pPr>
      <w:rPr>
        <w:rFonts w:hint="default"/>
      </w:rPr>
    </w:lvl>
    <w:lvl w:ilvl="4" w:tplc="8EBAD91E">
      <w:start w:val="1"/>
      <w:numFmt w:val="bullet"/>
      <w:lvlText w:val="•"/>
      <w:lvlJc w:val="left"/>
      <w:pPr>
        <w:ind w:left="4220" w:hanging="284"/>
      </w:pPr>
      <w:rPr>
        <w:rFonts w:hint="default"/>
      </w:rPr>
    </w:lvl>
    <w:lvl w:ilvl="5" w:tplc="CB424E74">
      <w:start w:val="1"/>
      <w:numFmt w:val="bullet"/>
      <w:lvlText w:val="•"/>
      <w:lvlJc w:val="left"/>
      <w:pPr>
        <w:ind w:left="5171" w:hanging="284"/>
      </w:pPr>
      <w:rPr>
        <w:rFonts w:hint="default"/>
      </w:rPr>
    </w:lvl>
    <w:lvl w:ilvl="6" w:tplc="301ADA60">
      <w:start w:val="1"/>
      <w:numFmt w:val="bullet"/>
      <w:lvlText w:val="•"/>
      <w:lvlJc w:val="left"/>
      <w:pPr>
        <w:ind w:left="6122" w:hanging="284"/>
      </w:pPr>
      <w:rPr>
        <w:rFonts w:hint="default"/>
      </w:rPr>
    </w:lvl>
    <w:lvl w:ilvl="7" w:tplc="43BA9AFC">
      <w:start w:val="1"/>
      <w:numFmt w:val="bullet"/>
      <w:lvlText w:val="•"/>
      <w:lvlJc w:val="left"/>
      <w:pPr>
        <w:ind w:left="7073" w:hanging="284"/>
      </w:pPr>
      <w:rPr>
        <w:rFonts w:hint="default"/>
      </w:rPr>
    </w:lvl>
    <w:lvl w:ilvl="8" w:tplc="48A8B6E2">
      <w:start w:val="1"/>
      <w:numFmt w:val="bullet"/>
      <w:lvlText w:val="•"/>
      <w:lvlJc w:val="left"/>
      <w:pPr>
        <w:ind w:left="8023" w:hanging="284"/>
      </w:pPr>
      <w:rPr>
        <w:rFonts w:hint="default"/>
      </w:rPr>
    </w:lvl>
  </w:abstractNum>
  <w:abstractNum w:abstractNumId="17">
    <w:nsid w:val="50DB38DE"/>
    <w:multiLevelType w:val="hybridMultilevel"/>
    <w:tmpl w:val="AAB6B706"/>
    <w:lvl w:ilvl="0" w:tplc="F83A7B2C">
      <w:start w:val="1"/>
      <w:numFmt w:val="decimal"/>
      <w:lvlText w:val="%1."/>
      <w:lvlJc w:val="left"/>
      <w:pPr>
        <w:ind w:left="443" w:hanging="284"/>
        <w:jc w:val="left"/>
      </w:pPr>
      <w:rPr>
        <w:rFonts w:ascii="Century" w:eastAsia="Century" w:hAnsi="Century" w:hint="default"/>
        <w:spacing w:val="2"/>
        <w:w w:val="75"/>
        <w:sz w:val="20"/>
        <w:szCs w:val="20"/>
      </w:rPr>
    </w:lvl>
    <w:lvl w:ilvl="1" w:tplc="BC2EC292">
      <w:start w:val="1"/>
      <w:numFmt w:val="bullet"/>
      <w:lvlText w:val="•"/>
      <w:lvlJc w:val="left"/>
      <w:pPr>
        <w:ind w:left="1393" w:hanging="284"/>
      </w:pPr>
      <w:rPr>
        <w:rFonts w:hint="default"/>
      </w:rPr>
    </w:lvl>
    <w:lvl w:ilvl="2" w:tplc="D6FC1F58">
      <w:start w:val="1"/>
      <w:numFmt w:val="bullet"/>
      <w:lvlText w:val="•"/>
      <w:lvlJc w:val="left"/>
      <w:pPr>
        <w:ind w:left="2343" w:hanging="284"/>
      </w:pPr>
      <w:rPr>
        <w:rFonts w:hint="default"/>
      </w:rPr>
    </w:lvl>
    <w:lvl w:ilvl="3" w:tplc="B3321182">
      <w:start w:val="1"/>
      <w:numFmt w:val="bullet"/>
      <w:lvlText w:val="•"/>
      <w:lvlJc w:val="left"/>
      <w:pPr>
        <w:ind w:left="3293" w:hanging="284"/>
      </w:pPr>
      <w:rPr>
        <w:rFonts w:hint="default"/>
      </w:rPr>
    </w:lvl>
    <w:lvl w:ilvl="4" w:tplc="1A62879E">
      <w:start w:val="1"/>
      <w:numFmt w:val="bullet"/>
      <w:lvlText w:val="•"/>
      <w:lvlJc w:val="left"/>
      <w:pPr>
        <w:ind w:left="4244" w:hanging="284"/>
      </w:pPr>
      <w:rPr>
        <w:rFonts w:hint="default"/>
      </w:rPr>
    </w:lvl>
    <w:lvl w:ilvl="5" w:tplc="19622098">
      <w:start w:val="1"/>
      <w:numFmt w:val="bullet"/>
      <w:lvlText w:val="•"/>
      <w:lvlJc w:val="left"/>
      <w:pPr>
        <w:ind w:left="5194" w:hanging="284"/>
      </w:pPr>
      <w:rPr>
        <w:rFonts w:hint="default"/>
      </w:rPr>
    </w:lvl>
    <w:lvl w:ilvl="6" w:tplc="B232B9A0">
      <w:start w:val="1"/>
      <w:numFmt w:val="bullet"/>
      <w:lvlText w:val="•"/>
      <w:lvlJc w:val="left"/>
      <w:pPr>
        <w:ind w:left="6144" w:hanging="284"/>
      </w:pPr>
      <w:rPr>
        <w:rFonts w:hint="default"/>
      </w:rPr>
    </w:lvl>
    <w:lvl w:ilvl="7" w:tplc="ADF63DF8">
      <w:start w:val="1"/>
      <w:numFmt w:val="bullet"/>
      <w:lvlText w:val="•"/>
      <w:lvlJc w:val="left"/>
      <w:pPr>
        <w:ind w:left="7094" w:hanging="284"/>
      </w:pPr>
      <w:rPr>
        <w:rFonts w:hint="default"/>
      </w:rPr>
    </w:lvl>
    <w:lvl w:ilvl="8" w:tplc="C3BA5350">
      <w:start w:val="1"/>
      <w:numFmt w:val="bullet"/>
      <w:lvlText w:val="•"/>
      <w:lvlJc w:val="left"/>
      <w:pPr>
        <w:ind w:left="8045" w:hanging="284"/>
      </w:pPr>
      <w:rPr>
        <w:rFonts w:hint="default"/>
      </w:rPr>
    </w:lvl>
  </w:abstractNum>
  <w:abstractNum w:abstractNumId="18">
    <w:nsid w:val="52C93FB5"/>
    <w:multiLevelType w:val="hybridMultilevel"/>
    <w:tmpl w:val="67884DA2"/>
    <w:lvl w:ilvl="0" w:tplc="A61048A0">
      <w:start w:val="1"/>
      <w:numFmt w:val="bullet"/>
      <w:lvlText w:val="•"/>
      <w:lvlJc w:val="left"/>
      <w:pPr>
        <w:ind w:left="417" w:hanging="284"/>
      </w:pPr>
      <w:rPr>
        <w:rFonts w:ascii="Century" w:eastAsia="Century" w:hAnsi="Century" w:hint="default"/>
        <w:w w:val="58"/>
        <w:sz w:val="20"/>
        <w:szCs w:val="20"/>
      </w:rPr>
    </w:lvl>
    <w:lvl w:ilvl="1" w:tplc="95D697B0">
      <w:start w:val="1"/>
      <w:numFmt w:val="bullet"/>
      <w:lvlText w:val="•"/>
      <w:lvlJc w:val="left"/>
      <w:pPr>
        <w:ind w:left="417" w:hanging="284"/>
      </w:pPr>
      <w:rPr>
        <w:rFonts w:ascii="Century" w:eastAsia="Century" w:hAnsi="Century" w:hint="default"/>
        <w:w w:val="58"/>
        <w:sz w:val="20"/>
        <w:szCs w:val="20"/>
      </w:rPr>
    </w:lvl>
    <w:lvl w:ilvl="2" w:tplc="C630A298">
      <w:start w:val="1"/>
      <w:numFmt w:val="bullet"/>
      <w:lvlText w:val="•"/>
      <w:lvlJc w:val="left"/>
      <w:pPr>
        <w:ind w:left="2314" w:hanging="284"/>
      </w:pPr>
      <w:rPr>
        <w:rFonts w:hint="default"/>
      </w:rPr>
    </w:lvl>
    <w:lvl w:ilvl="3" w:tplc="115A27F4">
      <w:start w:val="1"/>
      <w:numFmt w:val="bullet"/>
      <w:lvlText w:val="•"/>
      <w:lvlJc w:val="left"/>
      <w:pPr>
        <w:ind w:left="3263" w:hanging="284"/>
      </w:pPr>
      <w:rPr>
        <w:rFonts w:hint="default"/>
      </w:rPr>
    </w:lvl>
    <w:lvl w:ilvl="4" w:tplc="1BAA9230">
      <w:start w:val="1"/>
      <w:numFmt w:val="bullet"/>
      <w:lvlText w:val="•"/>
      <w:lvlJc w:val="left"/>
      <w:pPr>
        <w:ind w:left="4212" w:hanging="284"/>
      </w:pPr>
      <w:rPr>
        <w:rFonts w:hint="default"/>
      </w:rPr>
    </w:lvl>
    <w:lvl w:ilvl="5" w:tplc="E39ED21A">
      <w:start w:val="1"/>
      <w:numFmt w:val="bullet"/>
      <w:lvlText w:val="•"/>
      <w:lvlJc w:val="left"/>
      <w:pPr>
        <w:ind w:left="5161" w:hanging="284"/>
      </w:pPr>
      <w:rPr>
        <w:rFonts w:hint="default"/>
      </w:rPr>
    </w:lvl>
    <w:lvl w:ilvl="6" w:tplc="E716F80E">
      <w:start w:val="1"/>
      <w:numFmt w:val="bullet"/>
      <w:lvlText w:val="•"/>
      <w:lvlJc w:val="left"/>
      <w:pPr>
        <w:ind w:left="6110" w:hanging="284"/>
      </w:pPr>
      <w:rPr>
        <w:rFonts w:hint="default"/>
      </w:rPr>
    </w:lvl>
    <w:lvl w:ilvl="7" w:tplc="C7BAC36E">
      <w:start w:val="1"/>
      <w:numFmt w:val="bullet"/>
      <w:lvlText w:val="•"/>
      <w:lvlJc w:val="left"/>
      <w:pPr>
        <w:ind w:left="7059" w:hanging="284"/>
      </w:pPr>
      <w:rPr>
        <w:rFonts w:hint="default"/>
      </w:rPr>
    </w:lvl>
    <w:lvl w:ilvl="8" w:tplc="FD763C40">
      <w:start w:val="1"/>
      <w:numFmt w:val="bullet"/>
      <w:lvlText w:val="•"/>
      <w:lvlJc w:val="left"/>
      <w:pPr>
        <w:ind w:left="8007" w:hanging="284"/>
      </w:pPr>
      <w:rPr>
        <w:rFonts w:hint="default"/>
      </w:rPr>
    </w:lvl>
  </w:abstractNum>
  <w:abstractNum w:abstractNumId="19">
    <w:nsid w:val="53564EF1"/>
    <w:multiLevelType w:val="hybridMultilevel"/>
    <w:tmpl w:val="658C28CC"/>
    <w:lvl w:ilvl="0" w:tplc="71065192">
      <w:start w:val="22"/>
      <w:numFmt w:val="decimal"/>
      <w:lvlText w:val="%1"/>
      <w:lvlJc w:val="left"/>
      <w:pPr>
        <w:ind w:left="513" w:hanging="340"/>
        <w:jc w:val="left"/>
      </w:pPr>
      <w:rPr>
        <w:rFonts w:ascii="Century" w:eastAsia="Century" w:hAnsi="Century" w:hint="default"/>
        <w:w w:val="92"/>
        <w:sz w:val="16"/>
        <w:szCs w:val="16"/>
      </w:rPr>
    </w:lvl>
    <w:lvl w:ilvl="1" w:tplc="A2EA6AF6">
      <w:start w:val="1"/>
      <w:numFmt w:val="bullet"/>
      <w:lvlText w:val="·"/>
      <w:lvlJc w:val="left"/>
      <w:pPr>
        <w:ind w:left="747" w:hanging="293"/>
      </w:pPr>
      <w:rPr>
        <w:rFonts w:ascii="Century" w:eastAsia="Century" w:hAnsi="Century" w:hint="default"/>
        <w:w w:val="76"/>
        <w:sz w:val="16"/>
        <w:szCs w:val="16"/>
      </w:rPr>
    </w:lvl>
    <w:lvl w:ilvl="2" w:tplc="D90C24DC">
      <w:start w:val="1"/>
      <w:numFmt w:val="bullet"/>
      <w:lvlText w:val="•"/>
      <w:lvlJc w:val="left"/>
      <w:pPr>
        <w:ind w:left="8282" w:hanging="293"/>
      </w:pPr>
      <w:rPr>
        <w:rFonts w:hint="default"/>
      </w:rPr>
    </w:lvl>
    <w:lvl w:ilvl="3" w:tplc="5FBAE618">
      <w:start w:val="1"/>
      <w:numFmt w:val="bullet"/>
      <w:lvlText w:val="•"/>
      <w:lvlJc w:val="left"/>
      <w:pPr>
        <w:ind w:left="8485" w:hanging="293"/>
      </w:pPr>
      <w:rPr>
        <w:rFonts w:hint="default"/>
      </w:rPr>
    </w:lvl>
    <w:lvl w:ilvl="4" w:tplc="DA64EE78">
      <w:start w:val="1"/>
      <w:numFmt w:val="bullet"/>
      <w:lvlText w:val="•"/>
      <w:lvlJc w:val="left"/>
      <w:pPr>
        <w:ind w:left="8688" w:hanging="293"/>
      </w:pPr>
      <w:rPr>
        <w:rFonts w:hint="default"/>
      </w:rPr>
    </w:lvl>
    <w:lvl w:ilvl="5" w:tplc="0E1E13B6">
      <w:start w:val="1"/>
      <w:numFmt w:val="bullet"/>
      <w:lvlText w:val="•"/>
      <w:lvlJc w:val="left"/>
      <w:pPr>
        <w:ind w:left="8891" w:hanging="293"/>
      </w:pPr>
      <w:rPr>
        <w:rFonts w:hint="default"/>
      </w:rPr>
    </w:lvl>
    <w:lvl w:ilvl="6" w:tplc="AA7860C0">
      <w:start w:val="1"/>
      <w:numFmt w:val="bullet"/>
      <w:lvlText w:val="•"/>
      <w:lvlJc w:val="left"/>
      <w:pPr>
        <w:ind w:left="9093" w:hanging="293"/>
      </w:pPr>
      <w:rPr>
        <w:rFonts w:hint="default"/>
      </w:rPr>
    </w:lvl>
    <w:lvl w:ilvl="7" w:tplc="254AFAC0">
      <w:start w:val="1"/>
      <w:numFmt w:val="bullet"/>
      <w:lvlText w:val="•"/>
      <w:lvlJc w:val="left"/>
      <w:pPr>
        <w:ind w:left="9296" w:hanging="293"/>
      </w:pPr>
      <w:rPr>
        <w:rFonts w:hint="default"/>
      </w:rPr>
    </w:lvl>
    <w:lvl w:ilvl="8" w:tplc="4210DF54">
      <w:start w:val="1"/>
      <w:numFmt w:val="bullet"/>
      <w:lvlText w:val="•"/>
      <w:lvlJc w:val="left"/>
      <w:pPr>
        <w:ind w:left="9499" w:hanging="293"/>
      </w:pPr>
      <w:rPr>
        <w:rFonts w:hint="default"/>
      </w:rPr>
    </w:lvl>
  </w:abstractNum>
  <w:abstractNum w:abstractNumId="20">
    <w:nsid w:val="5B09314A"/>
    <w:multiLevelType w:val="multilevel"/>
    <w:tmpl w:val="130C1FF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pStyle w:val="Letter"/>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4F01BF7"/>
    <w:multiLevelType w:val="hybridMultilevel"/>
    <w:tmpl w:val="1C1CC9AE"/>
    <w:lvl w:ilvl="0" w:tplc="B97A34CC">
      <w:start w:val="1"/>
      <w:numFmt w:val="decimal"/>
      <w:pStyle w:val="Numb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3">
    <w:nsid w:val="6C584219"/>
    <w:multiLevelType w:val="hybridMultilevel"/>
    <w:tmpl w:val="CEC2670C"/>
    <w:lvl w:ilvl="0" w:tplc="E94824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7">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6"/>
  </w:num>
  <w:num w:numId="2">
    <w:abstractNumId w:val="22"/>
  </w:num>
  <w:num w:numId="3">
    <w:abstractNumId w:val="12"/>
  </w:num>
  <w:num w:numId="4">
    <w:abstractNumId w:val="13"/>
  </w:num>
  <w:num w:numId="5">
    <w:abstractNumId w:val="0"/>
  </w:num>
  <w:num w:numId="6">
    <w:abstractNumId w:val="27"/>
  </w:num>
  <w:num w:numId="7">
    <w:abstractNumId w:val="9"/>
  </w:num>
  <w:num w:numId="8">
    <w:abstractNumId w:val="2"/>
  </w:num>
  <w:num w:numId="9">
    <w:abstractNumId w:val="25"/>
  </w:num>
  <w:num w:numId="10">
    <w:abstractNumId w:val="1"/>
  </w:num>
  <w:num w:numId="11">
    <w:abstractNumId w:val="24"/>
  </w:num>
  <w:num w:numId="12">
    <w:abstractNumId w:val="3"/>
  </w:num>
  <w:num w:numId="13">
    <w:abstractNumId w:val="6"/>
  </w:num>
  <w:num w:numId="14">
    <w:abstractNumId w:val="5"/>
  </w:num>
  <w:num w:numId="15">
    <w:abstractNumId w:val="7"/>
  </w:num>
  <w:num w:numId="16">
    <w:abstractNumId w:val="20"/>
  </w:num>
  <w:num w:numId="17">
    <w:abstractNumId w:val="17"/>
  </w:num>
  <w:num w:numId="18">
    <w:abstractNumId w:val="16"/>
  </w:num>
  <w:num w:numId="19">
    <w:abstractNumId w:val="14"/>
  </w:num>
  <w:num w:numId="20">
    <w:abstractNumId w:val="11"/>
  </w:num>
  <w:num w:numId="21">
    <w:abstractNumId w:val="19"/>
  </w:num>
  <w:num w:numId="22">
    <w:abstractNumId w:val="4"/>
  </w:num>
  <w:num w:numId="23">
    <w:abstractNumId w:val="8"/>
  </w:num>
  <w:num w:numId="24">
    <w:abstractNumId w:val="15"/>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startOverride w:val="1"/>
    </w:lvlOverride>
  </w:num>
  <w:num w:numId="29">
    <w:abstractNumId w:val="10"/>
  </w:num>
  <w:num w:numId="3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7395"/>
    <w:rsid w:val="00025A6F"/>
    <w:rsid w:val="00030B26"/>
    <w:rsid w:val="00032C0A"/>
    <w:rsid w:val="00035257"/>
    <w:rsid w:val="0006228D"/>
    <w:rsid w:val="00065BDE"/>
    <w:rsid w:val="00072BD6"/>
    <w:rsid w:val="00075B78"/>
    <w:rsid w:val="00082CD6"/>
    <w:rsid w:val="00085AFE"/>
    <w:rsid w:val="000B0730"/>
    <w:rsid w:val="000E35D2"/>
    <w:rsid w:val="000F2AE2"/>
    <w:rsid w:val="00102063"/>
    <w:rsid w:val="0010541C"/>
    <w:rsid w:val="00106F93"/>
    <w:rsid w:val="00111D50"/>
    <w:rsid w:val="00113B8E"/>
    <w:rsid w:val="00122363"/>
    <w:rsid w:val="001257C8"/>
    <w:rsid w:val="001342C7"/>
    <w:rsid w:val="0013585C"/>
    <w:rsid w:val="00142954"/>
    <w:rsid w:val="001460E0"/>
    <w:rsid w:val="00147F71"/>
    <w:rsid w:val="00150A6E"/>
    <w:rsid w:val="0016468A"/>
    <w:rsid w:val="00185F9B"/>
    <w:rsid w:val="001A21B4"/>
    <w:rsid w:val="001A3F09"/>
    <w:rsid w:val="001A5CF5"/>
    <w:rsid w:val="001B39D2"/>
    <w:rsid w:val="001B4BF8"/>
    <w:rsid w:val="001C4326"/>
    <w:rsid w:val="001D3541"/>
    <w:rsid w:val="001F45A7"/>
    <w:rsid w:val="00201A01"/>
    <w:rsid w:val="002104D3"/>
    <w:rsid w:val="00213A33"/>
    <w:rsid w:val="0021763B"/>
    <w:rsid w:val="00246DB1"/>
    <w:rsid w:val="002476B5"/>
    <w:rsid w:val="00253ECF"/>
    <w:rsid w:val="002546A1"/>
    <w:rsid w:val="00260CEF"/>
    <w:rsid w:val="00275D08"/>
    <w:rsid w:val="002858E3"/>
    <w:rsid w:val="0029190A"/>
    <w:rsid w:val="00292C5A"/>
    <w:rsid w:val="00295241"/>
    <w:rsid w:val="002A4DFC"/>
    <w:rsid w:val="002B047D"/>
    <w:rsid w:val="002B732B"/>
    <w:rsid w:val="002C2219"/>
    <w:rsid w:val="002D0DF2"/>
    <w:rsid w:val="002D23BD"/>
    <w:rsid w:val="002E0B47"/>
    <w:rsid w:val="002F2E9E"/>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779D2"/>
    <w:rsid w:val="00384F11"/>
    <w:rsid w:val="003A26A5"/>
    <w:rsid w:val="003A3761"/>
    <w:rsid w:val="003A5FEA"/>
    <w:rsid w:val="003B1D10"/>
    <w:rsid w:val="003C76D4"/>
    <w:rsid w:val="003D137D"/>
    <w:rsid w:val="003D2CC5"/>
    <w:rsid w:val="003D42AA"/>
    <w:rsid w:val="003E7C46"/>
    <w:rsid w:val="003F2106"/>
    <w:rsid w:val="003F52A7"/>
    <w:rsid w:val="0040240C"/>
    <w:rsid w:val="00413021"/>
    <w:rsid w:val="00436D8F"/>
    <w:rsid w:val="00437D6B"/>
    <w:rsid w:val="00440BE0"/>
    <w:rsid w:val="00442C1C"/>
    <w:rsid w:val="0044584B"/>
    <w:rsid w:val="00447CB7"/>
    <w:rsid w:val="00455CC9"/>
    <w:rsid w:val="00460826"/>
    <w:rsid w:val="00460EA7"/>
    <w:rsid w:val="0046195B"/>
    <w:rsid w:val="0046596D"/>
    <w:rsid w:val="00487C04"/>
    <w:rsid w:val="004907E1"/>
    <w:rsid w:val="004A035B"/>
    <w:rsid w:val="004A38D7"/>
    <w:rsid w:val="004A778C"/>
    <w:rsid w:val="004B2A4F"/>
    <w:rsid w:val="004B5EFA"/>
    <w:rsid w:val="004C2E6A"/>
    <w:rsid w:val="004C64B8"/>
    <w:rsid w:val="004D2A2D"/>
    <w:rsid w:val="004D6689"/>
    <w:rsid w:val="004E1D1D"/>
    <w:rsid w:val="004E7AC8"/>
    <w:rsid w:val="004F0C94"/>
    <w:rsid w:val="005019AE"/>
    <w:rsid w:val="00503749"/>
    <w:rsid w:val="00504CF4"/>
    <w:rsid w:val="0050635B"/>
    <w:rsid w:val="00511B0E"/>
    <w:rsid w:val="005151C2"/>
    <w:rsid w:val="0053199F"/>
    <w:rsid w:val="00533B90"/>
    <w:rsid w:val="005410F8"/>
    <w:rsid w:val="005448EC"/>
    <w:rsid w:val="00545963"/>
    <w:rsid w:val="00550256"/>
    <w:rsid w:val="00553958"/>
    <w:rsid w:val="0055763D"/>
    <w:rsid w:val="005621F2"/>
    <w:rsid w:val="00567B58"/>
    <w:rsid w:val="005763E0"/>
    <w:rsid w:val="00581136"/>
    <w:rsid w:val="005A27CA"/>
    <w:rsid w:val="005A290A"/>
    <w:rsid w:val="005A43BD"/>
    <w:rsid w:val="005E226E"/>
    <w:rsid w:val="005E2636"/>
    <w:rsid w:val="006015D7"/>
    <w:rsid w:val="00601B21"/>
    <w:rsid w:val="006041F0"/>
    <w:rsid w:val="00624174"/>
    <w:rsid w:val="00626CF8"/>
    <w:rsid w:val="00634ED8"/>
    <w:rsid w:val="00636D7D"/>
    <w:rsid w:val="00637408"/>
    <w:rsid w:val="00642868"/>
    <w:rsid w:val="00645140"/>
    <w:rsid w:val="006468C6"/>
    <w:rsid w:val="00647AFE"/>
    <w:rsid w:val="006512BC"/>
    <w:rsid w:val="00653A5A"/>
    <w:rsid w:val="006575F4"/>
    <w:rsid w:val="006579E6"/>
    <w:rsid w:val="00663EDC"/>
    <w:rsid w:val="00666DF4"/>
    <w:rsid w:val="00671078"/>
    <w:rsid w:val="00672F34"/>
    <w:rsid w:val="006758CA"/>
    <w:rsid w:val="00680A04"/>
    <w:rsid w:val="00686D80"/>
    <w:rsid w:val="00694895"/>
    <w:rsid w:val="00697E2E"/>
    <w:rsid w:val="006A25A2"/>
    <w:rsid w:val="006B0E73"/>
    <w:rsid w:val="006B4A4D"/>
    <w:rsid w:val="006B5695"/>
    <w:rsid w:val="006C4C54"/>
    <w:rsid w:val="006C78EB"/>
    <w:rsid w:val="006D1660"/>
    <w:rsid w:val="006E6276"/>
    <w:rsid w:val="006F1B67"/>
    <w:rsid w:val="0070091D"/>
    <w:rsid w:val="00702854"/>
    <w:rsid w:val="0071741C"/>
    <w:rsid w:val="00742B90"/>
    <w:rsid w:val="0074434D"/>
    <w:rsid w:val="00760F51"/>
    <w:rsid w:val="00766BAB"/>
    <w:rsid w:val="00771B1E"/>
    <w:rsid w:val="00773C95"/>
    <w:rsid w:val="0078171E"/>
    <w:rsid w:val="00795B34"/>
    <w:rsid w:val="007B1770"/>
    <w:rsid w:val="007B4D3E"/>
    <w:rsid w:val="007B7C70"/>
    <w:rsid w:val="007D2151"/>
    <w:rsid w:val="007D3B90"/>
    <w:rsid w:val="007D42CC"/>
    <w:rsid w:val="007D5DE4"/>
    <w:rsid w:val="007E0777"/>
    <w:rsid w:val="007E1341"/>
    <w:rsid w:val="007E1B41"/>
    <w:rsid w:val="007E30B9"/>
    <w:rsid w:val="007E74F1"/>
    <w:rsid w:val="007F0F0C"/>
    <w:rsid w:val="007F1288"/>
    <w:rsid w:val="007F674E"/>
    <w:rsid w:val="00800A8A"/>
    <w:rsid w:val="0080155C"/>
    <w:rsid w:val="008052E1"/>
    <w:rsid w:val="00822F2C"/>
    <w:rsid w:val="008305E8"/>
    <w:rsid w:val="00841614"/>
    <w:rsid w:val="00860826"/>
    <w:rsid w:val="00860E21"/>
    <w:rsid w:val="00863117"/>
    <w:rsid w:val="0086388B"/>
    <w:rsid w:val="008642E5"/>
    <w:rsid w:val="008663FA"/>
    <w:rsid w:val="00872D93"/>
    <w:rsid w:val="00880470"/>
    <w:rsid w:val="00880D94"/>
    <w:rsid w:val="008924DE"/>
    <w:rsid w:val="008A3755"/>
    <w:rsid w:val="008B19DC"/>
    <w:rsid w:val="008B264F"/>
    <w:rsid w:val="008B6F83"/>
    <w:rsid w:val="008B7FD8"/>
    <w:rsid w:val="008C2973"/>
    <w:rsid w:val="008C6324"/>
    <w:rsid w:val="008C64C4"/>
    <w:rsid w:val="008D74D5"/>
    <w:rsid w:val="008E3A07"/>
    <w:rsid w:val="008F29BE"/>
    <w:rsid w:val="008F4AE5"/>
    <w:rsid w:val="008F51EB"/>
    <w:rsid w:val="00900197"/>
    <w:rsid w:val="00902F55"/>
    <w:rsid w:val="0090582B"/>
    <w:rsid w:val="009060C0"/>
    <w:rsid w:val="009133F5"/>
    <w:rsid w:val="00920A27"/>
    <w:rsid w:val="00921216"/>
    <w:rsid w:val="009216CC"/>
    <w:rsid w:val="00930D08"/>
    <w:rsid w:val="00930DD7"/>
    <w:rsid w:val="00932D69"/>
    <w:rsid w:val="0093477B"/>
    <w:rsid w:val="00944647"/>
    <w:rsid w:val="00966F9A"/>
    <w:rsid w:val="00977B8A"/>
    <w:rsid w:val="00982971"/>
    <w:rsid w:val="009845AD"/>
    <w:rsid w:val="00987738"/>
    <w:rsid w:val="00995BA0"/>
    <w:rsid w:val="009A08B5"/>
    <w:rsid w:val="009A418B"/>
    <w:rsid w:val="009A426F"/>
    <w:rsid w:val="009A4473"/>
    <w:rsid w:val="009C151C"/>
    <w:rsid w:val="009D3A65"/>
    <w:rsid w:val="009D5125"/>
    <w:rsid w:val="009D60B8"/>
    <w:rsid w:val="009D7D4B"/>
    <w:rsid w:val="009E36ED"/>
    <w:rsid w:val="009E3C8C"/>
    <w:rsid w:val="009E5C48"/>
    <w:rsid w:val="009E6B77"/>
    <w:rsid w:val="009F460A"/>
    <w:rsid w:val="00A043FB"/>
    <w:rsid w:val="00A04FA5"/>
    <w:rsid w:val="00A0729C"/>
    <w:rsid w:val="00A07779"/>
    <w:rsid w:val="00A20B2E"/>
    <w:rsid w:val="00A25069"/>
    <w:rsid w:val="00A26E6B"/>
    <w:rsid w:val="00A3068F"/>
    <w:rsid w:val="00A3145B"/>
    <w:rsid w:val="00A339D0"/>
    <w:rsid w:val="00A36CDC"/>
    <w:rsid w:val="00A41002"/>
    <w:rsid w:val="00A4201A"/>
    <w:rsid w:val="00A42F3A"/>
    <w:rsid w:val="00A47CF6"/>
    <w:rsid w:val="00A553CE"/>
    <w:rsid w:val="00A5677A"/>
    <w:rsid w:val="00A625E8"/>
    <w:rsid w:val="00A6490D"/>
    <w:rsid w:val="00A66EF5"/>
    <w:rsid w:val="00A80363"/>
    <w:rsid w:val="00A83E9D"/>
    <w:rsid w:val="00A9169D"/>
    <w:rsid w:val="00AA240C"/>
    <w:rsid w:val="00AC101C"/>
    <w:rsid w:val="00AD4CF1"/>
    <w:rsid w:val="00AD5988"/>
    <w:rsid w:val="00AF7800"/>
    <w:rsid w:val="00B07098"/>
    <w:rsid w:val="00B072E0"/>
    <w:rsid w:val="00B253F6"/>
    <w:rsid w:val="00B305DB"/>
    <w:rsid w:val="00B332F8"/>
    <w:rsid w:val="00B3492B"/>
    <w:rsid w:val="00B4646F"/>
    <w:rsid w:val="00B55C7D"/>
    <w:rsid w:val="00B63038"/>
    <w:rsid w:val="00B64BD8"/>
    <w:rsid w:val="00B64CC8"/>
    <w:rsid w:val="00B701D1"/>
    <w:rsid w:val="00B711D7"/>
    <w:rsid w:val="00B73AF2"/>
    <w:rsid w:val="00B7551A"/>
    <w:rsid w:val="00B773F1"/>
    <w:rsid w:val="00B845F5"/>
    <w:rsid w:val="00B86AB1"/>
    <w:rsid w:val="00BB2CBB"/>
    <w:rsid w:val="00BC380C"/>
    <w:rsid w:val="00BC59F1"/>
    <w:rsid w:val="00BD6824"/>
    <w:rsid w:val="00BF25EC"/>
    <w:rsid w:val="00BF3DE1"/>
    <w:rsid w:val="00BF4843"/>
    <w:rsid w:val="00BF5205"/>
    <w:rsid w:val="00C12508"/>
    <w:rsid w:val="00C23728"/>
    <w:rsid w:val="00C24B06"/>
    <w:rsid w:val="00C33BD3"/>
    <w:rsid w:val="00C45AA2"/>
    <w:rsid w:val="00C55BEF"/>
    <w:rsid w:val="00C66296"/>
    <w:rsid w:val="00C77282"/>
    <w:rsid w:val="00C84DE5"/>
    <w:rsid w:val="00C86248"/>
    <w:rsid w:val="00CA4C33"/>
    <w:rsid w:val="00CA6F4A"/>
    <w:rsid w:val="00CD2119"/>
    <w:rsid w:val="00CD237A"/>
    <w:rsid w:val="00CD36AC"/>
    <w:rsid w:val="00CE13A3"/>
    <w:rsid w:val="00CE1686"/>
    <w:rsid w:val="00CF1747"/>
    <w:rsid w:val="00CF5EFE"/>
    <w:rsid w:val="00D06281"/>
    <w:rsid w:val="00D07B70"/>
    <w:rsid w:val="00D23323"/>
    <w:rsid w:val="00D2392A"/>
    <w:rsid w:val="00D25FFE"/>
    <w:rsid w:val="00D36A7D"/>
    <w:rsid w:val="00D4476F"/>
    <w:rsid w:val="00D51366"/>
    <w:rsid w:val="00D54D50"/>
    <w:rsid w:val="00D66797"/>
    <w:rsid w:val="00D7087C"/>
    <w:rsid w:val="00D70C3C"/>
    <w:rsid w:val="00D71DF7"/>
    <w:rsid w:val="00D72BE5"/>
    <w:rsid w:val="00D82F26"/>
    <w:rsid w:val="00D863D0"/>
    <w:rsid w:val="00D87C87"/>
    <w:rsid w:val="00D90E07"/>
    <w:rsid w:val="00DB39CF"/>
    <w:rsid w:val="00DC21D7"/>
    <w:rsid w:val="00DD0BCD"/>
    <w:rsid w:val="00DD447A"/>
    <w:rsid w:val="00DE2CF1"/>
    <w:rsid w:val="00DE3B20"/>
    <w:rsid w:val="00DE6C94"/>
    <w:rsid w:val="00DE6FD7"/>
    <w:rsid w:val="00E23271"/>
    <w:rsid w:val="00E24F80"/>
    <w:rsid w:val="00E259F3"/>
    <w:rsid w:val="00E33238"/>
    <w:rsid w:val="00E4486C"/>
    <w:rsid w:val="00E460B6"/>
    <w:rsid w:val="00E511D5"/>
    <w:rsid w:val="00E60249"/>
    <w:rsid w:val="00E65269"/>
    <w:rsid w:val="00E76D66"/>
    <w:rsid w:val="00EA28A9"/>
    <w:rsid w:val="00EA796A"/>
    <w:rsid w:val="00EB1856"/>
    <w:rsid w:val="00EC50CE"/>
    <w:rsid w:val="00EC5B34"/>
    <w:rsid w:val="00ED323C"/>
    <w:rsid w:val="00EE2D5C"/>
    <w:rsid w:val="00EE4ADE"/>
    <w:rsid w:val="00EE5CB7"/>
    <w:rsid w:val="00EF5378"/>
    <w:rsid w:val="00F024FE"/>
    <w:rsid w:val="00F05AD4"/>
    <w:rsid w:val="00F140B2"/>
    <w:rsid w:val="00F25970"/>
    <w:rsid w:val="00F316DE"/>
    <w:rsid w:val="00F5180D"/>
    <w:rsid w:val="00F63781"/>
    <w:rsid w:val="00F67496"/>
    <w:rsid w:val="00F801BA"/>
    <w:rsid w:val="00F9366A"/>
    <w:rsid w:val="00F946C9"/>
    <w:rsid w:val="00FA74EE"/>
    <w:rsid w:val="00FC3711"/>
    <w:rsid w:val="00FC46E7"/>
    <w:rsid w:val="00FC5D25"/>
    <w:rsid w:val="00FD0D7E"/>
    <w:rsid w:val="00FE6E13"/>
    <w:rsid w:val="00FF15F6"/>
    <w:rsid w:val="00FF32A8"/>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3562DDC-9970-404D-ACEF-8E344FDC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363"/>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8E3A0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8E3A07"/>
    <w:pPr>
      <w:keepNext/>
      <w:spacing w:before="120" w:after="120"/>
      <w:outlineLvl w:val="1"/>
    </w:pPr>
    <w:rPr>
      <w:b/>
      <w:sz w:val="40"/>
    </w:rPr>
  </w:style>
  <w:style w:type="paragraph" w:styleId="Heading3">
    <w:name w:val="heading 3"/>
    <w:basedOn w:val="Normal"/>
    <w:next w:val="Normal"/>
    <w:link w:val="Heading3Char"/>
    <w:uiPriority w:val="1"/>
    <w:qFormat/>
    <w:rsid w:val="008E3A07"/>
    <w:pPr>
      <w:keepNext/>
      <w:spacing w:before="240" w:after="180"/>
      <w:outlineLvl w:val="2"/>
    </w:pPr>
    <w:rPr>
      <w:b/>
      <w:sz w:val="28"/>
    </w:rPr>
  </w:style>
  <w:style w:type="paragraph" w:styleId="Heading4">
    <w:name w:val="heading 4"/>
    <w:basedOn w:val="Normal"/>
    <w:next w:val="Normal"/>
    <w:link w:val="Heading4Char"/>
    <w:uiPriority w:val="1"/>
    <w:qFormat/>
    <w:rsid w:val="007D5DE4"/>
    <w:pPr>
      <w:keepNext/>
      <w:spacing w:before="120" w:after="120"/>
      <w:outlineLvl w:val="3"/>
    </w:pPr>
    <w:rPr>
      <w:b/>
    </w:rPr>
  </w:style>
  <w:style w:type="paragraph" w:styleId="Heading5">
    <w:name w:val="heading 5"/>
    <w:basedOn w:val="Normal"/>
    <w:next w:val="Normal"/>
    <w:link w:val="Heading5Char"/>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122363"/>
    <w:pPr>
      <w:keepNext/>
      <w:keepLines/>
      <w:spacing w:before="200" w:after="120" w:line="276" w:lineRule="auto"/>
      <w:ind w:left="1440" w:hanging="1440"/>
      <w:outlineLvl w:val="7"/>
    </w:pPr>
    <w:rPr>
      <w:rFonts w:ascii="Calibri" w:eastAsia="MS Gothic" w:hAnsi="Calibri"/>
      <w:color w:val="404040"/>
      <w:szCs w:val="24"/>
      <w:lang w:val="en-GB"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A07"/>
    <w:rPr>
      <w:rFonts w:ascii="Georgia" w:hAnsi="Georgia"/>
      <w:b/>
      <w:sz w:val="60"/>
      <w:lang w:eastAsia="en-GB"/>
    </w:rPr>
  </w:style>
  <w:style w:type="character" w:customStyle="1" w:styleId="Heading2Char">
    <w:name w:val="Heading 2 Char"/>
    <w:link w:val="Heading2"/>
    <w:rsid w:val="008E3A07"/>
    <w:rPr>
      <w:rFonts w:ascii="Georgia" w:hAnsi="Georgia"/>
      <w:b/>
      <w:sz w:val="40"/>
      <w:lang w:eastAsia="en-GB"/>
    </w:rPr>
  </w:style>
  <w:style w:type="character" w:customStyle="1" w:styleId="Heading3Char">
    <w:name w:val="Heading 3 Char"/>
    <w:link w:val="Heading3"/>
    <w:rsid w:val="008E3A07"/>
    <w:rPr>
      <w:rFonts w:ascii="Georgia" w:hAnsi="Georgia"/>
      <w:b/>
      <w:sz w:val="28"/>
      <w:lang w:eastAsia="en-GB"/>
    </w:rPr>
  </w:style>
  <w:style w:type="character" w:customStyle="1" w:styleId="Heading4Char">
    <w:name w:val="Heading 4 Char"/>
    <w:link w:val="Heading4"/>
    <w:rsid w:val="00122363"/>
    <w:rPr>
      <w:rFonts w:ascii="Georgia" w:hAnsi="Georgia"/>
      <w:b/>
      <w:sz w:val="22"/>
      <w:lang w:eastAsia="en-GB"/>
    </w:rPr>
  </w:style>
  <w:style w:type="character" w:customStyle="1" w:styleId="Heading5Char">
    <w:name w:val="Heading 5 Char"/>
    <w:link w:val="Heading5"/>
    <w:rsid w:val="00122363"/>
    <w:rPr>
      <w:rFonts w:ascii="Georgia" w:hAnsi="Georgia"/>
      <w:sz w:val="22"/>
      <w:u w:val="single"/>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122363"/>
    <w:rPr>
      <w:rFonts w:ascii="Calibri" w:eastAsia="MS Gothic" w:hAnsi="Calibri"/>
      <w:color w:val="404040"/>
      <w:sz w:val="22"/>
      <w:szCs w:val="24"/>
      <w:lang w:val="en-GB"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3060E4"/>
    <w:pPr>
      <w:spacing w:before="60"/>
      <w:ind w:left="284" w:hanging="284"/>
    </w:pPr>
    <w:rPr>
      <w:sz w:val="18"/>
    </w:rPr>
  </w:style>
  <w:style w:type="character" w:customStyle="1" w:styleId="FootnoteTextChar">
    <w:name w:val="Footnote Text Char"/>
    <w:link w:val="FootnoteText"/>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8E3A07"/>
    <w:pPr>
      <w:pBdr>
        <w:bottom w:val="single" w:sz="48" w:space="6" w:color="auto"/>
      </w:pBdr>
      <w:ind w:right="1701"/>
    </w:pPr>
    <w:rPr>
      <w:b/>
      <w:sz w:val="80"/>
    </w:rPr>
  </w:style>
  <w:style w:type="character" w:customStyle="1" w:styleId="TitleChar">
    <w:name w:val="Title Char"/>
    <w:link w:val="Title"/>
    <w:uiPriority w:val="99"/>
    <w:rsid w:val="008E3A0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36D8F"/>
    <w:pPr>
      <w:spacing w:before="80"/>
      <w:ind w:right="1985"/>
    </w:pPr>
    <w:rPr>
      <w:rFonts w:ascii="Arial" w:hAnsi="Arial"/>
      <w:sz w:val="18"/>
    </w:rPr>
  </w:style>
  <w:style w:type="character" w:customStyle="1" w:styleId="NoteChar">
    <w:name w:val="Note Char"/>
    <w:link w:val="Note"/>
    <w:rsid w:val="00436D8F"/>
    <w:rPr>
      <w:rFonts w:ascii="Arial" w:hAnsi="Arial"/>
      <w:sz w:val="18"/>
      <w:lang w:eastAsia="en-GB"/>
    </w:rPr>
  </w:style>
  <w:style w:type="paragraph" w:customStyle="1" w:styleId="Subhead">
    <w:name w:val="Subhead"/>
    <w:basedOn w:val="Normal"/>
    <w:next w:val="Normal"/>
    <w:qFormat/>
    <w:rsid w:val="008E3A07"/>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rsid w:val="007F674E"/>
    <w:pPr>
      <w:numPr>
        <w:numId w:val="30"/>
      </w:numPr>
      <w:spacing w:before="120"/>
    </w:pPr>
    <w:rPr>
      <w:szCs w:val="24"/>
    </w:rPr>
  </w:style>
  <w:style w:type="paragraph" w:customStyle="1" w:styleId="Letter">
    <w:name w:val="Letter"/>
    <w:basedOn w:val="Normal"/>
    <w:qFormat/>
    <w:rsid w:val="00F140B2"/>
    <w:pPr>
      <w:numPr>
        <w:ilvl w:val="3"/>
        <w:numId w:val="16"/>
      </w:num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hyperlink" Target="http://www.tepou.co.nz" TargetMode="External"/><Relationship Id="rId55"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eoplesmentalhealthreport.com/" TargetMode="External"/><Relationship Id="rId2" Type="http://schemas.openxmlformats.org/officeDocument/2006/relationships/numbering" Target="numbering.xml"/><Relationship Id="rId16" Type="http://schemas.openxmlformats.org/officeDocument/2006/relationships/hyperlink" Target="http://www.health.govt.nz/publications" TargetMode="Externa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www.nzlii.org/nz/cases/NZMHRT"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mhakpi.health.nz/" TargetMode="External"/><Relationship Id="rId23" Type="http://schemas.openxmlformats.org/officeDocument/2006/relationships/hyperlink" Target="http://www.health.govt.nz/"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hyperlink" Target="http://www.vincents.co.nz/" TargetMode="Externa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www.health.govt.nz/publication/new-zealand-suicide-prevention-action-plan-2013-2016" TargetMode="External"/><Relationship Id="rId65" Type="http://schemas.openxmlformats.org/officeDocument/2006/relationships/image" Target="media/image41.png"/><Relationship Id="rId73" Type="http://schemas.openxmlformats.org/officeDocument/2006/relationships/hyperlink" Target="http://www.health.govt.nz/nz-health-statistics/national-collections-and-surveys/collections/primhd-mental-health-dat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tepou.co.nz/" TargetMode="Externa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http://www.health.govt.nz/nz-health-statistics/national-collections-and-surveys/collections/primhd-mental-health-dat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www.health.govt.nz/news-media/media-releases/all-recommendations-accepted-mental-health-"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www.health.govt.nz/publication/new-zealand-suicide-prevention-action-plan-2013-2016" TargetMode="External"/><Relationship Id="rId67" Type="http://schemas.openxmlformats.org/officeDocument/2006/relationships/image" Target="media/image43.png"/><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hqsc.govt.nz/our-programmes/adverse-events/national-adverse-events-policy/" TargetMode="External"/><Relationship Id="rId13" Type="http://schemas.openxmlformats.org/officeDocument/2006/relationships/hyperlink" Target="http://www.hqsc.govt.nz/our-programmes/mrc/sumrc/publications-and-resources/publication/2471/" TargetMode="External"/><Relationship Id="rId3" Type="http://schemas.openxmlformats.org/officeDocument/2006/relationships/hyperlink" Target="http://www.oag.govt.nz/2017/mental-health/docs/mental-health.pdf/view" TargetMode="External"/><Relationship Id="rId7" Type="http://schemas.openxmlformats.org/officeDocument/2006/relationships/hyperlink" Target="http://www.hqsc.govt.nz/our-programmes/adverse-events/publications-and-resources/publication/2933/" TargetMode="External"/><Relationship Id="rId12" Type="http://schemas.openxmlformats.org/officeDocument/2006/relationships/hyperlink" Target="http://www.health.govt.nz/publication/new-zealand-suicide-prevention-action-plan-2013-2016" TargetMode="External"/><Relationship Id="rId2" Type="http://schemas.openxmlformats.org/officeDocument/2006/relationships/hyperlink" Target="http://www.health.govt.nz/our-work/regulation-health-and-disability-system/health-practitioners-competence-assurance-act" TargetMode="External"/><Relationship Id="rId1" Type="http://schemas.openxmlformats.org/officeDocument/2006/relationships/hyperlink" Target="http://www.health.govt.nz/our-work/mental-health-and-addictions" TargetMode="External"/><Relationship Id="rId6" Type="http://schemas.openxmlformats.org/officeDocument/2006/relationships/hyperlink" Target="http://www.hqsc.govt.nz/our-programmes/adverse-events/publications-and-resources/publication/2933/" TargetMode="External"/><Relationship Id="rId11" Type="http://schemas.openxmlformats.org/officeDocument/2006/relationships/hyperlink" Target="http://www.ihi.org/resources/Pages/IHIWhitePapers/" TargetMode="External"/><Relationship Id="rId5" Type="http://schemas.openxmlformats.org/officeDocument/2006/relationships/hyperlink" Target="http://www.health.govt.nz/nz-health-statistics/" TargetMode="External"/><Relationship Id="rId10" Type="http://schemas.openxmlformats.org/officeDocument/2006/relationships/hyperlink" Target="http://www.imperial.ac.uk/media/imperial-college/medicine/surgery-cancer/pstrc/londonprotocol_e.pdf" TargetMode="External"/><Relationship Id="rId4" Type="http://schemas.openxmlformats.org/officeDocument/2006/relationships/hyperlink" Target="http://www.health.govt.nz/nz-health-statistics/" TargetMode="External"/><Relationship Id="rId9" Type="http://schemas.openxmlformats.org/officeDocument/2006/relationships/hyperlink" Target="http://www.hqsc.govt.nz/our-programmes/adverse-events/national-adverse-events-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A3E5E-C05C-44E7-9244-F4BB6957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48</TotalTime>
  <Pages>89</Pages>
  <Words>25722</Words>
  <Characters>146616</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Office of the Director of Mental Health Annual Report 2016</vt:lpstr>
    </vt:vector>
  </TitlesOfParts>
  <Company>Microsoft</Company>
  <LinksUpToDate>false</LinksUpToDate>
  <CharactersWithSpaces>171995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Annual Report 2016</dc:title>
  <dc:creator>Ministry of Health</dc:creator>
  <cp:lastModifiedBy>Jane Adam</cp:lastModifiedBy>
  <cp:revision>6</cp:revision>
  <cp:lastPrinted>2015-11-17T05:02:00Z</cp:lastPrinted>
  <dcterms:created xsi:type="dcterms:W3CDTF">2017-12-14T23:34:00Z</dcterms:created>
  <dcterms:modified xsi:type="dcterms:W3CDTF">2018-03-12T23:26:00Z</dcterms:modified>
</cp:coreProperties>
</file>