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7C2E5" w14:textId="77777777" w:rsidR="00C86248" w:rsidRPr="00D54D50" w:rsidRDefault="00984EB0" w:rsidP="00D54D50">
      <w:pPr>
        <w:pStyle w:val="Title"/>
      </w:pPr>
      <w:r>
        <w:t>Assessing the Fitness to Drive of People Sentenced under Section 65 of the Land Transport Act 1998</w:t>
      </w:r>
    </w:p>
    <w:p w14:paraId="771C8E19" w14:textId="77777777" w:rsidR="00C86248" w:rsidRDefault="00984EB0" w:rsidP="00343365">
      <w:pPr>
        <w:pStyle w:val="Subhead"/>
      </w:pPr>
      <w:r>
        <w:t>Standard operating procedures</w:t>
      </w:r>
    </w:p>
    <w:p w14:paraId="1D845D27"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79F6759C" w14:textId="77777777" w:rsidR="00A80363" w:rsidRPr="00442C1C" w:rsidRDefault="00A80363">
      <w:pPr>
        <w:pStyle w:val="Imprint"/>
      </w:pPr>
      <w:r>
        <w:lastRenderedPageBreak/>
        <w:t xml:space="preserve">Citation: </w:t>
      </w:r>
      <w:r w:rsidR="00442C1C">
        <w:t xml:space="preserve">Ministry of Health. </w:t>
      </w:r>
      <w:r w:rsidR="00984EB0">
        <w:t>2017</w:t>
      </w:r>
      <w:r w:rsidR="00442C1C">
        <w:t xml:space="preserve">. </w:t>
      </w:r>
      <w:r w:rsidR="00984EB0">
        <w:rPr>
          <w:i/>
        </w:rPr>
        <w:t>Assessing the Fitness to Drive of People Sentenced under Section 65 of the Land Transport Act 1998: Standard operating procedures</w:t>
      </w:r>
      <w:r w:rsidR="00442C1C">
        <w:t>. Wellington: Ministry of Health.</w:t>
      </w:r>
    </w:p>
    <w:p w14:paraId="7F0AD6B5" w14:textId="3C1DA15A" w:rsidR="00C86248" w:rsidRDefault="00C86248">
      <w:pPr>
        <w:pStyle w:val="Imprint"/>
      </w:pPr>
      <w:r>
        <w:t xml:space="preserve">Published in </w:t>
      </w:r>
      <w:r w:rsidR="00695BE6">
        <w:t>October</w:t>
      </w:r>
      <w:r w:rsidR="00984EB0">
        <w:t xml:space="preserve"> 2017</w:t>
      </w:r>
      <w:r w:rsidR="005019AE">
        <w:br/>
      </w:r>
      <w:r>
        <w:t>by the</w:t>
      </w:r>
      <w:r w:rsidR="00442C1C">
        <w:t xml:space="preserve"> </w:t>
      </w:r>
      <w:r>
        <w:t>Ministry of Health</w:t>
      </w:r>
      <w:r>
        <w:br/>
        <w:t>PO Box 5013, Wellington</w:t>
      </w:r>
      <w:r w:rsidR="00A80363">
        <w:t xml:space="preserve"> 614</w:t>
      </w:r>
      <w:r w:rsidR="006041F0">
        <w:t>0</w:t>
      </w:r>
      <w:r>
        <w:t>, New Zealand</w:t>
      </w:r>
    </w:p>
    <w:p w14:paraId="5DDBD377" w14:textId="77777777" w:rsidR="00082CD6" w:rsidRPr="009C0F2D" w:rsidRDefault="00D863D0" w:rsidP="00082CD6">
      <w:pPr>
        <w:pStyle w:val="Imprint"/>
      </w:pPr>
      <w:r>
        <w:t>ISBN</w:t>
      </w:r>
      <w:r w:rsidR="00442C1C">
        <w:t xml:space="preserve"> </w:t>
      </w:r>
      <w:r w:rsidR="00162C97" w:rsidRPr="00162C97">
        <w:t>978-1-98-850295-3</w:t>
      </w:r>
      <w:r w:rsidR="00442C1C">
        <w:t xml:space="preserve"> </w:t>
      </w:r>
      <w:r>
        <w:t>(</w:t>
      </w:r>
      <w:r w:rsidR="00442C1C">
        <w:t>online</w:t>
      </w:r>
      <w:r>
        <w:t>)</w:t>
      </w:r>
      <w:r w:rsidR="00082CD6">
        <w:br/>
      </w:r>
      <w:r w:rsidR="00082CD6" w:rsidRPr="009C0F2D">
        <w:t xml:space="preserve">HP </w:t>
      </w:r>
      <w:r w:rsidR="00162C97">
        <w:t>6692</w:t>
      </w:r>
    </w:p>
    <w:p w14:paraId="554C63DB" w14:textId="77777777" w:rsidR="00C86248" w:rsidRPr="004711E2" w:rsidRDefault="008E3A07">
      <w:pPr>
        <w:pStyle w:val="Imprint"/>
        <w:rPr>
          <w:rStyle w:val="Hyperlink"/>
          <w:rFonts w:eastAsia="MS Gothic"/>
        </w:rPr>
      </w:pPr>
      <w:r>
        <w:t>This document is available at health.govt.nz</w:t>
      </w:r>
    </w:p>
    <w:p w14:paraId="6E9FAA6A" w14:textId="77777777" w:rsidR="00C86248" w:rsidRDefault="008C64C4">
      <w:pPr>
        <w:jc w:val="center"/>
      </w:pPr>
      <w:r>
        <w:rPr>
          <w:noProof/>
          <w:lang w:eastAsia="en-NZ"/>
        </w:rPr>
        <w:drawing>
          <wp:inline distT="0" distB="0" distL="0" distR="0" wp14:anchorId="5676F8EF" wp14:editId="2D38BDCB">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7E5986E3" w14:textId="77777777"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74D5EDD5" wp14:editId="4E12037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14:paraId="4B989F56"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39257D3C" w14:textId="77777777" w:rsidR="00C86248" w:rsidRDefault="00C86248" w:rsidP="00984EB0">
      <w:pPr>
        <w:pStyle w:val="IntroHead"/>
      </w:pPr>
      <w:bookmarkStart w:id="0" w:name="_Toc405792991"/>
      <w:bookmarkStart w:id="1" w:name="_Toc405793224"/>
      <w:r>
        <w:lastRenderedPageBreak/>
        <w:t>Contents</w:t>
      </w:r>
      <w:bookmarkEnd w:id="0"/>
      <w:bookmarkEnd w:id="1"/>
    </w:p>
    <w:p w14:paraId="6E423C36" w14:textId="77777777" w:rsidR="00451241"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451241">
        <w:rPr>
          <w:noProof/>
        </w:rPr>
        <w:t>Executive summary</w:t>
      </w:r>
      <w:r w:rsidR="00451241">
        <w:rPr>
          <w:noProof/>
        </w:rPr>
        <w:tab/>
      </w:r>
      <w:r w:rsidR="00451241">
        <w:rPr>
          <w:noProof/>
        </w:rPr>
        <w:fldChar w:fldCharType="begin"/>
      </w:r>
      <w:r w:rsidR="00451241">
        <w:rPr>
          <w:noProof/>
        </w:rPr>
        <w:instrText xml:space="preserve"> PAGEREF _Toc492493064 \h </w:instrText>
      </w:r>
      <w:r w:rsidR="00451241">
        <w:rPr>
          <w:noProof/>
        </w:rPr>
      </w:r>
      <w:r w:rsidR="00451241">
        <w:rPr>
          <w:noProof/>
        </w:rPr>
        <w:fldChar w:fldCharType="separate"/>
      </w:r>
      <w:r w:rsidR="0048219A">
        <w:rPr>
          <w:noProof/>
        </w:rPr>
        <w:t>iv</w:t>
      </w:r>
      <w:r w:rsidR="00451241">
        <w:rPr>
          <w:noProof/>
        </w:rPr>
        <w:fldChar w:fldCharType="end"/>
      </w:r>
    </w:p>
    <w:p w14:paraId="7E0CE683" w14:textId="77777777" w:rsidR="00451241" w:rsidRDefault="00451241">
      <w:pPr>
        <w:pStyle w:val="TOC1"/>
        <w:tabs>
          <w:tab w:val="left" w:pos="1276"/>
        </w:tabs>
        <w:rPr>
          <w:rFonts w:asciiTheme="minorHAnsi" w:eastAsiaTheme="minorEastAsia" w:hAnsiTheme="minorHAnsi" w:cstheme="minorBidi"/>
          <w:b w:val="0"/>
          <w:noProof/>
          <w:szCs w:val="22"/>
          <w:lang w:eastAsia="en-NZ"/>
        </w:rPr>
      </w:pPr>
      <w:r>
        <w:rPr>
          <w:noProof/>
        </w:rPr>
        <w:t>1</w:t>
      </w:r>
      <w:r>
        <w:rPr>
          <w:rFonts w:asciiTheme="minorHAnsi" w:eastAsiaTheme="minorEastAsia" w:hAnsiTheme="minorHAnsi" w:cstheme="minorBidi"/>
          <w:b w:val="0"/>
          <w:noProof/>
          <w:szCs w:val="22"/>
          <w:lang w:eastAsia="en-NZ"/>
        </w:rPr>
        <w:tab/>
      </w:r>
      <w:r>
        <w:rPr>
          <w:noProof/>
        </w:rPr>
        <w:t>Introduction</w:t>
      </w:r>
      <w:r>
        <w:rPr>
          <w:noProof/>
        </w:rPr>
        <w:tab/>
      </w:r>
      <w:r>
        <w:rPr>
          <w:noProof/>
        </w:rPr>
        <w:fldChar w:fldCharType="begin"/>
      </w:r>
      <w:r>
        <w:rPr>
          <w:noProof/>
        </w:rPr>
        <w:instrText xml:space="preserve"> PAGEREF _Toc492493065 \h </w:instrText>
      </w:r>
      <w:r>
        <w:rPr>
          <w:noProof/>
        </w:rPr>
      </w:r>
      <w:r>
        <w:rPr>
          <w:noProof/>
        </w:rPr>
        <w:fldChar w:fldCharType="separate"/>
      </w:r>
      <w:r w:rsidR="0048219A">
        <w:rPr>
          <w:noProof/>
        </w:rPr>
        <w:t>1</w:t>
      </w:r>
      <w:r>
        <w:rPr>
          <w:noProof/>
        </w:rPr>
        <w:fldChar w:fldCharType="end"/>
      </w:r>
    </w:p>
    <w:p w14:paraId="4FF43C61"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1.1</w:t>
      </w:r>
      <w:r>
        <w:rPr>
          <w:rFonts w:asciiTheme="minorHAnsi" w:eastAsiaTheme="minorEastAsia" w:hAnsiTheme="minorHAnsi" w:cstheme="minorBidi"/>
          <w:noProof/>
          <w:szCs w:val="22"/>
          <w:lang w:eastAsia="en-NZ"/>
        </w:rPr>
        <w:tab/>
      </w:r>
      <w:r>
        <w:rPr>
          <w:noProof/>
        </w:rPr>
        <w:t>Background</w:t>
      </w:r>
      <w:r>
        <w:rPr>
          <w:noProof/>
        </w:rPr>
        <w:tab/>
      </w:r>
      <w:r>
        <w:rPr>
          <w:noProof/>
        </w:rPr>
        <w:fldChar w:fldCharType="begin"/>
      </w:r>
      <w:r>
        <w:rPr>
          <w:noProof/>
        </w:rPr>
        <w:instrText xml:space="preserve"> PAGEREF _Toc492493066 \h </w:instrText>
      </w:r>
      <w:r>
        <w:rPr>
          <w:noProof/>
        </w:rPr>
      </w:r>
      <w:r>
        <w:rPr>
          <w:noProof/>
        </w:rPr>
        <w:fldChar w:fldCharType="separate"/>
      </w:r>
      <w:r w:rsidR="0048219A">
        <w:rPr>
          <w:noProof/>
        </w:rPr>
        <w:t>1</w:t>
      </w:r>
      <w:r>
        <w:rPr>
          <w:noProof/>
        </w:rPr>
        <w:fldChar w:fldCharType="end"/>
      </w:r>
    </w:p>
    <w:p w14:paraId="67BD3AC4"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1.2</w:t>
      </w:r>
      <w:r>
        <w:rPr>
          <w:rFonts w:asciiTheme="minorHAnsi" w:eastAsiaTheme="minorEastAsia" w:hAnsiTheme="minorHAnsi" w:cstheme="minorBidi"/>
          <w:noProof/>
          <w:szCs w:val="22"/>
          <w:lang w:eastAsia="en-NZ"/>
        </w:rPr>
        <w:tab/>
      </w:r>
      <w:r>
        <w:rPr>
          <w:noProof/>
        </w:rPr>
        <w:t>Penalties for repeat offences (section 65)</w:t>
      </w:r>
      <w:r>
        <w:rPr>
          <w:noProof/>
        </w:rPr>
        <w:tab/>
      </w:r>
      <w:r>
        <w:rPr>
          <w:noProof/>
        </w:rPr>
        <w:fldChar w:fldCharType="begin"/>
      </w:r>
      <w:r>
        <w:rPr>
          <w:noProof/>
        </w:rPr>
        <w:instrText xml:space="preserve"> PAGEREF _Toc492493067 \h </w:instrText>
      </w:r>
      <w:r>
        <w:rPr>
          <w:noProof/>
        </w:rPr>
      </w:r>
      <w:r>
        <w:rPr>
          <w:noProof/>
        </w:rPr>
        <w:fldChar w:fldCharType="separate"/>
      </w:r>
      <w:r w:rsidR="0048219A">
        <w:rPr>
          <w:noProof/>
        </w:rPr>
        <w:t>1</w:t>
      </w:r>
      <w:r>
        <w:rPr>
          <w:noProof/>
        </w:rPr>
        <w:fldChar w:fldCharType="end"/>
      </w:r>
    </w:p>
    <w:p w14:paraId="61844FC3"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1.3</w:t>
      </w:r>
      <w:r>
        <w:rPr>
          <w:rFonts w:asciiTheme="minorHAnsi" w:eastAsiaTheme="minorEastAsia" w:hAnsiTheme="minorHAnsi" w:cstheme="minorBidi"/>
          <w:noProof/>
          <w:szCs w:val="22"/>
          <w:lang w:eastAsia="en-NZ"/>
        </w:rPr>
        <w:tab/>
      </w:r>
      <w:r>
        <w:rPr>
          <w:noProof/>
        </w:rPr>
        <w:t>Removal of disqualifications (section 100)</w:t>
      </w:r>
      <w:r>
        <w:rPr>
          <w:noProof/>
        </w:rPr>
        <w:tab/>
      </w:r>
      <w:r>
        <w:rPr>
          <w:noProof/>
        </w:rPr>
        <w:fldChar w:fldCharType="begin"/>
      </w:r>
      <w:r>
        <w:rPr>
          <w:noProof/>
        </w:rPr>
        <w:instrText xml:space="preserve"> PAGEREF _Toc492493068 \h </w:instrText>
      </w:r>
      <w:r>
        <w:rPr>
          <w:noProof/>
        </w:rPr>
      </w:r>
      <w:r>
        <w:rPr>
          <w:noProof/>
        </w:rPr>
        <w:fldChar w:fldCharType="separate"/>
      </w:r>
      <w:r w:rsidR="0048219A">
        <w:rPr>
          <w:noProof/>
        </w:rPr>
        <w:t>2</w:t>
      </w:r>
      <w:r>
        <w:rPr>
          <w:noProof/>
        </w:rPr>
        <w:fldChar w:fldCharType="end"/>
      </w:r>
    </w:p>
    <w:p w14:paraId="2BF4CE86" w14:textId="77777777" w:rsidR="00451241" w:rsidRDefault="00451241">
      <w:pPr>
        <w:pStyle w:val="TOC1"/>
        <w:tabs>
          <w:tab w:val="left" w:pos="1276"/>
        </w:tabs>
        <w:rPr>
          <w:rFonts w:asciiTheme="minorHAnsi" w:eastAsiaTheme="minorEastAsia" w:hAnsiTheme="minorHAnsi" w:cstheme="minorBidi"/>
          <w:b w:val="0"/>
          <w:noProof/>
          <w:szCs w:val="22"/>
          <w:lang w:eastAsia="en-NZ"/>
        </w:rPr>
      </w:pPr>
      <w:r>
        <w:rPr>
          <w:noProof/>
        </w:rPr>
        <w:t>2</w:t>
      </w:r>
      <w:r>
        <w:rPr>
          <w:rFonts w:asciiTheme="minorHAnsi" w:eastAsiaTheme="minorEastAsia" w:hAnsiTheme="minorHAnsi" w:cstheme="minorBidi"/>
          <w:b w:val="0"/>
          <w:noProof/>
          <w:szCs w:val="22"/>
          <w:lang w:eastAsia="en-NZ"/>
        </w:rPr>
        <w:tab/>
      </w:r>
      <w:r>
        <w:rPr>
          <w:noProof/>
        </w:rPr>
        <w:t>The assessment</w:t>
      </w:r>
      <w:r>
        <w:rPr>
          <w:noProof/>
        </w:rPr>
        <w:tab/>
      </w:r>
      <w:r>
        <w:rPr>
          <w:noProof/>
        </w:rPr>
        <w:fldChar w:fldCharType="begin"/>
      </w:r>
      <w:r>
        <w:rPr>
          <w:noProof/>
        </w:rPr>
        <w:instrText xml:space="preserve"> PAGEREF _Toc492493069 \h </w:instrText>
      </w:r>
      <w:r>
        <w:rPr>
          <w:noProof/>
        </w:rPr>
      </w:r>
      <w:r>
        <w:rPr>
          <w:noProof/>
        </w:rPr>
        <w:fldChar w:fldCharType="separate"/>
      </w:r>
      <w:r w:rsidR="0048219A">
        <w:rPr>
          <w:noProof/>
        </w:rPr>
        <w:t>3</w:t>
      </w:r>
      <w:r>
        <w:rPr>
          <w:noProof/>
        </w:rPr>
        <w:fldChar w:fldCharType="end"/>
      </w:r>
    </w:p>
    <w:p w14:paraId="69A3A69F"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2.1</w:t>
      </w:r>
      <w:r>
        <w:rPr>
          <w:rFonts w:asciiTheme="minorHAnsi" w:eastAsiaTheme="minorEastAsia" w:hAnsiTheme="minorHAnsi" w:cstheme="minorBidi"/>
          <w:noProof/>
          <w:szCs w:val="22"/>
          <w:lang w:eastAsia="en-NZ"/>
        </w:rPr>
        <w:tab/>
      </w:r>
      <w:r>
        <w:rPr>
          <w:noProof/>
        </w:rPr>
        <w:t>Assessment</w:t>
      </w:r>
      <w:r>
        <w:rPr>
          <w:noProof/>
        </w:rPr>
        <w:tab/>
      </w:r>
      <w:r>
        <w:rPr>
          <w:noProof/>
        </w:rPr>
        <w:fldChar w:fldCharType="begin"/>
      </w:r>
      <w:r>
        <w:rPr>
          <w:noProof/>
        </w:rPr>
        <w:instrText xml:space="preserve"> PAGEREF _Toc492493070 \h </w:instrText>
      </w:r>
      <w:r>
        <w:rPr>
          <w:noProof/>
        </w:rPr>
      </w:r>
      <w:r>
        <w:rPr>
          <w:noProof/>
        </w:rPr>
        <w:fldChar w:fldCharType="separate"/>
      </w:r>
      <w:r w:rsidR="0048219A">
        <w:rPr>
          <w:noProof/>
        </w:rPr>
        <w:t>3</w:t>
      </w:r>
      <w:r>
        <w:rPr>
          <w:noProof/>
        </w:rPr>
        <w:fldChar w:fldCharType="end"/>
      </w:r>
    </w:p>
    <w:p w14:paraId="463C0797"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2.2</w:t>
      </w:r>
      <w:r>
        <w:rPr>
          <w:rFonts w:asciiTheme="minorHAnsi" w:eastAsiaTheme="minorEastAsia" w:hAnsiTheme="minorHAnsi" w:cstheme="minorBidi"/>
          <w:noProof/>
          <w:szCs w:val="22"/>
          <w:lang w:eastAsia="en-NZ"/>
        </w:rPr>
        <w:tab/>
      </w:r>
      <w:r>
        <w:rPr>
          <w:noProof/>
        </w:rPr>
        <w:t>Assessor’s duty of care</w:t>
      </w:r>
      <w:r>
        <w:rPr>
          <w:noProof/>
        </w:rPr>
        <w:tab/>
      </w:r>
      <w:r>
        <w:rPr>
          <w:noProof/>
        </w:rPr>
        <w:fldChar w:fldCharType="begin"/>
      </w:r>
      <w:r>
        <w:rPr>
          <w:noProof/>
        </w:rPr>
        <w:instrText xml:space="preserve"> PAGEREF _Toc492493071 \h </w:instrText>
      </w:r>
      <w:r>
        <w:rPr>
          <w:noProof/>
        </w:rPr>
      </w:r>
      <w:r>
        <w:rPr>
          <w:noProof/>
        </w:rPr>
        <w:fldChar w:fldCharType="separate"/>
      </w:r>
      <w:r w:rsidR="0048219A">
        <w:rPr>
          <w:noProof/>
        </w:rPr>
        <w:t>3</w:t>
      </w:r>
      <w:r>
        <w:rPr>
          <w:noProof/>
        </w:rPr>
        <w:fldChar w:fldCharType="end"/>
      </w:r>
    </w:p>
    <w:p w14:paraId="07FBFFEE"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2.3</w:t>
      </w:r>
      <w:r>
        <w:rPr>
          <w:rFonts w:asciiTheme="minorHAnsi" w:eastAsiaTheme="minorEastAsia" w:hAnsiTheme="minorHAnsi" w:cstheme="minorBidi"/>
          <w:noProof/>
          <w:szCs w:val="22"/>
          <w:lang w:eastAsia="en-NZ"/>
        </w:rPr>
        <w:tab/>
      </w:r>
      <w:r>
        <w:rPr>
          <w:noProof/>
        </w:rPr>
        <w:t>Timeframes and sequence</w:t>
      </w:r>
      <w:r>
        <w:rPr>
          <w:noProof/>
        </w:rPr>
        <w:tab/>
      </w:r>
      <w:r>
        <w:rPr>
          <w:noProof/>
        </w:rPr>
        <w:fldChar w:fldCharType="begin"/>
      </w:r>
      <w:r>
        <w:rPr>
          <w:noProof/>
        </w:rPr>
        <w:instrText xml:space="preserve"> PAGEREF _Toc492493072 \h </w:instrText>
      </w:r>
      <w:r>
        <w:rPr>
          <w:noProof/>
        </w:rPr>
      </w:r>
      <w:r>
        <w:rPr>
          <w:noProof/>
        </w:rPr>
        <w:fldChar w:fldCharType="separate"/>
      </w:r>
      <w:r w:rsidR="0048219A">
        <w:rPr>
          <w:noProof/>
        </w:rPr>
        <w:t>4</w:t>
      </w:r>
      <w:r>
        <w:rPr>
          <w:noProof/>
        </w:rPr>
        <w:fldChar w:fldCharType="end"/>
      </w:r>
    </w:p>
    <w:p w14:paraId="6995F94B" w14:textId="77777777" w:rsidR="00451241" w:rsidRDefault="00451241">
      <w:pPr>
        <w:pStyle w:val="TOC1"/>
        <w:tabs>
          <w:tab w:val="left" w:pos="1276"/>
        </w:tabs>
        <w:rPr>
          <w:rFonts w:asciiTheme="minorHAnsi" w:eastAsiaTheme="minorEastAsia" w:hAnsiTheme="minorHAnsi" w:cstheme="minorBidi"/>
          <w:b w:val="0"/>
          <w:noProof/>
          <w:szCs w:val="22"/>
          <w:lang w:eastAsia="en-NZ"/>
        </w:rPr>
      </w:pPr>
      <w:r>
        <w:rPr>
          <w:noProof/>
        </w:rPr>
        <w:t>3</w:t>
      </w:r>
      <w:r>
        <w:rPr>
          <w:rFonts w:asciiTheme="minorHAnsi" w:eastAsiaTheme="minorEastAsia" w:hAnsiTheme="minorHAnsi" w:cstheme="minorBidi"/>
          <w:b w:val="0"/>
          <w:noProof/>
          <w:szCs w:val="22"/>
          <w:lang w:eastAsia="en-NZ"/>
        </w:rPr>
        <w:tab/>
      </w:r>
      <w:r>
        <w:rPr>
          <w:noProof/>
        </w:rPr>
        <w:t>The assessment process</w:t>
      </w:r>
      <w:r>
        <w:rPr>
          <w:noProof/>
        </w:rPr>
        <w:tab/>
      </w:r>
      <w:r>
        <w:rPr>
          <w:noProof/>
        </w:rPr>
        <w:fldChar w:fldCharType="begin"/>
      </w:r>
      <w:r>
        <w:rPr>
          <w:noProof/>
        </w:rPr>
        <w:instrText xml:space="preserve"> PAGEREF _Toc492493073 \h </w:instrText>
      </w:r>
      <w:r>
        <w:rPr>
          <w:noProof/>
        </w:rPr>
      </w:r>
      <w:r>
        <w:rPr>
          <w:noProof/>
        </w:rPr>
        <w:fldChar w:fldCharType="separate"/>
      </w:r>
      <w:r w:rsidR="0048219A">
        <w:rPr>
          <w:noProof/>
        </w:rPr>
        <w:t>6</w:t>
      </w:r>
      <w:r>
        <w:rPr>
          <w:noProof/>
        </w:rPr>
        <w:fldChar w:fldCharType="end"/>
      </w:r>
    </w:p>
    <w:p w14:paraId="3989960D"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3.1</w:t>
      </w:r>
      <w:r>
        <w:rPr>
          <w:rFonts w:asciiTheme="minorHAnsi" w:eastAsiaTheme="minorEastAsia" w:hAnsiTheme="minorHAnsi" w:cstheme="minorBidi"/>
          <w:noProof/>
          <w:szCs w:val="22"/>
          <w:lang w:eastAsia="en-NZ"/>
        </w:rPr>
        <w:tab/>
      </w:r>
      <w:r>
        <w:rPr>
          <w:noProof/>
        </w:rPr>
        <w:t>At court</w:t>
      </w:r>
      <w:r>
        <w:rPr>
          <w:noProof/>
        </w:rPr>
        <w:tab/>
      </w:r>
      <w:r>
        <w:rPr>
          <w:noProof/>
        </w:rPr>
        <w:fldChar w:fldCharType="begin"/>
      </w:r>
      <w:r>
        <w:rPr>
          <w:noProof/>
        </w:rPr>
        <w:instrText xml:space="preserve"> PAGEREF _Toc492493074 \h </w:instrText>
      </w:r>
      <w:r>
        <w:rPr>
          <w:noProof/>
        </w:rPr>
      </w:r>
      <w:r>
        <w:rPr>
          <w:noProof/>
        </w:rPr>
        <w:fldChar w:fldCharType="separate"/>
      </w:r>
      <w:r w:rsidR="0048219A">
        <w:rPr>
          <w:noProof/>
        </w:rPr>
        <w:t>6</w:t>
      </w:r>
      <w:r>
        <w:rPr>
          <w:noProof/>
        </w:rPr>
        <w:fldChar w:fldCharType="end"/>
      </w:r>
    </w:p>
    <w:p w14:paraId="6E4E4876"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3.2</w:t>
      </w:r>
      <w:r>
        <w:rPr>
          <w:rFonts w:asciiTheme="minorHAnsi" w:eastAsiaTheme="minorEastAsia" w:hAnsiTheme="minorHAnsi" w:cstheme="minorBidi"/>
          <w:noProof/>
          <w:szCs w:val="22"/>
          <w:lang w:eastAsia="en-NZ"/>
        </w:rPr>
        <w:tab/>
      </w:r>
      <w:r>
        <w:rPr>
          <w:noProof/>
        </w:rPr>
        <w:t>At the assessment centre</w:t>
      </w:r>
      <w:r>
        <w:rPr>
          <w:noProof/>
        </w:rPr>
        <w:tab/>
      </w:r>
      <w:r>
        <w:rPr>
          <w:noProof/>
        </w:rPr>
        <w:fldChar w:fldCharType="begin"/>
      </w:r>
      <w:r>
        <w:rPr>
          <w:noProof/>
        </w:rPr>
        <w:instrText xml:space="preserve"> PAGEREF _Toc492493075 \h </w:instrText>
      </w:r>
      <w:r>
        <w:rPr>
          <w:noProof/>
        </w:rPr>
      </w:r>
      <w:r>
        <w:rPr>
          <w:noProof/>
        </w:rPr>
        <w:fldChar w:fldCharType="separate"/>
      </w:r>
      <w:r w:rsidR="0048219A">
        <w:rPr>
          <w:noProof/>
        </w:rPr>
        <w:t>6</w:t>
      </w:r>
      <w:r>
        <w:rPr>
          <w:noProof/>
        </w:rPr>
        <w:fldChar w:fldCharType="end"/>
      </w:r>
    </w:p>
    <w:p w14:paraId="4C3ECB9B"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3.3</w:t>
      </w:r>
      <w:r>
        <w:rPr>
          <w:rFonts w:asciiTheme="minorHAnsi" w:eastAsiaTheme="minorEastAsia" w:hAnsiTheme="minorHAnsi" w:cstheme="minorBidi"/>
          <w:noProof/>
          <w:szCs w:val="22"/>
          <w:lang w:eastAsia="en-NZ"/>
        </w:rPr>
        <w:tab/>
      </w:r>
      <w:r>
        <w:rPr>
          <w:noProof/>
        </w:rPr>
        <w:t>Information gathered in the assessment</w:t>
      </w:r>
      <w:r>
        <w:rPr>
          <w:noProof/>
        </w:rPr>
        <w:tab/>
      </w:r>
      <w:r>
        <w:rPr>
          <w:noProof/>
        </w:rPr>
        <w:fldChar w:fldCharType="begin"/>
      </w:r>
      <w:r>
        <w:rPr>
          <w:noProof/>
        </w:rPr>
        <w:instrText xml:space="preserve"> PAGEREF _Toc492493076 \h </w:instrText>
      </w:r>
      <w:r>
        <w:rPr>
          <w:noProof/>
        </w:rPr>
      </w:r>
      <w:r>
        <w:rPr>
          <w:noProof/>
        </w:rPr>
        <w:fldChar w:fldCharType="separate"/>
      </w:r>
      <w:r w:rsidR="0048219A">
        <w:rPr>
          <w:noProof/>
        </w:rPr>
        <w:t>7</w:t>
      </w:r>
      <w:r>
        <w:rPr>
          <w:noProof/>
        </w:rPr>
        <w:fldChar w:fldCharType="end"/>
      </w:r>
    </w:p>
    <w:p w14:paraId="2015D326"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3.4</w:t>
      </w:r>
      <w:r>
        <w:rPr>
          <w:rFonts w:asciiTheme="minorHAnsi" w:eastAsiaTheme="minorEastAsia" w:hAnsiTheme="minorHAnsi" w:cstheme="minorBidi"/>
          <w:noProof/>
          <w:szCs w:val="22"/>
          <w:lang w:eastAsia="en-NZ"/>
        </w:rPr>
        <w:tab/>
      </w:r>
      <w:r>
        <w:rPr>
          <w:noProof/>
        </w:rPr>
        <w:t>How to conduct a risk assessment</w:t>
      </w:r>
      <w:r>
        <w:rPr>
          <w:noProof/>
        </w:rPr>
        <w:tab/>
      </w:r>
      <w:r>
        <w:rPr>
          <w:noProof/>
        </w:rPr>
        <w:fldChar w:fldCharType="begin"/>
      </w:r>
      <w:r>
        <w:rPr>
          <w:noProof/>
        </w:rPr>
        <w:instrText xml:space="preserve"> PAGEREF _Toc492493077 \h </w:instrText>
      </w:r>
      <w:r>
        <w:rPr>
          <w:noProof/>
        </w:rPr>
      </w:r>
      <w:r>
        <w:rPr>
          <w:noProof/>
        </w:rPr>
        <w:fldChar w:fldCharType="separate"/>
      </w:r>
      <w:r w:rsidR="0048219A">
        <w:rPr>
          <w:noProof/>
        </w:rPr>
        <w:t>8</w:t>
      </w:r>
      <w:r>
        <w:rPr>
          <w:noProof/>
        </w:rPr>
        <w:fldChar w:fldCharType="end"/>
      </w:r>
    </w:p>
    <w:p w14:paraId="00522A7B" w14:textId="77777777" w:rsidR="00451241" w:rsidRDefault="00451241">
      <w:pPr>
        <w:pStyle w:val="TOC1"/>
        <w:tabs>
          <w:tab w:val="left" w:pos="1276"/>
        </w:tabs>
        <w:rPr>
          <w:rFonts w:asciiTheme="minorHAnsi" w:eastAsiaTheme="minorEastAsia" w:hAnsiTheme="minorHAnsi" w:cstheme="minorBidi"/>
          <w:b w:val="0"/>
          <w:noProof/>
          <w:szCs w:val="22"/>
          <w:lang w:eastAsia="en-NZ"/>
        </w:rPr>
      </w:pPr>
      <w:r>
        <w:rPr>
          <w:noProof/>
        </w:rPr>
        <w:t>4</w:t>
      </w:r>
      <w:r>
        <w:rPr>
          <w:rFonts w:asciiTheme="minorHAnsi" w:eastAsiaTheme="minorEastAsia" w:hAnsiTheme="minorHAnsi" w:cstheme="minorBidi"/>
          <w:b w:val="0"/>
          <w:noProof/>
          <w:szCs w:val="22"/>
          <w:lang w:eastAsia="en-NZ"/>
        </w:rPr>
        <w:tab/>
      </w:r>
      <w:r>
        <w:rPr>
          <w:noProof/>
        </w:rPr>
        <w:t>Laboratory tests and a medical examination</w:t>
      </w:r>
      <w:r>
        <w:rPr>
          <w:noProof/>
        </w:rPr>
        <w:tab/>
      </w:r>
      <w:r>
        <w:rPr>
          <w:noProof/>
        </w:rPr>
        <w:fldChar w:fldCharType="begin"/>
      </w:r>
      <w:r>
        <w:rPr>
          <w:noProof/>
        </w:rPr>
        <w:instrText xml:space="preserve"> PAGEREF _Toc492493078 \h </w:instrText>
      </w:r>
      <w:r>
        <w:rPr>
          <w:noProof/>
        </w:rPr>
      </w:r>
      <w:r>
        <w:rPr>
          <w:noProof/>
        </w:rPr>
        <w:fldChar w:fldCharType="separate"/>
      </w:r>
      <w:r w:rsidR="0048219A">
        <w:rPr>
          <w:noProof/>
        </w:rPr>
        <w:t>9</w:t>
      </w:r>
      <w:r>
        <w:rPr>
          <w:noProof/>
        </w:rPr>
        <w:fldChar w:fldCharType="end"/>
      </w:r>
    </w:p>
    <w:p w14:paraId="6B3463B5"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4.1</w:t>
      </w:r>
      <w:r>
        <w:rPr>
          <w:rFonts w:asciiTheme="minorHAnsi" w:eastAsiaTheme="minorEastAsia" w:hAnsiTheme="minorHAnsi" w:cstheme="minorBidi"/>
          <w:noProof/>
          <w:szCs w:val="22"/>
          <w:lang w:eastAsia="en-NZ"/>
        </w:rPr>
        <w:tab/>
      </w:r>
      <w:r>
        <w:rPr>
          <w:noProof/>
        </w:rPr>
        <w:t>Required laboratory tests</w:t>
      </w:r>
      <w:r>
        <w:rPr>
          <w:noProof/>
        </w:rPr>
        <w:tab/>
      </w:r>
      <w:r>
        <w:rPr>
          <w:noProof/>
        </w:rPr>
        <w:fldChar w:fldCharType="begin"/>
      </w:r>
      <w:r>
        <w:rPr>
          <w:noProof/>
        </w:rPr>
        <w:instrText xml:space="preserve"> PAGEREF _Toc492493079 \h </w:instrText>
      </w:r>
      <w:r>
        <w:rPr>
          <w:noProof/>
        </w:rPr>
      </w:r>
      <w:r>
        <w:rPr>
          <w:noProof/>
        </w:rPr>
        <w:fldChar w:fldCharType="separate"/>
      </w:r>
      <w:r w:rsidR="0048219A">
        <w:rPr>
          <w:noProof/>
        </w:rPr>
        <w:t>9</w:t>
      </w:r>
      <w:r>
        <w:rPr>
          <w:noProof/>
        </w:rPr>
        <w:fldChar w:fldCharType="end"/>
      </w:r>
    </w:p>
    <w:p w14:paraId="53E20B58"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4.2</w:t>
      </w:r>
      <w:r>
        <w:rPr>
          <w:rFonts w:asciiTheme="minorHAnsi" w:eastAsiaTheme="minorEastAsia" w:hAnsiTheme="minorHAnsi" w:cstheme="minorBidi"/>
          <w:noProof/>
          <w:szCs w:val="22"/>
          <w:lang w:eastAsia="en-NZ"/>
        </w:rPr>
        <w:tab/>
      </w:r>
      <w:r>
        <w:rPr>
          <w:noProof/>
        </w:rPr>
        <w:t>Medical examination</w:t>
      </w:r>
      <w:r>
        <w:rPr>
          <w:noProof/>
        </w:rPr>
        <w:tab/>
      </w:r>
      <w:r>
        <w:rPr>
          <w:noProof/>
        </w:rPr>
        <w:fldChar w:fldCharType="begin"/>
      </w:r>
      <w:r>
        <w:rPr>
          <w:noProof/>
        </w:rPr>
        <w:instrText xml:space="preserve"> PAGEREF _Toc492493080 \h </w:instrText>
      </w:r>
      <w:r>
        <w:rPr>
          <w:noProof/>
        </w:rPr>
      </w:r>
      <w:r>
        <w:rPr>
          <w:noProof/>
        </w:rPr>
        <w:fldChar w:fldCharType="separate"/>
      </w:r>
      <w:r w:rsidR="0048219A">
        <w:rPr>
          <w:noProof/>
        </w:rPr>
        <w:t>9</w:t>
      </w:r>
      <w:r>
        <w:rPr>
          <w:noProof/>
        </w:rPr>
        <w:fldChar w:fldCharType="end"/>
      </w:r>
    </w:p>
    <w:p w14:paraId="21DA091C"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4.3</w:t>
      </w:r>
      <w:r>
        <w:rPr>
          <w:rFonts w:asciiTheme="minorHAnsi" w:eastAsiaTheme="minorEastAsia" w:hAnsiTheme="minorHAnsi" w:cstheme="minorBidi"/>
          <w:noProof/>
          <w:szCs w:val="22"/>
          <w:lang w:eastAsia="en-NZ"/>
        </w:rPr>
        <w:tab/>
      </w:r>
      <w:r>
        <w:rPr>
          <w:noProof/>
        </w:rPr>
        <w:t>Timing for the laboratory tests and medical examination</w:t>
      </w:r>
      <w:r>
        <w:rPr>
          <w:noProof/>
        </w:rPr>
        <w:tab/>
      </w:r>
      <w:r>
        <w:rPr>
          <w:noProof/>
        </w:rPr>
        <w:fldChar w:fldCharType="begin"/>
      </w:r>
      <w:r>
        <w:rPr>
          <w:noProof/>
        </w:rPr>
        <w:instrText xml:space="preserve"> PAGEREF _Toc492493081 \h </w:instrText>
      </w:r>
      <w:r>
        <w:rPr>
          <w:noProof/>
        </w:rPr>
      </w:r>
      <w:r>
        <w:rPr>
          <w:noProof/>
        </w:rPr>
        <w:fldChar w:fldCharType="separate"/>
      </w:r>
      <w:r w:rsidR="0048219A">
        <w:rPr>
          <w:noProof/>
        </w:rPr>
        <w:t>10</w:t>
      </w:r>
      <w:r>
        <w:rPr>
          <w:noProof/>
        </w:rPr>
        <w:fldChar w:fldCharType="end"/>
      </w:r>
    </w:p>
    <w:p w14:paraId="449C3E5B" w14:textId="77777777" w:rsidR="00451241" w:rsidRDefault="00451241">
      <w:pPr>
        <w:pStyle w:val="TOC1"/>
        <w:tabs>
          <w:tab w:val="left" w:pos="1276"/>
        </w:tabs>
        <w:rPr>
          <w:rFonts w:asciiTheme="minorHAnsi" w:eastAsiaTheme="minorEastAsia" w:hAnsiTheme="minorHAnsi" w:cstheme="minorBidi"/>
          <w:b w:val="0"/>
          <w:noProof/>
          <w:szCs w:val="22"/>
          <w:lang w:eastAsia="en-NZ"/>
        </w:rPr>
      </w:pPr>
      <w:r>
        <w:rPr>
          <w:noProof/>
        </w:rPr>
        <w:t>5</w:t>
      </w:r>
      <w:r>
        <w:rPr>
          <w:rFonts w:asciiTheme="minorHAnsi" w:eastAsiaTheme="minorEastAsia" w:hAnsiTheme="minorHAnsi" w:cstheme="minorBidi"/>
          <w:b w:val="0"/>
          <w:noProof/>
          <w:szCs w:val="22"/>
          <w:lang w:eastAsia="en-NZ"/>
        </w:rPr>
        <w:tab/>
      </w:r>
      <w:r>
        <w:rPr>
          <w:noProof/>
        </w:rPr>
        <w:t>Intervention</w:t>
      </w:r>
      <w:r>
        <w:rPr>
          <w:noProof/>
        </w:rPr>
        <w:tab/>
      </w:r>
      <w:r>
        <w:rPr>
          <w:noProof/>
        </w:rPr>
        <w:fldChar w:fldCharType="begin"/>
      </w:r>
      <w:r>
        <w:rPr>
          <w:noProof/>
        </w:rPr>
        <w:instrText xml:space="preserve"> PAGEREF _Toc492493082 \h </w:instrText>
      </w:r>
      <w:r>
        <w:rPr>
          <w:noProof/>
        </w:rPr>
      </w:r>
      <w:r>
        <w:rPr>
          <w:noProof/>
        </w:rPr>
        <w:fldChar w:fldCharType="separate"/>
      </w:r>
      <w:r w:rsidR="0048219A">
        <w:rPr>
          <w:noProof/>
        </w:rPr>
        <w:t>11</w:t>
      </w:r>
      <w:r>
        <w:rPr>
          <w:noProof/>
        </w:rPr>
        <w:fldChar w:fldCharType="end"/>
      </w:r>
    </w:p>
    <w:p w14:paraId="3910F1F7"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5.1</w:t>
      </w:r>
      <w:r>
        <w:rPr>
          <w:rFonts w:asciiTheme="minorHAnsi" w:eastAsiaTheme="minorEastAsia" w:hAnsiTheme="minorHAnsi" w:cstheme="minorBidi"/>
          <w:noProof/>
          <w:szCs w:val="22"/>
          <w:lang w:eastAsia="en-NZ"/>
        </w:rPr>
        <w:tab/>
      </w:r>
      <w:r>
        <w:rPr>
          <w:noProof/>
        </w:rPr>
        <w:t>Education and treatment</w:t>
      </w:r>
      <w:r>
        <w:rPr>
          <w:noProof/>
        </w:rPr>
        <w:tab/>
      </w:r>
      <w:r>
        <w:rPr>
          <w:noProof/>
        </w:rPr>
        <w:fldChar w:fldCharType="begin"/>
      </w:r>
      <w:r>
        <w:rPr>
          <w:noProof/>
        </w:rPr>
        <w:instrText xml:space="preserve"> PAGEREF _Toc492493083 \h </w:instrText>
      </w:r>
      <w:r>
        <w:rPr>
          <w:noProof/>
        </w:rPr>
      </w:r>
      <w:r>
        <w:rPr>
          <w:noProof/>
        </w:rPr>
        <w:fldChar w:fldCharType="separate"/>
      </w:r>
      <w:r w:rsidR="0048219A">
        <w:rPr>
          <w:noProof/>
        </w:rPr>
        <w:t>11</w:t>
      </w:r>
      <w:r>
        <w:rPr>
          <w:noProof/>
        </w:rPr>
        <w:fldChar w:fldCharType="end"/>
      </w:r>
    </w:p>
    <w:p w14:paraId="5A1F6074"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5.2</w:t>
      </w:r>
      <w:r>
        <w:rPr>
          <w:rFonts w:asciiTheme="minorHAnsi" w:eastAsiaTheme="minorEastAsia" w:hAnsiTheme="minorHAnsi" w:cstheme="minorBidi"/>
          <w:noProof/>
          <w:szCs w:val="22"/>
          <w:lang w:eastAsia="en-NZ"/>
        </w:rPr>
        <w:tab/>
      </w:r>
      <w:r>
        <w:rPr>
          <w:noProof/>
        </w:rPr>
        <w:t>Review: further face-to-face appointments</w:t>
      </w:r>
      <w:r>
        <w:rPr>
          <w:noProof/>
        </w:rPr>
        <w:tab/>
      </w:r>
      <w:r>
        <w:rPr>
          <w:noProof/>
        </w:rPr>
        <w:fldChar w:fldCharType="begin"/>
      </w:r>
      <w:r>
        <w:rPr>
          <w:noProof/>
        </w:rPr>
        <w:instrText xml:space="preserve"> PAGEREF _Toc492493084 \h </w:instrText>
      </w:r>
      <w:r>
        <w:rPr>
          <w:noProof/>
        </w:rPr>
      </w:r>
      <w:r>
        <w:rPr>
          <w:noProof/>
        </w:rPr>
        <w:fldChar w:fldCharType="separate"/>
      </w:r>
      <w:r w:rsidR="0048219A">
        <w:rPr>
          <w:noProof/>
        </w:rPr>
        <w:t>12</w:t>
      </w:r>
      <w:r>
        <w:rPr>
          <w:noProof/>
        </w:rPr>
        <w:fldChar w:fldCharType="end"/>
      </w:r>
    </w:p>
    <w:p w14:paraId="00C4262D" w14:textId="77777777" w:rsidR="00451241" w:rsidRDefault="00451241">
      <w:pPr>
        <w:pStyle w:val="TOC1"/>
        <w:tabs>
          <w:tab w:val="left" w:pos="1276"/>
        </w:tabs>
        <w:rPr>
          <w:rFonts w:asciiTheme="minorHAnsi" w:eastAsiaTheme="minorEastAsia" w:hAnsiTheme="minorHAnsi" w:cstheme="minorBidi"/>
          <w:b w:val="0"/>
          <w:noProof/>
          <w:szCs w:val="22"/>
          <w:lang w:eastAsia="en-NZ"/>
        </w:rPr>
      </w:pPr>
      <w:r>
        <w:rPr>
          <w:noProof/>
        </w:rPr>
        <w:t>6</w:t>
      </w:r>
      <w:r>
        <w:rPr>
          <w:rFonts w:asciiTheme="minorHAnsi" w:eastAsiaTheme="minorEastAsia" w:hAnsiTheme="minorHAnsi" w:cstheme="minorBidi"/>
          <w:b w:val="0"/>
          <w:noProof/>
          <w:szCs w:val="22"/>
          <w:lang w:eastAsia="en-NZ"/>
        </w:rPr>
        <w:tab/>
      </w:r>
      <w:r>
        <w:rPr>
          <w:noProof/>
        </w:rPr>
        <w:t>Final report to NZTA</w:t>
      </w:r>
      <w:r>
        <w:rPr>
          <w:noProof/>
        </w:rPr>
        <w:tab/>
      </w:r>
      <w:r>
        <w:rPr>
          <w:noProof/>
        </w:rPr>
        <w:fldChar w:fldCharType="begin"/>
      </w:r>
      <w:r>
        <w:rPr>
          <w:noProof/>
        </w:rPr>
        <w:instrText xml:space="preserve"> PAGEREF _Toc492493085 \h </w:instrText>
      </w:r>
      <w:r>
        <w:rPr>
          <w:noProof/>
        </w:rPr>
      </w:r>
      <w:r>
        <w:rPr>
          <w:noProof/>
        </w:rPr>
        <w:fldChar w:fldCharType="separate"/>
      </w:r>
      <w:r w:rsidR="0048219A">
        <w:rPr>
          <w:noProof/>
        </w:rPr>
        <w:t>13</w:t>
      </w:r>
      <w:r>
        <w:rPr>
          <w:noProof/>
        </w:rPr>
        <w:fldChar w:fldCharType="end"/>
      </w:r>
    </w:p>
    <w:p w14:paraId="7FF92C43"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6.1</w:t>
      </w:r>
      <w:r>
        <w:rPr>
          <w:rFonts w:asciiTheme="minorHAnsi" w:eastAsiaTheme="minorEastAsia" w:hAnsiTheme="minorHAnsi" w:cstheme="minorBidi"/>
          <w:noProof/>
          <w:szCs w:val="22"/>
          <w:lang w:eastAsia="en-NZ"/>
        </w:rPr>
        <w:tab/>
      </w:r>
      <w:r>
        <w:rPr>
          <w:noProof/>
        </w:rPr>
        <w:t>When the recommendation is for the disqualification to remain in place</w:t>
      </w:r>
      <w:r>
        <w:rPr>
          <w:noProof/>
        </w:rPr>
        <w:tab/>
      </w:r>
      <w:r>
        <w:rPr>
          <w:noProof/>
        </w:rPr>
        <w:fldChar w:fldCharType="begin"/>
      </w:r>
      <w:r>
        <w:rPr>
          <w:noProof/>
        </w:rPr>
        <w:instrText xml:space="preserve"> PAGEREF _Toc492493086 \h </w:instrText>
      </w:r>
      <w:r>
        <w:rPr>
          <w:noProof/>
        </w:rPr>
      </w:r>
      <w:r>
        <w:rPr>
          <w:noProof/>
        </w:rPr>
        <w:fldChar w:fldCharType="separate"/>
      </w:r>
      <w:r w:rsidR="0048219A">
        <w:rPr>
          <w:noProof/>
        </w:rPr>
        <w:t>13</w:t>
      </w:r>
      <w:r>
        <w:rPr>
          <w:noProof/>
        </w:rPr>
        <w:fldChar w:fldCharType="end"/>
      </w:r>
    </w:p>
    <w:p w14:paraId="15241515"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6.2</w:t>
      </w:r>
      <w:r>
        <w:rPr>
          <w:rFonts w:asciiTheme="minorHAnsi" w:eastAsiaTheme="minorEastAsia" w:hAnsiTheme="minorHAnsi" w:cstheme="minorBidi"/>
          <w:noProof/>
          <w:szCs w:val="22"/>
          <w:lang w:eastAsia="en-NZ"/>
        </w:rPr>
        <w:tab/>
      </w:r>
      <w:r>
        <w:rPr>
          <w:noProof/>
        </w:rPr>
        <w:t>Complaints</w:t>
      </w:r>
      <w:r>
        <w:rPr>
          <w:noProof/>
        </w:rPr>
        <w:tab/>
      </w:r>
      <w:r>
        <w:rPr>
          <w:noProof/>
        </w:rPr>
        <w:fldChar w:fldCharType="begin"/>
      </w:r>
      <w:r>
        <w:rPr>
          <w:noProof/>
        </w:rPr>
        <w:instrText xml:space="preserve"> PAGEREF _Toc492493087 \h </w:instrText>
      </w:r>
      <w:r>
        <w:rPr>
          <w:noProof/>
        </w:rPr>
      </w:r>
      <w:r>
        <w:rPr>
          <w:noProof/>
        </w:rPr>
        <w:fldChar w:fldCharType="separate"/>
      </w:r>
      <w:r w:rsidR="0048219A">
        <w:rPr>
          <w:noProof/>
        </w:rPr>
        <w:t>14</w:t>
      </w:r>
      <w:r>
        <w:rPr>
          <w:noProof/>
        </w:rPr>
        <w:fldChar w:fldCharType="end"/>
      </w:r>
    </w:p>
    <w:p w14:paraId="244986B2"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6.3</w:t>
      </w:r>
      <w:r>
        <w:rPr>
          <w:rFonts w:asciiTheme="minorHAnsi" w:eastAsiaTheme="minorEastAsia" w:hAnsiTheme="minorHAnsi" w:cstheme="minorBidi"/>
          <w:noProof/>
          <w:szCs w:val="22"/>
          <w:lang w:eastAsia="en-NZ"/>
        </w:rPr>
        <w:tab/>
      </w:r>
      <w:r>
        <w:rPr>
          <w:noProof/>
        </w:rPr>
        <w:t>Assessor payment</w:t>
      </w:r>
      <w:r>
        <w:rPr>
          <w:noProof/>
        </w:rPr>
        <w:tab/>
      </w:r>
      <w:r>
        <w:rPr>
          <w:noProof/>
        </w:rPr>
        <w:fldChar w:fldCharType="begin"/>
      </w:r>
      <w:r>
        <w:rPr>
          <w:noProof/>
        </w:rPr>
        <w:instrText xml:space="preserve"> PAGEREF _Toc492493088 \h </w:instrText>
      </w:r>
      <w:r>
        <w:rPr>
          <w:noProof/>
        </w:rPr>
      </w:r>
      <w:r>
        <w:rPr>
          <w:noProof/>
        </w:rPr>
        <w:fldChar w:fldCharType="separate"/>
      </w:r>
      <w:r w:rsidR="0048219A">
        <w:rPr>
          <w:noProof/>
        </w:rPr>
        <w:t>14</w:t>
      </w:r>
      <w:r>
        <w:rPr>
          <w:noProof/>
        </w:rPr>
        <w:fldChar w:fldCharType="end"/>
      </w:r>
    </w:p>
    <w:p w14:paraId="33C119C1" w14:textId="77777777" w:rsidR="00451241" w:rsidRDefault="00451241">
      <w:pPr>
        <w:pStyle w:val="TOC1"/>
        <w:tabs>
          <w:tab w:val="left" w:pos="1276"/>
        </w:tabs>
        <w:rPr>
          <w:rFonts w:asciiTheme="minorHAnsi" w:eastAsiaTheme="minorEastAsia" w:hAnsiTheme="minorHAnsi" w:cstheme="minorBidi"/>
          <w:b w:val="0"/>
          <w:noProof/>
          <w:szCs w:val="22"/>
          <w:lang w:eastAsia="en-NZ"/>
        </w:rPr>
      </w:pPr>
      <w:r>
        <w:rPr>
          <w:noProof/>
        </w:rPr>
        <w:t>7</w:t>
      </w:r>
      <w:r>
        <w:rPr>
          <w:rFonts w:asciiTheme="minorHAnsi" w:eastAsiaTheme="minorEastAsia" w:hAnsiTheme="minorHAnsi" w:cstheme="minorBidi"/>
          <w:b w:val="0"/>
          <w:noProof/>
          <w:szCs w:val="22"/>
          <w:lang w:eastAsia="en-NZ"/>
        </w:rPr>
        <w:tab/>
      </w:r>
      <w:r>
        <w:rPr>
          <w:noProof/>
        </w:rPr>
        <w:t>Becoming an approved assessment centre</w:t>
      </w:r>
      <w:r>
        <w:rPr>
          <w:noProof/>
        </w:rPr>
        <w:tab/>
      </w:r>
      <w:r>
        <w:rPr>
          <w:noProof/>
        </w:rPr>
        <w:fldChar w:fldCharType="begin"/>
      </w:r>
      <w:r>
        <w:rPr>
          <w:noProof/>
        </w:rPr>
        <w:instrText xml:space="preserve"> PAGEREF _Toc492493089 \h </w:instrText>
      </w:r>
      <w:r>
        <w:rPr>
          <w:noProof/>
        </w:rPr>
      </w:r>
      <w:r>
        <w:rPr>
          <w:noProof/>
        </w:rPr>
        <w:fldChar w:fldCharType="separate"/>
      </w:r>
      <w:r w:rsidR="0048219A">
        <w:rPr>
          <w:noProof/>
        </w:rPr>
        <w:t>15</w:t>
      </w:r>
      <w:r>
        <w:rPr>
          <w:noProof/>
        </w:rPr>
        <w:fldChar w:fldCharType="end"/>
      </w:r>
    </w:p>
    <w:p w14:paraId="1205D8B5"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7.1</w:t>
      </w:r>
      <w:r>
        <w:rPr>
          <w:rFonts w:asciiTheme="minorHAnsi" w:eastAsiaTheme="minorEastAsia" w:hAnsiTheme="minorHAnsi" w:cstheme="minorBidi"/>
          <w:noProof/>
          <w:szCs w:val="22"/>
          <w:lang w:eastAsia="en-NZ"/>
        </w:rPr>
        <w:tab/>
      </w:r>
      <w:r>
        <w:rPr>
          <w:noProof/>
        </w:rPr>
        <w:t>Minimum requirements for assessment centre approval</w:t>
      </w:r>
      <w:r>
        <w:rPr>
          <w:noProof/>
        </w:rPr>
        <w:tab/>
      </w:r>
      <w:r>
        <w:rPr>
          <w:noProof/>
        </w:rPr>
        <w:fldChar w:fldCharType="begin"/>
      </w:r>
      <w:r>
        <w:rPr>
          <w:noProof/>
        </w:rPr>
        <w:instrText xml:space="preserve"> PAGEREF _Toc492493090 \h </w:instrText>
      </w:r>
      <w:r>
        <w:rPr>
          <w:noProof/>
        </w:rPr>
      </w:r>
      <w:r>
        <w:rPr>
          <w:noProof/>
        </w:rPr>
        <w:fldChar w:fldCharType="separate"/>
      </w:r>
      <w:r w:rsidR="0048219A">
        <w:rPr>
          <w:noProof/>
        </w:rPr>
        <w:t>15</w:t>
      </w:r>
      <w:r>
        <w:rPr>
          <w:noProof/>
        </w:rPr>
        <w:fldChar w:fldCharType="end"/>
      </w:r>
    </w:p>
    <w:p w14:paraId="05575832"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7.2</w:t>
      </w:r>
      <w:r>
        <w:rPr>
          <w:rFonts w:asciiTheme="minorHAnsi" w:eastAsiaTheme="minorEastAsia" w:hAnsiTheme="minorHAnsi" w:cstheme="minorBidi"/>
          <w:noProof/>
          <w:szCs w:val="22"/>
          <w:lang w:eastAsia="en-NZ"/>
        </w:rPr>
        <w:tab/>
      </w:r>
      <w:r>
        <w:rPr>
          <w:noProof/>
        </w:rPr>
        <w:t>Suspending or revoking approval</w:t>
      </w:r>
      <w:r>
        <w:rPr>
          <w:noProof/>
        </w:rPr>
        <w:tab/>
      </w:r>
      <w:r>
        <w:rPr>
          <w:noProof/>
        </w:rPr>
        <w:fldChar w:fldCharType="begin"/>
      </w:r>
      <w:r>
        <w:rPr>
          <w:noProof/>
        </w:rPr>
        <w:instrText xml:space="preserve"> PAGEREF _Toc492493091 \h </w:instrText>
      </w:r>
      <w:r>
        <w:rPr>
          <w:noProof/>
        </w:rPr>
      </w:r>
      <w:r>
        <w:rPr>
          <w:noProof/>
        </w:rPr>
        <w:fldChar w:fldCharType="separate"/>
      </w:r>
      <w:r w:rsidR="0048219A">
        <w:rPr>
          <w:noProof/>
        </w:rPr>
        <w:t>16</w:t>
      </w:r>
      <w:r>
        <w:rPr>
          <w:noProof/>
        </w:rPr>
        <w:fldChar w:fldCharType="end"/>
      </w:r>
    </w:p>
    <w:p w14:paraId="02DF31BC" w14:textId="77777777" w:rsidR="00451241" w:rsidRDefault="00451241">
      <w:pPr>
        <w:pStyle w:val="TOC2"/>
        <w:tabs>
          <w:tab w:val="left" w:pos="1276"/>
        </w:tabs>
        <w:rPr>
          <w:rFonts w:asciiTheme="minorHAnsi" w:eastAsiaTheme="minorEastAsia" w:hAnsiTheme="minorHAnsi" w:cstheme="minorBidi"/>
          <w:noProof/>
          <w:szCs w:val="22"/>
          <w:lang w:eastAsia="en-NZ"/>
        </w:rPr>
      </w:pPr>
      <w:r>
        <w:rPr>
          <w:noProof/>
        </w:rPr>
        <w:t>7.3</w:t>
      </w:r>
      <w:r>
        <w:rPr>
          <w:rFonts w:asciiTheme="minorHAnsi" w:eastAsiaTheme="minorEastAsia" w:hAnsiTheme="minorHAnsi" w:cstheme="minorBidi"/>
          <w:noProof/>
          <w:szCs w:val="22"/>
          <w:lang w:eastAsia="en-NZ"/>
        </w:rPr>
        <w:tab/>
      </w:r>
      <w:r>
        <w:rPr>
          <w:noProof/>
        </w:rPr>
        <w:t>Medical practitioners</w:t>
      </w:r>
      <w:r>
        <w:rPr>
          <w:noProof/>
        </w:rPr>
        <w:tab/>
      </w:r>
      <w:r>
        <w:rPr>
          <w:noProof/>
        </w:rPr>
        <w:fldChar w:fldCharType="begin"/>
      </w:r>
      <w:r>
        <w:rPr>
          <w:noProof/>
        </w:rPr>
        <w:instrText xml:space="preserve"> PAGEREF _Toc492493092 \h </w:instrText>
      </w:r>
      <w:r>
        <w:rPr>
          <w:noProof/>
        </w:rPr>
      </w:r>
      <w:r>
        <w:rPr>
          <w:noProof/>
        </w:rPr>
        <w:fldChar w:fldCharType="separate"/>
      </w:r>
      <w:r w:rsidR="0048219A">
        <w:rPr>
          <w:noProof/>
        </w:rPr>
        <w:t>16</w:t>
      </w:r>
      <w:r>
        <w:rPr>
          <w:noProof/>
        </w:rPr>
        <w:fldChar w:fldCharType="end"/>
      </w:r>
    </w:p>
    <w:p w14:paraId="4783BC48" w14:textId="77777777" w:rsidR="00451241" w:rsidRDefault="00451241">
      <w:pPr>
        <w:pStyle w:val="TOC1"/>
        <w:rPr>
          <w:noProof/>
        </w:rPr>
      </w:pPr>
      <w:r>
        <w:rPr>
          <w:noProof/>
        </w:rPr>
        <w:t>Appendices</w:t>
      </w:r>
    </w:p>
    <w:p w14:paraId="23DAFED6" w14:textId="77777777" w:rsidR="00451241" w:rsidRDefault="00451241" w:rsidP="00451241">
      <w:pPr>
        <w:pStyle w:val="TOC2"/>
        <w:rPr>
          <w:rFonts w:asciiTheme="minorHAnsi" w:eastAsiaTheme="minorEastAsia" w:hAnsiTheme="minorHAnsi" w:cstheme="minorBidi"/>
          <w:b/>
          <w:noProof/>
          <w:szCs w:val="22"/>
          <w:lang w:eastAsia="en-NZ"/>
        </w:rPr>
      </w:pPr>
      <w:r>
        <w:rPr>
          <w:noProof/>
        </w:rPr>
        <w:t>Appendix A: Checklist for a comprehensive assessment</w:t>
      </w:r>
      <w:r>
        <w:rPr>
          <w:noProof/>
        </w:rPr>
        <w:tab/>
      </w:r>
      <w:r>
        <w:rPr>
          <w:noProof/>
        </w:rPr>
        <w:fldChar w:fldCharType="begin"/>
      </w:r>
      <w:r>
        <w:rPr>
          <w:noProof/>
        </w:rPr>
        <w:instrText xml:space="preserve"> PAGEREF _Toc492493093 \h </w:instrText>
      </w:r>
      <w:r>
        <w:rPr>
          <w:noProof/>
        </w:rPr>
      </w:r>
      <w:r>
        <w:rPr>
          <w:noProof/>
        </w:rPr>
        <w:fldChar w:fldCharType="separate"/>
      </w:r>
      <w:r w:rsidR="0048219A">
        <w:rPr>
          <w:noProof/>
        </w:rPr>
        <w:t>17</w:t>
      </w:r>
      <w:r>
        <w:rPr>
          <w:noProof/>
        </w:rPr>
        <w:fldChar w:fldCharType="end"/>
      </w:r>
    </w:p>
    <w:p w14:paraId="236F18B5" w14:textId="77777777" w:rsidR="00451241" w:rsidRDefault="00451241" w:rsidP="00451241">
      <w:pPr>
        <w:pStyle w:val="TOC2"/>
        <w:rPr>
          <w:rFonts w:asciiTheme="minorHAnsi" w:eastAsiaTheme="minorEastAsia" w:hAnsiTheme="minorHAnsi" w:cstheme="minorBidi"/>
          <w:b/>
          <w:noProof/>
          <w:szCs w:val="22"/>
          <w:lang w:eastAsia="en-NZ"/>
        </w:rPr>
      </w:pPr>
      <w:r>
        <w:rPr>
          <w:noProof/>
        </w:rPr>
        <w:t>Appendix B: Final report to NZTA</w:t>
      </w:r>
      <w:r>
        <w:rPr>
          <w:noProof/>
        </w:rPr>
        <w:tab/>
      </w:r>
      <w:r>
        <w:rPr>
          <w:noProof/>
        </w:rPr>
        <w:fldChar w:fldCharType="begin"/>
      </w:r>
      <w:r>
        <w:rPr>
          <w:noProof/>
        </w:rPr>
        <w:instrText xml:space="preserve"> PAGEREF _Toc492493094 \h </w:instrText>
      </w:r>
      <w:r>
        <w:rPr>
          <w:noProof/>
        </w:rPr>
      </w:r>
      <w:r>
        <w:rPr>
          <w:noProof/>
        </w:rPr>
        <w:fldChar w:fldCharType="separate"/>
      </w:r>
      <w:r w:rsidR="0048219A">
        <w:rPr>
          <w:noProof/>
        </w:rPr>
        <w:t>18</w:t>
      </w:r>
      <w:r>
        <w:rPr>
          <w:noProof/>
        </w:rPr>
        <w:fldChar w:fldCharType="end"/>
      </w:r>
    </w:p>
    <w:p w14:paraId="78139DBC" w14:textId="77777777" w:rsidR="00451241" w:rsidRDefault="00451241" w:rsidP="00451241">
      <w:pPr>
        <w:pStyle w:val="TOC2"/>
        <w:rPr>
          <w:rFonts w:asciiTheme="minorHAnsi" w:eastAsiaTheme="minorEastAsia" w:hAnsiTheme="minorHAnsi" w:cstheme="minorBidi"/>
          <w:b/>
          <w:noProof/>
          <w:szCs w:val="22"/>
          <w:lang w:eastAsia="en-NZ"/>
        </w:rPr>
      </w:pPr>
      <w:r>
        <w:rPr>
          <w:noProof/>
        </w:rPr>
        <w:t>Appendix C: Application for approval as an assessment centre</w:t>
      </w:r>
      <w:r>
        <w:rPr>
          <w:noProof/>
        </w:rPr>
        <w:tab/>
      </w:r>
      <w:r>
        <w:rPr>
          <w:noProof/>
        </w:rPr>
        <w:fldChar w:fldCharType="begin"/>
      </w:r>
      <w:r>
        <w:rPr>
          <w:noProof/>
        </w:rPr>
        <w:instrText xml:space="preserve"> PAGEREF _Toc492493095 \h </w:instrText>
      </w:r>
      <w:r>
        <w:rPr>
          <w:noProof/>
        </w:rPr>
      </w:r>
      <w:r>
        <w:rPr>
          <w:noProof/>
        </w:rPr>
        <w:fldChar w:fldCharType="separate"/>
      </w:r>
      <w:r w:rsidR="0048219A">
        <w:rPr>
          <w:noProof/>
        </w:rPr>
        <w:t>20</w:t>
      </w:r>
      <w:r>
        <w:rPr>
          <w:noProof/>
        </w:rPr>
        <w:fldChar w:fldCharType="end"/>
      </w:r>
    </w:p>
    <w:p w14:paraId="2397282A" w14:textId="77777777" w:rsidR="00451241" w:rsidRDefault="00451241" w:rsidP="00451241">
      <w:pPr>
        <w:pStyle w:val="TOC2"/>
        <w:rPr>
          <w:rFonts w:asciiTheme="minorHAnsi" w:eastAsiaTheme="minorEastAsia" w:hAnsiTheme="minorHAnsi" w:cstheme="minorBidi"/>
          <w:b/>
          <w:noProof/>
          <w:szCs w:val="22"/>
          <w:lang w:eastAsia="en-NZ"/>
        </w:rPr>
      </w:pPr>
      <w:r>
        <w:rPr>
          <w:noProof/>
        </w:rPr>
        <w:t>Appendix D: Yearly update for assessment centres</w:t>
      </w:r>
      <w:r>
        <w:rPr>
          <w:noProof/>
        </w:rPr>
        <w:tab/>
      </w:r>
      <w:r>
        <w:rPr>
          <w:noProof/>
        </w:rPr>
        <w:fldChar w:fldCharType="begin"/>
      </w:r>
      <w:r>
        <w:rPr>
          <w:noProof/>
        </w:rPr>
        <w:instrText xml:space="preserve"> PAGEREF _Toc492493096 \h </w:instrText>
      </w:r>
      <w:r>
        <w:rPr>
          <w:noProof/>
        </w:rPr>
      </w:r>
      <w:r>
        <w:rPr>
          <w:noProof/>
        </w:rPr>
        <w:fldChar w:fldCharType="separate"/>
      </w:r>
      <w:r w:rsidR="0048219A">
        <w:rPr>
          <w:noProof/>
        </w:rPr>
        <w:t>22</w:t>
      </w:r>
      <w:r>
        <w:rPr>
          <w:noProof/>
        </w:rPr>
        <w:fldChar w:fldCharType="end"/>
      </w:r>
    </w:p>
    <w:p w14:paraId="78EC9843" w14:textId="77777777" w:rsidR="00451241" w:rsidRDefault="00451241">
      <w:pPr>
        <w:pStyle w:val="TOC1"/>
        <w:rPr>
          <w:rFonts w:asciiTheme="minorHAnsi" w:eastAsiaTheme="minorEastAsia" w:hAnsiTheme="minorHAnsi" w:cstheme="minorBidi"/>
          <w:b w:val="0"/>
          <w:noProof/>
          <w:szCs w:val="22"/>
          <w:lang w:eastAsia="en-NZ"/>
        </w:rPr>
      </w:pPr>
      <w:r>
        <w:rPr>
          <w:noProof/>
        </w:rPr>
        <w:t>References and bibliography</w:t>
      </w:r>
      <w:r>
        <w:rPr>
          <w:noProof/>
        </w:rPr>
        <w:tab/>
      </w:r>
      <w:r>
        <w:rPr>
          <w:noProof/>
        </w:rPr>
        <w:fldChar w:fldCharType="begin"/>
      </w:r>
      <w:r>
        <w:rPr>
          <w:noProof/>
        </w:rPr>
        <w:instrText xml:space="preserve"> PAGEREF _Toc492493097 \h </w:instrText>
      </w:r>
      <w:r>
        <w:rPr>
          <w:noProof/>
        </w:rPr>
      </w:r>
      <w:r>
        <w:rPr>
          <w:noProof/>
        </w:rPr>
        <w:fldChar w:fldCharType="separate"/>
      </w:r>
      <w:r w:rsidR="0048219A">
        <w:rPr>
          <w:noProof/>
        </w:rPr>
        <w:t>23</w:t>
      </w:r>
      <w:r>
        <w:rPr>
          <w:noProof/>
        </w:rPr>
        <w:fldChar w:fldCharType="end"/>
      </w:r>
    </w:p>
    <w:p w14:paraId="279A4DB5" w14:textId="77777777" w:rsidR="003A5FEA" w:rsidRDefault="00C86248" w:rsidP="003A5FEA">
      <w:r>
        <w:rPr>
          <w:b/>
        </w:rPr>
        <w:fldChar w:fldCharType="end"/>
      </w:r>
    </w:p>
    <w:p w14:paraId="65A3ECE5" w14:textId="77777777" w:rsidR="00984EB0" w:rsidRDefault="00984EB0" w:rsidP="00984EB0">
      <w:pPr>
        <w:pStyle w:val="Heading1"/>
        <w:numPr>
          <w:ilvl w:val="0"/>
          <w:numId w:val="0"/>
        </w:numPr>
      </w:pPr>
      <w:bookmarkStart w:id="2" w:name="_Toc492493064"/>
      <w:r>
        <w:lastRenderedPageBreak/>
        <w:t>Executive summary</w:t>
      </w:r>
      <w:bookmarkEnd w:id="2"/>
    </w:p>
    <w:p w14:paraId="5CC40CB8" w14:textId="6D1856E6" w:rsidR="00A90FD3" w:rsidRDefault="00A90FD3" w:rsidP="00A90FD3">
      <w:r>
        <w:t>These operating procedures reflect current New Zealand legislation, specifically the Land Transport Act 1998 (the Act). They set out the assessment process for people sentenced under section 65 of the Act, who, after serving the mandatory minimum disqualification period, wish to have their disqualification removed (as per section 100 of the Act), and re-apply for their driver licence.</w:t>
      </w:r>
    </w:p>
    <w:p w14:paraId="6828CE86" w14:textId="77777777" w:rsidR="00A90FD3" w:rsidRDefault="00A90FD3" w:rsidP="00A90FD3"/>
    <w:p w14:paraId="0087E92A" w14:textId="77777777" w:rsidR="00A90FD3" w:rsidRDefault="00A90FD3" w:rsidP="00A90FD3">
      <w:r>
        <w:t xml:space="preserve">The operating procedures were originally published as </w:t>
      </w:r>
      <w:r w:rsidRPr="00A90FD3">
        <w:rPr>
          <w:i/>
        </w:rPr>
        <w:t>Assessment of Alcohol Dependence: A</w:t>
      </w:r>
      <w:r>
        <w:rPr>
          <w:i/>
        </w:rPr>
        <w:t> </w:t>
      </w:r>
      <w:r w:rsidRPr="00A90FD3">
        <w:rPr>
          <w:i/>
        </w:rPr>
        <w:t>guide for health professionals assessing persons convicted of driving while intoxicated</w:t>
      </w:r>
      <w:r>
        <w:t xml:space="preserve"> (Department of Health 1993). In 2006, they were updated as </w:t>
      </w:r>
      <w:r w:rsidRPr="00A90FD3">
        <w:rPr>
          <w:i/>
        </w:rPr>
        <w:t>Guidelines for Assessing Substance Dependence and Risk of Re</w:t>
      </w:r>
      <w:r>
        <w:rPr>
          <w:i/>
        </w:rPr>
        <w:noBreakHyphen/>
      </w:r>
      <w:r w:rsidRPr="00A90FD3">
        <w:rPr>
          <w:i/>
        </w:rPr>
        <w:t>offending of People Sentenced under Section 65 of the Land Transport Act 1998</w:t>
      </w:r>
      <w:r>
        <w:t xml:space="preserve"> (Ministry of Health 2006).</w:t>
      </w:r>
    </w:p>
    <w:p w14:paraId="790894BF" w14:textId="77777777" w:rsidR="00A90FD3" w:rsidRDefault="00A90FD3" w:rsidP="00A90FD3"/>
    <w:p w14:paraId="593F4ED5" w14:textId="77777777" w:rsidR="00A90FD3" w:rsidRDefault="00A90FD3" w:rsidP="00A90FD3">
      <w:r>
        <w:t>The operating procedures clarify the responsibilities of assessment centres and standardise the process that needs to be followed when carrying out assessments under section 65 of the Act. They also outline the criteria and approval process for assessment centres and the criteria assessment centres need to apply to appoint assessors. Finally, they clarify assessment centres</w:t>
      </w:r>
      <w:r w:rsidR="004711E2">
        <w:t>’</w:t>
      </w:r>
      <w:r>
        <w:t xml:space="preserve"> accountability for providing regular reports to the New Zealand Transport Agency (NZTA).</w:t>
      </w:r>
      <w:r>
        <w:rPr>
          <w:rStyle w:val="FootnoteReference"/>
        </w:rPr>
        <w:footnoteReference w:id="1"/>
      </w:r>
    </w:p>
    <w:p w14:paraId="6CC038E3" w14:textId="77777777" w:rsidR="00A90FD3" w:rsidRDefault="00A90FD3" w:rsidP="00A90FD3"/>
    <w:p w14:paraId="255351CE" w14:textId="77777777" w:rsidR="00A90FD3" w:rsidRDefault="00A90FD3" w:rsidP="00A90FD3">
      <w:r>
        <w:t>The procedures have been developed to encompass the Health and Disability Commissioner Act 1994, which protects the rights of individuals who receive health and disability services.</w:t>
      </w:r>
    </w:p>
    <w:p w14:paraId="087610B3" w14:textId="77777777" w:rsidR="00984EB0" w:rsidRPr="00984EB0" w:rsidRDefault="00984EB0" w:rsidP="00A90FD3"/>
    <w:p w14:paraId="346B53BB" w14:textId="77777777" w:rsidR="00455CC9" w:rsidRDefault="00455CC9" w:rsidP="0086388B"/>
    <w:p w14:paraId="14780953" w14:textId="77777777" w:rsidR="00C86248" w:rsidRDefault="00C86248">
      <w:pPr>
        <w:sectPr w:rsidR="00C86248" w:rsidSect="00A90FD3">
          <w:headerReference w:type="even" r:id="rId14"/>
          <w:headerReference w:type="default" r:id="rId15"/>
          <w:footerReference w:type="even" r:id="rId16"/>
          <w:footerReference w:type="default" r:id="rId17"/>
          <w:pgSz w:w="11907" w:h="16840" w:code="9"/>
          <w:pgMar w:top="851" w:right="1134" w:bottom="1418" w:left="1134" w:header="284" w:footer="425" w:gutter="284"/>
          <w:pgNumType w:fmt="lowerRoman"/>
          <w:cols w:space="720"/>
        </w:sectPr>
      </w:pPr>
    </w:p>
    <w:p w14:paraId="5C0A6734" w14:textId="77777777" w:rsidR="008C2973" w:rsidRDefault="00984EB0" w:rsidP="00984EB0">
      <w:pPr>
        <w:pStyle w:val="Heading1"/>
      </w:pPr>
      <w:bookmarkStart w:id="3" w:name="_Toc492493065"/>
      <w:r>
        <w:lastRenderedPageBreak/>
        <w:t>Introduction</w:t>
      </w:r>
      <w:bookmarkEnd w:id="3"/>
    </w:p>
    <w:p w14:paraId="16261C9F" w14:textId="77777777" w:rsidR="003779D2" w:rsidRDefault="00984EB0" w:rsidP="008E3A07">
      <w:pPr>
        <w:pStyle w:val="Heading2"/>
      </w:pPr>
      <w:bookmarkStart w:id="4" w:name="_Toc492493066"/>
      <w:r>
        <w:t>Background</w:t>
      </w:r>
      <w:bookmarkEnd w:id="4"/>
    </w:p>
    <w:p w14:paraId="4F24B45C" w14:textId="77777777" w:rsidR="00A90FD3" w:rsidRPr="009539A3" w:rsidRDefault="00A90FD3" w:rsidP="004711E2">
      <w:r w:rsidRPr="009539A3">
        <w:t>These operating procedures provide the framework for effective</w:t>
      </w:r>
      <w:r>
        <w:t>ly</w:t>
      </w:r>
      <w:r w:rsidRPr="009539A3">
        <w:t xml:space="preserve"> assess</w:t>
      </w:r>
      <w:r>
        <w:t>ing</w:t>
      </w:r>
      <w:r w:rsidRPr="009539A3">
        <w:t xml:space="preserve"> a person</w:t>
      </w:r>
      <w:r w:rsidR="004711E2">
        <w:t>’</w:t>
      </w:r>
      <w:r w:rsidRPr="009539A3">
        <w:t xml:space="preserve">s alcohol and other drug </w:t>
      </w:r>
      <w:r>
        <w:t>use</w:t>
      </w:r>
      <w:r w:rsidRPr="009539A3">
        <w:t xml:space="preserve"> </w:t>
      </w:r>
      <w:r>
        <w:t>in relation to</w:t>
      </w:r>
      <w:r w:rsidRPr="009539A3">
        <w:t xml:space="preserve"> the risk of </w:t>
      </w:r>
      <w:r>
        <w:t xml:space="preserve">them </w:t>
      </w:r>
      <w:r w:rsidRPr="009539A3">
        <w:t>re-offending</w:t>
      </w:r>
      <w:r>
        <w:t xml:space="preserve"> because of impaired </w:t>
      </w:r>
      <w:r w:rsidRPr="009539A3">
        <w:t>driving. The</w:t>
      </w:r>
      <w:r>
        <w:t xml:space="preserve"> procedures</w:t>
      </w:r>
      <w:r w:rsidRPr="009539A3">
        <w:t xml:space="preserve"> replace previous guidelines and local protocols.</w:t>
      </w:r>
    </w:p>
    <w:p w14:paraId="4E281AE4" w14:textId="77777777" w:rsidR="00A90FD3" w:rsidRPr="009539A3" w:rsidRDefault="00A90FD3" w:rsidP="004711E2"/>
    <w:p w14:paraId="739C8520" w14:textId="77777777" w:rsidR="00A90FD3" w:rsidRDefault="00A90FD3" w:rsidP="004711E2">
      <w:r w:rsidRPr="009539A3">
        <w:t xml:space="preserve">New Zealand, like many other countries, has strict legislation </w:t>
      </w:r>
      <w:r>
        <w:t>to protect against the impacts of</w:t>
      </w:r>
      <w:r w:rsidRPr="009539A3">
        <w:t xml:space="preserve"> people drink</w:t>
      </w:r>
      <w:r>
        <w:t>ing</w:t>
      </w:r>
      <w:r w:rsidRPr="009539A3">
        <w:t xml:space="preserve"> alcohol and driv</w:t>
      </w:r>
      <w:r>
        <w:t>ing</w:t>
      </w:r>
      <w:r w:rsidRPr="009539A3">
        <w:t xml:space="preserve"> a vehicle. Other drug use, especially when combin</w:t>
      </w:r>
      <w:r>
        <w:t>ed</w:t>
      </w:r>
      <w:r w:rsidRPr="009539A3">
        <w:t xml:space="preserve"> with alcohol, also has an impact on people</w:t>
      </w:r>
      <w:r w:rsidR="004711E2">
        <w:t>’</w:t>
      </w:r>
      <w:r w:rsidRPr="009539A3">
        <w:t>s driving</w:t>
      </w:r>
      <w:r>
        <w:t xml:space="preserve"> abilities</w:t>
      </w:r>
      <w:r w:rsidRPr="009539A3">
        <w:t xml:space="preserve"> and increase</w:t>
      </w:r>
      <w:r>
        <w:t>s the</w:t>
      </w:r>
      <w:r w:rsidRPr="009539A3">
        <w:t xml:space="preserve"> risk of </w:t>
      </w:r>
      <w:r>
        <w:t>road accidents</w:t>
      </w:r>
      <w:r w:rsidRPr="009539A3">
        <w:t xml:space="preserve">. Overall, the road safety risks </w:t>
      </w:r>
      <w:r>
        <w:t>from</w:t>
      </w:r>
      <w:r w:rsidRPr="009539A3">
        <w:t xml:space="preserve"> alcohol and other drug use include:</w:t>
      </w:r>
    </w:p>
    <w:p w14:paraId="56AC16D5" w14:textId="77777777" w:rsidR="00A90FD3" w:rsidRPr="009539A3" w:rsidRDefault="00A90FD3" w:rsidP="004711E2">
      <w:pPr>
        <w:pStyle w:val="Bullet"/>
      </w:pPr>
      <w:r w:rsidRPr="009539A3">
        <w:t>impairment due to sedation effects</w:t>
      </w:r>
    </w:p>
    <w:p w14:paraId="22F4CD1C" w14:textId="77777777" w:rsidR="00A90FD3" w:rsidRPr="009539A3" w:rsidRDefault="00A90FD3" w:rsidP="004711E2">
      <w:pPr>
        <w:pStyle w:val="Bullet"/>
      </w:pPr>
      <w:r w:rsidRPr="009539A3">
        <w:t>impaired attention and judgement</w:t>
      </w:r>
    </w:p>
    <w:p w14:paraId="246D7BF2" w14:textId="77777777" w:rsidR="00A90FD3" w:rsidRPr="009539A3" w:rsidRDefault="00A90FD3" w:rsidP="004711E2">
      <w:pPr>
        <w:pStyle w:val="Bullet"/>
      </w:pPr>
      <w:r w:rsidRPr="009539A3">
        <w:t>impaired motor function</w:t>
      </w:r>
    </w:p>
    <w:p w14:paraId="1738C56A" w14:textId="77777777" w:rsidR="00A90FD3" w:rsidRPr="009539A3" w:rsidRDefault="00A90FD3" w:rsidP="004711E2">
      <w:pPr>
        <w:pStyle w:val="Bullet"/>
      </w:pPr>
      <w:r w:rsidRPr="009539A3">
        <w:t>exacerbation of other risks, including cognitive impairment, mental health problems and some physical health conditions.</w:t>
      </w:r>
    </w:p>
    <w:p w14:paraId="77FA2675" w14:textId="77777777" w:rsidR="00A90FD3" w:rsidRPr="009539A3" w:rsidRDefault="00A90FD3" w:rsidP="004711E2"/>
    <w:p w14:paraId="52A24420" w14:textId="77777777" w:rsidR="00A90FD3" w:rsidRDefault="00A90FD3" w:rsidP="004711E2">
      <w:r>
        <w:t>The process outlined in these operating p</w:t>
      </w:r>
      <w:r w:rsidRPr="009539A3">
        <w:t>rocedures has been developed to minimise these road safety risks. It has three key objectives:</w:t>
      </w:r>
    </w:p>
    <w:p w14:paraId="361C4F93" w14:textId="77777777" w:rsidR="00A90FD3" w:rsidRPr="009539A3" w:rsidRDefault="00A90FD3" w:rsidP="004711E2">
      <w:pPr>
        <w:pStyle w:val="Bullet"/>
      </w:pPr>
      <w:r w:rsidRPr="009539A3">
        <w:t>to promote community safety by assessing the fitness to drive of repeat offenders sentenced for offences in</w:t>
      </w:r>
      <w:r w:rsidR="004711E2">
        <w:t>volving alcohol and other drugs</w:t>
      </w:r>
    </w:p>
    <w:p w14:paraId="77258CF8" w14:textId="77777777" w:rsidR="00A90FD3" w:rsidRPr="009539A3" w:rsidRDefault="00A90FD3" w:rsidP="004711E2">
      <w:pPr>
        <w:pStyle w:val="Bullet"/>
      </w:pPr>
      <w:r w:rsidRPr="009539A3">
        <w:t>to use section 65 of the Land Transport Act 1998 (the Act) to maximise the opportunity to change thinking and behaviour in repeat offenders convicted of offences involving alcohol and other drug use</w:t>
      </w:r>
    </w:p>
    <w:p w14:paraId="769E0CBD" w14:textId="77777777" w:rsidR="004711E2" w:rsidRDefault="00A90FD3" w:rsidP="004711E2">
      <w:pPr>
        <w:pStyle w:val="Bullet"/>
      </w:pPr>
      <w:r w:rsidRPr="009539A3">
        <w:t>to ensure a consistent nati</w:t>
      </w:r>
      <w:r>
        <w:t>onwide approach to the process</w:t>
      </w:r>
      <w:r w:rsidRPr="009539A3">
        <w:t xml:space="preserve"> that allow</w:t>
      </w:r>
      <w:r>
        <w:t>s</w:t>
      </w:r>
      <w:r w:rsidRPr="009539A3">
        <w:t xml:space="preserve"> people sentenced under section 65 </w:t>
      </w:r>
      <w:r>
        <w:t xml:space="preserve">of the Act </w:t>
      </w:r>
      <w:r w:rsidRPr="009539A3">
        <w:t xml:space="preserve">to apply </w:t>
      </w:r>
      <w:r>
        <w:t>to have</w:t>
      </w:r>
      <w:r w:rsidRPr="009539A3">
        <w:t xml:space="preserve"> their disqualification from driving</w:t>
      </w:r>
      <w:r>
        <w:t xml:space="preserve"> removed</w:t>
      </w:r>
      <w:r w:rsidRPr="009539A3">
        <w:t>.</w:t>
      </w:r>
    </w:p>
    <w:p w14:paraId="285B983C" w14:textId="77777777" w:rsidR="00A90FD3" w:rsidRPr="009539A3" w:rsidRDefault="00A90FD3" w:rsidP="004711E2"/>
    <w:p w14:paraId="5CEC0D16" w14:textId="77777777" w:rsidR="00A90FD3" w:rsidRDefault="00A90FD3" w:rsidP="004711E2">
      <w:r w:rsidRPr="009539A3">
        <w:t>The likelihood of achieving these objectives is maximised by the following key components of the</w:t>
      </w:r>
      <w:r>
        <w:t>se</w:t>
      </w:r>
      <w:r w:rsidRPr="009539A3">
        <w:t xml:space="preserve"> </w:t>
      </w:r>
      <w:r>
        <w:t>operating procedures</w:t>
      </w:r>
      <w:r w:rsidRPr="009539A3">
        <w:t>:</w:t>
      </w:r>
    </w:p>
    <w:p w14:paraId="66BEF648" w14:textId="77777777" w:rsidR="004711E2" w:rsidRDefault="00A90FD3" w:rsidP="004711E2">
      <w:pPr>
        <w:pStyle w:val="Bullet"/>
      </w:pPr>
      <w:r w:rsidRPr="009539A3">
        <w:t>a comprehensive alcohol and other drug assessment</w:t>
      </w:r>
    </w:p>
    <w:p w14:paraId="46FB1A92" w14:textId="77777777" w:rsidR="00A90FD3" w:rsidRPr="009539A3" w:rsidRDefault="00A90FD3" w:rsidP="004711E2">
      <w:pPr>
        <w:pStyle w:val="Bullet"/>
      </w:pPr>
      <w:r>
        <w:t xml:space="preserve">a </w:t>
      </w:r>
      <w:r w:rsidRPr="009539A3">
        <w:t xml:space="preserve">supporting medical </w:t>
      </w:r>
      <w:r>
        <w:t>examination</w:t>
      </w:r>
    </w:p>
    <w:p w14:paraId="2A373AE4" w14:textId="77777777" w:rsidR="004711E2" w:rsidRDefault="00A90FD3" w:rsidP="004711E2">
      <w:pPr>
        <w:pStyle w:val="Bullet"/>
      </w:pPr>
      <w:r>
        <w:t>engagement with alcohol and d</w:t>
      </w:r>
      <w:r w:rsidRPr="009539A3">
        <w:t>rug treatment and other potential interventions as appropriate</w:t>
      </w:r>
      <w:r>
        <w:t>.</w:t>
      </w:r>
    </w:p>
    <w:p w14:paraId="23DB0D3A" w14:textId="77777777" w:rsidR="00A90FD3" w:rsidRPr="009539A3" w:rsidRDefault="00A90FD3" w:rsidP="004711E2"/>
    <w:p w14:paraId="25974017" w14:textId="77777777" w:rsidR="00A90FD3" w:rsidRPr="009539A3" w:rsidRDefault="00A90FD3" w:rsidP="004711E2">
      <w:pPr>
        <w:pStyle w:val="Heading2"/>
      </w:pPr>
      <w:bookmarkStart w:id="5" w:name="_Toc139199597"/>
      <w:bookmarkStart w:id="6" w:name="_Toc140638349"/>
      <w:bookmarkStart w:id="7" w:name="_Toc490728391"/>
      <w:bookmarkStart w:id="8" w:name="_Toc492493067"/>
      <w:r w:rsidRPr="009539A3">
        <w:t>Penalties for repeat offences (s</w:t>
      </w:r>
      <w:r>
        <w:t xml:space="preserve">ection </w:t>
      </w:r>
      <w:r w:rsidRPr="009539A3">
        <w:t>65)</w:t>
      </w:r>
      <w:bookmarkEnd w:id="5"/>
      <w:bookmarkEnd w:id="6"/>
      <w:bookmarkEnd w:id="7"/>
      <w:bookmarkEnd w:id="8"/>
    </w:p>
    <w:p w14:paraId="368279EA" w14:textId="77777777" w:rsidR="00A90FD3" w:rsidRPr="009539A3" w:rsidRDefault="00A90FD3" w:rsidP="004711E2">
      <w:pPr>
        <w:keepNext/>
      </w:pPr>
      <w:r w:rsidRPr="009539A3">
        <w:t xml:space="preserve">Section 65 of the Act relates to the mandatory penalties for repeat </w:t>
      </w:r>
      <w:r>
        <w:t xml:space="preserve">driving </w:t>
      </w:r>
      <w:r w:rsidRPr="009539A3">
        <w:t xml:space="preserve">offences involving the use of alcohol or drugs. A person sentenced under section 65 of the Act </w:t>
      </w:r>
      <w:r>
        <w:t>must</w:t>
      </w:r>
      <w:r w:rsidRPr="009539A3">
        <w:t xml:space="preserve"> attend an assessment centre</w:t>
      </w:r>
      <w:r w:rsidRPr="004711E2">
        <w:rPr>
          <w:rStyle w:val="FootnoteReference"/>
        </w:rPr>
        <w:footnoteReference w:id="2"/>
      </w:r>
      <w:r w:rsidRPr="009539A3">
        <w:t xml:space="preserve"> and </w:t>
      </w:r>
      <w:r>
        <w:t>is</w:t>
      </w:r>
      <w:r w:rsidRPr="009539A3">
        <w:t xml:space="preserve"> disqualified from holding or obtaining a driver licence until the </w:t>
      </w:r>
      <w:r>
        <w:t xml:space="preserve">Chief </w:t>
      </w:r>
      <w:r>
        <w:lastRenderedPageBreak/>
        <w:t>Executive of the New Zealand Transport Agency (NZTA)</w:t>
      </w:r>
      <w:r w:rsidRPr="009539A3">
        <w:t xml:space="preserve"> removes that disqualification under section</w:t>
      </w:r>
      <w:r w:rsidR="004711E2">
        <w:t> </w:t>
      </w:r>
      <w:r w:rsidRPr="009539A3">
        <w:t>100 of the Act.</w:t>
      </w:r>
    </w:p>
    <w:p w14:paraId="468BCB64" w14:textId="77777777" w:rsidR="00A90FD3" w:rsidRPr="009539A3" w:rsidRDefault="00A90FD3" w:rsidP="004711E2"/>
    <w:p w14:paraId="7C069CCE" w14:textId="77777777" w:rsidR="00A90FD3" w:rsidRPr="009539A3" w:rsidRDefault="00A90FD3" w:rsidP="004711E2">
      <w:pPr>
        <w:pStyle w:val="Heading2"/>
      </w:pPr>
      <w:bookmarkStart w:id="9" w:name="_Toc490728392"/>
      <w:bookmarkStart w:id="10" w:name="_Toc492493068"/>
      <w:r w:rsidRPr="009539A3">
        <w:t>Removal of disqualifications (s</w:t>
      </w:r>
      <w:r>
        <w:t>ection</w:t>
      </w:r>
      <w:r w:rsidR="004711E2">
        <w:t> </w:t>
      </w:r>
      <w:r w:rsidRPr="009539A3">
        <w:t>100)</w:t>
      </w:r>
      <w:bookmarkEnd w:id="9"/>
      <w:bookmarkEnd w:id="10"/>
    </w:p>
    <w:p w14:paraId="24BA971B" w14:textId="77777777" w:rsidR="00A90FD3" w:rsidRDefault="00A90FD3" w:rsidP="004711E2">
      <w:r w:rsidRPr="009539A3">
        <w:t>Section 100</w:t>
      </w:r>
      <w:r>
        <w:t xml:space="preserve"> </w:t>
      </w:r>
      <w:r w:rsidRPr="009539A3">
        <w:t xml:space="preserve">of the Act requires NZTA </w:t>
      </w:r>
      <w:r>
        <w:t>to</w:t>
      </w:r>
      <w:r w:rsidRPr="009539A3">
        <w:t xml:space="preserve"> </w:t>
      </w:r>
      <w:r>
        <w:t xml:space="preserve">remove </w:t>
      </w:r>
      <w:r w:rsidRPr="009539A3">
        <w:t>an order for disqualification made under section</w:t>
      </w:r>
      <w:r w:rsidR="004711E2">
        <w:t> </w:t>
      </w:r>
      <w:r>
        <w:t xml:space="preserve">65 </w:t>
      </w:r>
      <w:r w:rsidRPr="009539A3">
        <w:t>if</w:t>
      </w:r>
      <w:r>
        <w:t>:</w:t>
      </w:r>
    </w:p>
    <w:p w14:paraId="25439B7C" w14:textId="77777777" w:rsidR="00A90FD3" w:rsidRPr="00F359E9" w:rsidRDefault="00A90FD3" w:rsidP="004711E2">
      <w:pPr>
        <w:pStyle w:val="Bullet"/>
      </w:pPr>
      <w:r w:rsidRPr="006D0432">
        <w:t>it is satisfied that the person is fit to hold a driver</w:t>
      </w:r>
      <w:r w:rsidRPr="00126D3D">
        <w:t xml:space="preserve"> licence (section 100(1))</w:t>
      </w:r>
    </w:p>
    <w:p w14:paraId="2DB0B220" w14:textId="77777777" w:rsidR="00A90FD3" w:rsidRPr="006D0432" w:rsidRDefault="00A90FD3" w:rsidP="004711E2">
      <w:pPr>
        <w:pStyle w:val="Bullet"/>
      </w:pPr>
      <w:r w:rsidRPr="001147FA">
        <w:t>the</w:t>
      </w:r>
      <w:r w:rsidRPr="000C55B2">
        <w:t xml:space="preserve"> </w:t>
      </w:r>
      <w:r w:rsidRPr="00B04859">
        <w:t xml:space="preserve">section 65 </w:t>
      </w:r>
      <w:r w:rsidRPr="002A5BA7">
        <w:t xml:space="preserve">order </w:t>
      </w:r>
      <w:r w:rsidRPr="006D0432">
        <w:t>has been in force</w:t>
      </w:r>
      <w:r w:rsidRPr="006D0432">
        <w:rPr>
          <w:b/>
        </w:rPr>
        <w:t xml:space="preserve"> </w:t>
      </w:r>
      <w:r w:rsidRPr="004C47EB">
        <w:t xml:space="preserve">for </w:t>
      </w:r>
      <w:r w:rsidRPr="006D0432">
        <w:rPr>
          <w:b/>
        </w:rPr>
        <w:t>at least</w:t>
      </w:r>
      <w:r w:rsidRPr="00126D3D">
        <w:rPr>
          <w:b/>
        </w:rPr>
        <w:t xml:space="preserve"> one year and one day</w:t>
      </w:r>
      <w:r w:rsidRPr="005503D3">
        <w:rPr>
          <w:b/>
        </w:rPr>
        <w:t xml:space="preserve"> </w:t>
      </w:r>
      <w:r w:rsidRPr="005503D3">
        <w:t>(section 100(3</w:t>
      </w:r>
      <w:r w:rsidRPr="00F359E9">
        <w:t>))</w:t>
      </w:r>
      <w:r w:rsidRPr="0077581D">
        <w:t>.</w:t>
      </w:r>
    </w:p>
    <w:p w14:paraId="6EAE3370" w14:textId="77777777" w:rsidR="00A90FD3" w:rsidRPr="009539A3" w:rsidRDefault="00A90FD3" w:rsidP="004711E2"/>
    <w:p w14:paraId="2BF84A46" w14:textId="77777777" w:rsidR="004711E2" w:rsidRDefault="00A90FD3" w:rsidP="004711E2">
      <w:r w:rsidRPr="009539A3">
        <w:t xml:space="preserve">All </w:t>
      </w:r>
      <w:r>
        <w:t>people</w:t>
      </w:r>
      <w:r w:rsidRPr="009539A3">
        <w:t xml:space="preserve"> sentenced under section 65 seeking removal of </w:t>
      </w:r>
      <w:r>
        <w:t xml:space="preserve">their </w:t>
      </w:r>
      <w:r w:rsidRPr="009539A3">
        <w:t>disqualification must go through the agreed assessment process. NZTA</w:t>
      </w:r>
      <w:r w:rsidR="004711E2">
        <w:t>’</w:t>
      </w:r>
      <w:r w:rsidRPr="009539A3">
        <w:t xml:space="preserve">s decision to remove a disqualification is based on a </w:t>
      </w:r>
      <w:r>
        <w:t xml:space="preserve">recommendation </w:t>
      </w:r>
      <w:r w:rsidRPr="009539A3">
        <w:t>by an approved assessment centre</w:t>
      </w:r>
      <w:r>
        <w:t xml:space="preserve">. </w:t>
      </w:r>
      <w:r w:rsidRPr="009539A3">
        <w:t xml:space="preserve">NZTA will take into account all evidence provided by the assessor </w:t>
      </w:r>
      <w:r>
        <w:t>in making</w:t>
      </w:r>
      <w:r w:rsidRPr="009539A3">
        <w:t xml:space="preserve"> </w:t>
      </w:r>
      <w:r>
        <w:t>its</w:t>
      </w:r>
      <w:r w:rsidRPr="009539A3">
        <w:t xml:space="preserve"> decision.</w:t>
      </w:r>
    </w:p>
    <w:p w14:paraId="6F461932" w14:textId="77777777" w:rsidR="00A90FD3" w:rsidRPr="009539A3" w:rsidRDefault="00A90FD3" w:rsidP="004711E2"/>
    <w:p w14:paraId="6F419516" w14:textId="77777777" w:rsidR="00A90FD3" w:rsidRDefault="00A90FD3" w:rsidP="004711E2">
      <w:pPr>
        <w:pStyle w:val="Heading4"/>
      </w:pPr>
      <w:r w:rsidRPr="00894D6C">
        <w:t>Note</w:t>
      </w:r>
    </w:p>
    <w:p w14:paraId="42016BFF" w14:textId="59CAA14D" w:rsidR="004711E2" w:rsidRDefault="00A90FD3" w:rsidP="004711E2">
      <w:r w:rsidRPr="009539A3">
        <w:t>NZTA</w:t>
      </w:r>
      <w:r w:rsidR="004711E2">
        <w:t>’</w:t>
      </w:r>
      <w:r w:rsidRPr="009539A3">
        <w:t xml:space="preserve">s decision to remove a disqualification does not mean that the applicant </w:t>
      </w:r>
      <w:r w:rsidR="00A14973">
        <w:t xml:space="preserve">will </w:t>
      </w:r>
      <w:r w:rsidRPr="009539A3">
        <w:t xml:space="preserve">automatically regain their licence. They will still </w:t>
      </w:r>
      <w:r>
        <w:t>need</w:t>
      </w:r>
      <w:r w:rsidRPr="009539A3">
        <w:t xml:space="preserve"> to re-apply for their licence.</w:t>
      </w:r>
    </w:p>
    <w:p w14:paraId="4B98EAFB" w14:textId="77777777" w:rsidR="00A90FD3" w:rsidRPr="009539A3" w:rsidRDefault="00A90FD3" w:rsidP="004711E2"/>
    <w:p w14:paraId="447B74C0" w14:textId="77777777" w:rsidR="004711E2" w:rsidRDefault="00A90FD3" w:rsidP="004711E2">
      <w:pPr>
        <w:pStyle w:val="Heading1"/>
      </w:pPr>
      <w:bookmarkStart w:id="11" w:name="_Toc490728393"/>
      <w:bookmarkStart w:id="12" w:name="_Toc492493069"/>
      <w:r w:rsidRPr="009539A3">
        <w:lastRenderedPageBreak/>
        <w:t>The assessment</w:t>
      </w:r>
      <w:bookmarkEnd w:id="11"/>
      <w:bookmarkEnd w:id="12"/>
    </w:p>
    <w:p w14:paraId="4F3AD439" w14:textId="77777777" w:rsidR="00A90FD3" w:rsidRPr="009539A3" w:rsidRDefault="00A90FD3" w:rsidP="004711E2">
      <w:pPr>
        <w:pStyle w:val="Heading2"/>
      </w:pPr>
      <w:bookmarkStart w:id="13" w:name="_Toc490728394"/>
      <w:bookmarkStart w:id="14" w:name="_Toc492493070"/>
      <w:r w:rsidRPr="009539A3">
        <w:t>Assessment</w:t>
      </w:r>
      <w:bookmarkEnd w:id="13"/>
      <w:bookmarkEnd w:id="14"/>
    </w:p>
    <w:p w14:paraId="1EEC6CD2" w14:textId="4ADA4FC9" w:rsidR="004711E2" w:rsidRDefault="00A90FD3" w:rsidP="004711E2">
      <w:r>
        <w:t>Under</w:t>
      </w:r>
      <w:r w:rsidRPr="009539A3">
        <w:t xml:space="preserve"> sections 65 and 100 of the Act</w:t>
      </w:r>
      <w:r>
        <w:t>,</w:t>
      </w:r>
      <w:r w:rsidRPr="009539A3">
        <w:t xml:space="preserve"> </w:t>
      </w:r>
      <w:r>
        <w:t xml:space="preserve">a </w:t>
      </w:r>
      <w:r w:rsidR="00A14973">
        <w:t xml:space="preserve">person applying </w:t>
      </w:r>
      <w:r>
        <w:t xml:space="preserve">for </w:t>
      </w:r>
      <w:r w:rsidR="00A14973">
        <w:t xml:space="preserve">the </w:t>
      </w:r>
      <w:r>
        <w:t xml:space="preserve">removal of </w:t>
      </w:r>
      <w:r w:rsidR="00A14973">
        <w:t xml:space="preserve">their </w:t>
      </w:r>
      <w:r>
        <w:t xml:space="preserve">disqualification must be assessed for fitness to drive, including </w:t>
      </w:r>
      <w:r w:rsidRPr="009539A3">
        <w:t xml:space="preserve">whether </w:t>
      </w:r>
      <w:r>
        <w:t>they</w:t>
      </w:r>
      <w:r w:rsidRPr="009539A3">
        <w:t xml:space="preserve"> meet the criteria </w:t>
      </w:r>
      <w:r w:rsidRPr="00501F6D">
        <w:t xml:space="preserve">for mental health and or substance use disorders as described in the </w:t>
      </w:r>
      <w:r w:rsidRPr="00501F6D">
        <w:rPr>
          <w:i/>
        </w:rPr>
        <w:t>Diagnostic and Statistical Manual of Mental Disorders Volume 5</w:t>
      </w:r>
      <w:r w:rsidRPr="00663B69">
        <w:t xml:space="preserve"> (</w:t>
      </w:r>
      <w:r w:rsidRPr="00501F6D">
        <w:t>DSMV)</w:t>
      </w:r>
      <w:r>
        <w:t xml:space="preserve"> (American Psychiatric Association 1994). </w:t>
      </w:r>
      <w:r w:rsidRPr="00501F6D">
        <w:t>The DSMV descri</w:t>
      </w:r>
      <w:r>
        <w:t xml:space="preserve">bes substance use disorders as </w:t>
      </w:r>
      <w:r w:rsidR="004711E2">
        <w:t>‘</w:t>
      </w:r>
      <w:r w:rsidRPr="0096629D">
        <w:t>a maladaptive pattern of substance use leading to clinically significant impairment or distress</w:t>
      </w:r>
      <w:r w:rsidR="004711E2">
        <w:t>’</w:t>
      </w:r>
      <w:r w:rsidRPr="00501F6D">
        <w:t>.</w:t>
      </w:r>
    </w:p>
    <w:p w14:paraId="6F176D28" w14:textId="77777777" w:rsidR="00A90FD3" w:rsidRPr="00501F6D" w:rsidRDefault="00A90FD3" w:rsidP="004711E2"/>
    <w:p w14:paraId="70C39290" w14:textId="77777777" w:rsidR="00A90FD3" w:rsidRDefault="00A90FD3" w:rsidP="004711E2">
      <w:r w:rsidRPr="009539A3">
        <w:t xml:space="preserve">If a person is assessed as </w:t>
      </w:r>
      <w:r>
        <w:t>having</w:t>
      </w:r>
      <w:r w:rsidRPr="009539A3">
        <w:t xml:space="preserve"> </w:t>
      </w:r>
      <w:r>
        <w:t>a substance use disorder</w:t>
      </w:r>
      <w:r w:rsidRPr="009539A3">
        <w:t xml:space="preserve">, they are at greater risk of having </w:t>
      </w:r>
      <w:r>
        <w:t xml:space="preserve">an accident while driving. </w:t>
      </w:r>
      <w:r w:rsidRPr="009539A3">
        <w:t xml:space="preserve">This risk </w:t>
      </w:r>
      <w:r>
        <w:t>increases</w:t>
      </w:r>
      <w:r w:rsidRPr="009539A3">
        <w:t xml:space="preserve"> if </w:t>
      </w:r>
      <w:r>
        <w:t>the person has</w:t>
      </w:r>
      <w:r w:rsidRPr="009539A3">
        <w:t xml:space="preserve"> a history of relapse and</w:t>
      </w:r>
      <w:r>
        <w:t>/or</w:t>
      </w:r>
      <w:r w:rsidRPr="009539A3">
        <w:t xml:space="preserve"> driving after or during substance use.</w:t>
      </w:r>
      <w:r>
        <w:t xml:space="preserve"> A comprehensive assessment of the person can help i</w:t>
      </w:r>
      <w:r w:rsidRPr="00501F6D">
        <w:t xml:space="preserve">dentify and </w:t>
      </w:r>
      <w:r>
        <w:t>explain</w:t>
      </w:r>
      <w:r w:rsidRPr="00501F6D">
        <w:t xml:space="preserve"> the factors that </w:t>
      </w:r>
      <w:r>
        <w:t>lead to and encourage</w:t>
      </w:r>
      <w:r w:rsidRPr="00501F6D">
        <w:t xml:space="preserve"> driving </w:t>
      </w:r>
      <w:r>
        <w:t>after or during alcohol and other drug use</w:t>
      </w:r>
      <w:r w:rsidRPr="00501F6D">
        <w:t>, as well as fa</w:t>
      </w:r>
      <w:r>
        <w:t>ctors that might encourage change (eg</w:t>
      </w:r>
      <w:r w:rsidRPr="00501F6D">
        <w:t>, motivation, support systems, mental health problems, cognitive impairment)</w:t>
      </w:r>
      <w:r>
        <w:t>. Identifying and understanding the critical factors are</w:t>
      </w:r>
      <w:r w:rsidRPr="00501F6D">
        <w:t xml:space="preserve"> central to </w:t>
      </w:r>
      <w:r>
        <w:t>assessors being able to develop</w:t>
      </w:r>
      <w:r w:rsidRPr="00501F6D">
        <w:t xml:space="preserve"> effecti</w:t>
      </w:r>
      <w:r>
        <w:t xml:space="preserve">ve, tailored </w:t>
      </w:r>
      <w:r w:rsidRPr="00501F6D">
        <w:t xml:space="preserve">interventions </w:t>
      </w:r>
      <w:r w:rsidRPr="009539A3">
        <w:t xml:space="preserve">that </w:t>
      </w:r>
      <w:r>
        <w:t>can</w:t>
      </w:r>
      <w:r w:rsidRPr="009539A3">
        <w:t xml:space="preserve"> </w:t>
      </w:r>
      <w:r>
        <w:t>help</w:t>
      </w:r>
      <w:r w:rsidRPr="009539A3">
        <w:t xml:space="preserve"> the</w:t>
      </w:r>
      <w:r>
        <w:t xml:space="preserve"> applicant </w:t>
      </w:r>
      <w:r w:rsidRPr="009539A3">
        <w:t xml:space="preserve">avoid offending </w:t>
      </w:r>
      <w:r>
        <w:t xml:space="preserve">in the </w:t>
      </w:r>
      <w:r w:rsidRPr="009539A3">
        <w:t>future.</w:t>
      </w:r>
    </w:p>
    <w:p w14:paraId="19DA820B" w14:textId="77777777" w:rsidR="00A90FD3" w:rsidRPr="009539A3" w:rsidRDefault="00A90FD3" w:rsidP="004711E2"/>
    <w:p w14:paraId="6EBBB0D7" w14:textId="77777777" w:rsidR="00A90FD3" w:rsidRPr="00501F6D" w:rsidRDefault="00A90FD3" w:rsidP="004711E2">
      <w:pPr>
        <w:pStyle w:val="Heading2"/>
      </w:pPr>
      <w:bookmarkStart w:id="15" w:name="_Toc490728395"/>
      <w:bookmarkStart w:id="16" w:name="_Toc492493071"/>
      <w:r w:rsidRPr="00501F6D">
        <w:t>Assessor</w:t>
      </w:r>
      <w:r w:rsidR="004711E2">
        <w:t>’</w:t>
      </w:r>
      <w:r w:rsidRPr="00501F6D">
        <w:t>s duty of care</w:t>
      </w:r>
      <w:bookmarkEnd w:id="15"/>
      <w:bookmarkEnd w:id="16"/>
    </w:p>
    <w:p w14:paraId="317C27EF" w14:textId="77777777" w:rsidR="004711E2" w:rsidRDefault="00A90FD3" w:rsidP="004711E2">
      <w:r w:rsidRPr="009539A3">
        <w:t xml:space="preserve">The process for removing </w:t>
      </w:r>
      <w:r>
        <w:t xml:space="preserve">a </w:t>
      </w:r>
      <w:r w:rsidRPr="009539A3">
        <w:t xml:space="preserve">disqualification </w:t>
      </w:r>
      <w:r>
        <w:t xml:space="preserve">from driving </w:t>
      </w:r>
      <w:r w:rsidRPr="009539A3">
        <w:t>requires the assessor to make the best possible recommendation as to the applicant</w:t>
      </w:r>
      <w:r w:rsidR="004711E2">
        <w:t>’</w:t>
      </w:r>
      <w:r w:rsidRPr="009539A3">
        <w:t>s fitness to drive based on the</w:t>
      </w:r>
      <w:r>
        <w:t>ir</w:t>
      </w:r>
      <w:r w:rsidRPr="009539A3">
        <w:t xml:space="preserve"> assessment and the applicant</w:t>
      </w:r>
      <w:r w:rsidR="004711E2">
        <w:t>’</w:t>
      </w:r>
      <w:r w:rsidRPr="009539A3">
        <w:t>s compliance with any agreed intervention</w:t>
      </w:r>
      <w:r>
        <w:t xml:space="preserve"> (if one has been recommended)</w:t>
      </w:r>
      <w:r w:rsidRPr="009539A3">
        <w:t>.</w:t>
      </w:r>
    </w:p>
    <w:p w14:paraId="0314D12C" w14:textId="77777777" w:rsidR="00A90FD3" w:rsidRDefault="00A90FD3" w:rsidP="004711E2"/>
    <w:p w14:paraId="50A93430" w14:textId="77777777" w:rsidR="00A90FD3" w:rsidRPr="000770CE" w:rsidRDefault="00A90FD3" w:rsidP="004711E2">
      <w:r w:rsidRPr="000770CE">
        <w:t xml:space="preserve">In </w:t>
      </w:r>
      <w:r>
        <w:t>making their assessment</w:t>
      </w:r>
      <w:r w:rsidRPr="000770CE">
        <w:t xml:space="preserve">, </w:t>
      </w:r>
      <w:r>
        <w:t xml:space="preserve">the </w:t>
      </w:r>
      <w:r w:rsidRPr="000770CE">
        <w:t>assessor ha</w:t>
      </w:r>
      <w:r>
        <w:t>s</w:t>
      </w:r>
      <w:r w:rsidRPr="000770CE">
        <w:t xml:space="preserve"> a duty of care to both the applicant and to the New Zealand public </w:t>
      </w:r>
      <w:r>
        <w:t>to</w:t>
      </w:r>
      <w:r w:rsidRPr="000770CE">
        <w:t xml:space="preserve"> ensur</w:t>
      </w:r>
      <w:r>
        <w:t>e</w:t>
      </w:r>
      <w:r w:rsidRPr="000770CE">
        <w:t xml:space="preserve"> the </w:t>
      </w:r>
      <w:r>
        <w:t>applicant</w:t>
      </w:r>
      <w:r w:rsidRPr="000770CE">
        <w:t xml:space="preserve"> is fit to drive. The assessor</w:t>
      </w:r>
      <w:r>
        <w:t xml:space="preserve"> must honour</w:t>
      </w:r>
      <w:r w:rsidRPr="000770CE">
        <w:t xml:space="preserve"> the Code of Health and Disability Services Consumers</w:t>
      </w:r>
      <w:r w:rsidR="004711E2">
        <w:t>’</w:t>
      </w:r>
      <w:r w:rsidRPr="000770CE">
        <w:t xml:space="preserve"> Rights) Regulations 1996</w:t>
      </w:r>
      <w:r>
        <w:t xml:space="preserve"> (HDC 2009</w:t>
      </w:r>
      <w:r w:rsidRPr="000770CE">
        <w:t>)</w:t>
      </w:r>
      <w:r>
        <w:t xml:space="preserve"> and inform every applicant of their rights under the code</w:t>
      </w:r>
      <w:r w:rsidRPr="000770CE">
        <w:t xml:space="preserve">. The code lays out </w:t>
      </w:r>
      <w:r>
        <w:t>10</w:t>
      </w:r>
      <w:r w:rsidRPr="000770CE">
        <w:t xml:space="preserve"> rights of consumers and duties of providers. They can be summarised as:</w:t>
      </w:r>
    </w:p>
    <w:p w14:paraId="0643FFEB" w14:textId="77777777" w:rsidR="00A90FD3" w:rsidRPr="000508BC" w:rsidRDefault="00A90FD3" w:rsidP="004711E2">
      <w:pPr>
        <w:spacing w:before="60"/>
        <w:ind w:left="567"/>
      </w:pPr>
      <w:r w:rsidRPr="000508BC">
        <w:t xml:space="preserve">Right 1: </w:t>
      </w:r>
      <w:r>
        <w:t>T</w:t>
      </w:r>
      <w:r w:rsidRPr="000508BC">
        <w:t>he right to be treated with respect</w:t>
      </w:r>
    </w:p>
    <w:p w14:paraId="79BD82C1" w14:textId="77777777" w:rsidR="00A90FD3" w:rsidRPr="000508BC" w:rsidRDefault="00A90FD3" w:rsidP="004711E2">
      <w:pPr>
        <w:spacing w:before="60"/>
        <w:ind w:left="567"/>
      </w:pPr>
      <w:r w:rsidRPr="000508BC">
        <w:t xml:space="preserve">Right 2: </w:t>
      </w:r>
      <w:r>
        <w:t>T</w:t>
      </w:r>
      <w:r w:rsidRPr="000508BC">
        <w:t>he right to freedom from discrimination, coercion, harassment and exploitation</w:t>
      </w:r>
    </w:p>
    <w:p w14:paraId="764E22A4" w14:textId="77777777" w:rsidR="00A90FD3" w:rsidRPr="000508BC" w:rsidRDefault="00A90FD3" w:rsidP="004711E2">
      <w:pPr>
        <w:spacing w:before="60"/>
        <w:ind w:left="567"/>
      </w:pPr>
      <w:r w:rsidRPr="000508BC">
        <w:t xml:space="preserve">Right 3: </w:t>
      </w:r>
      <w:r>
        <w:t>T</w:t>
      </w:r>
      <w:r w:rsidRPr="000508BC">
        <w:t>he right to dignity and independence</w:t>
      </w:r>
    </w:p>
    <w:p w14:paraId="2E93E996" w14:textId="77777777" w:rsidR="00A90FD3" w:rsidRPr="000508BC" w:rsidRDefault="00A90FD3" w:rsidP="004711E2">
      <w:pPr>
        <w:spacing w:before="60"/>
        <w:ind w:left="567"/>
      </w:pPr>
      <w:r w:rsidRPr="000508BC">
        <w:t xml:space="preserve">Right 4: </w:t>
      </w:r>
      <w:r>
        <w:t>T</w:t>
      </w:r>
      <w:r w:rsidRPr="000508BC">
        <w:t>he right to services of an appropriate standard</w:t>
      </w:r>
    </w:p>
    <w:p w14:paraId="7B74EAA4" w14:textId="77777777" w:rsidR="00A90FD3" w:rsidRPr="000508BC" w:rsidRDefault="00A90FD3" w:rsidP="004711E2">
      <w:pPr>
        <w:spacing w:before="60"/>
        <w:ind w:left="567"/>
      </w:pPr>
      <w:r w:rsidRPr="000508BC">
        <w:t xml:space="preserve">Right 5: </w:t>
      </w:r>
      <w:r>
        <w:t>T</w:t>
      </w:r>
      <w:r w:rsidRPr="000508BC">
        <w:t>he right to effective communication</w:t>
      </w:r>
    </w:p>
    <w:p w14:paraId="4F5A9CE6" w14:textId="77777777" w:rsidR="00A90FD3" w:rsidRPr="000508BC" w:rsidRDefault="00A90FD3" w:rsidP="004711E2">
      <w:pPr>
        <w:spacing w:before="60"/>
        <w:ind w:left="567"/>
      </w:pPr>
      <w:r w:rsidRPr="000508BC">
        <w:t xml:space="preserve">Right 6: </w:t>
      </w:r>
      <w:r>
        <w:t>T</w:t>
      </w:r>
      <w:r w:rsidRPr="000508BC">
        <w:t>he right to be fully informed</w:t>
      </w:r>
    </w:p>
    <w:p w14:paraId="6241FF31" w14:textId="77777777" w:rsidR="00A90FD3" w:rsidRPr="000508BC" w:rsidRDefault="00A90FD3" w:rsidP="004711E2">
      <w:pPr>
        <w:spacing w:before="60"/>
        <w:ind w:left="567"/>
      </w:pPr>
      <w:r w:rsidRPr="000508BC">
        <w:t xml:space="preserve">Right 7: </w:t>
      </w:r>
      <w:r>
        <w:t>T</w:t>
      </w:r>
      <w:r w:rsidRPr="000508BC">
        <w:t>he right to make an informed choice and give informed consent</w:t>
      </w:r>
    </w:p>
    <w:p w14:paraId="18E7DA43" w14:textId="77777777" w:rsidR="00A90FD3" w:rsidRPr="000508BC" w:rsidRDefault="00A90FD3" w:rsidP="004711E2">
      <w:pPr>
        <w:spacing w:before="60"/>
        <w:ind w:left="567"/>
      </w:pPr>
      <w:r w:rsidRPr="000508BC">
        <w:t xml:space="preserve">Right 8: </w:t>
      </w:r>
      <w:r>
        <w:t>T</w:t>
      </w:r>
      <w:r w:rsidRPr="000508BC">
        <w:t>he right to support</w:t>
      </w:r>
    </w:p>
    <w:p w14:paraId="11ACFF8E" w14:textId="77777777" w:rsidR="00A90FD3" w:rsidRPr="000508BC" w:rsidRDefault="00A90FD3" w:rsidP="004711E2">
      <w:pPr>
        <w:spacing w:before="60"/>
        <w:ind w:left="567"/>
      </w:pPr>
      <w:r w:rsidRPr="000508BC">
        <w:t xml:space="preserve">Right 9: </w:t>
      </w:r>
      <w:r>
        <w:t>R</w:t>
      </w:r>
      <w:r w:rsidRPr="000508BC">
        <w:t>ights in respect of teaching or research</w:t>
      </w:r>
    </w:p>
    <w:p w14:paraId="34D49B71" w14:textId="77777777" w:rsidR="00A90FD3" w:rsidRPr="000508BC" w:rsidRDefault="00A90FD3" w:rsidP="004711E2">
      <w:pPr>
        <w:spacing w:before="60"/>
        <w:ind w:left="567"/>
      </w:pPr>
      <w:r w:rsidRPr="000508BC">
        <w:t xml:space="preserve">Right 10: </w:t>
      </w:r>
      <w:r>
        <w:t>T</w:t>
      </w:r>
      <w:r w:rsidRPr="000508BC">
        <w:t>he right to complain</w:t>
      </w:r>
      <w:r>
        <w:t>.</w:t>
      </w:r>
    </w:p>
    <w:p w14:paraId="5B5C0202" w14:textId="77777777" w:rsidR="00A90FD3" w:rsidRPr="000770CE" w:rsidRDefault="00A90FD3" w:rsidP="004711E2"/>
    <w:p w14:paraId="73C5FD43" w14:textId="77777777" w:rsidR="00A90FD3" w:rsidRPr="000770CE" w:rsidRDefault="00A90FD3" w:rsidP="004711E2">
      <w:pPr>
        <w:keepNext/>
      </w:pPr>
      <w:r w:rsidRPr="000770CE">
        <w:t>More information about the code of rights can be found on the Health and Disability Commissioner website (</w:t>
      </w:r>
      <w:hyperlink r:id="rId18" w:history="1">
        <w:r w:rsidRPr="000770CE">
          <w:rPr>
            <w:rStyle w:val="Hyperlink"/>
          </w:rPr>
          <w:t>www.hdc.org.nz</w:t>
        </w:r>
      </w:hyperlink>
      <w:r w:rsidRPr="000770CE">
        <w:t xml:space="preserve">). Assessors are also expected to align with the code of </w:t>
      </w:r>
      <w:r w:rsidRPr="000770CE">
        <w:lastRenderedPageBreak/>
        <w:t xml:space="preserve">ethics </w:t>
      </w:r>
      <w:r>
        <w:t>of the Addiction Practitioners</w:t>
      </w:r>
      <w:r w:rsidR="004711E2">
        <w:t>’</w:t>
      </w:r>
      <w:r>
        <w:t xml:space="preserve"> Association Aotearoa New Zealand, otherwise known as dapaanz</w:t>
      </w:r>
      <w:r w:rsidRPr="000770CE">
        <w:t xml:space="preserve"> (see </w:t>
      </w:r>
      <w:hyperlink r:id="rId19" w:history="1">
        <w:r w:rsidRPr="00126D3D">
          <w:rPr>
            <w:rStyle w:val="Hyperlink"/>
          </w:rPr>
          <w:t>www.dapaanz.org.nz/code-of-ethics</w:t>
        </w:r>
      </w:hyperlink>
      <w:r w:rsidRPr="000770CE">
        <w:t>).</w:t>
      </w:r>
    </w:p>
    <w:p w14:paraId="0D91DAD2" w14:textId="77777777" w:rsidR="00A90FD3" w:rsidRDefault="00A90FD3" w:rsidP="004711E2"/>
    <w:p w14:paraId="2F8457EC" w14:textId="77777777" w:rsidR="004711E2" w:rsidRDefault="00A90FD3" w:rsidP="004711E2">
      <w:r w:rsidRPr="00597665">
        <w:t>In performing their duty of care, assessors help to create safer communities</w:t>
      </w:r>
      <w:r>
        <w:t>. T</w:t>
      </w:r>
      <w:r w:rsidRPr="00597665">
        <w:t xml:space="preserve">heir expertise </w:t>
      </w:r>
      <w:r>
        <w:t>helps</w:t>
      </w:r>
      <w:r w:rsidRPr="00597665">
        <w:t xml:space="preserve"> those with a history of </w:t>
      </w:r>
      <w:r>
        <w:t>impaired</w:t>
      </w:r>
      <w:r w:rsidRPr="00597665">
        <w:t xml:space="preserve"> driving offences </w:t>
      </w:r>
      <w:r>
        <w:t xml:space="preserve">make safer decisions about future substance use </w:t>
      </w:r>
      <w:r w:rsidRPr="00597665">
        <w:t>and driving a vehicle.</w:t>
      </w:r>
    </w:p>
    <w:p w14:paraId="032DC3F7" w14:textId="77777777" w:rsidR="00A90FD3" w:rsidRPr="009539A3" w:rsidRDefault="00A90FD3" w:rsidP="004711E2"/>
    <w:p w14:paraId="0DC39C4C" w14:textId="77777777" w:rsidR="004711E2" w:rsidRDefault="00A90FD3" w:rsidP="004711E2">
      <w:pPr>
        <w:pStyle w:val="Heading2"/>
      </w:pPr>
      <w:bookmarkStart w:id="17" w:name="_Toc490728396"/>
      <w:bookmarkStart w:id="18" w:name="_Toc492493072"/>
      <w:r w:rsidRPr="00501F6D">
        <w:t>Timeframes and sequence</w:t>
      </w:r>
      <w:bookmarkEnd w:id="17"/>
      <w:bookmarkEnd w:id="18"/>
    </w:p>
    <w:p w14:paraId="244FC09E" w14:textId="77777777" w:rsidR="00A90FD3" w:rsidRDefault="00A90FD3" w:rsidP="004711E2">
      <w:r w:rsidRPr="009539A3">
        <w:t xml:space="preserve">NZTA cannot remove a </w:t>
      </w:r>
      <w:r>
        <w:t xml:space="preserve">driving </w:t>
      </w:r>
      <w:r w:rsidRPr="009539A3">
        <w:t>disqualification until</w:t>
      </w:r>
      <w:r>
        <w:t>:</w:t>
      </w:r>
    </w:p>
    <w:p w14:paraId="229D2FF0" w14:textId="77777777" w:rsidR="00A90FD3" w:rsidRPr="00126D3D" w:rsidRDefault="00A90FD3" w:rsidP="004711E2">
      <w:pPr>
        <w:pStyle w:val="Bullet"/>
      </w:pPr>
      <w:r w:rsidRPr="00126D3D">
        <w:t>the mandatory disqualification period has been served (one year and one day)</w:t>
      </w:r>
    </w:p>
    <w:p w14:paraId="0344C90E" w14:textId="77777777" w:rsidR="004711E2" w:rsidRDefault="00A90FD3" w:rsidP="004711E2">
      <w:pPr>
        <w:pStyle w:val="Bullet"/>
      </w:pPr>
      <w:r w:rsidRPr="00126D3D">
        <w:t>the required comprehensive assessment has been completed</w:t>
      </w:r>
    </w:p>
    <w:p w14:paraId="00E1E0C7" w14:textId="77777777" w:rsidR="004711E2" w:rsidRDefault="00A90FD3" w:rsidP="004711E2">
      <w:pPr>
        <w:pStyle w:val="Bullet"/>
      </w:pPr>
      <w:r w:rsidRPr="00B52265">
        <w:t xml:space="preserve">a report </w:t>
      </w:r>
      <w:r>
        <w:t>(including recent laboratory tests and results from a medical examination – see section</w:t>
      </w:r>
      <w:r w:rsidR="004711E2">
        <w:t> </w:t>
      </w:r>
      <w:r>
        <w:t xml:space="preserve">4: Laboratory tests and a medical examination) </w:t>
      </w:r>
      <w:r w:rsidRPr="00B52265">
        <w:t>has been provided to NZTA.</w:t>
      </w:r>
    </w:p>
    <w:p w14:paraId="7478D8BB" w14:textId="77777777" w:rsidR="00A90FD3" w:rsidRDefault="00A90FD3" w:rsidP="004711E2"/>
    <w:p w14:paraId="5B1F75BD" w14:textId="77777777" w:rsidR="00A90FD3" w:rsidRDefault="00A90FD3" w:rsidP="004711E2">
      <w:r>
        <w:t>Figure 1 below summarise the assessment and reporting process.</w:t>
      </w:r>
    </w:p>
    <w:p w14:paraId="1702909F" w14:textId="483CF71F" w:rsidR="001705A7" w:rsidRDefault="00A90FD3" w:rsidP="006B4143">
      <w:pPr>
        <w:pStyle w:val="Figure"/>
      </w:pPr>
      <w:r w:rsidRPr="00E062AE">
        <w:lastRenderedPageBreak/>
        <w:t>Figure 1: Assessment and reporting process for an application to remove a driving disqualification</w:t>
      </w:r>
      <w:r>
        <w:t xml:space="preserve"> under section 65 of the Act</w:t>
      </w:r>
    </w:p>
    <w:p w14:paraId="0FBABFFE" w14:textId="3F7FE1CD" w:rsidR="006B4143" w:rsidRPr="006B4143" w:rsidRDefault="006B4143" w:rsidP="00C85F17">
      <w:pPr>
        <w:spacing w:before="600"/>
      </w:pPr>
      <w:r>
        <w:rPr>
          <w:noProof/>
          <w:lang w:eastAsia="en-NZ"/>
        </w:rPr>
        <w:drawing>
          <wp:inline distT="0" distB="0" distL="0" distR="0" wp14:anchorId="28064E90" wp14:editId="0A382623">
            <wp:extent cx="5478780" cy="676656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ZTA.jpg"/>
                    <pic:cNvPicPr/>
                  </pic:nvPicPr>
                  <pic:blipFill>
                    <a:blip r:embed="rId20">
                      <a:extLst>
                        <a:ext uri="{28A0092B-C50C-407E-A947-70E740481C1C}">
                          <a14:useLocalDpi xmlns:a14="http://schemas.microsoft.com/office/drawing/2010/main" val="0"/>
                        </a:ext>
                      </a:extLst>
                    </a:blip>
                    <a:stretch>
                      <a:fillRect/>
                    </a:stretch>
                  </pic:blipFill>
                  <pic:spPr>
                    <a:xfrm>
                      <a:off x="0" y="0"/>
                      <a:ext cx="5478780" cy="6766560"/>
                    </a:xfrm>
                    <a:prstGeom prst="rect">
                      <a:avLst/>
                    </a:prstGeom>
                  </pic:spPr>
                </pic:pic>
              </a:graphicData>
            </a:graphic>
          </wp:inline>
        </w:drawing>
      </w:r>
    </w:p>
    <w:p w14:paraId="704CE5DD" w14:textId="496273E4" w:rsidR="004711E2" w:rsidRDefault="00A90FD3" w:rsidP="00C119E6">
      <w:pPr>
        <w:pStyle w:val="Heading1"/>
      </w:pPr>
      <w:bookmarkStart w:id="19" w:name="_Toc490728397"/>
      <w:bookmarkStart w:id="20" w:name="_Toc492493073"/>
      <w:bookmarkStart w:id="21" w:name="_Toc123013776"/>
      <w:bookmarkStart w:id="22" w:name="_Toc139199602"/>
      <w:bookmarkStart w:id="23" w:name="_Toc140638354"/>
      <w:bookmarkStart w:id="24" w:name="_Toc123013793"/>
      <w:bookmarkStart w:id="25" w:name="_Toc139199619"/>
      <w:bookmarkStart w:id="26" w:name="_Toc140638371"/>
      <w:r w:rsidRPr="00501F6D">
        <w:lastRenderedPageBreak/>
        <w:t>The assessment process</w:t>
      </w:r>
      <w:bookmarkEnd w:id="19"/>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4785"/>
        <w:gridCol w:w="4786"/>
      </w:tblGrid>
      <w:tr w:rsidR="00C119E6" w14:paraId="6C7107DA" w14:textId="77777777" w:rsidTr="00C119E6">
        <w:trPr>
          <w:cantSplit/>
        </w:trPr>
        <w:tc>
          <w:tcPr>
            <w:tcW w:w="4785" w:type="dxa"/>
          </w:tcPr>
          <w:p w14:paraId="511B4320" w14:textId="77777777" w:rsidR="00C119E6" w:rsidRPr="00501F6D" w:rsidRDefault="00C119E6" w:rsidP="00C119E6">
            <w:pPr>
              <w:pStyle w:val="Heading2"/>
              <w:keepNext w:val="0"/>
              <w:outlineLvl w:val="1"/>
            </w:pPr>
            <w:bookmarkStart w:id="27" w:name="_Toc492493074"/>
            <w:bookmarkStart w:id="28" w:name="_Toc490728398"/>
            <w:r w:rsidRPr="00501F6D">
              <w:t>At court</w:t>
            </w:r>
            <w:bookmarkEnd w:id="27"/>
          </w:p>
          <w:p w14:paraId="1DEAF593" w14:textId="77777777" w:rsidR="00C119E6" w:rsidRDefault="00C119E6" w:rsidP="00C119E6">
            <w:r>
              <w:t>A</w:t>
            </w:r>
            <w:r w:rsidRPr="00501F6D">
              <w:t xml:space="preserve"> person </w:t>
            </w:r>
            <w:r>
              <w:t xml:space="preserve">who </w:t>
            </w:r>
            <w:r w:rsidRPr="00501F6D">
              <w:t xml:space="preserve">is sentenced under section 65 of the Act </w:t>
            </w:r>
            <w:r>
              <w:t>will be</w:t>
            </w:r>
            <w:r w:rsidRPr="00501F6D">
              <w:t xml:space="preserve"> ordered to </w:t>
            </w:r>
            <w:r>
              <w:t>apply for a comprehensive assessment from an approved assessor to determine their suitability to drive again</w:t>
            </w:r>
            <w:r w:rsidRPr="00501F6D">
              <w:t>.</w:t>
            </w:r>
          </w:p>
          <w:p w14:paraId="59DBBECD" w14:textId="77777777" w:rsidR="00C119E6" w:rsidRDefault="00C119E6" w:rsidP="00C119E6"/>
          <w:p w14:paraId="5E33935D" w14:textId="77777777" w:rsidR="00C119E6" w:rsidRDefault="00C119E6" w:rsidP="00C119E6">
            <w:r>
              <w:t xml:space="preserve">(Note: </w:t>
            </w:r>
            <w:r w:rsidRPr="00501F6D">
              <w:t>There is no penalty for not attending</w:t>
            </w:r>
            <w:r>
              <w:t xml:space="preserve"> an assessment centre; the person’s disqualification will simply remain in place.)</w:t>
            </w:r>
          </w:p>
        </w:tc>
        <w:tc>
          <w:tcPr>
            <w:tcW w:w="4786" w:type="dxa"/>
          </w:tcPr>
          <w:p w14:paraId="7BA94F44" w14:textId="15964A48" w:rsidR="00C119E6" w:rsidRDefault="007E06BF" w:rsidP="00C119E6">
            <w:pPr>
              <w:jc w:val="right"/>
            </w:pPr>
            <w:r>
              <w:rPr>
                <w:noProof/>
                <w:lang w:eastAsia="en-NZ"/>
              </w:rPr>
              <w:drawing>
                <wp:inline distT="0" distB="0" distL="0" distR="0" wp14:anchorId="41AC71FD" wp14:editId="079781DC">
                  <wp:extent cx="2895600" cy="3667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65 1.jpg"/>
                          <pic:cNvPicPr/>
                        </pic:nvPicPr>
                        <pic:blipFill rotWithShape="1">
                          <a:blip r:embed="rId21" cstate="print">
                            <a:extLst>
                              <a:ext uri="{28A0092B-C50C-407E-A947-70E740481C1C}">
                                <a14:useLocalDpi xmlns:a14="http://schemas.microsoft.com/office/drawing/2010/main" val="0"/>
                              </a:ext>
                            </a:extLst>
                          </a:blip>
                          <a:srcRect b="12327"/>
                          <a:stretch/>
                        </pic:blipFill>
                        <pic:spPr bwMode="auto">
                          <a:xfrm>
                            <a:off x="0" y="0"/>
                            <a:ext cx="2895600" cy="3667125"/>
                          </a:xfrm>
                          <a:prstGeom prst="rect">
                            <a:avLst/>
                          </a:prstGeom>
                          <a:ln>
                            <a:noFill/>
                          </a:ln>
                          <a:extLst>
                            <a:ext uri="{53640926-AAD7-44D8-BBD7-CCE9431645EC}">
                              <a14:shadowObscured xmlns:a14="http://schemas.microsoft.com/office/drawing/2010/main"/>
                            </a:ext>
                          </a:extLst>
                        </pic:spPr>
                      </pic:pic>
                    </a:graphicData>
                  </a:graphic>
                </wp:inline>
              </w:drawing>
            </w:r>
          </w:p>
          <w:p w14:paraId="2952E6E7" w14:textId="77777777" w:rsidR="00C119E6" w:rsidRDefault="00C119E6" w:rsidP="00C119E6"/>
        </w:tc>
      </w:tr>
      <w:tr w:rsidR="00C119E6" w14:paraId="706F2C33" w14:textId="77777777" w:rsidTr="00C119E6">
        <w:trPr>
          <w:cantSplit/>
        </w:trPr>
        <w:tc>
          <w:tcPr>
            <w:tcW w:w="4785" w:type="dxa"/>
          </w:tcPr>
          <w:p w14:paraId="47473187" w14:textId="77777777" w:rsidR="00C119E6" w:rsidRDefault="00C119E6" w:rsidP="00C119E6">
            <w:pPr>
              <w:pStyle w:val="Heading2"/>
              <w:outlineLvl w:val="1"/>
            </w:pPr>
            <w:bookmarkStart w:id="29" w:name="_Toc490728399"/>
            <w:bookmarkStart w:id="30" w:name="_Toc492493075"/>
            <w:r w:rsidRPr="00501F6D">
              <w:t>At the assessment centre</w:t>
            </w:r>
            <w:bookmarkEnd w:id="29"/>
            <w:bookmarkEnd w:id="30"/>
          </w:p>
          <w:p w14:paraId="1143E149" w14:textId="77777777" w:rsidR="00C119E6" w:rsidRDefault="00C119E6" w:rsidP="00C119E6">
            <w:r>
              <w:rPr>
                <w:noProof/>
                <w:lang w:eastAsia="en-NZ"/>
              </w:rPr>
              <w:t>Once the</w:t>
            </w:r>
            <w:r w:rsidRPr="00501F6D">
              <w:rPr>
                <w:noProof/>
                <w:lang w:eastAsia="en-NZ"/>
              </w:rPr>
              <w:t xml:space="preserve"> </w:t>
            </w:r>
            <w:r>
              <w:rPr>
                <w:noProof/>
                <w:lang w:eastAsia="en-NZ"/>
              </w:rPr>
              <w:t>applicant</w:t>
            </w:r>
            <w:r w:rsidRPr="00501F6D">
              <w:rPr>
                <w:noProof/>
                <w:lang w:eastAsia="en-NZ"/>
              </w:rPr>
              <w:t xml:space="preserve"> </w:t>
            </w:r>
            <w:r>
              <w:rPr>
                <w:noProof/>
                <w:lang w:eastAsia="en-NZ"/>
              </w:rPr>
              <w:t>makes</w:t>
            </w:r>
            <w:r w:rsidRPr="00501F6D">
              <w:rPr>
                <w:noProof/>
                <w:lang w:eastAsia="en-NZ"/>
              </w:rPr>
              <w:t xml:space="preserve"> contact with </w:t>
            </w:r>
            <w:r>
              <w:rPr>
                <w:noProof/>
                <w:lang w:eastAsia="en-NZ"/>
              </w:rPr>
              <w:t>an</w:t>
            </w:r>
            <w:r w:rsidRPr="00501F6D">
              <w:rPr>
                <w:noProof/>
                <w:lang w:eastAsia="en-NZ"/>
              </w:rPr>
              <w:t xml:space="preserve"> assessment cent</w:t>
            </w:r>
            <w:r>
              <w:rPr>
                <w:noProof/>
                <w:lang w:eastAsia="en-NZ"/>
              </w:rPr>
              <w:t>re</w:t>
            </w:r>
            <w:r w:rsidRPr="00501F6D">
              <w:rPr>
                <w:noProof/>
                <w:lang w:eastAsia="en-NZ"/>
              </w:rPr>
              <w:t>,</w:t>
            </w:r>
            <w:r w:rsidRPr="00501F6D">
              <w:t xml:space="preserve"> </w:t>
            </w:r>
            <w:r>
              <w:t>their assessor will schedule a</w:t>
            </w:r>
            <w:r w:rsidRPr="00501F6D">
              <w:t xml:space="preserve"> face-to-face appointment </w:t>
            </w:r>
            <w:r>
              <w:t>to begin</w:t>
            </w:r>
            <w:r w:rsidRPr="00501F6D">
              <w:t xml:space="preserve"> a</w:t>
            </w:r>
            <w:r>
              <w:t xml:space="preserve"> </w:t>
            </w:r>
            <w:r w:rsidRPr="00501F6D">
              <w:t>comprehensive assessment.</w:t>
            </w:r>
          </w:p>
          <w:p w14:paraId="74266DCE" w14:textId="77777777" w:rsidR="00C119E6" w:rsidRPr="00501F6D" w:rsidRDefault="00C119E6" w:rsidP="00C119E6"/>
          <w:p w14:paraId="014F7233" w14:textId="77777777" w:rsidR="00C119E6" w:rsidRPr="00501F6D" w:rsidRDefault="00C119E6" w:rsidP="00C119E6">
            <w:pPr>
              <w:spacing w:line="240" w:lineRule="auto"/>
            </w:pPr>
            <w:r>
              <w:t>The</w:t>
            </w:r>
            <w:r w:rsidRPr="00501F6D">
              <w:t xml:space="preserve"> comprehensive assessment</w:t>
            </w:r>
            <w:r>
              <w:t xml:space="preserve"> helps</w:t>
            </w:r>
            <w:r w:rsidRPr="00501F6D">
              <w:t xml:space="preserve"> the assessor identify:</w:t>
            </w:r>
          </w:p>
          <w:p w14:paraId="5FDCB377" w14:textId="77777777" w:rsidR="00C119E6" w:rsidRPr="00501F6D" w:rsidRDefault="00C119E6" w:rsidP="00C119E6">
            <w:pPr>
              <w:spacing w:before="120"/>
              <w:ind w:left="567" w:hanging="567"/>
            </w:pPr>
            <w:r>
              <w:t>1)</w:t>
            </w:r>
            <w:r>
              <w:tab/>
            </w:r>
            <w:r w:rsidRPr="00501F6D">
              <w:t xml:space="preserve">whether the applicant </w:t>
            </w:r>
            <w:r>
              <w:t>has a substance use problem and/</w:t>
            </w:r>
            <w:r w:rsidRPr="00501F6D">
              <w:t xml:space="preserve">or other issues that contribute to repeat </w:t>
            </w:r>
            <w:r>
              <w:t xml:space="preserve">impaired </w:t>
            </w:r>
            <w:r w:rsidRPr="00501F6D">
              <w:t>driving</w:t>
            </w:r>
          </w:p>
          <w:p w14:paraId="30DDCB20" w14:textId="77777777" w:rsidR="00C119E6" w:rsidRPr="00501F6D" w:rsidRDefault="00C119E6" w:rsidP="00C119E6">
            <w:pPr>
              <w:spacing w:before="120"/>
              <w:ind w:left="567" w:hanging="567"/>
            </w:pPr>
            <w:r>
              <w:t>2)</w:t>
            </w:r>
            <w:r>
              <w:tab/>
              <w:t xml:space="preserve">how </w:t>
            </w:r>
            <w:r w:rsidRPr="00501F6D">
              <w:t xml:space="preserve">the problems </w:t>
            </w:r>
            <w:r>
              <w:t>should</w:t>
            </w:r>
            <w:r w:rsidRPr="00501F6D">
              <w:t xml:space="preserve"> be addressed to minimise the risk of the applicant re</w:t>
            </w:r>
            <w:r>
              <w:noBreakHyphen/>
            </w:r>
            <w:r w:rsidRPr="00501F6D">
              <w:t xml:space="preserve">offending and </w:t>
            </w:r>
            <w:r>
              <w:t xml:space="preserve">any </w:t>
            </w:r>
            <w:r w:rsidRPr="00501F6D">
              <w:t>subsequent treatment recommendations.</w:t>
            </w:r>
          </w:p>
          <w:p w14:paraId="47C66956" w14:textId="77777777" w:rsidR="00C119E6" w:rsidRPr="00C119E6" w:rsidRDefault="00C119E6" w:rsidP="00C119E6"/>
        </w:tc>
        <w:tc>
          <w:tcPr>
            <w:tcW w:w="4786" w:type="dxa"/>
          </w:tcPr>
          <w:p w14:paraId="21C3D280" w14:textId="057178CA" w:rsidR="00C119E6" w:rsidRDefault="007E06BF" w:rsidP="00C119E6">
            <w:pPr>
              <w:jc w:val="right"/>
              <w:rPr>
                <w:noProof/>
                <w:lang w:eastAsia="en-NZ"/>
              </w:rPr>
            </w:pPr>
            <w:r>
              <w:rPr>
                <w:noProof/>
                <w:lang w:eastAsia="en-NZ"/>
              </w:rPr>
              <w:drawing>
                <wp:inline distT="0" distB="0" distL="0" distR="0" wp14:anchorId="6D339E7E" wp14:editId="49F10B07">
                  <wp:extent cx="2895600" cy="3676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65 2.jpg"/>
                          <pic:cNvPicPr/>
                        </pic:nvPicPr>
                        <pic:blipFill rotWithShape="1">
                          <a:blip r:embed="rId22" cstate="print">
                            <a:extLst>
                              <a:ext uri="{28A0092B-C50C-407E-A947-70E740481C1C}">
                                <a14:useLocalDpi xmlns:a14="http://schemas.microsoft.com/office/drawing/2010/main" val="0"/>
                              </a:ext>
                            </a:extLst>
                          </a:blip>
                          <a:srcRect b="12100"/>
                          <a:stretch/>
                        </pic:blipFill>
                        <pic:spPr bwMode="auto">
                          <a:xfrm>
                            <a:off x="0" y="0"/>
                            <a:ext cx="2895600" cy="36766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FF871A" w14:textId="77777777" w:rsidR="00C119E6" w:rsidRPr="00501F6D" w:rsidRDefault="00C119E6" w:rsidP="00C119E6">
      <w:pPr>
        <w:pStyle w:val="Heading4"/>
      </w:pPr>
      <w:r>
        <w:t>N</w:t>
      </w:r>
      <w:r w:rsidRPr="00501F6D">
        <w:t>ote</w:t>
      </w:r>
      <w:r>
        <w:t>s</w:t>
      </w:r>
    </w:p>
    <w:p w14:paraId="2CEEE3E9" w14:textId="77777777" w:rsidR="00C119E6" w:rsidRDefault="00C119E6" w:rsidP="00C119E6">
      <w:pPr>
        <w:pStyle w:val="Bullet"/>
      </w:pPr>
      <w:r w:rsidRPr="00501F6D">
        <w:t xml:space="preserve">More than one </w:t>
      </w:r>
      <w:r>
        <w:t xml:space="preserve">face-to-face </w:t>
      </w:r>
      <w:r w:rsidRPr="00501F6D">
        <w:t xml:space="preserve">appointment may be </w:t>
      </w:r>
      <w:r>
        <w:t>required</w:t>
      </w:r>
      <w:r w:rsidRPr="00501F6D">
        <w:t xml:space="preserve"> to </w:t>
      </w:r>
      <w:r>
        <w:t>collect</w:t>
      </w:r>
      <w:r w:rsidRPr="00501F6D">
        <w:t xml:space="preserve"> all </w:t>
      </w:r>
      <w:r>
        <w:t xml:space="preserve">the </w:t>
      </w:r>
      <w:r w:rsidRPr="00501F6D">
        <w:t xml:space="preserve">information </w:t>
      </w:r>
      <w:r>
        <w:t>needed to make a</w:t>
      </w:r>
      <w:r w:rsidRPr="00501F6D">
        <w:t xml:space="preserve"> comprehensive assessment.</w:t>
      </w:r>
    </w:p>
    <w:p w14:paraId="63AA3809" w14:textId="77777777" w:rsidR="00C119E6" w:rsidRDefault="00C119E6" w:rsidP="00C119E6">
      <w:pPr>
        <w:pStyle w:val="Bullet"/>
      </w:pPr>
      <w:r>
        <w:lastRenderedPageBreak/>
        <w:t>Assessors need to be aware that m</w:t>
      </w:r>
      <w:r w:rsidRPr="00501F6D">
        <w:t>any applicants will try to minimise the extent of their current or past substance use and offending</w:t>
      </w:r>
      <w:r>
        <w:t>.</w:t>
      </w:r>
    </w:p>
    <w:p w14:paraId="14349BAC" w14:textId="77777777" w:rsidR="00C119E6" w:rsidRDefault="00C119E6" w:rsidP="00C119E6">
      <w:pPr>
        <w:pStyle w:val="Bullet"/>
      </w:pPr>
      <w:r w:rsidRPr="00501F6D">
        <w:t xml:space="preserve">The results of the </w:t>
      </w:r>
      <w:r>
        <w:t xml:space="preserve">laboratory </w:t>
      </w:r>
      <w:r w:rsidRPr="00501F6D">
        <w:t>tests</w:t>
      </w:r>
      <w:r>
        <w:t xml:space="preserve"> and medical examination (see section 4: Laboratory tests and a medical examination)</w:t>
      </w:r>
      <w:r w:rsidRPr="00501F6D">
        <w:t>, as well as a review of previous convictions are useful when discussing the results of the assessment process with the applicant.</w:t>
      </w:r>
    </w:p>
    <w:p w14:paraId="4144C643" w14:textId="77777777" w:rsidR="00C119E6" w:rsidRDefault="00C119E6"/>
    <w:p w14:paraId="0676DBB3" w14:textId="77777777" w:rsidR="00A90FD3" w:rsidRPr="00501F6D" w:rsidRDefault="00A90FD3" w:rsidP="00C119E6">
      <w:pPr>
        <w:pStyle w:val="Heading2"/>
      </w:pPr>
      <w:bookmarkStart w:id="31" w:name="_Toc490728401"/>
      <w:bookmarkStart w:id="32" w:name="_Toc492493076"/>
      <w:bookmarkEnd w:id="21"/>
      <w:bookmarkEnd w:id="22"/>
      <w:bookmarkEnd w:id="23"/>
      <w:bookmarkEnd w:id="28"/>
      <w:r>
        <w:t>I</w:t>
      </w:r>
      <w:r w:rsidRPr="00501F6D">
        <w:t xml:space="preserve">nformation </w:t>
      </w:r>
      <w:r>
        <w:t xml:space="preserve">gathered in the </w:t>
      </w:r>
      <w:r w:rsidRPr="00501F6D">
        <w:t>assessment</w:t>
      </w:r>
      <w:bookmarkEnd w:id="31"/>
      <w:bookmarkEnd w:id="32"/>
    </w:p>
    <w:p w14:paraId="18D70FF6" w14:textId="77777777" w:rsidR="00A90FD3" w:rsidRDefault="00A90FD3" w:rsidP="00C119E6">
      <w:r w:rsidRPr="00501F6D">
        <w:t>At the first appointment</w:t>
      </w:r>
      <w:r>
        <w:t>,</w:t>
      </w:r>
      <w:r w:rsidRPr="00501F6D">
        <w:t xml:space="preserve"> </w:t>
      </w:r>
      <w:r>
        <w:t xml:space="preserve">as a minimum, </w:t>
      </w:r>
      <w:r w:rsidRPr="00501F6D">
        <w:t xml:space="preserve">the assessor </w:t>
      </w:r>
      <w:r>
        <w:t>should</w:t>
      </w:r>
      <w:r w:rsidRPr="00501F6D">
        <w:t>:</w:t>
      </w:r>
    </w:p>
    <w:p w14:paraId="0D8C111C" w14:textId="77777777" w:rsidR="004711E2" w:rsidRDefault="00A90FD3" w:rsidP="00C119E6">
      <w:pPr>
        <w:pStyle w:val="Bullet"/>
      </w:pPr>
      <w:r w:rsidRPr="00501F6D">
        <w:t>provide advice on treatment options</w:t>
      </w:r>
    </w:p>
    <w:p w14:paraId="51791040" w14:textId="77777777" w:rsidR="00A90FD3" w:rsidRPr="00501F6D" w:rsidRDefault="00A90FD3" w:rsidP="00C119E6">
      <w:pPr>
        <w:pStyle w:val="Bullet"/>
      </w:pPr>
      <w:r>
        <w:t>identify the applicant</w:t>
      </w:r>
      <w:r w:rsidR="004711E2">
        <w:t>’</w:t>
      </w:r>
      <w:r>
        <w:t>s</w:t>
      </w:r>
      <w:r w:rsidRPr="00501F6D">
        <w:t xml:space="preserve"> rights </w:t>
      </w:r>
      <w:r>
        <w:t>under the Code of Health and Disability Services Consumers</w:t>
      </w:r>
      <w:r w:rsidR="004711E2">
        <w:t>’</w:t>
      </w:r>
      <w:r>
        <w:t xml:space="preserve"> Rights (HDC 2009)</w:t>
      </w:r>
    </w:p>
    <w:p w14:paraId="2C71401E" w14:textId="77777777" w:rsidR="004711E2" w:rsidRDefault="00A90FD3" w:rsidP="00C119E6">
      <w:pPr>
        <w:pStyle w:val="Bullet"/>
      </w:pPr>
      <w:r w:rsidRPr="00501F6D">
        <w:t xml:space="preserve">outline requirements as necessary for </w:t>
      </w:r>
      <w:r>
        <w:t xml:space="preserve">any </w:t>
      </w:r>
      <w:r w:rsidRPr="00501F6D">
        <w:t>follow-up appointment</w:t>
      </w:r>
      <w:r>
        <w:t>s and</w:t>
      </w:r>
      <w:r w:rsidRPr="00501F6D">
        <w:t xml:space="preserve"> </w:t>
      </w:r>
      <w:r>
        <w:t xml:space="preserve">the final </w:t>
      </w:r>
      <w:r w:rsidRPr="00501F6D">
        <w:t>report to NZTA</w:t>
      </w:r>
    </w:p>
    <w:p w14:paraId="0FB582B6" w14:textId="77777777" w:rsidR="004711E2" w:rsidRDefault="00A90FD3" w:rsidP="00C119E6">
      <w:pPr>
        <w:pStyle w:val="Bullet"/>
      </w:pPr>
      <w:r w:rsidRPr="00501F6D">
        <w:t>inform the applicant about the required lab</w:t>
      </w:r>
      <w:r>
        <w:t>oratory</w:t>
      </w:r>
      <w:r w:rsidRPr="00501F6D">
        <w:t xml:space="preserve"> tests</w:t>
      </w:r>
    </w:p>
    <w:p w14:paraId="4164425B" w14:textId="77777777" w:rsidR="004711E2" w:rsidRDefault="00A90FD3" w:rsidP="00C119E6">
      <w:pPr>
        <w:pStyle w:val="Bullet"/>
      </w:pPr>
      <w:r w:rsidRPr="00501F6D">
        <w:t>inform the applicant about timeframes required</w:t>
      </w:r>
      <w:r>
        <w:t xml:space="preserve"> to make an appointment with a r</w:t>
      </w:r>
      <w:r w:rsidRPr="00501F6D">
        <w:t xml:space="preserve">egistered medical practitioner </w:t>
      </w:r>
      <w:r>
        <w:t>for</w:t>
      </w:r>
      <w:r w:rsidRPr="00501F6D">
        <w:t xml:space="preserve"> a medical examination</w:t>
      </w:r>
    </w:p>
    <w:p w14:paraId="3E52666A" w14:textId="77777777" w:rsidR="00A90FD3" w:rsidRPr="00501F6D" w:rsidRDefault="00A90FD3" w:rsidP="00C119E6">
      <w:pPr>
        <w:pStyle w:val="Bullet"/>
      </w:pPr>
      <w:r w:rsidRPr="00501F6D">
        <w:t xml:space="preserve">inform the applicant that they will need to </w:t>
      </w:r>
      <w:r>
        <w:t>apply</w:t>
      </w:r>
      <w:r w:rsidRPr="00501F6D">
        <w:t xml:space="preserve"> to regain their </w:t>
      </w:r>
      <w:r>
        <w:t xml:space="preserve">driver </w:t>
      </w:r>
      <w:r w:rsidRPr="00501F6D">
        <w:t>licence</w:t>
      </w:r>
    </w:p>
    <w:p w14:paraId="7A2FC3AD" w14:textId="77777777" w:rsidR="004711E2" w:rsidRDefault="00A90FD3" w:rsidP="00C119E6">
      <w:pPr>
        <w:pStyle w:val="Bullet"/>
      </w:pPr>
      <w:r w:rsidRPr="00501F6D">
        <w:t>write referral letters to the appropriate service(s) (where treatment has been recommended).</w:t>
      </w:r>
    </w:p>
    <w:p w14:paraId="1572B584" w14:textId="77777777" w:rsidR="00A90FD3" w:rsidRDefault="00A90FD3" w:rsidP="00C119E6"/>
    <w:p w14:paraId="6CAA518E" w14:textId="77777777" w:rsidR="00A90FD3" w:rsidRDefault="00A90FD3" w:rsidP="00C119E6">
      <w:r w:rsidRPr="00501F6D">
        <w:t xml:space="preserve">The minimum information to be gathered </w:t>
      </w:r>
      <w:r>
        <w:t>in</w:t>
      </w:r>
      <w:r w:rsidRPr="00501F6D">
        <w:t xml:space="preserve"> </w:t>
      </w:r>
      <w:r>
        <w:t>the comprehensive assessment</w:t>
      </w:r>
      <w:r w:rsidRPr="00501F6D">
        <w:t xml:space="preserve"> includes:</w:t>
      </w:r>
    </w:p>
    <w:p w14:paraId="5D07B529" w14:textId="77777777" w:rsidR="00A90FD3" w:rsidRPr="00501F6D" w:rsidRDefault="00A90FD3" w:rsidP="00C119E6">
      <w:pPr>
        <w:pStyle w:val="Bullet"/>
      </w:pPr>
      <w:r w:rsidRPr="00501F6D">
        <w:t>personal details (eg, name, age, current address, living arrangements, relationship status, parenting and caregiving responsibilities, gender, self-identified ethnicity</w:t>
      </w:r>
      <w:r>
        <w:t>,</w:t>
      </w:r>
      <w:r w:rsidRPr="00501F6D">
        <w:t xml:space="preserve"> current employment status</w:t>
      </w:r>
      <w:r>
        <w:t>, and any changes in job, relationships and support systems</w:t>
      </w:r>
      <w:r w:rsidRPr="00501F6D">
        <w:t>)</w:t>
      </w:r>
    </w:p>
    <w:p w14:paraId="0BBDDA69" w14:textId="77777777" w:rsidR="004711E2" w:rsidRDefault="00A90FD3" w:rsidP="00C119E6">
      <w:pPr>
        <w:pStyle w:val="Bullet"/>
      </w:pPr>
      <w:r>
        <w:t xml:space="preserve">personal and </w:t>
      </w:r>
      <w:r w:rsidRPr="00501F6D">
        <w:t>developmental history</w:t>
      </w:r>
    </w:p>
    <w:p w14:paraId="0D70B2EF" w14:textId="77777777" w:rsidR="00A90FD3" w:rsidRPr="00501F6D" w:rsidRDefault="00A90FD3" w:rsidP="00C119E6">
      <w:pPr>
        <w:pStyle w:val="Bullet"/>
      </w:pPr>
      <w:r w:rsidRPr="00501F6D">
        <w:t>mental health history, including previous treatment</w:t>
      </w:r>
      <w:r>
        <w:t>s, and current status</w:t>
      </w:r>
    </w:p>
    <w:p w14:paraId="378D248F" w14:textId="77777777" w:rsidR="00A90FD3" w:rsidRPr="00501F6D" w:rsidRDefault="00A90FD3" w:rsidP="00C119E6">
      <w:pPr>
        <w:pStyle w:val="Bullet"/>
      </w:pPr>
      <w:r w:rsidRPr="00501F6D">
        <w:t>cognitive impairment and personality factors that may impact on impulsiv</w:t>
      </w:r>
      <w:r>
        <w:t>eness</w:t>
      </w:r>
      <w:r w:rsidRPr="00501F6D">
        <w:t xml:space="preserve"> and decision</w:t>
      </w:r>
      <w:r>
        <w:t>-</w:t>
      </w:r>
      <w:r w:rsidRPr="00501F6D">
        <w:t>making</w:t>
      </w:r>
    </w:p>
    <w:p w14:paraId="3CC06275" w14:textId="77777777" w:rsidR="00A90FD3" w:rsidRPr="00501F6D" w:rsidRDefault="00A90FD3" w:rsidP="00C119E6">
      <w:pPr>
        <w:pStyle w:val="Bullet"/>
      </w:pPr>
      <w:r w:rsidRPr="00501F6D">
        <w:t>alcohol and other drug history, including previous treatments</w:t>
      </w:r>
    </w:p>
    <w:p w14:paraId="3B8DFA8C" w14:textId="77777777" w:rsidR="004711E2" w:rsidRDefault="00A90FD3" w:rsidP="00C119E6">
      <w:pPr>
        <w:pStyle w:val="Bullet"/>
      </w:pPr>
      <w:r w:rsidRPr="00501F6D">
        <w:t>alcohol and other drug use in the last six months</w:t>
      </w:r>
    </w:p>
    <w:p w14:paraId="50D190BE" w14:textId="77777777" w:rsidR="00A90FD3" w:rsidRPr="00501F6D" w:rsidRDefault="00A90FD3" w:rsidP="00C119E6">
      <w:pPr>
        <w:pStyle w:val="Bullet"/>
      </w:pPr>
      <w:r w:rsidRPr="00501F6D">
        <w:t xml:space="preserve">corroboration (eg, </w:t>
      </w:r>
      <w:r>
        <w:t>accounts</w:t>
      </w:r>
      <w:r w:rsidRPr="00501F6D">
        <w:t xml:space="preserve"> from </w:t>
      </w:r>
      <w:r>
        <w:t>family/</w:t>
      </w:r>
      <w:r w:rsidRPr="00501F6D">
        <w:t>whānau and friends)</w:t>
      </w:r>
    </w:p>
    <w:p w14:paraId="12AAB898" w14:textId="77777777" w:rsidR="00A90FD3" w:rsidRPr="00501F6D" w:rsidRDefault="00A90FD3" w:rsidP="00C119E6">
      <w:pPr>
        <w:pStyle w:val="Bullet"/>
      </w:pPr>
      <w:r w:rsidRPr="00501F6D">
        <w:t xml:space="preserve">referral information (eg, date of conviction, assessment </w:t>
      </w:r>
      <w:r>
        <w:t>dates)</w:t>
      </w:r>
    </w:p>
    <w:p w14:paraId="3A786474" w14:textId="77777777" w:rsidR="00A90FD3" w:rsidRPr="00501F6D" w:rsidRDefault="00A90FD3" w:rsidP="00C119E6">
      <w:pPr>
        <w:pStyle w:val="Bullet"/>
      </w:pPr>
      <w:r w:rsidRPr="00501F6D">
        <w:t>consent to obtain criminal</w:t>
      </w:r>
      <w:r>
        <w:t xml:space="preserve"> conviction</w:t>
      </w:r>
      <w:r w:rsidRPr="00501F6D">
        <w:t xml:space="preserve"> history (the greater the frequency of similar offending, the greater the risk of relapse)</w:t>
      </w:r>
    </w:p>
    <w:p w14:paraId="37B289B0" w14:textId="77777777" w:rsidR="00A90FD3" w:rsidRPr="00501F6D" w:rsidRDefault="00A90FD3" w:rsidP="00C119E6">
      <w:pPr>
        <w:pStyle w:val="Bullet"/>
      </w:pPr>
      <w:r>
        <w:t>the applicant</w:t>
      </w:r>
      <w:r w:rsidR="004711E2">
        <w:t>’</w:t>
      </w:r>
      <w:r>
        <w:t xml:space="preserve">s </w:t>
      </w:r>
      <w:r w:rsidRPr="00501F6D">
        <w:t xml:space="preserve">intentions, including strategies and </w:t>
      </w:r>
      <w:r>
        <w:t xml:space="preserve">their </w:t>
      </w:r>
      <w:r w:rsidRPr="00501F6D">
        <w:t>motivation to change their subs</w:t>
      </w:r>
      <w:r>
        <w:t>tance use and driving behaviour</w:t>
      </w:r>
    </w:p>
    <w:p w14:paraId="5758ECB8" w14:textId="77777777" w:rsidR="00A90FD3" w:rsidRPr="007C3BB6" w:rsidRDefault="00A90FD3" w:rsidP="00C119E6">
      <w:pPr>
        <w:pStyle w:val="Bullet"/>
      </w:pPr>
      <w:r>
        <w:t>the applicant</w:t>
      </w:r>
      <w:r w:rsidR="004711E2">
        <w:t>’</w:t>
      </w:r>
      <w:r>
        <w:t>s</w:t>
      </w:r>
      <w:r w:rsidRPr="00501F6D">
        <w:t xml:space="preserve"> attitude towards driving (in particular those situations in which driving appears desirable or necessary)</w:t>
      </w:r>
    </w:p>
    <w:p w14:paraId="097E2923" w14:textId="77777777" w:rsidR="00A90FD3" w:rsidRDefault="00A90FD3" w:rsidP="00C119E6">
      <w:pPr>
        <w:pStyle w:val="Bullet"/>
      </w:pPr>
      <w:r w:rsidRPr="00501F6D">
        <w:t xml:space="preserve">risk assessment (see </w:t>
      </w:r>
      <w:r>
        <w:t>3.4 below)</w:t>
      </w:r>
    </w:p>
    <w:p w14:paraId="47FCD278" w14:textId="77777777" w:rsidR="00A90FD3" w:rsidRDefault="00A90FD3" w:rsidP="00C119E6">
      <w:pPr>
        <w:pStyle w:val="Bullet"/>
      </w:pPr>
      <w:r w:rsidRPr="00501F6D">
        <w:t xml:space="preserve">results of blood and urine drug screen tests interpreted by a registered medical practitioner, relevant medical history, current medications (see </w:t>
      </w:r>
      <w:r>
        <w:t>section 4: Laboratory tests and a medical examination</w:t>
      </w:r>
      <w:r w:rsidRPr="00501F6D">
        <w:t>)</w:t>
      </w:r>
      <w:r>
        <w:t>.</w:t>
      </w:r>
    </w:p>
    <w:p w14:paraId="49232C9F" w14:textId="77777777" w:rsidR="00A90FD3" w:rsidRDefault="00A90FD3" w:rsidP="00C119E6"/>
    <w:p w14:paraId="6573A03C" w14:textId="77777777" w:rsidR="004711E2" w:rsidRDefault="00A90FD3" w:rsidP="00C119E6">
      <w:pPr>
        <w:keepNext/>
      </w:pPr>
      <w:r>
        <w:lastRenderedPageBreak/>
        <w:t xml:space="preserve">Assessors will use any issues </w:t>
      </w:r>
      <w:r w:rsidRPr="00501F6D">
        <w:t xml:space="preserve">and concerns </w:t>
      </w:r>
      <w:r>
        <w:t>i</w:t>
      </w:r>
      <w:r w:rsidRPr="00501F6D">
        <w:t xml:space="preserve">dentified </w:t>
      </w:r>
      <w:r>
        <w:t>in the appointments</w:t>
      </w:r>
      <w:r w:rsidRPr="00501F6D">
        <w:t xml:space="preserve"> to help </w:t>
      </w:r>
      <w:r>
        <w:t>work through</w:t>
      </w:r>
      <w:r w:rsidRPr="00501F6D">
        <w:t xml:space="preserve"> an </w:t>
      </w:r>
      <w:r>
        <w:t xml:space="preserve">appropriate </w:t>
      </w:r>
      <w:r w:rsidRPr="00501F6D">
        <w:t xml:space="preserve">intervention with the </w:t>
      </w:r>
      <w:r>
        <w:t>applicant</w:t>
      </w:r>
      <w:r w:rsidRPr="00501F6D">
        <w:t xml:space="preserve"> </w:t>
      </w:r>
      <w:r>
        <w:t>(if intervention is recommended).</w:t>
      </w:r>
    </w:p>
    <w:p w14:paraId="1FD6FAC9" w14:textId="77777777" w:rsidR="00A90FD3" w:rsidRDefault="00A90FD3" w:rsidP="00C119E6">
      <w:pPr>
        <w:keepNext/>
      </w:pPr>
    </w:p>
    <w:p w14:paraId="155FB475" w14:textId="77777777" w:rsidR="00A90FD3" w:rsidRPr="00793DB3" w:rsidRDefault="00A90FD3" w:rsidP="00C119E6">
      <w:pPr>
        <w:keepNext/>
      </w:pPr>
      <w:r>
        <w:t>S</w:t>
      </w:r>
      <w:r w:rsidRPr="00793DB3">
        <w:t xml:space="preserve">ee </w:t>
      </w:r>
      <w:r>
        <w:t xml:space="preserve">also </w:t>
      </w:r>
      <w:r w:rsidRPr="00793DB3">
        <w:t>Appendix A</w:t>
      </w:r>
      <w:r>
        <w:t>: C</w:t>
      </w:r>
      <w:r w:rsidRPr="00793DB3">
        <w:t>hecklist</w:t>
      </w:r>
      <w:r>
        <w:t xml:space="preserve"> for a comprehensive assessment.</w:t>
      </w:r>
    </w:p>
    <w:p w14:paraId="139AB244" w14:textId="77777777" w:rsidR="00A90FD3" w:rsidRPr="00501F6D" w:rsidRDefault="00A90FD3" w:rsidP="00C119E6"/>
    <w:p w14:paraId="30B5924D" w14:textId="77777777" w:rsidR="00A90FD3" w:rsidRDefault="00A90FD3" w:rsidP="00C119E6">
      <w:pPr>
        <w:pStyle w:val="Heading4"/>
      </w:pPr>
      <w:r w:rsidRPr="00BC5568">
        <w:t>Note</w:t>
      </w:r>
    </w:p>
    <w:p w14:paraId="40BA6545" w14:textId="77777777" w:rsidR="004711E2" w:rsidRDefault="00A90FD3" w:rsidP="00C119E6">
      <w:r>
        <w:t>In their assessment, the assessor should consider the applicant</w:t>
      </w:r>
      <w:r w:rsidR="004711E2">
        <w:t>’</w:t>
      </w:r>
      <w:r>
        <w:t>s previous list of convictions. This can be obtained, with the applicant</w:t>
      </w:r>
      <w:r w:rsidR="004711E2">
        <w:t>’</w:t>
      </w:r>
      <w:r>
        <w:t>s consent, from the Criminal Records section of the Ministry of Justice (see</w:t>
      </w:r>
      <w:r>
        <w:rPr>
          <w:rStyle w:val="Hyperlink"/>
        </w:rPr>
        <w:t xml:space="preserve">: </w:t>
      </w:r>
      <w:r w:rsidRPr="00C92EDC">
        <w:rPr>
          <w:rStyle w:val="Hyperlink"/>
        </w:rPr>
        <w:t>www.j</w:t>
      </w:r>
      <w:r>
        <w:rPr>
          <w:rStyle w:val="Hyperlink"/>
        </w:rPr>
        <w:t>ustice.govt.nz/criminal-records</w:t>
      </w:r>
      <w:r w:rsidRPr="003E198B">
        <w:t xml:space="preserve">). </w:t>
      </w:r>
      <w:r>
        <w:t>The list should be requested at the first contact with the applicant. If the assessor is unable to obtain this information, for example, the applicant does not give their consent or the Ministry of Justice does not provide the information within a reasonable timeframe, they must state this, with reasons, in their final report to NZTA.</w:t>
      </w:r>
    </w:p>
    <w:p w14:paraId="49CBE4FA" w14:textId="77777777" w:rsidR="00A90FD3" w:rsidRPr="00501F6D" w:rsidRDefault="00A90FD3" w:rsidP="00C119E6">
      <w:bookmarkStart w:id="33" w:name="_Toc123013783"/>
      <w:bookmarkStart w:id="34" w:name="_Toc139199609"/>
      <w:bookmarkStart w:id="35" w:name="_Toc140638361"/>
    </w:p>
    <w:p w14:paraId="2E1C2DA7" w14:textId="77777777" w:rsidR="004711E2" w:rsidRDefault="00A90FD3" w:rsidP="00C119E6">
      <w:pPr>
        <w:pStyle w:val="Heading2"/>
      </w:pPr>
      <w:bookmarkStart w:id="36" w:name="_Toc490728402"/>
      <w:bookmarkStart w:id="37" w:name="_Toc492493077"/>
      <w:r w:rsidRPr="00501F6D">
        <w:t>How to conduct a risk assessment</w:t>
      </w:r>
      <w:bookmarkEnd w:id="36"/>
      <w:bookmarkEnd w:id="37"/>
    </w:p>
    <w:p w14:paraId="0A10298D" w14:textId="77777777" w:rsidR="00A90FD3" w:rsidRPr="000711B1" w:rsidRDefault="00A90FD3" w:rsidP="00C119E6">
      <w:r>
        <w:t>A</w:t>
      </w:r>
      <w:r w:rsidRPr="007862BE">
        <w:t xml:space="preserve"> risk assessment </w:t>
      </w:r>
      <w:r>
        <w:t xml:space="preserve">should identify </w:t>
      </w:r>
      <w:r w:rsidRPr="007862BE">
        <w:t xml:space="preserve">key risk factors, protective factors and future potential risk factors to inform clinical judgement about </w:t>
      </w:r>
      <w:r>
        <w:t>a person</w:t>
      </w:r>
      <w:r w:rsidR="004711E2">
        <w:t>’</w:t>
      </w:r>
      <w:r>
        <w:t xml:space="preserve">s risk of substance impaired driving. The risk assessment should also identify </w:t>
      </w:r>
      <w:r w:rsidRPr="007862BE">
        <w:t>what needs to be done to manage that risk in a broad sense.</w:t>
      </w:r>
    </w:p>
    <w:p w14:paraId="2916BD72" w14:textId="77777777" w:rsidR="00A90FD3" w:rsidRDefault="00A90FD3" w:rsidP="00C119E6"/>
    <w:p w14:paraId="686E933B" w14:textId="3A81DB11" w:rsidR="004711E2" w:rsidRDefault="00B5326A" w:rsidP="00C119E6">
      <w:r>
        <w:t>R</w:t>
      </w:r>
      <w:r w:rsidR="00A90FD3" w:rsidRPr="00501F6D">
        <w:t>isk factors specific to substance impaired driving include</w:t>
      </w:r>
      <w:r w:rsidR="00B66B9D">
        <w:t>,</w:t>
      </w:r>
      <w:r w:rsidR="00A90FD3" w:rsidRPr="00501F6D">
        <w:t xml:space="preserve"> but are not limited to:</w:t>
      </w:r>
    </w:p>
    <w:p w14:paraId="75132FF2" w14:textId="77777777" w:rsidR="00A90FD3" w:rsidRDefault="00A90FD3" w:rsidP="00C119E6">
      <w:pPr>
        <w:pStyle w:val="Bullet"/>
      </w:pPr>
      <w:r w:rsidRPr="00501F6D">
        <w:t>personality factors</w:t>
      </w:r>
      <w:r>
        <w:t>,</w:t>
      </w:r>
      <w:r w:rsidRPr="00501F6D">
        <w:t xml:space="preserve"> such as aggression, hostility, recklessness, impulsiv</w:t>
      </w:r>
      <w:r>
        <w:t>eness</w:t>
      </w:r>
      <w:r w:rsidRPr="00501F6D">
        <w:t xml:space="preserve"> and </w:t>
      </w:r>
      <w:r>
        <w:t>thrill seeking</w:t>
      </w:r>
    </w:p>
    <w:p w14:paraId="7C235E3B" w14:textId="77777777" w:rsidR="00A90FD3" w:rsidRDefault="00A90FD3" w:rsidP="00C119E6">
      <w:pPr>
        <w:pStyle w:val="Bullet"/>
      </w:pPr>
      <w:r w:rsidRPr="00501F6D">
        <w:t>cognitive impairment and</w:t>
      </w:r>
      <w:r>
        <w:t>/</w:t>
      </w:r>
      <w:r w:rsidRPr="00501F6D">
        <w:t xml:space="preserve">or indications of pervasive </w:t>
      </w:r>
      <w:r>
        <w:t>cognitive distortions</w:t>
      </w:r>
    </w:p>
    <w:p w14:paraId="73E2FF6E" w14:textId="77777777" w:rsidR="00A90FD3" w:rsidRDefault="00A90FD3" w:rsidP="00C119E6">
      <w:pPr>
        <w:pStyle w:val="Bullet"/>
      </w:pPr>
      <w:r w:rsidRPr="00501F6D">
        <w:t>offending patterns a</w:t>
      </w:r>
      <w:r>
        <w:t>nd attitudes to authority</w:t>
      </w:r>
    </w:p>
    <w:p w14:paraId="666E24DB" w14:textId="77777777" w:rsidR="00A90FD3" w:rsidRDefault="00A90FD3" w:rsidP="00C119E6">
      <w:pPr>
        <w:pStyle w:val="Bullet"/>
      </w:pPr>
      <w:r w:rsidRPr="00501F6D">
        <w:t>p</w:t>
      </w:r>
      <w:r>
        <w:t>ersonality disorders</w:t>
      </w:r>
    </w:p>
    <w:p w14:paraId="2A88D62D" w14:textId="77777777" w:rsidR="004711E2" w:rsidRDefault="00A90FD3" w:rsidP="00C119E6">
      <w:pPr>
        <w:pStyle w:val="Bullet"/>
      </w:pPr>
      <w:r w:rsidRPr="00501F6D">
        <w:t>physical and or social problems.</w:t>
      </w:r>
    </w:p>
    <w:p w14:paraId="5E8D5669" w14:textId="77777777" w:rsidR="00A90FD3" w:rsidRDefault="00A90FD3" w:rsidP="00C119E6"/>
    <w:p w14:paraId="0934360D" w14:textId="77777777" w:rsidR="007F3F21" w:rsidRDefault="007F3F21" w:rsidP="007F3F21">
      <w:pPr>
        <w:pStyle w:val="Heading4"/>
      </w:pPr>
      <w:r>
        <w:t>Note</w:t>
      </w:r>
    </w:p>
    <w:p w14:paraId="330A56A2" w14:textId="77777777" w:rsidR="007F3F21" w:rsidRDefault="007F3F21" w:rsidP="007F3F21">
      <w:r>
        <w:t>T</w:t>
      </w:r>
      <w:r w:rsidRPr="00EF3018">
        <w:t xml:space="preserve">he Ministry of Health </w:t>
      </w:r>
      <w:r>
        <w:t xml:space="preserve">(the Ministry) </w:t>
      </w:r>
      <w:r w:rsidRPr="00EF3018">
        <w:t xml:space="preserve">is developing an impaired driving risk assessment training programme, which will become a mandatory requirement for </w:t>
      </w:r>
      <w:r>
        <w:t>establishments</w:t>
      </w:r>
      <w:r w:rsidRPr="00EF3018">
        <w:t xml:space="preserve"> applying to be an approved assessment centre under section 65 of the Act.</w:t>
      </w:r>
      <w:r>
        <w:t xml:space="preserve"> In time, this training programme will become mandatory for every assessor to complete once every two years to demonstrate their ongoing competency.</w:t>
      </w:r>
    </w:p>
    <w:p w14:paraId="63031B1E" w14:textId="77777777" w:rsidR="007F3F21" w:rsidRDefault="007F3F21" w:rsidP="00C119E6"/>
    <w:p w14:paraId="6F38E0B8" w14:textId="77777777" w:rsidR="004711E2" w:rsidRDefault="00A90FD3" w:rsidP="004907A2">
      <w:pPr>
        <w:pStyle w:val="Heading1"/>
      </w:pPr>
      <w:bookmarkStart w:id="38" w:name="_Toc490728403"/>
      <w:bookmarkStart w:id="39" w:name="_Toc492493078"/>
      <w:r w:rsidRPr="00501F6D">
        <w:lastRenderedPageBreak/>
        <w:t xml:space="preserve">Laboratory tests and a </w:t>
      </w:r>
      <w:r>
        <w:t>medical examination</w:t>
      </w:r>
      <w:bookmarkEnd w:id="38"/>
      <w:bookmarkEnd w:id="39"/>
    </w:p>
    <w:p w14:paraId="7411E63B" w14:textId="762E23F9" w:rsidR="004711E2" w:rsidRDefault="00A90FD3" w:rsidP="004907A2">
      <w:r w:rsidRPr="00501F6D">
        <w:t>The assessor</w:t>
      </w:r>
      <w:r w:rsidR="004711E2">
        <w:t>’</w:t>
      </w:r>
      <w:r w:rsidRPr="00501F6D">
        <w:t xml:space="preserve">s final report to NZTA must include the results </w:t>
      </w:r>
      <w:r>
        <w:t xml:space="preserve">from </w:t>
      </w:r>
      <w:r w:rsidRPr="009E545D">
        <w:t>recent laboratory tests</w:t>
      </w:r>
      <w:r w:rsidRPr="004D23FC">
        <w:t xml:space="preserve"> </w:t>
      </w:r>
      <w:r w:rsidRPr="00501F6D">
        <w:t>and a medical examination. Th</w:t>
      </w:r>
      <w:r>
        <w:t>us, th</w:t>
      </w:r>
      <w:r w:rsidRPr="00501F6D">
        <w:t xml:space="preserve">e assessor </w:t>
      </w:r>
      <w:r>
        <w:t>will need to</w:t>
      </w:r>
      <w:r w:rsidRPr="00501F6D">
        <w:t xml:space="preserve"> ensure the applicant is referred to a laboratory for the appropriate tests and an appointment is made with a registered medical practitioner.</w:t>
      </w:r>
    </w:p>
    <w:p w14:paraId="6DBA5B25" w14:textId="77777777" w:rsidR="00A90FD3" w:rsidRPr="00501F6D" w:rsidRDefault="00A90FD3" w:rsidP="004907A2"/>
    <w:p w14:paraId="21478212" w14:textId="77777777" w:rsidR="00A90FD3" w:rsidRPr="00501F6D" w:rsidRDefault="00A90FD3" w:rsidP="004907A2">
      <w:pPr>
        <w:pStyle w:val="Heading2"/>
      </w:pPr>
      <w:bookmarkStart w:id="40" w:name="_Toc490728404"/>
      <w:bookmarkStart w:id="41" w:name="_Toc492493079"/>
      <w:r w:rsidRPr="00501F6D">
        <w:t>Required lab</w:t>
      </w:r>
      <w:r>
        <w:t>oratory</w:t>
      </w:r>
      <w:r w:rsidRPr="00501F6D">
        <w:t xml:space="preserve"> tests</w:t>
      </w:r>
      <w:bookmarkEnd w:id="40"/>
      <w:bookmarkEnd w:id="41"/>
    </w:p>
    <w:p w14:paraId="4F55A81B" w14:textId="77777777" w:rsidR="00A90FD3" w:rsidRPr="00501F6D" w:rsidRDefault="00A90FD3" w:rsidP="004907A2">
      <w:pPr>
        <w:pStyle w:val="Bullet"/>
      </w:pPr>
      <w:r>
        <w:t>L</w:t>
      </w:r>
      <w:r w:rsidRPr="00501F6D">
        <w:t>iver function test (including gamma-glutamyltransferase, GGT)</w:t>
      </w:r>
    </w:p>
    <w:p w14:paraId="241EFD29" w14:textId="77777777" w:rsidR="00A90FD3" w:rsidRPr="00501F6D" w:rsidRDefault="00A90FD3" w:rsidP="004907A2">
      <w:pPr>
        <w:pStyle w:val="Bullet"/>
      </w:pPr>
      <w:r>
        <w:t>A</w:t>
      </w:r>
      <w:r w:rsidRPr="00501F6D">
        <w:t>minotransferase (AST)</w:t>
      </w:r>
    </w:p>
    <w:p w14:paraId="53E2D035" w14:textId="77777777" w:rsidR="00A90FD3" w:rsidRPr="00501F6D" w:rsidRDefault="00A90FD3" w:rsidP="004907A2">
      <w:pPr>
        <w:pStyle w:val="Bullet"/>
      </w:pPr>
      <w:r>
        <w:t>A</w:t>
      </w:r>
      <w:r w:rsidRPr="00501F6D">
        <w:t>lanine aminotransferase (ALT)</w:t>
      </w:r>
    </w:p>
    <w:p w14:paraId="30F42DA6" w14:textId="77777777" w:rsidR="00BF7A45" w:rsidRDefault="00A90FD3" w:rsidP="004907A2">
      <w:pPr>
        <w:pStyle w:val="Bullet"/>
      </w:pPr>
      <w:r>
        <w:t>C</w:t>
      </w:r>
      <w:r w:rsidRPr="00501F6D">
        <w:t xml:space="preserve">omplete blood count </w:t>
      </w:r>
      <w:r>
        <w:t>(</w:t>
      </w:r>
      <w:r w:rsidRPr="00501F6D">
        <w:t>eg</w:t>
      </w:r>
      <w:r>
        <w:t>,</w:t>
      </w:r>
      <w:r w:rsidRPr="00501F6D">
        <w:t xml:space="preserve"> MCV</w:t>
      </w:r>
      <w:r>
        <w:t>)</w:t>
      </w:r>
    </w:p>
    <w:p w14:paraId="3F5A5194" w14:textId="167EDC1B" w:rsidR="004711E2" w:rsidRDefault="00A42F7E" w:rsidP="004907A2">
      <w:pPr>
        <w:pStyle w:val="Bullet"/>
      </w:pPr>
      <w:r>
        <w:t xml:space="preserve">Drug detection test, </w:t>
      </w:r>
      <w:r w:rsidR="006242F4">
        <w:t>for example</w:t>
      </w:r>
      <w:r w:rsidR="003F633D">
        <w:t>,</w:t>
      </w:r>
      <w:r>
        <w:t xml:space="preserve"> urine</w:t>
      </w:r>
      <w:r w:rsidR="00E54B7B">
        <w:t xml:space="preserve"> test. </w:t>
      </w:r>
    </w:p>
    <w:p w14:paraId="06F869D2" w14:textId="77777777" w:rsidR="00A90FD3" w:rsidRPr="00501F6D" w:rsidRDefault="00A90FD3" w:rsidP="004907A2"/>
    <w:p w14:paraId="0300429B" w14:textId="77777777" w:rsidR="004711E2" w:rsidRDefault="00A90FD3" w:rsidP="004907A2">
      <w:r>
        <w:t>The assessor may also want to run laboratory tests for:</w:t>
      </w:r>
    </w:p>
    <w:p w14:paraId="3C07F951" w14:textId="77777777" w:rsidR="004711E2" w:rsidRDefault="00A90FD3" w:rsidP="004907A2">
      <w:pPr>
        <w:pStyle w:val="Bullet"/>
      </w:pPr>
      <w:r w:rsidRPr="00501F6D">
        <w:t xml:space="preserve">Ethyl </w:t>
      </w:r>
      <w:r>
        <w:t>g</w:t>
      </w:r>
      <w:r w:rsidRPr="00501F6D">
        <w:t>lucuronide (EtG)</w:t>
      </w:r>
    </w:p>
    <w:p w14:paraId="18F47D6F" w14:textId="77777777" w:rsidR="004711E2" w:rsidRDefault="00A90FD3" w:rsidP="004907A2">
      <w:pPr>
        <w:pStyle w:val="Bullet"/>
      </w:pPr>
      <w:r w:rsidRPr="00501F6D">
        <w:t>Carbohydrate-deficient transferrin (CDT).</w:t>
      </w:r>
    </w:p>
    <w:p w14:paraId="767CD01B" w14:textId="77777777" w:rsidR="00A90FD3" w:rsidRDefault="00A90FD3" w:rsidP="004907A2"/>
    <w:p w14:paraId="2D489246" w14:textId="77777777" w:rsidR="00A90FD3" w:rsidRDefault="00A90FD3" w:rsidP="004907A2">
      <w:r>
        <w:t>These additional tests are not mandatory.</w:t>
      </w:r>
    </w:p>
    <w:p w14:paraId="542041A6" w14:textId="77777777" w:rsidR="00A90FD3" w:rsidRDefault="00A90FD3" w:rsidP="004907A2"/>
    <w:p w14:paraId="74835C50" w14:textId="67A91AD1" w:rsidR="004711E2" w:rsidRDefault="00A90FD3" w:rsidP="004907A2">
      <w:r w:rsidRPr="00501F6D">
        <w:t>For more information on the required laboratory tests</w:t>
      </w:r>
      <w:r>
        <w:t>,</w:t>
      </w:r>
      <w:r w:rsidRPr="00501F6D">
        <w:t xml:space="preserve"> please see the </w:t>
      </w:r>
      <w:r w:rsidRPr="00501F6D">
        <w:rPr>
          <w:i/>
        </w:rPr>
        <w:t xml:space="preserve">Mental Health and Addiction Screening and Assessment Guidelines </w:t>
      </w:r>
      <w:r w:rsidRPr="00501F6D">
        <w:t>(Matua Ra</w:t>
      </w:r>
      <w:r w:rsidR="00695BE6" w:rsidRPr="00695BE6">
        <w:rPr>
          <w:rFonts w:ascii="Cambria" w:hAnsi="Cambria" w:cs="Cambria"/>
          <w:color w:val="333333"/>
          <w:lang w:val="en"/>
        </w:rPr>
        <w:t>ḵ</w:t>
      </w:r>
      <w:r w:rsidRPr="00501F6D">
        <w:t>i 201</w:t>
      </w:r>
      <w:r>
        <w:t>1</w:t>
      </w:r>
      <w:r w:rsidRPr="00501F6D">
        <w:t>).</w:t>
      </w:r>
    </w:p>
    <w:p w14:paraId="6E794F30" w14:textId="77777777" w:rsidR="00A90FD3" w:rsidRPr="00501F6D" w:rsidRDefault="00A90FD3" w:rsidP="004907A2"/>
    <w:p w14:paraId="3EDFD475" w14:textId="77777777" w:rsidR="00A90FD3" w:rsidRPr="00501F6D" w:rsidRDefault="00A90FD3" w:rsidP="004907A2">
      <w:pPr>
        <w:pStyle w:val="Heading2"/>
      </w:pPr>
      <w:bookmarkStart w:id="42" w:name="_Toc490728405"/>
      <w:bookmarkStart w:id="43" w:name="_Toc492493080"/>
      <w:r w:rsidRPr="00501F6D">
        <w:t xml:space="preserve">Medical </w:t>
      </w:r>
      <w:r>
        <w:t>examination</w:t>
      </w:r>
      <w:bookmarkEnd w:id="42"/>
      <w:bookmarkEnd w:id="43"/>
    </w:p>
    <w:p w14:paraId="2BE65543" w14:textId="77777777" w:rsidR="004711E2" w:rsidRDefault="00A90FD3" w:rsidP="004907A2">
      <w:r w:rsidRPr="00501F6D">
        <w:t>The registered medical practitioner will interpret the results of the lab</w:t>
      </w:r>
      <w:r>
        <w:t>oratory</w:t>
      </w:r>
      <w:r w:rsidRPr="00501F6D">
        <w:t xml:space="preserve"> tests (GGT, AST, ALT and</w:t>
      </w:r>
      <w:r w:rsidRPr="009F7C83">
        <w:t xml:space="preserve"> </w:t>
      </w:r>
      <w:r w:rsidRPr="00501F6D">
        <w:t xml:space="preserve">MCV), </w:t>
      </w:r>
      <w:r>
        <w:t>paying</w:t>
      </w:r>
      <w:r w:rsidRPr="00501F6D">
        <w:t xml:space="preserve"> particular attention to the GGT results. The medical practitioner must also carry out a medical examination that includes</w:t>
      </w:r>
      <w:r>
        <w:t xml:space="preserve"> examining for</w:t>
      </w:r>
      <w:r w:rsidRPr="00501F6D">
        <w:t>:</w:t>
      </w:r>
    </w:p>
    <w:p w14:paraId="3E61AD21" w14:textId="77777777" w:rsidR="00A90FD3" w:rsidRPr="00501F6D" w:rsidRDefault="00A90FD3" w:rsidP="004907A2">
      <w:pPr>
        <w:pStyle w:val="Bullet"/>
      </w:pPr>
      <w:r w:rsidRPr="00501F6D">
        <w:t>conjunctival injection</w:t>
      </w:r>
    </w:p>
    <w:p w14:paraId="443B90E5" w14:textId="77777777" w:rsidR="004711E2" w:rsidRDefault="00A90FD3" w:rsidP="004907A2">
      <w:pPr>
        <w:pStyle w:val="Bullet"/>
      </w:pPr>
      <w:r w:rsidRPr="00501F6D">
        <w:t>abnormal skin vascularisation</w:t>
      </w:r>
    </w:p>
    <w:p w14:paraId="3C328D17" w14:textId="77777777" w:rsidR="004711E2" w:rsidRDefault="00A90FD3" w:rsidP="004907A2">
      <w:pPr>
        <w:pStyle w:val="Bullet"/>
      </w:pPr>
      <w:r w:rsidRPr="00501F6D">
        <w:t>tongue tremor</w:t>
      </w:r>
    </w:p>
    <w:p w14:paraId="7A5B7468" w14:textId="77777777" w:rsidR="004711E2" w:rsidRDefault="00A90FD3" w:rsidP="004907A2">
      <w:pPr>
        <w:pStyle w:val="Bullet"/>
      </w:pPr>
      <w:r w:rsidRPr="00501F6D">
        <w:t>hand tremor</w:t>
      </w:r>
    </w:p>
    <w:p w14:paraId="218DBDCF" w14:textId="77777777" w:rsidR="00A90FD3" w:rsidRPr="00501F6D" w:rsidRDefault="00A90FD3" w:rsidP="004907A2">
      <w:pPr>
        <w:pStyle w:val="Bullet"/>
      </w:pPr>
      <w:r w:rsidRPr="00501F6D">
        <w:t>hepatomegaly</w:t>
      </w:r>
    </w:p>
    <w:p w14:paraId="55B763C6" w14:textId="77777777" w:rsidR="00A90FD3" w:rsidRPr="00501F6D" w:rsidRDefault="00A90FD3" w:rsidP="004907A2">
      <w:pPr>
        <w:pStyle w:val="Bullet"/>
      </w:pPr>
      <w:r w:rsidRPr="00501F6D">
        <w:t>other physical sequalae of substance use</w:t>
      </w:r>
    </w:p>
    <w:p w14:paraId="777B77E5" w14:textId="77777777" w:rsidR="00A90FD3" w:rsidRPr="00501F6D" w:rsidRDefault="00A90FD3" w:rsidP="004907A2">
      <w:pPr>
        <w:pStyle w:val="Bullet"/>
      </w:pPr>
      <w:r w:rsidRPr="00501F6D">
        <w:t>other relevant health conditions that may impact on driving</w:t>
      </w:r>
    </w:p>
    <w:p w14:paraId="56B38BA5" w14:textId="77777777" w:rsidR="004711E2" w:rsidRDefault="00A90FD3" w:rsidP="004907A2">
      <w:pPr>
        <w:pStyle w:val="Bullet"/>
      </w:pPr>
      <w:r w:rsidRPr="00501F6D">
        <w:t xml:space="preserve">any relevant medication that may impact on the </w:t>
      </w:r>
      <w:r>
        <w:t>applicant</w:t>
      </w:r>
      <w:r w:rsidR="004711E2">
        <w:t>’</w:t>
      </w:r>
      <w:r>
        <w:t>s</w:t>
      </w:r>
      <w:r w:rsidRPr="00501F6D">
        <w:t xml:space="preserve"> ability to drive.</w:t>
      </w:r>
    </w:p>
    <w:p w14:paraId="410111BB" w14:textId="77777777" w:rsidR="00A90FD3" w:rsidRPr="00501F6D" w:rsidRDefault="00A90FD3" w:rsidP="004907A2"/>
    <w:p w14:paraId="61121623" w14:textId="47E57FB1" w:rsidR="004711E2" w:rsidRDefault="00A90FD3" w:rsidP="004907A2">
      <w:r w:rsidRPr="00501F6D">
        <w:t>The results of these tests</w:t>
      </w:r>
      <w:r w:rsidR="00F678B1">
        <w:t xml:space="preserve"> and their interpretation by a medical practitioner,</w:t>
      </w:r>
      <w:r w:rsidRPr="00501F6D">
        <w:t xml:space="preserve"> must be included in the final report to NZTA. Unless all these tests are completed and included in the final report, </w:t>
      </w:r>
      <w:r w:rsidRPr="00501F6D">
        <w:lastRenderedPageBreak/>
        <w:t>NZTA reserve</w:t>
      </w:r>
      <w:r>
        <w:t>s</w:t>
      </w:r>
      <w:r w:rsidRPr="00501F6D">
        <w:t xml:space="preserve"> the right to decline </w:t>
      </w:r>
      <w:r>
        <w:t>a recommendation</w:t>
      </w:r>
      <w:r w:rsidRPr="00501F6D">
        <w:t xml:space="preserve"> to remove </w:t>
      </w:r>
      <w:r>
        <w:t xml:space="preserve">a driver licence </w:t>
      </w:r>
      <w:r w:rsidRPr="00501F6D">
        <w:t>disqualification.</w:t>
      </w:r>
    </w:p>
    <w:p w14:paraId="0DE82970" w14:textId="77777777" w:rsidR="00A90FD3" w:rsidRPr="00501F6D" w:rsidRDefault="00A90FD3" w:rsidP="004907A2"/>
    <w:p w14:paraId="1E8A76AC" w14:textId="77777777" w:rsidR="00A90FD3" w:rsidRPr="00501F6D" w:rsidRDefault="00A90FD3" w:rsidP="004907A2">
      <w:pPr>
        <w:pStyle w:val="Heading2"/>
      </w:pPr>
      <w:bookmarkStart w:id="44" w:name="_Toc490728406"/>
      <w:bookmarkStart w:id="45" w:name="_Toc492493081"/>
      <w:r>
        <w:t>Timing for</w:t>
      </w:r>
      <w:r w:rsidRPr="00501F6D">
        <w:t xml:space="preserve"> the lab</w:t>
      </w:r>
      <w:r>
        <w:t>oratory</w:t>
      </w:r>
      <w:r w:rsidRPr="00501F6D">
        <w:t xml:space="preserve"> tests and medical </w:t>
      </w:r>
      <w:r>
        <w:t>examination</w:t>
      </w:r>
      <w:bookmarkEnd w:id="44"/>
      <w:bookmarkEnd w:id="45"/>
    </w:p>
    <w:p w14:paraId="40F754D0" w14:textId="77777777" w:rsidR="00A90FD3" w:rsidRDefault="00A90FD3" w:rsidP="004907A2">
      <w:r w:rsidRPr="00501F6D">
        <w:t xml:space="preserve">The </w:t>
      </w:r>
      <w:r>
        <w:t xml:space="preserve">two </w:t>
      </w:r>
      <w:r w:rsidRPr="00501F6D">
        <w:t xml:space="preserve">scenarios </w:t>
      </w:r>
      <w:r>
        <w:t xml:space="preserve">described below are a </w:t>
      </w:r>
      <w:r w:rsidRPr="00501F6D">
        <w:t xml:space="preserve">guide </w:t>
      </w:r>
      <w:r>
        <w:t>to help assessors determine</w:t>
      </w:r>
      <w:r w:rsidRPr="00501F6D">
        <w:t xml:space="preserve"> when to </w:t>
      </w:r>
      <w:r>
        <w:t>refer an applicant for the laboratory</w:t>
      </w:r>
      <w:r w:rsidRPr="00501F6D">
        <w:t xml:space="preserve"> tests and subsequent medical </w:t>
      </w:r>
      <w:r>
        <w:t>examination.</w:t>
      </w:r>
    </w:p>
    <w:p w14:paraId="6B7D8F78" w14:textId="77777777" w:rsidR="00A90FD3" w:rsidRPr="00501F6D" w:rsidRDefault="00A90FD3" w:rsidP="004907A2"/>
    <w:p w14:paraId="4AF5DB9D" w14:textId="77777777" w:rsidR="004907A2" w:rsidRPr="008E2230" w:rsidRDefault="004907A2" w:rsidP="004907A2">
      <w:pPr>
        <w:pStyle w:val="BoxHeading"/>
      </w:pPr>
      <w:bookmarkStart w:id="46" w:name="_Toc490722671"/>
      <w:bookmarkStart w:id="47" w:name="_Toc490728407"/>
      <w:r>
        <w:t xml:space="preserve">Scenario 1: Following </w:t>
      </w:r>
      <w:r w:rsidRPr="008E2230">
        <w:t xml:space="preserve">comprehensive assessment, </w:t>
      </w:r>
      <w:r>
        <w:t xml:space="preserve">the </w:t>
      </w:r>
      <w:r w:rsidRPr="008E2230">
        <w:t xml:space="preserve">assessor </w:t>
      </w:r>
      <w:r>
        <w:t xml:space="preserve">is </w:t>
      </w:r>
      <w:r w:rsidRPr="008E2230">
        <w:t>ready to progress to the final report</w:t>
      </w:r>
      <w:bookmarkEnd w:id="46"/>
      <w:bookmarkEnd w:id="47"/>
    </w:p>
    <w:p w14:paraId="54F6FAF6" w14:textId="77777777" w:rsidR="004907A2" w:rsidRDefault="004907A2" w:rsidP="004907A2">
      <w:pPr>
        <w:pStyle w:val="Box"/>
      </w:pPr>
      <w:r>
        <w:t>The assessor has gathered all the other required information for the comprehensive assessment and now needs the results of the laboratory tests and medical examination.</w:t>
      </w:r>
    </w:p>
    <w:p w14:paraId="2206A2E9" w14:textId="77777777" w:rsidR="004907A2" w:rsidRDefault="004907A2" w:rsidP="004907A2">
      <w:pPr>
        <w:pStyle w:val="Box"/>
      </w:pPr>
      <w:r>
        <w:t>The results of the tests and medical examination either:</w:t>
      </w:r>
    </w:p>
    <w:p w14:paraId="73A47B90" w14:textId="77777777" w:rsidR="004907A2" w:rsidRDefault="004907A2" w:rsidP="004907A2">
      <w:pPr>
        <w:pStyle w:val="Box"/>
        <w:spacing w:before="60"/>
        <w:ind w:left="851" w:hanging="567"/>
      </w:pPr>
      <w:r>
        <w:t>1)</w:t>
      </w:r>
      <w:r>
        <w:tab/>
        <w:t>support the disqualification being lifted</w:t>
      </w:r>
    </w:p>
    <w:p w14:paraId="082548FD" w14:textId="77777777" w:rsidR="004907A2" w:rsidRDefault="004907A2" w:rsidP="004907A2">
      <w:pPr>
        <w:pStyle w:val="Box"/>
        <w:spacing w:before="60"/>
        <w:ind w:left="851" w:hanging="567"/>
      </w:pPr>
      <w:r>
        <w:t>2)</w:t>
      </w:r>
      <w:r>
        <w:tab/>
        <w:t>do not support the disqualification being lifted.</w:t>
      </w:r>
    </w:p>
    <w:p w14:paraId="196DC730" w14:textId="77777777" w:rsidR="004907A2" w:rsidRDefault="004907A2" w:rsidP="004907A2">
      <w:pPr>
        <w:pStyle w:val="Box"/>
      </w:pPr>
      <w:r>
        <w:t>If the results support the disqualification being lifted, the assessor can proceed to the final report to NZTA (section 6).</w:t>
      </w:r>
    </w:p>
    <w:p w14:paraId="237F3589" w14:textId="77777777" w:rsidR="004907A2" w:rsidRDefault="004907A2" w:rsidP="004907A2">
      <w:pPr>
        <w:pStyle w:val="Box"/>
      </w:pPr>
      <w:r>
        <w:t xml:space="preserve">If the results </w:t>
      </w:r>
      <w:r>
        <w:rPr>
          <w:b/>
        </w:rPr>
        <w:t>do not</w:t>
      </w:r>
      <w:r>
        <w:t xml:space="preserve"> support the disqualification being lifted, the assessor can design an intervention programme with the applicant (section 5 below).</w:t>
      </w:r>
    </w:p>
    <w:p w14:paraId="62358BFA" w14:textId="77777777" w:rsidR="00A90FD3" w:rsidRDefault="00A90FD3" w:rsidP="00A90FD3">
      <w:pPr>
        <w:spacing w:line="240" w:lineRule="auto"/>
      </w:pPr>
    </w:p>
    <w:p w14:paraId="3B47F367" w14:textId="77777777" w:rsidR="004907A2" w:rsidRPr="008E2230" w:rsidRDefault="004907A2" w:rsidP="004907A2">
      <w:pPr>
        <w:pStyle w:val="BoxHeading"/>
      </w:pPr>
      <w:bookmarkStart w:id="48" w:name="_Toc490722672"/>
      <w:bookmarkStart w:id="49" w:name="_Toc490728408"/>
      <w:r>
        <w:t>Scenario 2</w:t>
      </w:r>
      <w:r w:rsidRPr="008E2230">
        <w:t xml:space="preserve">: </w:t>
      </w:r>
      <w:r>
        <w:t>F</w:t>
      </w:r>
      <w:r w:rsidRPr="008E2230">
        <w:t>ollo</w:t>
      </w:r>
      <w:r>
        <w:t>wing</w:t>
      </w:r>
      <w:r w:rsidRPr="008E2230">
        <w:t xml:space="preserve"> comprehensive assessment, </w:t>
      </w:r>
      <w:r>
        <w:t xml:space="preserve">the </w:t>
      </w:r>
      <w:r w:rsidRPr="008E2230">
        <w:t xml:space="preserve">assessor </w:t>
      </w:r>
      <w:r>
        <w:t>recommends a structured intervention</w:t>
      </w:r>
      <w:bookmarkEnd w:id="48"/>
      <w:bookmarkEnd w:id="49"/>
    </w:p>
    <w:p w14:paraId="52517A61" w14:textId="77777777" w:rsidR="004907A2" w:rsidRDefault="004907A2" w:rsidP="004907A2">
      <w:pPr>
        <w:pStyle w:val="Box"/>
      </w:pPr>
      <w:r>
        <w:t>The assessor has gathered all the required information for the comprehensive assessment, however, their assessment suggests that the applicant does not meet the criteria to have their disqualification lifted and the applicant would benefit from a structured intervention.</w:t>
      </w:r>
    </w:p>
    <w:p w14:paraId="1AD0AB6A" w14:textId="77777777" w:rsidR="004907A2" w:rsidRDefault="004907A2" w:rsidP="004907A2">
      <w:pPr>
        <w:pStyle w:val="Box"/>
      </w:pPr>
      <w:r>
        <w:t>In this scenario, the assessor can either:</w:t>
      </w:r>
    </w:p>
    <w:p w14:paraId="524CC29F" w14:textId="77777777" w:rsidR="004907A2" w:rsidRDefault="004907A2" w:rsidP="004907A2">
      <w:pPr>
        <w:pStyle w:val="Box"/>
        <w:spacing w:before="60"/>
        <w:ind w:left="851" w:hanging="567"/>
      </w:pPr>
      <w:r>
        <w:t>1)</w:t>
      </w:r>
      <w:r>
        <w:tab/>
        <w:t>request the applicant undertake the required tests and medical examination, to help inform treatment planning, or:</w:t>
      </w:r>
    </w:p>
    <w:p w14:paraId="65D321AE" w14:textId="77777777" w:rsidR="004907A2" w:rsidRDefault="004907A2" w:rsidP="004907A2">
      <w:pPr>
        <w:pStyle w:val="Box"/>
        <w:spacing w:before="60"/>
        <w:ind w:left="851" w:hanging="567"/>
      </w:pPr>
      <w:r>
        <w:t>2)</w:t>
      </w:r>
      <w:r>
        <w:tab/>
        <w:t xml:space="preserve">recommend that the applicant undertake the required tests and medical examination </w:t>
      </w:r>
      <w:r w:rsidRPr="0096785F">
        <w:rPr>
          <w:i/>
        </w:rPr>
        <w:t xml:space="preserve">after </w:t>
      </w:r>
      <w:r>
        <w:t>completing a recommended intervention.</w:t>
      </w:r>
    </w:p>
    <w:p w14:paraId="3306A96D" w14:textId="77777777" w:rsidR="00A90FD3" w:rsidRDefault="00A90FD3" w:rsidP="004907A2"/>
    <w:p w14:paraId="04982AB4" w14:textId="77777777" w:rsidR="00AF5C8A" w:rsidRDefault="00AF5C8A" w:rsidP="004907A2"/>
    <w:p w14:paraId="225026B4" w14:textId="495375E1" w:rsidR="00AF5C8A" w:rsidRDefault="00AF5C8A" w:rsidP="00AF5C8A">
      <w:pPr>
        <w:pStyle w:val="Box"/>
        <w:pBdr>
          <w:top w:val="none" w:sz="0" w:space="0" w:color="auto"/>
          <w:left w:val="none" w:sz="0" w:space="0" w:color="auto"/>
          <w:bottom w:val="none" w:sz="0" w:space="0" w:color="auto"/>
          <w:right w:val="none" w:sz="0" w:space="0" w:color="auto"/>
        </w:pBdr>
      </w:pPr>
      <w:r>
        <w:t>For both scenarios 1 and 2 above, the assessor needs to ensure that their final report to NZTA includes recent results for a liver function test and a drug</w:t>
      </w:r>
      <w:r w:rsidR="00A42F7E">
        <w:t xml:space="preserve"> detection</w:t>
      </w:r>
      <w:r>
        <w:t xml:space="preserve"> test</w:t>
      </w:r>
      <w:r w:rsidR="00A42F7E">
        <w:t xml:space="preserve"> (eg</w:t>
      </w:r>
      <w:r w:rsidR="003F633D">
        <w:t>,</w:t>
      </w:r>
      <w:r w:rsidR="00A42F7E">
        <w:t xml:space="preserve"> urine test)</w:t>
      </w:r>
      <w:r>
        <w:t>. If the tests were performed before the recommended intervention, they will need to be repeated, near to the completion of the final report.</w:t>
      </w:r>
    </w:p>
    <w:p w14:paraId="5CAADF94" w14:textId="77777777" w:rsidR="00AF5C8A" w:rsidRPr="00501F6D" w:rsidRDefault="00AF5C8A" w:rsidP="004907A2"/>
    <w:p w14:paraId="219E91BE" w14:textId="77777777" w:rsidR="004711E2" w:rsidRDefault="00A90FD3" w:rsidP="004907A2">
      <w:pPr>
        <w:pStyle w:val="Heading1"/>
      </w:pPr>
      <w:bookmarkStart w:id="50" w:name="_Toc490728409"/>
      <w:bookmarkStart w:id="51" w:name="_Toc492493082"/>
      <w:r w:rsidRPr="00501F6D">
        <w:lastRenderedPageBreak/>
        <w:t>Intervention</w:t>
      </w:r>
      <w:bookmarkEnd w:id="50"/>
      <w:bookmarkEnd w:id="51"/>
    </w:p>
    <w:p w14:paraId="5B49E304" w14:textId="77777777" w:rsidR="004711E2" w:rsidRDefault="00A90FD3" w:rsidP="004907A2">
      <w:bookmarkStart w:id="52" w:name="_Toc490722674"/>
      <w:bookmarkStart w:id="53" w:name="_Toc490728410"/>
      <w:r>
        <w:t>T</w:t>
      </w:r>
      <w:r w:rsidRPr="00501F6D">
        <w:t>he assessor</w:t>
      </w:r>
      <w:r>
        <w:t xml:space="preserve"> must keep</w:t>
      </w:r>
      <w:r w:rsidRPr="00501F6D">
        <w:t xml:space="preserve"> the applicant well informed </w:t>
      </w:r>
      <w:r>
        <w:t>throughout</w:t>
      </w:r>
      <w:r w:rsidRPr="00501F6D">
        <w:t xml:space="preserve"> the assessment and treatment</w:t>
      </w:r>
      <w:r w:rsidRPr="00501F6D" w:rsidDel="004D23FC">
        <w:t xml:space="preserve"> </w:t>
      </w:r>
      <w:r w:rsidRPr="00501F6D">
        <w:t>processes</w:t>
      </w:r>
      <w:r>
        <w:t xml:space="preserve">. </w:t>
      </w:r>
      <w:r w:rsidRPr="00501F6D">
        <w:t xml:space="preserve">This includes explaining the results of </w:t>
      </w:r>
      <w:r>
        <w:t>all</w:t>
      </w:r>
      <w:r w:rsidRPr="00501F6D">
        <w:t xml:space="preserve"> biochemical test</w:t>
      </w:r>
      <w:r>
        <w:t>s</w:t>
      </w:r>
      <w:r w:rsidRPr="00501F6D">
        <w:t xml:space="preserve"> </w:t>
      </w:r>
      <w:r>
        <w:t>(and agreed others) and offering</w:t>
      </w:r>
      <w:r w:rsidRPr="00501F6D">
        <w:t xml:space="preserve"> further information and advice.</w:t>
      </w:r>
    </w:p>
    <w:p w14:paraId="3C96E4BF" w14:textId="77777777" w:rsidR="00A90FD3" w:rsidRDefault="00A90FD3" w:rsidP="004907A2"/>
    <w:p w14:paraId="03D25A7E" w14:textId="77777777" w:rsidR="004907A2" w:rsidRDefault="004907A2" w:rsidP="004907A2">
      <w:r w:rsidRPr="00501F6D">
        <w:t>D</w:t>
      </w:r>
      <w:r>
        <w:t xml:space="preserve">epending on the outcome of the </w:t>
      </w:r>
      <w:r w:rsidRPr="00501F6D">
        <w:t xml:space="preserve">comprehensive assessment, the assessor may recommend the applicant </w:t>
      </w:r>
      <w:r>
        <w:t xml:space="preserve">take part in </w:t>
      </w:r>
      <w:r w:rsidRPr="00501F6D">
        <w:t>a</w:t>
      </w:r>
      <w:r>
        <w:t>n</w:t>
      </w:r>
      <w:r w:rsidRPr="00501F6D">
        <w:t xml:space="preserve"> intervention </w:t>
      </w:r>
      <w:r>
        <w:t>programme</w:t>
      </w:r>
      <w:r w:rsidRPr="00501F6D">
        <w:t>.</w:t>
      </w:r>
    </w:p>
    <w:p w14:paraId="37E644DA" w14:textId="77777777" w:rsidR="004907A2" w:rsidRDefault="004907A2" w:rsidP="004907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4785"/>
        <w:gridCol w:w="4786"/>
      </w:tblGrid>
      <w:tr w:rsidR="004907A2" w14:paraId="5CDBF88D" w14:textId="77777777" w:rsidTr="0041608A">
        <w:trPr>
          <w:cantSplit/>
        </w:trPr>
        <w:tc>
          <w:tcPr>
            <w:tcW w:w="4785" w:type="dxa"/>
          </w:tcPr>
          <w:p w14:paraId="17EC3810" w14:textId="77777777" w:rsidR="004907A2" w:rsidRPr="00501F6D" w:rsidRDefault="004907A2" w:rsidP="0041608A">
            <w:pPr>
              <w:pStyle w:val="Heading2"/>
              <w:keepNext w:val="0"/>
              <w:outlineLvl w:val="1"/>
            </w:pPr>
            <w:bookmarkStart w:id="54" w:name="_Toc492493083"/>
            <w:r>
              <w:t>Education and treatment</w:t>
            </w:r>
            <w:bookmarkEnd w:id="54"/>
          </w:p>
          <w:p w14:paraId="5C2F819F" w14:textId="77777777" w:rsidR="004907A2" w:rsidRDefault="004907A2" w:rsidP="004907A2">
            <w:r w:rsidRPr="00501F6D">
              <w:t xml:space="preserve">Some applicants will be assessed as having minimal or mild substance use disorders that would benefit from psycho-educational interventions. </w:t>
            </w:r>
            <w:r>
              <w:t>Applicants</w:t>
            </w:r>
            <w:r w:rsidRPr="00501F6D">
              <w:t xml:space="preserve"> assessed as having a severe substance use disorder will need more intensive treatment. An intervention plan should be developed after discussion</w:t>
            </w:r>
            <w:r>
              <w:t>s</w:t>
            </w:r>
            <w:r w:rsidRPr="00501F6D">
              <w:t xml:space="preserve"> with the applicant and should include agreed goals and (ideally) a timeframe</w:t>
            </w:r>
            <w:r>
              <w:t xml:space="preserve"> for achieving those goals</w:t>
            </w:r>
            <w:r w:rsidRPr="00501F6D">
              <w:t>.</w:t>
            </w:r>
          </w:p>
          <w:p w14:paraId="258C995D" w14:textId="77777777" w:rsidR="004907A2" w:rsidRDefault="004907A2" w:rsidP="004907A2"/>
          <w:p w14:paraId="1DE44E24" w14:textId="77777777" w:rsidR="004907A2" w:rsidRDefault="004907A2" w:rsidP="004907A2">
            <w:r>
              <w:t xml:space="preserve">The comprehensive assessment may also identify other issues that need to be addressed as part of ensuring the applicant’s fitness to drive. </w:t>
            </w:r>
            <w:r w:rsidRPr="00501F6D">
              <w:t xml:space="preserve">The specific interventions included in the intervention plan will depend on whether the </w:t>
            </w:r>
            <w:r>
              <w:t>applicant</w:t>
            </w:r>
            <w:r w:rsidRPr="00501F6D">
              <w:t xml:space="preserve"> meets the criteri</w:t>
            </w:r>
            <w:r>
              <w:t xml:space="preserve">a for a substance use disorder, </w:t>
            </w:r>
            <w:r w:rsidRPr="00501F6D">
              <w:t>their level of motivation, the</w:t>
            </w:r>
          </w:p>
        </w:tc>
        <w:tc>
          <w:tcPr>
            <w:tcW w:w="4786" w:type="dxa"/>
          </w:tcPr>
          <w:p w14:paraId="5A968E3F" w14:textId="1F90FA02" w:rsidR="004907A2" w:rsidRDefault="007E06BF" w:rsidP="004907A2">
            <w:r>
              <w:rPr>
                <w:noProof/>
                <w:lang w:eastAsia="en-NZ"/>
              </w:rPr>
              <w:drawing>
                <wp:inline distT="0" distB="0" distL="0" distR="0" wp14:anchorId="17D3D2BB" wp14:editId="279C3223">
                  <wp:extent cx="2895600" cy="3667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65 3.jpg"/>
                          <pic:cNvPicPr/>
                        </pic:nvPicPr>
                        <pic:blipFill rotWithShape="1">
                          <a:blip r:embed="rId23" cstate="print">
                            <a:extLst>
                              <a:ext uri="{28A0092B-C50C-407E-A947-70E740481C1C}">
                                <a14:useLocalDpi xmlns:a14="http://schemas.microsoft.com/office/drawing/2010/main" val="0"/>
                              </a:ext>
                            </a:extLst>
                          </a:blip>
                          <a:srcRect b="12327"/>
                          <a:stretch/>
                        </pic:blipFill>
                        <pic:spPr bwMode="auto">
                          <a:xfrm>
                            <a:off x="0" y="0"/>
                            <a:ext cx="2895600" cy="36671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DDB281D" w14:textId="77777777" w:rsidR="004907A2" w:rsidRDefault="004907A2" w:rsidP="004907A2">
      <w:r w:rsidRPr="00501F6D">
        <w:t>available treatment option</w:t>
      </w:r>
      <w:r>
        <w:t xml:space="preserve">s and/or other personal factors, including (but not limited to), </w:t>
      </w:r>
      <w:r w:rsidRPr="009539A3">
        <w:t>mental health disorders</w:t>
      </w:r>
      <w:r>
        <w:t>;</w:t>
      </w:r>
      <w:r w:rsidRPr="009539A3">
        <w:t xml:space="preserve"> personality disorders and personality features such as impulsiv</w:t>
      </w:r>
      <w:r>
        <w:t>eness</w:t>
      </w:r>
      <w:r w:rsidRPr="009539A3">
        <w:t>, risk taking and anti-authoritarian attitudes</w:t>
      </w:r>
      <w:r>
        <w:t>;</w:t>
      </w:r>
      <w:r w:rsidRPr="009539A3">
        <w:t xml:space="preserve"> and cognitive impairment.</w:t>
      </w:r>
    </w:p>
    <w:p w14:paraId="5B9EDA24" w14:textId="77777777" w:rsidR="004907A2" w:rsidRPr="00501F6D" w:rsidRDefault="004907A2" w:rsidP="004907A2"/>
    <w:bookmarkEnd w:id="52"/>
    <w:bookmarkEnd w:id="53"/>
    <w:p w14:paraId="78238FC9" w14:textId="77777777" w:rsidR="004711E2" w:rsidRDefault="00A90FD3" w:rsidP="004907A2">
      <w:pPr>
        <w:pStyle w:val="Heading4"/>
      </w:pPr>
      <w:r w:rsidRPr="00501F6D">
        <w:t>Note</w:t>
      </w:r>
    </w:p>
    <w:p w14:paraId="075003C4" w14:textId="77777777" w:rsidR="004711E2" w:rsidRDefault="00A90FD3" w:rsidP="004907A2">
      <w:r w:rsidRPr="00501F6D">
        <w:t>The assessor</w:t>
      </w:r>
      <w:r w:rsidR="004711E2">
        <w:t>’</w:t>
      </w:r>
      <w:r w:rsidRPr="00501F6D">
        <w:t xml:space="preserve">s role is primarily to assess the </w:t>
      </w:r>
      <w:r>
        <w:t>applicant</w:t>
      </w:r>
      <w:r w:rsidRPr="00501F6D">
        <w:t xml:space="preserve"> for </w:t>
      </w:r>
      <w:r>
        <w:t xml:space="preserve">their </w:t>
      </w:r>
      <w:r w:rsidRPr="00501F6D">
        <w:t xml:space="preserve">fitness to drive. </w:t>
      </w:r>
      <w:r>
        <w:t xml:space="preserve">This may include recommending treatment, </w:t>
      </w:r>
      <w:r w:rsidRPr="00501F6D">
        <w:t xml:space="preserve">and the assessor (as a qualified drug and alcohol practitioner) may offer to provide this treatment </w:t>
      </w:r>
      <w:r>
        <w:t>as appropriate (so long as alternative treatment providers</w:t>
      </w:r>
      <w:r w:rsidRPr="00501F6D">
        <w:t xml:space="preserve"> are also offered should the applicant not wish to receive treatment from the assessor</w:t>
      </w:r>
      <w:r>
        <w:t>)</w:t>
      </w:r>
      <w:r w:rsidRPr="00501F6D">
        <w:t>.</w:t>
      </w:r>
    </w:p>
    <w:p w14:paraId="23AD1F7E" w14:textId="77777777" w:rsidR="00A90FD3" w:rsidRPr="00501F6D" w:rsidRDefault="00A90FD3" w:rsidP="004907A2"/>
    <w:p w14:paraId="439DDB79" w14:textId="77777777" w:rsidR="00A90FD3" w:rsidRPr="00501F6D" w:rsidRDefault="00A90FD3" w:rsidP="004907A2">
      <w:pPr>
        <w:pStyle w:val="Heading2"/>
      </w:pPr>
      <w:bookmarkStart w:id="55" w:name="_Toc490728413"/>
      <w:bookmarkStart w:id="56" w:name="_Toc492493084"/>
      <w:r w:rsidRPr="00501F6D">
        <w:lastRenderedPageBreak/>
        <w:t>Review</w:t>
      </w:r>
      <w:r>
        <w:t>: further face-to-face appointments</w:t>
      </w:r>
      <w:bookmarkEnd w:id="55"/>
      <w:bookmarkEnd w:id="56"/>
    </w:p>
    <w:p w14:paraId="19F97B5D" w14:textId="77777777" w:rsidR="004711E2" w:rsidRDefault="00A90FD3" w:rsidP="004907A2">
      <w:pPr>
        <w:keepLines/>
      </w:pPr>
      <w:r>
        <w:t>After an agreed interim period, a</w:t>
      </w:r>
      <w:r w:rsidRPr="00501F6D">
        <w:t xml:space="preserve"> treatment review </w:t>
      </w:r>
      <w:r>
        <w:t xml:space="preserve">in the form of a face-to-face appointment, needs to </w:t>
      </w:r>
      <w:r w:rsidRPr="00501F6D">
        <w:t>be undertaken</w:t>
      </w:r>
      <w:r>
        <w:t xml:space="preserve"> to assess the applicant</w:t>
      </w:r>
      <w:r w:rsidR="004711E2">
        <w:t>’</w:t>
      </w:r>
      <w:r>
        <w:t>s progress with respect to the recommended interventions. (The applicant may also be able to</w:t>
      </w:r>
      <w:r w:rsidRPr="00501F6D">
        <w:t xml:space="preserve"> demonstrate a change in behaviour without having sought treatment</w:t>
      </w:r>
      <w:r>
        <w:t>.)</w:t>
      </w:r>
    </w:p>
    <w:p w14:paraId="12FE606D" w14:textId="77777777" w:rsidR="00A90FD3" w:rsidRDefault="00A90FD3" w:rsidP="004907A2"/>
    <w:p w14:paraId="43C5ED92" w14:textId="77777777" w:rsidR="004711E2" w:rsidRDefault="00A90FD3" w:rsidP="004907A2">
      <w:r>
        <w:t>After this review appointment, the assessor should be ready to proceed to the final report to NZTA (see section 6: Final report) after obtaining laboratory test results and results from a medical examination. The results should support their recommendation (whether that recommendation be for the disqualification to be removed or to remain).</w:t>
      </w:r>
    </w:p>
    <w:p w14:paraId="1B37C7D1" w14:textId="77777777" w:rsidR="00A90FD3" w:rsidRDefault="00A90FD3" w:rsidP="004907A2"/>
    <w:p w14:paraId="45F9653B" w14:textId="77777777" w:rsidR="00A90FD3" w:rsidRDefault="00A90FD3" w:rsidP="004907A2">
      <w:pPr>
        <w:pStyle w:val="Heading4"/>
      </w:pPr>
      <w:r>
        <w:t>Note</w:t>
      </w:r>
    </w:p>
    <w:p w14:paraId="0BAD6D24" w14:textId="77777777" w:rsidR="004711E2" w:rsidRDefault="00A90FD3" w:rsidP="004907A2">
      <w:r>
        <w:t>If the applicant was referred for laboratory tests and a medical examination as part of the comprehensive assessment, a second round of tests will need to be carried out after the recommended interventions have been completed (see section 4.3: Timing for the laboratory tests and medical examination).</w:t>
      </w:r>
    </w:p>
    <w:p w14:paraId="1740B65A" w14:textId="77777777" w:rsidR="00A90FD3" w:rsidRPr="00501F6D" w:rsidRDefault="00A90FD3" w:rsidP="004907A2"/>
    <w:p w14:paraId="28A05DFC" w14:textId="77777777" w:rsidR="00A90FD3" w:rsidRPr="00501F6D" w:rsidRDefault="00A90FD3" w:rsidP="004907A2">
      <w:pPr>
        <w:pStyle w:val="Heading1"/>
      </w:pPr>
      <w:bookmarkStart w:id="57" w:name="_Toc490728414"/>
      <w:bookmarkStart w:id="58" w:name="_Toc492493085"/>
      <w:bookmarkStart w:id="59" w:name="_Toc123013786"/>
      <w:bookmarkStart w:id="60" w:name="_Toc139199612"/>
      <w:bookmarkStart w:id="61" w:name="_Toc140638364"/>
      <w:bookmarkEnd w:id="33"/>
      <w:bookmarkEnd w:id="34"/>
      <w:bookmarkEnd w:id="35"/>
      <w:r w:rsidRPr="00501F6D">
        <w:lastRenderedPageBreak/>
        <w:t>Final report</w:t>
      </w:r>
      <w:r>
        <w:t xml:space="preserve"> to NZTA</w:t>
      </w:r>
      <w:bookmarkEnd w:id="57"/>
      <w:bookmarkEnd w:id="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4785"/>
        <w:gridCol w:w="4786"/>
      </w:tblGrid>
      <w:tr w:rsidR="004907A2" w14:paraId="6B386616" w14:textId="77777777" w:rsidTr="0041608A">
        <w:trPr>
          <w:cantSplit/>
        </w:trPr>
        <w:tc>
          <w:tcPr>
            <w:tcW w:w="4785" w:type="dxa"/>
          </w:tcPr>
          <w:p w14:paraId="2B42445F" w14:textId="7CE6940B" w:rsidR="007B4366" w:rsidRDefault="007E06BF" w:rsidP="007B4366">
            <w:r>
              <w:rPr>
                <w:noProof/>
                <w:lang w:eastAsia="en-NZ"/>
              </w:rPr>
              <w:drawing>
                <wp:inline distT="0" distB="0" distL="0" distR="0" wp14:anchorId="34CA52F9" wp14:editId="0A9C7FAA">
                  <wp:extent cx="2894965" cy="37338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65 4.jpg"/>
                          <pic:cNvPicPr/>
                        </pic:nvPicPr>
                        <pic:blipFill rotWithShape="1">
                          <a:blip r:embed="rId24" cstate="print">
                            <a:extLst>
                              <a:ext uri="{28A0092B-C50C-407E-A947-70E740481C1C}">
                                <a14:useLocalDpi xmlns:a14="http://schemas.microsoft.com/office/drawing/2010/main" val="0"/>
                              </a:ext>
                            </a:extLst>
                          </a:blip>
                          <a:srcRect b="10706"/>
                          <a:stretch/>
                        </pic:blipFill>
                        <pic:spPr bwMode="auto">
                          <a:xfrm>
                            <a:off x="0" y="0"/>
                            <a:ext cx="2894965" cy="3733800"/>
                          </a:xfrm>
                          <a:prstGeom prst="rect">
                            <a:avLst/>
                          </a:prstGeom>
                          <a:ln>
                            <a:noFill/>
                          </a:ln>
                          <a:extLst>
                            <a:ext uri="{53640926-AAD7-44D8-BBD7-CCE9431645EC}">
                              <a14:shadowObscured xmlns:a14="http://schemas.microsoft.com/office/drawing/2010/main"/>
                            </a:ext>
                          </a:extLst>
                        </pic:spPr>
                      </pic:pic>
                    </a:graphicData>
                  </a:graphic>
                </wp:inline>
              </w:drawing>
            </w:r>
          </w:p>
        </w:tc>
        <w:tc>
          <w:tcPr>
            <w:tcW w:w="4786" w:type="dxa"/>
          </w:tcPr>
          <w:p w14:paraId="2845B05A" w14:textId="77777777" w:rsidR="007B4366" w:rsidRDefault="007B4366" w:rsidP="007B4366">
            <w:r w:rsidRPr="00501F6D">
              <w:t xml:space="preserve">The final report to NZTA must be </w:t>
            </w:r>
            <w:r>
              <w:t>completed on</w:t>
            </w:r>
            <w:r w:rsidRPr="00501F6D">
              <w:t xml:space="preserve"> the form </w:t>
            </w:r>
            <w:r>
              <w:t>shown</w:t>
            </w:r>
            <w:r w:rsidRPr="00501F6D">
              <w:t xml:space="preserve"> in Appendix B. </w:t>
            </w:r>
            <w:r>
              <w:t>This form summarises</w:t>
            </w:r>
            <w:r w:rsidRPr="00501F6D">
              <w:t xml:space="preserve"> the information gathered during the assessment process and includes a recommendation on the applicant</w:t>
            </w:r>
            <w:r>
              <w:t>’</w:t>
            </w:r>
            <w:r w:rsidRPr="00501F6D">
              <w:t>s fitness to drive.</w:t>
            </w:r>
          </w:p>
          <w:p w14:paraId="148B3D3F" w14:textId="77777777" w:rsidR="007B4366" w:rsidRDefault="007B4366" w:rsidP="007B4366"/>
          <w:p w14:paraId="3CB9577A" w14:textId="77777777" w:rsidR="007B4366" w:rsidRDefault="007B4366" w:rsidP="007B4366">
            <w:pPr>
              <w:spacing w:line="240" w:lineRule="auto"/>
            </w:pPr>
            <w:r>
              <w:t>T</w:t>
            </w:r>
            <w:r w:rsidRPr="00501F6D">
              <w:t xml:space="preserve">he assessor </w:t>
            </w:r>
            <w:r>
              <w:t xml:space="preserve">should keep a copy of the completed form </w:t>
            </w:r>
            <w:r w:rsidRPr="00501F6D">
              <w:t>in case of appeal.</w:t>
            </w:r>
          </w:p>
          <w:p w14:paraId="2D5DC900" w14:textId="77777777" w:rsidR="007B4366" w:rsidRPr="00501F6D" w:rsidRDefault="007B4366" w:rsidP="007B4366"/>
          <w:p w14:paraId="01F4CB23" w14:textId="77777777" w:rsidR="007B4366" w:rsidRDefault="007B4366" w:rsidP="007B4366">
            <w:r>
              <w:t>The a</w:t>
            </w:r>
            <w:r w:rsidRPr="00501F6D">
              <w:t xml:space="preserve">ssessment </w:t>
            </w:r>
            <w:r>
              <w:t>will be</w:t>
            </w:r>
            <w:r w:rsidRPr="00501F6D">
              <w:t xml:space="preserve"> reviewed by the Medical Review Advisor at NZTA </w:t>
            </w:r>
            <w:r>
              <w:t>before</w:t>
            </w:r>
            <w:r w:rsidRPr="00501F6D">
              <w:t xml:space="preserve"> NZTA </w:t>
            </w:r>
            <w:r>
              <w:t>decides</w:t>
            </w:r>
            <w:r w:rsidRPr="00501F6D">
              <w:t xml:space="preserve"> whether to make an order removing the disqualification, pursuant to section 100 of the Act.</w:t>
            </w:r>
          </w:p>
          <w:p w14:paraId="2721B1CB" w14:textId="77777777" w:rsidR="007B4366" w:rsidRDefault="007B4366" w:rsidP="007B4366"/>
          <w:p w14:paraId="52AE7571" w14:textId="77777777" w:rsidR="007B4366" w:rsidRDefault="007B4366" w:rsidP="007B4366">
            <w:r>
              <w:t>The</w:t>
            </w:r>
            <w:r w:rsidRPr="00501F6D">
              <w:t xml:space="preserve"> Chief Executive of NZTA make</w:t>
            </w:r>
            <w:r>
              <w:t>s</w:t>
            </w:r>
            <w:r w:rsidRPr="00501F6D">
              <w:t xml:space="preserve"> the final decision as to whether the disqualification is removed</w:t>
            </w:r>
            <w:r>
              <w:t>, taking into account the assessor’s recommendation</w:t>
            </w:r>
            <w:r w:rsidRPr="00501F6D">
              <w:t>.</w:t>
            </w:r>
          </w:p>
          <w:p w14:paraId="09DC3F7A" w14:textId="77777777" w:rsidR="007B4366" w:rsidRDefault="007B4366" w:rsidP="007B4366"/>
          <w:p w14:paraId="617BF379" w14:textId="77777777" w:rsidR="004907A2" w:rsidRDefault="007B4366" w:rsidP="007B4366">
            <w:r>
              <w:t>If the disqualification is removed, NZTA will advise the applicant in writing.</w:t>
            </w:r>
          </w:p>
        </w:tc>
      </w:tr>
    </w:tbl>
    <w:p w14:paraId="6DB140DE" w14:textId="77777777" w:rsidR="00A90FD3" w:rsidRDefault="00A90FD3" w:rsidP="004907A2"/>
    <w:p w14:paraId="44126DA0" w14:textId="77777777" w:rsidR="00A90FD3" w:rsidRPr="00501F6D" w:rsidRDefault="00A90FD3" w:rsidP="004907A2">
      <w:pPr>
        <w:pStyle w:val="Heading2"/>
      </w:pPr>
      <w:bookmarkStart w:id="62" w:name="_Toc490728415"/>
      <w:bookmarkStart w:id="63" w:name="_Toc492493086"/>
      <w:bookmarkEnd w:id="59"/>
      <w:bookmarkEnd w:id="60"/>
      <w:bookmarkEnd w:id="61"/>
      <w:r>
        <w:t>When the</w:t>
      </w:r>
      <w:r w:rsidRPr="00501F6D">
        <w:t xml:space="preserve"> recommendation is for the disqualification to remain in place</w:t>
      </w:r>
      <w:bookmarkEnd w:id="62"/>
      <w:bookmarkEnd w:id="63"/>
    </w:p>
    <w:p w14:paraId="12045909" w14:textId="77777777" w:rsidR="00A90FD3" w:rsidRDefault="00A90FD3" w:rsidP="004907A2">
      <w:r>
        <w:t xml:space="preserve">The assessor must inform any applicant who is assessed as </w:t>
      </w:r>
      <w:r w:rsidRPr="00793DB3">
        <w:t xml:space="preserve">not </w:t>
      </w:r>
      <w:r>
        <w:t>meeting the requirements for their driver licence disqualification to be removed of:</w:t>
      </w:r>
    </w:p>
    <w:p w14:paraId="4BD873CD" w14:textId="77777777" w:rsidR="004711E2" w:rsidRDefault="00A90FD3" w:rsidP="004907A2">
      <w:pPr>
        <w:pStyle w:val="Bullet"/>
      </w:pPr>
      <w:r w:rsidRPr="00501F6D">
        <w:t>the reason(s) for the recommendation</w:t>
      </w:r>
    </w:p>
    <w:p w14:paraId="49DF6EE4" w14:textId="77777777" w:rsidR="004711E2" w:rsidRDefault="00A90FD3" w:rsidP="004907A2">
      <w:pPr>
        <w:pStyle w:val="Bullet"/>
      </w:pPr>
      <w:r>
        <w:t>the applicant</w:t>
      </w:r>
      <w:r w:rsidR="004711E2">
        <w:t>’</w:t>
      </w:r>
      <w:r>
        <w:t>s</w:t>
      </w:r>
      <w:r w:rsidRPr="00501F6D">
        <w:t xml:space="preserve"> right to appeal </w:t>
      </w:r>
      <w:r>
        <w:t>the</w:t>
      </w:r>
      <w:r w:rsidRPr="00501F6D">
        <w:t xml:space="preserve"> decision (via NZTA</w:t>
      </w:r>
      <w:r>
        <w:t xml:space="preserve">, at email: </w:t>
      </w:r>
      <w:hyperlink r:id="rId25" w:history="1">
        <w:r w:rsidRPr="0092562C">
          <w:rPr>
            <w:rStyle w:val="Hyperlink"/>
          </w:rPr>
          <w:t>medical@nzta.govt.nz</w:t>
        </w:r>
      </w:hyperlink>
      <w:r w:rsidRPr="00501F6D">
        <w:t>).</w:t>
      </w:r>
    </w:p>
    <w:p w14:paraId="1BADFE7E" w14:textId="77777777" w:rsidR="00A90FD3" w:rsidRPr="00501F6D" w:rsidRDefault="00A90FD3" w:rsidP="004907A2"/>
    <w:p w14:paraId="7D08DD32" w14:textId="77777777" w:rsidR="00A90FD3" w:rsidRPr="00501F6D" w:rsidRDefault="00A90FD3" w:rsidP="00A90FD3">
      <w:pPr>
        <w:pStyle w:val="Heading3"/>
      </w:pPr>
      <w:bookmarkStart w:id="64" w:name="_Toc490728416"/>
      <w:bookmarkStart w:id="65" w:name="_Toc490722680"/>
      <w:r w:rsidRPr="00501F6D">
        <w:t>Options going forward</w:t>
      </w:r>
      <w:bookmarkEnd w:id="64"/>
      <w:bookmarkEnd w:id="65"/>
    </w:p>
    <w:p w14:paraId="581AB48F" w14:textId="77777777" w:rsidR="00A90FD3" w:rsidRDefault="00A90FD3" w:rsidP="004907A2">
      <w:r>
        <w:t>The assessor can:</w:t>
      </w:r>
    </w:p>
    <w:p w14:paraId="138DB349" w14:textId="77777777" w:rsidR="00A90FD3" w:rsidRPr="00501F6D" w:rsidRDefault="00A90FD3" w:rsidP="004907A2">
      <w:pPr>
        <w:pStyle w:val="Bullet"/>
      </w:pPr>
      <w:r w:rsidRPr="00501F6D">
        <w:t xml:space="preserve">decide to delay </w:t>
      </w:r>
      <w:r>
        <w:t>making their</w:t>
      </w:r>
      <w:r w:rsidRPr="00501F6D">
        <w:t xml:space="preserve"> final report to NZTA if they </w:t>
      </w:r>
      <w:r>
        <w:t>believe</w:t>
      </w:r>
      <w:r w:rsidRPr="00501F6D">
        <w:t xml:space="preserve"> that further intervention</w:t>
      </w:r>
      <w:r>
        <w:t>s</w:t>
      </w:r>
      <w:r w:rsidRPr="00501F6D">
        <w:t xml:space="preserve"> and tests would change the recommendation</w:t>
      </w:r>
    </w:p>
    <w:p w14:paraId="3E23A91F" w14:textId="77777777" w:rsidR="00A90FD3" w:rsidRPr="00501F6D" w:rsidRDefault="00A90FD3" w:rsidP="004907A2">
      <w:pPr>
        <w:pStyle w:val="Bullet"/>
      </w:pPr>
      <w:r>
        <w:t xml:space="preserve">suggest to </w:t>
      </w:r>
      <w:r w:rsidRPr="00501F6D">
        <w:t xml:space="preserve">the applicant </w:t>
      </w:r>
      <w:r>
        <w:t xml:space="preserve">that they </w:t>
      </w:r>
      <w:r w:rsidRPr="00501F6D">
        <w:t>obtain a second opinion from another assessor at their own cost</w:t>
      </w:r>
    </w:p>
    <w:p w14:paraId="791BED8A" w14:textId="77777777" w:rsidR="00A90FD3" w:rsidRPr="00501F6D" w:rsidRDefault="00A90FD3" w:rsidP="004907A2">
      <w:pPr>
        <w:pStyle w:val="Bullet"/>
      </w:pPr>
      <w:r w:rsidRPr="00501F6D">
        <w:t xml:space="preserve">inform the </w:t>
      </w:r>
      <w:r>
        <w:t>applicant</w:t>
      </w:r>
      <w:r w:rsidRPr="00501F6D">
        <w:t xml:space="preserve"> that they may re-attempt the assessment process at their own cost </w:t>
      </w:r>
      <w:r>
        <w:t>once</w:t>
      </w:r>
      <w:r w:rsidRPr="00501F6D">
        <w:t xml:space="preserve"> they </w:t>
      </w:r>
      <w:r>
        <w:t xml:space="preserve">have </w:t>
      </w:r>
      <w:r w:rsidRPr="00501F6D">
        <w:t>address</w:t>
      </w:r>
      <w:r>
        <w:t>ed</w:t>
      </w:r>
      <w:r w:rsidRPr="00501F6D">
        <w:t xml:space="preserve"> </w:t>
      </w:r>
      <w:r>
        <w:t>any</w:t>
      </w:r>
      <w:r w:rsidRPr="00501F6D">
        <w:t xml:space="preserve"> outstanding issues.</w:t>
      </w:r>
    </w:p>
    <w:p w14:paraId="3F74BAD3" w14:textId="77777777" w:rsidR="00A90FD3" w:rsidRDefault="00A90FD3" w:rsidP="004907A2"/>
    <w:p w14:paraId="7C2FF582" w14:textId="77777777" w:rsidR="00A90FD3" w:rsidRPr="00501F6D" w:rsidRDefault="00A90FD3" w:rsidP="004907A2">
      <w:pPr>
        <w:pStyle w:val="Heading2"/>
      </w:pPr>
      <w:bookmarkStart w:id="66" w:name="_Toc490728417"/>
      <w:bookmarkStart w:id="67" w:name="_Toc492493087"/>
      <w:r w:rsidRPr="00501F6D">
        <w:lastRenderedPageBreak/>
        <w:t>Complaints</w:t>
      </w:r>
      <w:bookmarkEnd w:id="66"/>
      <w:bookmarkEnd w:id="67"/>
    </w:p>
    <w:p w14:paraId="56EA79A8" w14:textId="77777777" w:rsidR="00A90FD3" w:rsidRDefault="00A90FD3" w:rsidP="004907A2">
      <w:pPr>
        <w:rPr>
          <w:rFonts w:eastAsia="Calibri"/>
          <w:color w:val="000000"/>
        </w:rPr>
      </w:pPr>
      <w:r>
        <w:t>T</w:t>
      </w:r>
      <w:r w:rsidRPr="00501F6D">
        <w:t>he applicant has the right to complain about the assessor and quality of the</w:t>
      </w:r>
      <w:r>
        <w:t>ir</w:t>
      </w:r>
      <w:r w:rsidRPr="00501F6D">
        <w:t xml:space="preserve"> assessment. </w:t>
      </w:r>
      <w:r>
        <w:t>A</w:t>
      </w:r>
      <w:r w:rsidRPr="00501F6D">
        <w:t>pplicants</w:t>
      </w:r>
      <w:r w:rsidR="004711E2">
        <w:t>’</w:t>
      </w:r>
      <w:r w:rsidRPr="00501F6D">
        <w:t xml:space="preserve"> complaints can be sent to </w:t>
      </w:r>
      <w:r>
        <w:t xml:space="preserve">dapaanz (email: </w:t>
      </w:r>
      <w:hyperlink r:id="rId26" w:history="1">
        <w:r w:rsidRPr="00E2067E">
          <w:rPr>
            <w:rStyle w:val="Hyperlink"/>
            <w:rFonts w:eastAsia="Calibri"/>
          </w:rPr>
          <w:t>office@dapaanz.org.nz</w:t>
        </w:r>
      </w:hyperlink>
      <w:r>
        <w:rPr>
          <w:rFonts w:eastAsia="Calibri"/>
          <w:color w:val="000000"/>
        </w:rPr>
        <w:t>).</w:t>
      </w:r>
    </w:p>
    <w:p w14:paraId="7C49FE90" w14:textId="77777777" w:rsidR="00A90FD3" w:rsidRDefault="00A90FD3" w:rsidP="004907A2">
      <w:pPr>
        <w:rPr>
          <w:rFonts w:eastAsia="Calibri"/>
        </w:rPr>
      </w:pPr>
    </w:p>
    <w:p w14:paraId="3DB7E707" w14:textId="77777777" w:rsidR="00A90FD3" w:rsidRPr="00501F6D" w:rsidRDefault="00A90FD3" w:rsidP="004907A2">
      <w:r w:rsidRPr="006F6E77">
        <w:t>Please note, in addressing a complaint, dapaanz may need to share information with the Ministry of Health on an as-needed basis.</w:t>
      </w:r>
    </w:p>
    <w:p w14:paraId="5326D62D" w14:textId="77777777" w:rsidR="00A90FD3" w:rsidRPr="00501F6D" w:rsidRDefault="00A90FD3" w:rsidP="004907A2">
      <w:pPr>
        <w:rPr>
          <w:rFonts w:eastAsia="Calibri"/>
        </w:rPr>
      </w:pPr>
    </w:p>
    <w:p w14:paraId="13F36600" w14:textId="77777777" w:rsidR="00A90FD3" w:rsidRPr="008854BF" w:rsidRDefault="00A90FD3" w:rsidP="007B4366">
      <w:pPr>
        <w:pStyle w:val="Heading2"/>
      </w:pPr>
      <w:bookmarkStart w:id="68" w:name="_Toc490728418"/>
      <w:bookmarkStart w:id="69" w:name="_Toc492493088"/>
      <w:r>
        <w:t>Assessor p</w:t>
      </w:r>
      <w:r w:rsidRPr="008854BF">
        <w:t>ayment</w:t>
      </w:r>
      <w:bookmarkEnd w:id="68"/>
      <w:bookmarkEnd w:id="69"/>
    </w:p>
    <w:p w14:paraId="7B9CC5D1" w14:textId="77777777" w:rsidR="004711E2" w:rsidRDefault="00A90FD3" w:rsidP="007B4366">
      <w:r>
        <w:t>Assessors are paid a set fee for providing their report</w:t>
      </w:r>
      <w:r w:rsidRPr="009539A3">
        <w:t xml:space="preserve"> to NZTA on an applicant</w:t>
      </w:r>
      <w:r w:rsidR="004711E2">
        <w:t>’</w:t>
      </w:r>
      <w:r w:rsidRPr="009539A3">
        <w:t xml:space="preserve">s suitability to have their </w:t>
      </w:r>
      <w:r>
        <w:t xml:space="preserve">driving </w:t>
      </w:r>
      <w:r w:rsidRPr="009539A3">
        <w:t xml:space="preserve">disqualification removed. </w:t>
      </w:r>
      <w:r>
        <w:t>The government sets the payment amount,</w:t>
      </w:r>
      <w:r w:rsidRPr="009539A3">
        <w:t xml:space="preserve"> </w:t>
      </w:r>
      <w:r>
        <w:t xml:space="preserve">and the fee is </w:t>
      </w:r>
      <w:r w:rsidRPr="009539A3">
        <w:t>paid by NZTA.</w:t>
      </w:r>
    </w:p>
    <w:p w14:paraId="485DEF7E" w14:textId="77777777" w:rsidR="00A90FD3" w:rsidRPr="009539A3" w:rsidRDefault="00A90FD3" w:rsidP="007B4366"/>
    <w:p w14:paraId="56B98552" w14:textId="77777777" w:rsidR="004711E2" w:rsidRDefault="00A90FD3" w:rsidP="007B4366">
      <w:r>
        <w:t>The fee</w:t>
      </w:r>
      <w:r w:rsidRPr="009539A3">
        <w:t xml:space="preserve"> paid to the assessor </w:t>
      </w:r>
      <w:r>
        <w:t>also covers the cost of</w:t>
      </w:r>
      <w:r w:rsidRPr="009539A3">
        <w:t xml:space="preserve"> </w:t>
      </w:r>
      <w:r>
        <w:t>a</w:t>
      </w:r>
      <w:r w:rsidRPr="009539A3">
        <w:t xml:space="preserve"> registered medical practitioner interpret</w:t>
      </w:r>
      <w:r>
        <w:t>ing</w:t>
      </w:r>
      <w:r w:rsidRPr="009539A3">
        <w:t xml:space="preserve"> the laboratory tests and </w:t>
      </w:r>
      <w:r>
        <w:t>providing the necessary</w:t>
      </w:r>
      <w:r w:rsidRPr="009539A3">
        <w:t xml:space="preserve"> medical assessment.</w:t>
      </w:r>
    </w:p>
    <w:p w14:paraId="263C7EBF" w14:textId="77777777" w:rsidR="00A90FD3" w:rsidRDefault="00A90FD3" w:rsidP="007B4366"/>
    <w:p w14:paraId="79D724B3" w14:textId="77777777" w:rsidR="00A90FD3" w:rsidRDefault="00A90FD3" w:rsidP="007B4366">
      <w:r>
        <w:t>NZTA will pay the</w:t>
      </w:r>
      <w:r w:rsidRPr="009539A3">
        <w:t xml:space="preserve"> fee </w:t>
      </w:r>
      <w:r>
        <w:t xml:space="preserve">once it has received </w:t>
      </w:r>
      <w:r w:rsidRPr="00501F6D">
        <w:t>the approp</w:t>
      </w:r>
      <w:r>
        <w:t>riately completed Final Report to NZTA form (see Appendix B</w:t>
      </w:r>
      <w:r w:rsidRPr="00501F6D">
        <w:t xml:space="preserve">). </w:t>
      </w:r>
      <w:r>
        <w:t>As</w:t>
      </w:r>
      <w:r w:rsidRPr="00501F6D">
        <w:t xml:space="preserve"> long as the</w:t>
      </w:r>
      <w:r>
        <w:t>y complete their</w:t>
      </w:r>
      <w:r w:rsidRPr="00501F6D">
        <w:t xml:space="preserve"> final report appropriately and submit</w:t>
      </w:r>
      <w:r>
        <w:t xml:space="preserve"> it</w:t>
      </w:r>
      <w:r w:rsidRPr="00501F6D">
        <w:t xml:space="preserve"> to NZTA</w:t>
      </w:r>
      <w:r>
        <w:t>,</w:t>
      </w:r>
      <w:r w:rsidRPr="00501F6D">
        <w:t xml:space="preserve"> </w:t>
      </w:r>
      <w:r>
        <w:t>using</w:t>
      </w:r>
      <w:r w:rsidRPr="00501F6D">
        <w:t xml:space="preserve"> the appropriate form</w:t>
      </w:r>
      <w:r>
        <w:t>, assessors will still be paid for their services, even if</w:t>
      </w:r>
      <w:r w:rsidRPr="00501F6D">
        <w:t xml:space="preserve"> an applicant chooses not to complete an assessment or treatment process.</w:t>
      </w:r>
    </w:p>
    <w:p w14:paraId="4DA7D386" w14:textId="77777777" w:rsidR="00A90FD3" w:rsidRPr="00501F6D" w:rsidRDefault="00A90FD3" w:rsidP="007B4366"/>
    <w:p w14:paraId="3A6A961E" w14:textId="77777777" w:rsidR="00A90FD3" w:rsidRDefault="00A90FD3" w:rsidP="007B4366">
      <w:pPr>
        <w:pStyle w:val="Heading4"/>
      </w:pPr>
      <w:r>
        <w:t>Notes</w:t>
      </w:r>
    </w:p>
    <w:p w14:paraId="260DDFF5" w14:textId="77777777" w:rsidR="004711E2" w:rsidRDefault="00A90FD3" w:rsidP="007B4366">
      <w:r>
        <w:t>T</w:t>
      </w:r>
      <w:r w:rsidRPr="009539A3">
        <w:t xml:space="preserve">he fee is only available once for each applicant. Assessors </w:t>
      </w:r>
      <w:r>
        <w:t xml:space="preserve">should </w:t>
      </w:r>
      <w:r w:rsidRPr="009539A3">
        <w:t xml:space="preserve">contact NZTA </w:t>
      </w:r>
      <w:r>
        <w:t>before they begin any assessment</w:t>
      </w:r>
      <w:r w:rsidRPr="009539A3">
        <w:t xml:space="preserve"> to </w:t>
      </w:r>
      <w:r>
        <w:t>confirm</w:t>
      </w:r>
      <w:r w:rsidRPr="009539A3">
        <w:t xml:space="preserve"> </w:t>
      </w:r>
      <w:r>
        <w:t>that</w:t>
      </w:r>
      <w:r w:rsidRPr="009539A3">
        <w:t xml:space="preserve"> </w:t>
      </w:r>
      <w:r>
        <w:t>NZTA has not already paid a</w:t>
      </w:r>
      <w:r w:rsidRPr="009539A3">
        <w:t xml:space="preserve"> fee </w:t>
      </w:r>
      <w:r>
        <w:t xml:space="preserve">for that </w:t>
      </w:r>
      <w:r w:rsidRPr="009539A3">
        <w:t xml:space="preserve">applicant. If the fee has already been paid, the applicant will be </w:t>
      </w:r>
      <w:r>
        <w:t>need</w:t>
      </w:r>
      <w:r w:rsidRPr="009539A3">
        <w:t xml:space="preserve"> to pay for the assessment</w:t>
      </w:r>
      <w:r>
        <w:t>, and any related treatments,</w:t>
      </w:r>
      <w:r w:rsidRPr="009539A3">
        <w:t xml:space="preserve"> themselves.</w:t>
      </w:r>
    </w:p>
    <w:p w14:paraId="7D55726C" w14:textId="77777777" w:rsidR="00A90FD3" w:rsidRDefault="00A90FD3" w:rsidP="007B4366"/>
    <w:p w14:paraId="53A79E3B" w14:textId="6D8C91CC" w:rsidR="00A90FD3" w:rsidRPr="009237AD" w:rsidRDefault="007257F9" w:rsidP="007257F9">
      <w:r>
        <w:rPr>
          <w:lang w:eastAsia="en-NZ"/>
        </w:rPr>
        <w:t>Feedback and queries relating to the assessor’s fee (including the amount and when it is paid)</w:t>
      </w:r>
      <w:r>
        <w:rPr>
          <w:lang w:eastAsia="en-NZ"/>
        </w:rPr>
        <w:t>, should be directed to NZTA at</w:t>
      </w:r>
      <w:r>
        <w:rPr>
          <w:lang w:eastAsia="en-NZ"/>
        </w:rPr>
        <w:t xml:space="preserve"> </w:t>
      </w:r>
      <w:hyperlink r:id="rId27" w:history="1">
        <w:r>
          <w:rPr>
            <w:lang w:eastAsia="en-NZ"/>
          </w:rPr>
          <w:t>medical@nzta.govt.nz</w:t>
        </w:r>
      </w:hyperlink>
      <w:r>
        <w:rPr>
          <w:lang w:eastAsia="en-NZ"/>
        </w:rPr>
        <w:t xml:space="preserve"> or info@transport.govt.nz</w:t>
      </w:r>
      <w:r w:rsidR="005B12DD">
        <w:rPr>
          <w:lang w:eastAsia="en-NZ"/>
        </w:rPr>
        <w:t>.</w:t>
      </w:r>
      <w:bookmarkStart w:id="70" w:name="_GoBack"/>
      <w:bookmarkEnd w:id="70"/>
    </w:p>
    <w:p w14:paraId="606E2462" w14:textId="77777777" w:rsidR="004711E2" w:rsidRDefault="00A90FD3" w:rsidP="007B4366">
      <w:pPr>
        <w:pStyle w:val="Heading1"/>
      </w:pPr>
      <w:bookmarkStart w:id="71" w:name="_Toc490728419"/>
      <w:bookmarkStart w:id="72" w:name="_Toc492493089"/>
      <w:r w:rsidRPr="009539A3">
        <w:lastRenderedPageBreak/>
        <w:t>Becoming an approved assessment centre</w:t>
      </w:r>
      <w:bookmarkEnd w:id="71"/>
      <w:bookmarkEnd w:id="72"/>
    </w:p>
    <w:p w14:paraId="7C76B377" w14:textId="77777777" w:rsidR="00A90FD3" w:rsidRPr="009539A3" w:rsidRDefault="00A90FD3" w:rsidP="007B4366">
      <w:r w:rsidRPr="009539A3">
        <w:t>The Director-General of Health approves establishments as assessment centres for the purpose of the Act (sections 2 and 65). Establishments can be:</w:t>
      </w:r>
    </w:p>
    <w:p w14:paraId="70CFE3B3" w14:textId="77777777" w:rsidR="004711E2" w:rsidRDefault="007B4366" w:rsidP="007B4366">
      <w:pPr>
        <w:spacing w:before="120"/>
        <w:ind w:left="567" w:hanging="567"/>
      </w:pPr>
      <w:r>
        <w:t>a)</w:t>
      </w:r>
      <w:r>
        <w:tab/>
      </w:r>
      <w:r w:rsidR="00A90FD3" w:rsidRPr="009539A3">
        <w:t>legal entities</w:t>
      </w:r>
      <w:r w:rsidR="00A90FD3">
        <w:t>,</w:t>
      </w:r>
      <w:r w:rsidR="00A90FD3" w:rsidRPr="009539A3">
        <w:t xml:space="preserve"> </w:t>
      </w:r>
      <w:r w:rsidR="00A90FD3">
        <w:t xml:space="preserve">for example, </w:t>
      </w:r>
      <w:r w:rsidR="00A90FD3" w:rsidRPr="009539A3">
        <w:t>district health boards</w:t>
      </w:r>
      <w:r w:rsidR="00A90FD3">
        <w:t xml:space="preserve"> (DHBs)</w:t>
      </w:r>
      <w:r w:rsidR="00A90FD3" w:rsidRPr="009539A3">
        <w:t>, companies</w:t>
      </w:r>
      <w:r w:rsidR="00A90FD3">
        <w:t xml:space="preserve"> or </w:t>
      </w:r>
      <w:r w:rsidR="00A90FD3" w:rsidRPr="009539A3">
        <w:t>not</w:t>
      </w:r>
      <w:r w:rsidR="00A90FD3">
        <w:t>-</w:t>
      </w:r>
      <w:r w:rsidR="00A90FD3" w:rsidRPr="009539A3">
        <w:t>for</w:t>
      </w:r>
      <w:r w:rsidR="00A90FD3">
        <w:t>-</w:t>
      </w:r>
      <w:r w:rsidR="00A90FD3" w:rsidRPr="009539A3">
        <w:t>profit organisations</w:t>
      </w:r>
      <w:r w:rsidR="00A90FD3">
        <w:t xml:space="preserve"> that</w:t>
      </w:r>
      <w:r w:rsidR="00A90FD3" w:rsidRPr="009539A3">
        <w:t xml:space="preserve"> engage individuals as assessors</w:t>
      </w:r>
    </w:p>
    <w:p w14:paraId="725F3373" w14:textId="77777777" w:rsidR="00A90FD3" w:rsidRPr="009539A3" w:rsidRDefault="007B4366" w:rsidP="007B4366">
      <w:pPr>
        <w:spacing w:before="120"/>
        <w:ind w:left="567" w:hanging="567"/>
      </w:pPr>
      <w:r>
        <w:t>b)</w:t>
      </w:r>
      <w:r>
        <w:tab/>
      </w:r>
      <w:r w:rsidR="00A90FD3" w:rsidRPr="009539A3">
        <w:t>individuals who are appropriately qualified to undertake assessments.</w:t>
      </w:r>
    </w:p>
    <w:p w14:paraId="4945B27F" w14:textId="77777777" w:rsidR="00A90FD3" w:rsidRPr="009539A3" w:rsidRDefault="00A90FD3" w:rsidP="007B4366"/>
    <w:p w14:paraId="11DD8563" w14:textId="77777777" w:rsidR="004711E2" w:rsidRDefault="00A90FD3" w:rsidP="007B4366">
      <w:r w:rsidRPr="009539A3">
        <w:t>To be approved, an establishment must meet the minimum requirements (set out below). Establishments must also maintain those requirements to ensure the approval is not suspended or revoked.</w:t>
      </w:r>
    </w:p>
    <w:p w14:paraId="7A52D2DF" w14:textId="77777777" w:rsidR="00A90FD3" w:rsidRPr="009539A3" w:rsidRDefault="00A90FD3" w:rsidP="007B4366"/>
    <w:p w14:paraId="56709FC9" w14:textId="77777777" w:rsidR="00A90FD3" w:rsidRPr="009539A3" w:rsidRDefault="00A90FD3" w:rsidP="007B4366">
      <w:pPr>
        <w:pStyle w:val="Heading2"/>
      </w:pPr>
      <w:bookmarkStart w:id="73" w:name="_Toc490728420"/>
      <w:bookmarkStart w:id="74" w:name="_Toc492493090"/>
      <w:r w:rsidRPr="009539A3">
        <w:t>Minimum requirements for</w:t>
      </w:r>
      <w:r>
        <w:t xml:space="preserve"> assessment centre</w:t>
      </w:r>
      <w:r w:rsidRPr="009539A3">
        <w:t xml:space="preserve"> approval</w:t>
      </w:r>
      <w:bookmarkEnd w:id="73"/>
      <w:bookmarkEnd w:id="74"/>
    </w:p>
    <w:p w14:paraId="39AEB5B7" w14:textId="77777777" w:rsidR="004711E2" w:rsidRDefault="00A90FD3" w:rsidP="007B4366">
      <w:r>
        <w:t xml:space="preserve">Establishments applying to be an approved assessment centre </w:t>
      </w:r>
      <w:r w:rsidRPr="009539A3">
        <w:t>must demonstrate that</w:t>
      </w:r>
      <w:r>
        <w:t xml:space="preserve"> they are</w:t>
      </w:r>
      <w:r w:rsidRPr="009539A3">
        <w:t xml:space="preserve"> competent in </w:t>
      </w:r>
      <w:r>
        <w:t xml:space="preserve">assessing </w:t>
      </w:r>
      <w:r w:rsidRPr="009539A3">
        <w:t xml:space="preserve">alcohol and other drug problems as </w:t>
      </w:r>
      <w:r>
        <w:t xml:space="preserve">either </w:t>
      </w:r>
      <w:r w:rsidRPr="009539A3">
        <w:t xml:space="preserve">a legal entity or an individual, as </w:t>
      </w:r>
      <w:r>
        <w:t>described above</w:t>
      </w:r>
      <w:r w:rsidRPr="009539A3">
        <w:t>.</w:t>
      </w:r>
    </w:p>
    <w:p w14:paraId="7E7E0332" w14:textId="77777777" w:rsidR="00A90FD3" w:rsidRPr="009539A3" w:rsidRDefault="00A90FD3" w:rsidP="007B4366"/>
    <w:p w14:paraId="434D8D93" w14:textId="77777777" w:rsidR="004711E2" w:rsidRDefault="00A90FD3" w:rsidP="007B4366">
      <w:r w:rsidRPr="009539A3">
        <w:t>The following qualifications or experience are the minimum requirements of competence</w:t>
      </w:r>
      <w:r>
        <w:t>. The applicant for approval to be an assessment centre must</w:t>
      </w:r>
      <w:r w:rsidRPr="009539A3">
        <w:t>:</w:t>
      </w:r>
    </w:p>
    <w:p w14:paraId="113D1659" w14:textId="77777777" w:rsidR="00A90FD3" w:rsidRPr="009539A3" w:rsidRDefault="00A90FD3" w:rsidP="007B4366">
      <w:pPr>
        <w:pStyle w:val="Bullet"/>
      </w:pPr>
      <w:r>
        <w:t xml:space="preserve">hold full registration as a registered alcohol and drug practitioner with either </w:t>
      </w:r>
      <w:r w:rsidRPr="009539A3">
        <w:t xml:space="preserve">the </w:t>
      </w:r>
      <w:r>
        <w:t xml:space="preserve">Addiction </w:t>
      </w:r>
      <w:r w:rsidRPr="009539A3">
        <w:t>Practitioners</w:t>
      </w:r>
      <w:r w:rsidR="004711E2">
        <w:t>’</w:t>
      </w:r>
      <w:r w:rsidRPr="009539A3">
        <w:t xml:space="preserve"> Association Aotearoa</w:t>
      </w:r>
      <w:r>
        <w:t xml:space="preserve"> </w:t>
      </w:r>
      <w:r w:rsidRPr="009539A3">
        <w:t xml:space="preserve">New Zealand (dapaanz) </w:t>
      </w:r>
      <w:r>
        <w:t>or</w:t>
      </w:r>
      <w:r w:rsidRPr="009539A3">
        <w:t xml:space="preserve"> the Fellow of the Australasian Chapter of Addiction Medicine (FAChAM)</w:t>
      </w:r>
      <w:r>
        <w:t xml:space="preserve"> </w:t>
      </w:r>
      <w:r w:rsidRPr="009539A3">
        <w:t xml:space="preserve">of the Royal </w:t>
      </w:r>
      <w:r>
        <w:t xml:space="preserve">Australasian </w:t>
      </w:r>
      <w:r w:rsidRPr="009539A3">
        <w:t>College of Physicians</w:t>
      </w:r>
      <w:r>
        <w:t xml:space="preserve"> (RACP)</w:t>
      </w:r>
    </w:p>
    <w:p w14:paraId="6F8F14EB" w14:textId="77777777" w:rsidR="00A90FD3" w:rsidRPr="009539A3" w:rsidRDefault="00A90FD3" w:rsidP="007B4366">
      <w:pPr>
        <w:pStyle w:val="Bullet"/>
      </w:pPr>
      <w:r>
        <w:t>have at least three</w:t>
      </w:r>
      <w:r w:rsidRPr="009539A3">
        <w:t xml:space="preserve"> years supervised experience working as a practitioner in the assessment and treatment of addictive behaviours</w:t>
      </w:r>
    </w:p>
    <w:p w14:paraId="5F226B3D" w14:textId="77777777" w:rsidR="004711E2" w:rsidRDefault="00A90FD3" w:rsidP="007B4366">
      <w:pPr>
        <w:pStyle w:val="Bullet"/>
      </w:pPr>
      <w:r>
        <w:t xml:space="preserve">hold </w:t>
      </w:r>
      <w:r w:rsidRPr="009539A3">
        <w:t>a qualification equivalent</w:t>
      </w:r>
      <w:r>
        <w:t xml:space="preserve"> to or greater than</w:t>
      </w:r>
      <w:r w:rsidRPr="009539A3">
        <w:t xml:space="preserve"> the New Zealand Qualification</w:t>
      </w:r>
      <w:r>
        <w:t>s</w:t>
      </w:r>
      <w:r w:rsidRPr="009539A3">
        <w:t xml:space="preserve"> Framework level</w:t>
      </w:r>
      <w:r w:rsidR="007B4366">
        <w:t> </w:t>
      </w:r>
      <w:r w:rsidRPr="009539A3">
        <w:t xml:space="preserve">7, related to </w:t>
      </w:r>
      <w:r>
        <w:t>assessing</w:t>
      </w:r>
      <w:r w:rsidRPr="009539A3">
        <w:t xml:space="preserve"> and/or treat</w:t>
      </w:r>
      <w:r>
        <w:t>ing</w:t>
      </w:r>
      <w:r w:rsidRPr="009539A3">
        <w:t xml:space="preserve"> addictive behaviours, particula</w:t>
      </w:r>
      <w:r>
        <w:t>rly substance use disorders.</w:t>
      </w:r>
    </w:p>
    <w:p w14:paraId="4678E458" w14:textId="77777777" w:rsidR="00A90FD3" w:rsidRPr="009539A3" w:rsidRDefault="00A90FD3" w:rsidP="007B4366"/>
    <w:p w14:paraId="26DCCE00" w14:textId="77777777" w:rsidR="00A90FD3" w:rsidRDefault="00A90FD3" w:rsidP="007B4366">
      <w:pPr>
        <w:pStyle w:val="Heading4"/>
      </w:pPr>
      <w:r>
        <w:t>Note</w:t>
      </w:r>
    </w:p>
    <w:p w14:paraId="7FD79B28" w14:textId="77777777" w:rsidR="004711E2" w:rsidRDefault="00A90FD3" w:rsidP="007B4366">
      <w:r>
        <w:t>T</w:t>
      </w:r>
      <w:r w:rsidRPr="00EF3018">
        <w:t xml:space="preserve">he Ministry of Health </w:t>
      </w:r>
      <w:r>
        <w:t xml:space="preserve">(the Ministry) </w:t>
      </w:r>
      <w:r w:rsidRPr="00EF3018">
        <w:t xml:space="preserve">is developing an impaired driving risk assessment training programme, which will become a mandatory requirement for </w:t>
      </w:r>
      <w:r>
        <w:t>establishments</w:t>
      </w:r>
      <w:r w:rsidRPr="00EF3018">
        <w:t xml:space="preserve"> applying to be an approved assessment centre under section 65 of the Act.</w:t>
      </w:r>
      <w:r>
        <w:t xml:space="preserve"> In time, this training programme will become mandatory for every assessor to complete once every two years to demonstrate their ongoing competency.</w:t>
      </w:r>
    </w:p>
    <w:p w14:paraId="0D68407A" w14:textId="77777777" w:rsidR="00A90FD3" w:rsidRPr="009539A3" w:rsidRDefault="00A90FD3" w:rsidP="007B4366"/>
    <w:p w14:paraId="737E2E02" w14:textId="77777777" w:rsidR="004711E2" w:rsidRDefault="00A90FD3" w:rsidP="007B4366">
      <w:pPr>
        <w:pStyle w:val="Heading3"/>
      </w:pPr>
      <w:bookmarkStart w:id="75" w:name="_Toc490722686"/>
      <w:bookmarkStart w:id="76" w:name="_Toc490728421"/>
      <w:r w:rsidRPr="009539A3">
        <w:lastRenderedPageBreak/>
        <w:t>Maintaining the minimum requirements</w:t>
      </w:r>
      <w:bookmarkEnd w:id="75"/>
      <w:bookmarkEnd w:id="76"/>
    </w:p>
    <w:p w14:paraId="4AB7EA94" w14:textId="77777777" w:rsidR="004711E2" w:rsidRDefault="00A90FD3" w:rsidP="007B4366">
      <w:r w:rsidRPr="009539A3">
        <w:t xml:space="preserve">The Ministry will, from time to time, audit completed assessments provided to NZTA to ensure that approved assessment centres continue to meet the minimum requirements. An approved assessment centre </w:t>
      </w:r>
      <w:r>
        <w:t>that</w:t>
      </w:r>
      <w:r w:rsidRPr="009539A3">
        <w:t xml:space="preserve"> is unable to meet the minimum requirements should inform the Ministry </w:t>
      </w:r>
      <w:r w:rsidRPr="009539A3">
        <w:rPr>
          <w:b/>
        </w:rPr>
        <w:t>immediately</w:t>
      </w:r>
      <w:r w:rsidRPr="009539A3">
        <w:t xml:space="preserve"> and not undertake any further assessments.</w:t>
      </w:r>
    </w:p>
    <w:p w14:paraId="0CAF0051" w14:textId="77777777" w:rsidR="00A90FD3" w:rsidRPr="009539A3" w:rsidRDefault="00A90FD3" w:rsidP="007B4366"/>
    <w:p w14:paraId="30ABE105" w14:textId="77777777" w:rsidR="004711E2" w:rsidRDefault="00A90FD3" w:rsidP="007B4366">
      <w:r w:rsidRPr="009539A3">
        <w:t>Further information about the approval process is provided in Appendix C</w:t>
      </w:r>
      <w:r>
        <w:t>: Application for approval as an assessment centre</w:t>
      </w:r>
      <w:r w:rsidRPr="009539A3">
        <w:t>. Applications to become an approved assessment centre must be submitted on the form in Appendix C.</w:t>
      </w:r>
    </w:p>
    <w:p w14:paraId="4CE43C21" w14:textId="77777777" w:rsidR="00A90FD3" w:rsidRPr="009539A3" w:rsidRDefault="00A90FD3" w:rsidP="007B4366"/>
    <w:p w14:paraId="6AE3AA7B" w14:textId="77777777" w:rsidR="004711E2" w:rsidRDefault="00A90FD3" w:rsidP="007B4366">
      <w:r>
        <w:t xml:space="preserve">dapaanz </w:t>
      </w:r>
      <w:r w:rsidRPr="009539A3">
        <w:t>will notify the Ministry if there is a lapse in an approved assessor</w:t>
      </w:r>
      <w:r w:rsidR="004711E2">
        <w:t>’</w:t>
      </w:r>
      <w:r w:rsidRPr="009539A3">
        <w:t>s registration. Any activity that constitutes misconduct under professional registration is grounds for revocation.</w:t>
      </w:r>
    </w:p>
    <w:p w14:paraId="3B10317C" w14:textId="77777777" w:rsidR="00A90FD3" w:rsidRPr="009539A3" w:rsidRDefault="00A90FD3" w:rsidP="007B4366"/>
    <w:p w14:paraId="7747452D" w14:textId="77777777" w:rsidR="00A90FD3" w:rsidRPr="009539A3" w:rsidRDefault="00A90FD3" w:rsidP="007B4366">
      <w:pPr>
        <w:pStyle w:val="Heading2"/>
      </w:pPr>
      <w:bookmarkStart w:id="77" w:name="_Toc490722687"/>
      <w:bookmarkStart w:id="78" w:name="_Toc490728422"/>
      <w:bookmarkStart w:id="79" w:name="_Toc492493091"/>
      <w:r w:rsidRPr="009539A3">
        <w:t>Suspen</w:t>
      </w:r>
      <w:r>
        <w:t>ding</w:t>
      </w:r>
      <w:r w:rsidRPr="009539A3">
        <w:t xml:space="preserve"> or revo</w:t>
      </w:r>
      <w:r>
        <w:t>king</w:t>
      </w:r>
      <w:r w:rsidRPr="009539A3">
        <w:t xml:space="preserve"> approval</w:t>
      </w:r>
      <w:bookmarkEnd w:id="77"/>
      <w:bookmarkEnd w:id="78"/>
      <w:bookmarkEnd w:id="79"/>
    </w:p>
    <w:p w14:paraId="0435B51B" w14:textId="77777777" w:rsidR="00A90FD3" w:rsidRPr="009539A3" w:rsidRDefault="00A90FD3" w:rsidP="007B4366">
      <w:pPr>
        <w:rPr>
          <w:i/>
        </w:rPr>
      </w:pPr>
      <w:r w:rsidRPr="009539A3">
        <w:t xml:space="preserve">The Director-General of Health may suspend or revoke the approval of an assessment centre if </w:t>
      </w:r>
      <w:r>
        <w:t xml:space="preserve">the centre does not meet </w:t>
      </w:r>
      <w:r w:rsidRPr="009539A3">
        <w:t xml:space="preserve">the minimum requirements </w:t>
      </w:r>
      <w:r>
        <w:t xml:space="preserve">of competence listed above, </w:t>
      </w:r>
      <w:r w:rsidRPr="009539A3">
        <w:t>or if the</w:t>
      </w:r>
      <w:r>
        <w:t>ir</w:t>
      </w:r>
      <w:r w:rsidRPr="009539A3">
        <w:t xml:space="preserve"> work does not meet an acceptable standard.</w:t>
      </w:r>
    </w:p>
    <w:p w14:paraId="1B7173B3" w14:textId="77777777" w:rsidR="00A90FD3" w:rsidRPr="009539A3" w:rsidRDefault="00A90FD3" w:rsidP="007B4366"/>
    <w:p w14:paraId="6A7057EA" w14:textId="77777777" w:rsidR="00A90FD3" w:rsidRPr="009539A3" w:rsidRDefault="00A90FD3" w:rsidP="007B4366">
      <w:r w:rsidRPr="009539A3">
        <w:t>Before suspending or revoking an approval, the Director-General must:</w:t>
      </w:r>
    </w:p>
    <w:p w14:paraId="72E9AD8E" w14:textId="77777777" w:rsidR="00A90FD3" w:rsidRPr="009539A3" w:rsidRDefault="00A90FD3" w:rsidP="007B4366">
      <w:pPr>
        <w:pStyle w:val="Bullet"/>
      </w:pPr>
      <w:r w:rsidRPr="009539A3">
        <w:t>consider all relevant information relating to the</w:t>
      </w:r>
      <w:r>
        <w:t xml:space="preserve"> assessment centre</w:t>
      </w:r>
      <w:r w:rsidR="004711E2">
        <w:t>’</w:t>
      </w:r>
      <w:r>
        <w:t>s</w:t>
      </w:r>
      <w:r w:rsidRPr="009539A3">
        <w:t xml:space="preserve"> possible failure to comply with the minimum requirements</w:t>
      </w:r>
    </w:p>
    <w:p w14:paraId="09B422F7" w14:textId="77777777" w:rsidR="00A90FD3" w:rsidRPr="009539A3" w:rsidRDefault="00A90FD3" w:rsidP="007B4366">
      <w:pPr>
        <w:pStyle w:val="Bullet"/>
      </w:pPr>
      <w:r w:rsidRPr="009539A3">
        <w:t>advise the assessment centre of a provisional decision to suspend or revoke the approval</w:t>
      </w:r>
    </w:p>
    <w:p w14:paraId="5EAE134D" w14:textId="77777777" w:rsidR="00A90FD3" w:rsidRPr="009539A3" w:rsidRDefault="00A90FD3" w:rsidP="007B4366">
      <w:pPr>
        <w:pStyle w:val="Bullet"/>
      </w:pPr>
      <w:r w:rsidRPr="009539A3">
        <w:t>invite the assessment centre to make a submission on the matter</w:t>
      </w:r>
      <w:r>
        <w:t>,</w:t>
      </w:r>
      <w:r w:rsidRPr="009539A3">
        <w:t xml:space="preserve"> </w:t>
      </w:r>
      <w:r>
        <w:t>in</w:t>
      </w:r>
      <w:r w:rsidRPr="009539A3">
        <w:t xml:space="preserve"> particular</w:t>
      </w:r>
      <w:r>
        <w:t>, to explain</w:t>
      </w:r>
      <w:r w:rsidRPr="009539A3">
        <w:t xml:space="preserve"> why the provisional decision should not be confirmed</w:t>
      </w:r>
    </w:p>
    <w:p w14:paraId="57276C4E" w14:textId="77777777" w:rsidR="00A90FD3" w:rsidRPr="009539A3" w:rsidRDefault="00A90FD3" w:rsidP="007B4366">
      <w:pPr>
        <w:pStyle w:val="Bullet"/>
      </w:pPr>
      <w:r>
        <w:t>give</w:t>
      </w:r>
      <w:r w:rsidRPr="009539A3">
        <w:t xml:space="preserve"> the assessment centre 20 business days to provide a submission</w:t>
      </w:r>
    </w:p>
    <w:p w14:paraId="1E72C56E" w14:textId="77777777" w:rsidR="00A90FD3" w:rsidRPr="009539A3" w:rsidRDefault="00A90FD3" w:rsidP="007B4366">
      <w:pPr>
        <w:pStyle w:val="Bullet"/>
      </w:pPr>
      <w:r w:rsidRPr="009539A3">
        <w:t>clarify with the assessment centre any mat</w:t>
      </w:r>
      <w:r>
        <w:t>t</w:t>
      </w:r>
      <w:r w:rsidRPr="009539A3">
        <w:t>ers in the</w:t>
      </w:r>
      <w:r>
        <w:t>ir</w:t>
      </w:r>
      <w:r w:rsidRPr="009539A3">
        <w:t xml:space="preserve"> submission (if necessary)</w:t>
      </w:r>
    </w:p>
    <w:p w14:paraId="340CBF50" w14:textId="77777777" w:rsidR="00A90FD3" w:rsidRPr="007C5467" w:rsidRDefault="00A90FD3" w:rsidP="007B4366">
      <w:pPr>
        <w:pStyle w:val="Bullet"/>
      </w:pPr>
      <w:r w:rsidRPr="009539A3">
        <w:t>dismiss or confirm the provisional decision</w:t>
      </w:r>
      <w:r>
        <w:t xml:space="preserve"> and </w:t>
      </w:r>
      <w:r w:rsidRPr="007C5467">
        <w:t>suspend or revoke the approval</w:t>
      </w:r>
      <w:r>
        <w:t xml:space="preserve"> (if required)</w:t>
      </w:r>
      <w:r w:rsidRPr="007C5467">
        <w:t>.</w:t>
      </w:r>
    </w:p>
    <w:p w14:paraId="68143C4C" w14:textId="77777777" w:rsidR="00A90FD3" w:rsidRPr="009539A3" w:rsidRDefault="00A90FD3" w:rsidP="007B4366"/>
    <w:p w14:paraId="6B5A2073" w14:textId="77777777" w:rsidR="004711E2" w:rsidRDefault="00A90FD3" w:rsidP="007B4366">
      <w:r w:rsidRPr="009539A3">
        <w:t xml:space="preserve">The Director-General may set conditions </w:t>
      </w:r>
      <w:r>
        <w:t>for</w:t>
      </w:r>
      <w:r w:rsidRPr="009539A3">
        <w:t xml:space="preserve"> the assessment centre </w:t>
      </w:r>
      <w:r>
        <w:t xml:space="preserve">to meet </w:t>
      </w:r>
      <w:r w:rsidRPr="009539A3">
        <w:t>if the decision is to suspend the approval.</w:t>
      </w:r>
    </w:p>
    <w:p w14:paraId="7B9BCABE" w14:textId="77777777" w:rsidR="00A90FD3" w:rsidRPr="009539A3" w:rsidRDefault="00A90FD3" w:rsidP="007B4366"/>
    <w:p w14:paraId="22BDDBAD" w14:textId="77777777" w:rsidR="004711E2" w:rsidRDefault="00A90FD3" w:rsidP="007B4366">
      <w:r>
        <w:t>T</w:t>
      </w:r>
      <w:r w:rsidRPr="009539A3">
        <w:t xml:space="preserve">he assessment centre </w:t>
      </w:r>
      <w:r>
        <w:t>may also</w:t>
      </w:r>
      <w:r w:rsidRPr="009539A3">
        <w:t xml:space="preserve"> voluntarily surrender their approv</w:t>
      </w:r>
      <w:r>
        <w:t>ed status</w:t>
      </w:r>
      <w:r w:rsidRPr="009539A3">
        <w:t xml:space="preserve">. </w:t>
      </w:r>
      <w:r>
        <w:t>In such instances, t</w:t>
      </w:r>
      <w:r w:rsidRPr="009539A3">
        <w:t>he Director-General must accept th</w:t>
      </w:r>
      <w:r>
        <w:t>e</w:t>
      </w:r>
      <w:r w:rsidRPr="009539A3">
        <w:t xml:space="preserve"> surrender and revoke the approval.</w:t>
      </w:r>
    </w:p>
    <w:p w14:paraId="68A1510A" w14:textId="77777777" w:rsidR="00A90FD3" w:rsidRPr="009539A3" w:rsidRDefault="00A90FD3" w:rsidP="007B4366"/>
    <w:p w14:paraId="0FAEDAA1" w14:textId="77777777" w:rsidR="00A90FD3" w:rsidRPr="009539A3" w:rsidRDefault="00A90FD3" w:rsidP="007B4366">
      <w:pPr>
        <w:pStyle w:val="Heading2"/>
      </w:pPr>
      <w:bookmarkStart w:id="80" w:name="_Toc490722688"/>
      <w:bookmarkStart w:id="81" w:name="_Toc490728423"/>
      <w:bookmarkStart w:id="82" w:name="_Toc492493092"/>
      <w:r w:rsidRPr="009539A3">
        <w:t>Medical practitioners</w:t>
      </w:r>
      <w:bookmarkEnd w:id="80"/>
      <w:bookmarkEnd w:id="81"/>
      <w:bookmarkEnd w:id="82"/>
    </w:p>
    <w:p w14:paraId="42061ED7" w14:textId="77777777" w:rsidR="00A90FD3" w:rsidRPr="009539A3" w:rsidRDefault="00A90FD3" w:rsidP="007B4366">
      <w:r>
        <w:t>M</w:t>
      </w:r>
      <w:r w:rsidRPr="009539A3">
        <w:t xml:space="preserve">edical practitioners </w:t>
      </w:r>
      <w:r>
        <w:t xml:space="preserve">do not need approval to </w:t>
      </w:r>
      <w:r w:rsidRPr="009539A3">
        <w:t xml:space="preserve">interpret </w:t>
      </w:r>
      <w:r>
        <w:t xml:space="preserve">laboratory </w:t>
      </w:r>
      <w:r w:rsidRPr="009539A3">
        <w:t>tests or conduct medical examinations. However, i</w:t>
      </w:r>
      <w:r>
        <w:t>t should not be assumed that</w:t>
      </w:r>
      <w:r w:rsidRPr="009539A3">
        <w:t xml:space="preserve"> medical practitioners are capable of undertaking any other part of the assessment process. A medical practitioner </w:t>
      </w:r>
      <w:r>
        <w:t>must</w:t>
      </w:r>
      <w:r w:rsidRPr="009539A3">
        <w:t xml:space="preserve"> </w:t>
      </w:r>
      <w:r>
        <w:t>meet the minimum requirements for assessment centre approval listed above</w:t>
      </w:r>
      <w:r w:rsidRPr="009539A3">
        <w:t xml:space="preserve"> </w:t>
      </w:r>
      <w:r>
        <w:t>before they can</w:t>
      </w:r>
      <w:r w:rsidRPr="009539A3">
        <w:t xml:space="preserve"> be</w:t>
      </w:r>
      <w:r>
        <w:t>come</w:t>
      </w:r>
      <w:r w:rsidRPr="009539A3">
        <w:t xml:space="preserve"> an approved assessor.</w:t>
      </w:r>
    </w:p>
    <w:p w14:paraId="7FD9FB76" w14:textId="77777777" w:rsidR="00A90FD3" w:rsidRDefault="00A90FD3" w:rsidP="007B4366">
      <w:bookmarkStart w:id="83" w:name="_Toc490728424"/>
      <w:bookmarkStart w:id="84" w:name="_Toc123013801"/>
      <w:bookmarkStart w:id="85" w:name="_Toc139199622"/>
      <w:bookmarkStart w:id="86" w:name="_Toc140638374"/>
      <w:bookmarkEnd w:id="24"/>
      <w:bookmarkEnd w:id="25"/>
      <w:bookmarkEnd w:id="26"/>
    </w:p>
    <w:p w14:paraId="6890EA81" w14:textId="77777777" w:rsidR="004711E2" w:rsidRDefault="00A90FD3" w:rsidP="007B4366">
      <w:pPr>
        <w:pStyle w:val="Heading1"/>
        <w:numPr>
          <w:ilvl w:val="0"/>
          <w:numId w:val="0"/>
        </w:numPr>
      </w:pPr>
      <w:bookmarkStart w:id="87" w:name="_Toc492493093"/>
      <w:r w:rsidRPr="00F24BC9">
        <w:lastRenderedPageBreak/>
        <w:t>Appendix A:</w:t>
      </w:r>
      <w:r w:rsidR="007B4366">
        <w:t xml:space="preserve"> </w:t>
      </w:r>
      <w:r w:rsidRPr="00F24BC9">
        <w:t xml:space="preserve">Checklist for </w:t>
      </w:r>
      <w:r>
        <w:t xml:space="preserve">a </w:t>
      </w:r>
      <w:r w:rsidRPr="00F24BC9">
        <w:t>comprehensive assessment</w:t>
      </w:r>
      <w:bookmarkEnd w:id="83"/>
      <w:bookmarkEnd w:id="87"/>
    </w:p>
    <w:p w14:paraId="1A8154D2" w14:textId="77777777" w:rsidR="00A90FD3" w:rsidRPr="00F24BC9" w:rsidRDefault="00A90FD3" w:rsidP="007B4366">
      <w:r w:rsidRPr="00F24BC9">
        <w:t xml:space="preserve">The minimum information that needs to be gathered at </w:t>
      </w:r>
      <w:r>
        <w:t xml:space="preserve">the </w:t>
      </w:r>
      <w:r w:rsidRPr="00F24BC9">
        <w:t>first</w:t>
      </w:r>
      <w:r>
        <w:t xml:space="preserve"> face-to-face </w:t>
      </w:r>
      <w:r w:rsidRPr="00F24BC9">
        <w:t>contact includes:</w:t>
      </w:r>
    </w:p>
    <w:p w14:paraId="6E9FBCBA"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bookmarkStart w:id="88" w:name="Check2"/>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bookmarkEnd w:id="88"/>
      <w:r>
        <w:tab/>
      </w:r>
      <w:r w:rsidRPr="00F24BC9">
        <w:rPr>
          <w:rFonts w:cs="Arial"/>
        </w:rPr>
        <w:t>personal details</w:t>
      </w:r>
      <w:r>
        <w:rPr>
          <w:rFonts w:cs="Arial"/>
        </w:rPr>
        <w:br/>
      </w:r>
      <w:r w:rsidRPr="00F24BC9">
        <w:rPr>
          <w:rFonts w:cs="Arial"/>
          <w:i/>
          <w:sz w:val="20"/>
        </w:rPr>
        <w:t>name, age, current address, living arrangements, relationship status, parenting and caregiving responsibilities, gender, self-identified ethnicity and current employment status</w:t>
      </w:r>
    </w:p>
    <w:p w14:paraId="01180D81"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Pr>
          <w:rFonts w:cs="Arial"/>
        </w:rPr>
        <w:tab/>
      </w:r>
      <w:r w:rsidRPr="00F24BC9">
        <w:rPr>
          <w:rFonts w:cs="Arial"/>
        </w:rPr>
        <w:t>alcohol and other drug history, including previous treatments</w:t>
      </w:r>
    </w:p>
    <w:p w14:paraId="12CAD0ED"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tab/>
      </w:r>
      <w:r w:rsidRPr="00F24BC9">
        <w:rPr>
          <w:rFonts w:cs="Arial"/>
        </w:rPr>
        <w:t xml:space="preserve">alcohol and other drug use </w:t>
      </w:r>
      <w:r>
        <w:rPr>
          <w:rFonts w:cs="Arial"/>
        </w:rPr>
        <w:t>over</w:t>
      </w:r>
      <w:r w:rsidRPr="00F24BC9">
        <w:rPr>
          <w:rFonts w:cs="Arial"/>
        </w:rPr>
        <w:t xml:space="preserve"> the last six months</w:t>
      </w:r>
    </w:p>
    <w:p w14:paraId="09BDDD62"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Pr>
          <w:rFonts w:cs="Arial"/>
        </w:rPr>
        <w:tab/>
      </w:r>
      <w:r w:rsidRPr="00F24BC9">
        <w:rPr>
          <w:rFonts w:cs="Arial"/>
        </w:rPr>
        <w:t>mental health history, including previous treatment</w:t>
      </w:r>
    </w:p>
    <w:p w14:paraId="53E2A9F1"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tab/>
      </w:r>
      <w:r w:rsidRPr="00F24BC9">
        <w:rPr>
          <w:rFonts w:cs="Arial"/>
        </w:rPr>
        <w:t>current mental health status and treatment</w:t>
      </w:r>
      <w:r>
        <w:rPr>
          <w:rFonts w:cs="Arial"/>
        </w:rPr>
        <w:t>/s</w:t>
      </w:r>
    </w:p>
    <w:p w14:paraId="399E60A0"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Pr>
          <w:rFonts w:cs="Arial"/>
        </w:rPr>
        <w:tab/>
      </w:r>
      <w:r w:rsidRPr="00F24BC9">
        <w:rPr>
          <w:rFonts w:cs="Arial"/>
        </w:rPr>
        <w:t>corroboration</w:t>
      </w:r>
      <w:r w:rsidR="00991E2E">
        <w:rPr>
          <w:rFonts w:cs="Arial"/>
        </w:rPr>
        <w:br/>
      </w:r>
      <w:r w:rsidR="00991E2E" w:rsidRPr="00F24BC9">
        <w:rPr>
          <w:rFonts w:cs="Arial"/>
          <w:i/>
          <w:sz w:val="20"/>
        </w:rPr>
        <w:t>validation of the self-report from significant others</w:t>
      </w:r>
    </w:p>
    <w:p w14:paraId="0BEDA2A9"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tab/>
      </w:r>
      <w:r w:rsidRPr="00F24BC9">
        <w:rPr>
          <w:rFonts w:cs="Arial"/>
        </w:rPr>
        <w:t>referral information</w:t>
      </w:r>
      <w:r w:rsidR="00991E2E">
        <w:rPr>
          <w:rFonts w:cs="Arial"/>
        </w:rPr>
        <w:br/>
      </w:r>
      <w:r w:rsidR="00991E2E" w:rsidRPr="00F24BC9">
        <w:rPr>
          <w:rFonts w:cs="Arial"/>
          <w:i/>
          <w:sz w:val="20"/>
        </w:rPr>
        <w:t>date of conviction, date of presentation for assessment</w:t>
      </w:r>
    </w:p>
    <w:p w14:paraId="3685DA47"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Pr>
          <w:rFonts w:cs="Arial"/>
        </w:rPr>
        <w:tab/>
      </w:r>
      <w:r w:rsidRPr="00F24BC9">
        <w:rPr>
          <w:rFonts w:cs="Arial"/>
        </w:rPr>
        <w:t>personal history, developmental history</w:t>
      </w:r>
    </w:p>
    <w:p w14:paraId="4813A810"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tab/>
      </w:r>
      <w:r>
        <w:rPr>
          <w:rFonts w:cs="Arial"/>
        </w:rPr>
        <w:t>consent to obtain criminal conviction</w:t>
      </w:r>
      <w:r w:rsidRPr="00F24BC9">
        <w:rPr>
          <w:rFonts w:cs="Arial"/>
        </w:rPr>
        <w:t xml:space="preserve"> history</w:t>
      </w:r>
    </w:p>
    <w:p w14:paraId="35235896"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Pr>
          <w:rFonts w:cs="Arial"/>
        </w:rPr>
        <w:tab/>
        <w:t>criminal conviction history reviewed</w:t>
      </w:r>
    </w:p>
    <w:p w14:paraId="280A461D"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tab/>
      </w:r>
      <w:r w:rsidRPr="00F24BC9">
        <w:rPr>
          <w:rFonts w:cs="Arial"/>
        </w:rPr>
        <w:t>cognitive impairment and personality factors that may impact on impulsiv</w:t>
      </w:r>
      <w:r>
        <w:rPr>
          <w:rFonts w:cs="Arial"/>
        </w:rPr>
        <w:t xml:space="preserve">eness </w:t>
      </w:r>
      <w:r w:rsidRPr="00F24BC9">
        <w:rPr>
          <w:rFonts w:cs="Arial"/>
        </w:rPr>
        <w:t>and decision</w:t>
      </w:r>
      <w:r>
        <w:rPr>
          <w:rFonts w:cs="Arial"/>
        </w:rPr>
        <w:t>-</w:t>
      </w:r>
      <w:r w:rsidRPr="00F24BC9">
        <w:rPr>
          <w:rFonts w:cs="Arial"/>
        </w:rPr>
        <w:t>making</w:t>
      </w:r>
    </w:p>
    <w:p w14:paraId="2D309549" w14:textId="77777777"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Pr>
          <w:rFonts w:cs="Arial"/>
        </w:rPr>
        <w:tab/>
      </w:r>
      <w:r w:rsidRPr="00F24BC9">
        <w:rPr>
          <w:rFonts w:cs="Arial"/>
        </w:rPr>
        <w:t>risk assessment</w:t>
      </w:r>
    </w:p>
    <w:p w14:paraId="3BDBE7B0" w14:textId="54E25B7D" w:rsidR="007B4366" w:rsidRDefault="007B4366" w:rsidP="002A4646">
      <w:pPr>
        <w:spacing w:before="9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Pr>
          <w:rFonts w:cs="Arial"/>
        </w:rPr>
        <w:tab/>
      </w:r>
      <w:r w:rsidRPr="00F24BC9">
        <w:rPr>
          <w:rFonts w:cs="Arial"/>
        </w:rPr>
        <w:t xml:space="preserve">results of blood and drug </w:t>
      </w:r>
      <w:r w:rsidR="003B69A4">
        <w:rPr>
          <w:rFonts w:cs="Arial"/>
        </w:rPr>
        <w:t>detection test</w:t>
      </w:r>
      <w:r w:rsidR="003B69A4" w:rsidRPr="00F24BC9">
        <w:rPr>
          <w:rFonts w:cs="Arial"/>
        </w:rPr>
        <w:t xml:space="preserve"> </w:t>
      </w:r>
      <w:r w:rsidR="003F633D">
        <w:rPr>
          <w:rFonts w:cs="Arial"/>
        </w:rPr>
        <w:t>(eg,</w:t>
      </w:r>
      <w:r w:rsidR="003B69A4">
        <w:rPr>
          <w:rFonts w:cs="Arial"/>
        </w:rPr>
        <w:t xml:space="preserve"> urine</w:t>
      </w:r>
      <w:r w:rsidR="003F633D">
        <w:rPr>
          <w:rFonts w:cs="Arial"/>
        </w:rPr>
        <w:t xml:space="preserve"> test</w:t>
      </w:r>
      <w:r w:rsidR="006242F4">
        <w:rPr>
          <w:rFonts w:cs="Arial"/>
        </w:rPr>
        <w:t>)</w:t>
      </w:r>
      <w:r w:rsidR="00991E2E">
        <w:rPr>
          <w:rFonts w:cs="Arial"/>
        </w:rPr>
        <w:br/>
      </w:r>
      <w:r w:rsidR="00991E2E">
        <w:rPr>
          <w:rFonts w:cs="Arial"/>
          <w:i/>
          <w:sz w:val="20"/>
        </w:rPr>
        <w:t>in</w:t>
      </w:r>
      <w:r w:rsidR="00991E2E" w:rsidRPr="00F24BC9">
        <w:rPr>
          <w:rFonts w:cs="Arial"/>
          <w:i/>
          <w:sz w:val="20"/>
        </w:rPr>
        <w:t>terpreted by a registered medical practitioner</w:t>
      </w:r>
      <w:r w:rsidR="00991E2E">
        <w:rPr>
          <w:rFonts w:cs="Arial"/>
          <w:i/>
          <w:sz w:val="20"/>
        </w:rPr>
        <w:t xml:space="preserve"> and including</w:t>
      </w:r>
      <w:r w:rsidR="00991E2E" w:rsidRPr="00F24BC9">
        <w:rPr>
          <w:rFonts w:cs="Arial"/>
          <w:i/>
          <w:sz w:val="20"/>
        </w:rPr>
        <w:t xml:space="preserve"> relevant medical history</w:t>
      </w:r>
      <w:r w:rsidR="00991E2E">
        <w:rPr>
          <w:rFonts w:cs="Arial"/>
          <w:i/>
          <w:sz w:val="20"/>
        </w:rPr>
        <w:t xml:space="preserve"> and</w:t>
      </w:r>
      <w:r w:rsidR="00991E2E" w:rsidRPr="00F24BC9">
        <w:rPr>
          <w:rFonts w:cs="Arial"/>
          <w:i/>
          <w:sz w:val="20"/>
        </w:rPr>
        <w:t xml:space="preserve"> current medications</w:t>
      </w:r>
    </w:p>
    <w:p w14:paraId="7E54206D" w14:textId="77777777" w:rsidR="007B4366" w:rsidRDefault="007B4366" w:rsidP="00991E2E"/>
    <w:p w14:paraId="7C6CFF76" w14:textId="77777777" w:rsidR="00A90FD3" w:rsidRPr="00F24BC9" w:rsidRDefault="00A90FD3" w:rsidP="00991E2E">
      <w:r w:rsidRPr="00F24BC9">
        <w:t>In addition to the above information, have you:</w:t>
      </w:r>
    </w:p>
    <w:p w14:paraId="7C915A75" w14:textId="77777777" w:rsidR="00A90FD3" w:rsidRPr="00F24BC9" w:rsidRDefault="00A90FD3" w:rsidP="002A4646">
      <w:pPr>
        <w:pStyle w:val="Bullet"/>
      </w:pPr>
      <w:r w:rsidRPr="00F24BC9">
        <w:t>provided advice on treatment options (if needed)</w:t>
      </w:r>
    </w:p>
    <w:p w14:paraId="6F483FCC" w14:textId="77777777" w:rsidR="00A90FD3" w:rsidRPr="00F24BC9" w:rsidRDefault="00A90FD3" w:rsidP="002A4646">
      <w:pPr>
        <w:pStyle w:val="Bullet"/>
      </w:pPr>
      <w:r w:rsidRPr="00F24BC9">
        <w:t>provided advice on the rights of the</w:t>
      </w:r>
      <w:r>
        <w:t xml:space="preserve"> applicant as per the </w:t>
      </w:r>
      <w:r>
        <w:rPr>
          <w:i/>
        </w:rPr>
        <w:t>Code of Health and Disability Service Consumers</w:t>
      </w:r>
      <w:r w:rsidR="004711E2">
        <w:rPr>
          <w:i/>
        </w:rPr>
        <w:t>’</w:t>
      </w:r>
      <w:r>
        <w:rPr>
          <w:i/>
        </w:rPr>
        <w:t xml:space="preserve"> Rights </w:t>
      </w:r>
      <w:r>
        <w:t>(HDC 2009)</w:t>
      </w:r>
    </w:p>
    <w:p w14:paraId="41C47AB5" w14:textId="77777777" w:rsidR="004711E2" w:rsidRDefault="00A90FD3" w:rsidP="002A4646">
      <w:pPr>
        <w:pStyle w:val="Bullet"/>
      </w:pPr>
      <w:r w:rsidRPr="00F24BC9">
        <w:t xml:space="preserve">outlined requirements as necessary for any follow-up appointment and expectations to prepare the </w:t>
      </w:r>
      <w:r>
        <w:t xml:space="preserve">final </w:t>
      </w:r>
      <w:r w:rsidRPr="00F24BC9">
        <w:t>report to NZTA</w:t>
      </w:r>
    </w:p>
    <w:p w14:paraId="29A44680" w14:textId="77777777" w:rsidR="004711E2" w:rsidRDefault="00A90FD3" w:rsidP="002A4646">
      <w:pPr>
        <w:pStyle w:val="Bullet"/>
      </w:pPr>
      <w:r w:rsidRPr="00F24BC9">
        <w:t>informed the applicant about the required lab</w:t>
      </w:r>
      <w:r>
        <w:t>oratory</w:t>
      </w:r>
      <w:r w:rsidRPr="00F24BC9">
        <w:t xml:space="preserve"> tests</w:t>
      </w:r>
    </w:p>
    <w:p w14:paraId="1E3160B0" w14:textId="77777777" w:rsidR="004711E2" w:rsidRDefault="00A90FD3" w:rsidP="002A4646">
      <w:pPr>
        <w:pStyle w:val="Bullet"/>
      </w:pPr>
      <w:r w:rsidRPr="00F24BC9">
        <w:t>informed the applicant about timeframes required to make an appointment with a registered medical practitioner to undertake a medical examination</w:t>
      </w:r>
    </w:p>
    <w:p w14:paraId="6756FEA7" w14:textId="77777777" w:rsidR="00A90FD3" w:rsidRPr="00F24BC9" w:rsidRDefault="00A90FD3" w:rsidP="002A4646">
      <w:pPr>
        <w:pStyle w:val="Bullet"/>
      </w:pPr>
      <w:r w:rsidRPr="00F24BC9">
        <w:t xml:space="preserve">informed the applicant that they will need to </w:t>
      </w:r>
      <w:r>
        <w:t>apply</w:t>
      </w:r>
      <w:r w:rsidRPr="00F24BC9">
        <w:t xml:space="preserve"> to regain their </w:t>
      </w:r>
      <w:r>
        <w:t xml:space="preserve">driver </w:t>
      </w:r>
      <w:r w:rsidRPr="00F24BC9">
        <w:t>licence</w:t>
      </w:r>
    </w:p>
    <w:p w14:paraId="0F7427C9" w14:textId="77777777" w:rsidR="00A90FD3" w:rsidRDefault="00A90FD3" w:rsidP="002A4646">
      <w:pPr>
        <w:pStyle w:val="Bullet"/>
      </w:pPr>
      <w:r>
        <w:t xml:space="preserve">provided </w:t>
      </w:r>
      <w:r w:rsidRPr="00F24BC9">
        <w:t>written referral letters to the appropriate service(s) (where t</w:t>
      </w:r>
      <w:r>
        <w:t>reatment has been recommended).</w:t>
      </w:r>
      <w:bookmarkStart w:id="89" w:name="_Toc490728425"/>
    </w:p>
    <w:p w14:paraId="7626F8B2" w14:textId="77777777" w:rsidR="004711E2" w:rsidRDefault="00A90FD3" w:rsidP="002A4646">
      <w:pPr>
        <w:pStyle w:val="Heading1"/>
        <w:numPr>
          <w:ilvl w:val="0"/>
          <w:numId w:val="0"/>
        </w:numPr>
      </w:pPr>
      <w:bookmarkStart w:id="90" w:name="_Toc492493094"/>
      <w:r w:rsidRPr="009539A3">
        <w:lastRenderedPageBreak/>
        <w:t>A</w:t>
      </w:r>
      <w:r>
        <w:t>ppendix B</w:t>
      </w:r>
      <w:r w:rsidRPr="009539A3">
        <w:t>:</w:t>
      </w:r>
      <w:r w:rsidR="002A4646">
        <w:br/>
      </w:r>
      <w:r w:rsidRPr="009539A3">
        <w:t xml:space="preserve">Final </w:t>
      </w:r>
      <w:r w:rsidR="002A4646">
        <w:t>r</w:t>
      </w:r>
      <w:r w:rsidRPr="009539A3">
        <w:t xml:space="preserve">eport to </w:t>
      </w:r>
      <w:bookmarkEnd w:id="84"/>
      <w:bookmarkEnd w:id="85"/>
      <w:bookmarkEnd w:id="86"/>
      <w:r>
        <w:t>NZTA</w:t>
      </w:r>
      <w:bookmarkEnd w:id="89"/>
      <w:bookmarkEnd w:id="90"/>
    </w:p>
    <w:p w14:paraId="7364DE05" w14:textId="77777777" w:rsidR="005716C2" w:rsidRDefault="005716C2" w:rsidP="006242F4"/>
    <w:p w14:paraId="7FA6656A" w14:textId="77777777" w:rsidR="005716C2" w:rsidRPr="005716C2" w:rsidRDefault="005716C2" w:rsidP="006242F4"/>
    <w:tbl>
      <w:tblPr>
        <w:tblStyle w:val="TableGrid"/>
        <w:tblW w:w="9356" w:type="dxa"/>
        <w:tblInd w:w="108" w:type="dxa"/>
        <w:tblLayout w:type="fixed"/>
        <w:tblLook w:val="04A0" w:firstRow="1" w:lastRow="0" w:firstColumn="1" w:lastColumn="0" w:noHBand="0" w:noVBand="1"/>
      </w:tblPr>
      <w:tblGrid>
        <w:gridCol w:w="3544"/>
        <w:gridCol w:w="5812"/>
      </w:tblGrid>
      <w:tr w:rsidR="002A4646" w14:paraId="2B9A19D9" w14:textId="77777777" w:rsidTr="002A4646">
        <w:trPr>
          <w:cantSplit/>
        </w:trPr>
        <w:tc>
          <w:tcPr>
            <w:tcW w:w="3544" w:type="dxa"/>
          </w:tcPr>
          <w:p w14:paraId="501FCB16" w14:textId="77777777" w:rsidR="002A4646" w:rsidRDefault="002A4646" w:rsidP="002A4646">
            <w:pPr>
              <w:pStyle w:val="TableText"/>
            </w:pPr>
            <w:r>
              <w:t>Assessment centre:</w:t>
            </w:r>
          </w:p>
        </w:tc>
        <w:tc>
          <w:tcPr>
            <w:tcW w:w="5812" w:type="dxa"/>
          </w:tcPr>
          <w:p w14:paraId="6EBEDFBC" w14:textId="77777777" w:rsidR="002A4646" w:rsidRDefault="002A4646" w:rsidP="002A4646">
            <w:pPr>
              <w:pStyle w:val="TableText"/>
            </w:pPr>
            <w:r>
              <w:fldChar w:fldCharType="begin">
                <w:ffData>
                  <w:name w:val="Text19"/>
                  <w:enabled/>
                  <w:calcOnExit w:val="0"/>
                  <w:textInput/>
                </w:ffData>
              </w:fldChar>
            </w:r>
            <w:bookmarkStart w:id="9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2A4646" w14:paraId="6F327248" w14:textId="77777777" w:rsidTr="002A4646">
        <w:trPr>
          <w:cantSplit/>
        </w:trPr>
        <w:tc>
          <w:tcPr>
            <w:tcW w:w="3544" w:type="dxa"/>
          </w:tcPr>
          <w:p w14:paraId="51DE58B2" w14:textId="77777777" w:rsidR="002A4646" w:rsidRDefault="002A4646" w:rsidP="002A4646">
            <w:pPr>
              <w:pStyle w:val="TableText"/>
            </w:pPr>
            <w:r>
              <w:t>Assessor:</w:t>
            </w:r>
          </w:p>
        </w:tc>
        <w:tc>
          <w:tcPr>
            <w:tcW w:w="5812" w:type="dxa"/>
          </w:tcPr>
          <w:p w14:paraId="59FD8DB6" w14:textId="77777777" w:rsidR="002A4646" w:rsidRDefault="002A4646" w:rsidP="002A4646">
            <w:pPr>
              <w:pStyle w:val="TableText"/>
            </w:pPr>
            <w:r>
              <w:fldChar w:fldCharType="begin">
                <w:ffData>
                  <w:name w:val="Text20"/>
                  <w:enabled/>
                  <w:calcOnExit w:val="0"/>
                  <w:textInput/>
                </w:ffData>
              </w:fldChar>
            </w:r>
            <w:bookmarkStart w:id="9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2A4646" w14:paraId="00594500" w14:textId="77777777" w:rsidTr="002A4646">
        <w:trPr>
          <w:cantSplit/>
        </w:trPr>
        <w:tc>
          <w:tcPr>
            <w:tcW w:w="3544" w:type="dxa"/>
          </w:tcPr>
          <w:p w14:paraId="7D5714F6" w14:textId="77777777" w:rsidR="002A4646" w:rsidRDefault="002A4646" w:rsidP="002A4646">
            <w:pPr>
              <w:pStyle w:val="TableText"/>
            </w:pPr>
            <w:r>
              <w:t>Date report prepared:</w:t>
            </w:r>
          </w:p>
        </w:tc>
        <w:tc>
          <w:tcPr>
            <w:tcW w:w="5812" w:type="dxa"/>
          </w:tcPr>
          <w:p w14:paraId="10CC1549" w14:textId="77777777" w:rsidR="002A4646" w:rsidRDefault="002A4646" w:rsidP="002A4646">
            <w:pPr>
              <w:pStyle w:val="TableText"/>
            </w:pPr>
            <w:r>
              <w:fldChar w:fldCharType="begin">
                <w:ffData>
                  <w:name w:val="Text21"/>
                  <w:enabled/>
                  <w:calcOnExit w:val="0"/>
                  <w:textInput/>
                </w:ffData>
              </w:fldChar>
            </w:r>
            <w:bookmarkStart w:id="9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2A4646" w14:paraId="67FFDB0A" w14:textId="77777777" w:rsidTr="002A4646">
        <w:trPr>
          <w:cantSplit/>
        </w:trPr>
        <w:tc>
          <w:tcPr>
            <w:tcW w:w="3544" w:type="dxa"/>
          </w:tcPr>
          <w:p w14:paraId="7BB8BC4E" w14:textId="77777777" w:rsidR="002A4646" w:rsidRDefault="002A4646" w:rsidP="002A4646">
            <w:pPr>
              <w:pStyle w:val="TableText"/>
            </w:pPr>
            <w:r>
              <w:t>Date of expiry for applicant’s section 65 order (if known):</w:t>
            </w:r>
          </w:p>
        </w:tc>
        <w:tc>
          <w:tcPr>
            <w:tcW w:w="5812" w:type="dxa"/>
          </w:tcPr>
          <w:p w14:paraId="791CFC16" w14:textId="77777777" w:rsidR="002A4646" w:rsidRDefault="002A4646" w:rsidP="002A4646">
            <w:pPr>
              <w:pStyle w:val="TableText"/>
            </w:pPr>
            <w:r>
              <w:fldChar w:fldCharType="begin">
                <w:ffData>
                  <w:name w:val="Text22"/>
                  <w:enabled/>
                  <w:calcOnExit w:val="0"/>
                  <w:textInput/>
                </w:ffData>
              </w:fldChar>
            </w:r>
            <w:bookmarkStart w:id="9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5D8302FF" w14:textId="77777777" w:rsidR="002A4646" w:rsidRDefault="002A4646" w:rsidP="00A90FD3">
      <w:pPr>
        <w:tabs>
          <w:tab w:val="right" w:leader="dot" w:pos="9355"/>
        </w:tabs>
        <w:spacing w:line="240" w:lineRule="auto"/>
      </w:pPr>
    </w:p>
    <w:p w14:paraId="51B3A244" w14:textId="77777777" w:rsidR="005716C2" w:rsidRDefault="005716C2" w:rsidP="00A90FD3">
      <w:pPr>
        <w:tabs>
          <w:tab w:val="right" w:leader="dot" w:pos="9355"/>
        </w:tabs>
        <w:spacing w:line="240" w:lineRule="auto"/>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812"/>
      </w:tblGrid>
      <w:tr w:rsidR="002A4646" w:rsidRPr="009539A3" w14:paraId="33E3D62C" w14:textId="77777777" w:rsidTr="00FF4C05">
        <w:trPr>
          <w:cantSplit/>
        </w:trPr>
        <w:tc>
          <w:tcPr>
            <w:tcW w:w="9356" w:type="dxa"/>
            <w:gridSpan w:val="2"/>
            <w:shd w:val="clear" w:color="auto" w:fill="D9D9D9" w:themeFill="background1" w:themeFillShade="D9"/>
          </w:tcPr>
          <w:p w14:paraId="0616CDDA" w14:textId="77777777" w:rsidR="002A4646" w:rsidRPr="009539A3" w:rsidRDefault="002A4646" w:rsidP="002A4646">
            <w:pPr>
              <w:pStyle w:val="TableText"/>
            </w:pPr>
            <w:r w:rsidRPr="002A4646">
              <w:rPr>
                <w:b/>
              </w:rPr>
              <w:t>Personal and contact details</w:t>
            </w:r>
          </w:p>
        </w:tc>
      </w:tr>
      <w:tr w:rsidR="00A90FD3" w:rsidRPr="009539A3" w14:paraId="6AEC8DE7" w14:textId="77777777" w:rsidTr="00FF4C05">
        <w:trPr>
          <w:cantSplit/>
        </w:trPr>
        <w:tc>
          <w:tcPr>
            <w:tcW w:w="3544" w:type="dxa"/>
            <w:shd w:val="clear" w:color="auto" w:fill="auto"/>
          </w:tcPr>
          <w:p w14:paraId="469C35BE" w14:textId="77777777" w:rsidR="00A90FD3" w:rsidRPr="009539A3" w:rsidRDefault="00A90FD3" w:rsidP="002A4646">
            <w:pPr>
              <w:pStyle w:val="TableText"/>
            </w:pPr>
            <w:r w:rsidRPr="009539A3">
              <w:t>Full name</w:t>
            </w:r>
          </w:p>
        </w:tc>
        <w:tc>
          <w:tcPr>
            <w:tcW w:w="5812" w:type="dxa"/>
            <w:shd w:val="clear" w:color="auto" w:fill="auto"/>
          </w:tcPr>
          <w:p w14:paraId="71C6991B" w14:textId="77777777" w:rsidR="00A90FD3" w:rsidRPr="009539A3" w:rsidRDefault="002A4646" w:rsidP="002A4646">
            <w:pPr>
              <w:pStyle w:val="TableText"/>
            </w:pPr>
            <w:r>
              <w:fldChar w:fldCharType="begin">
                <w:ffData>
                  <w:name w:val="Text25"/>
                  <w:enabled/>
                  <w:calcOnExit w:val="0"/>
                  <w:textInput/>
                </w:ffData>
              </w:fldChar>
            </w:r>
            <w:bookmarkStart w:id="9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2A4646" w:rsidRPr="009539A3" w14:paraId="5B0EB4D3" w14:textId="77777777" w:rsidTr="00FF4C05">
        <w:trPr>
          <w:cantSplit/>
        </w:trPr>
        <w:tc>
          <w:tcPr>
            <w:tcW w:w="3544" w:type="dxa"/>
            <w:shd w:val="clear" w:color="auto" w:fill="auto"/>
          </w:tcPr>
          <w:p w14:paraId="100CC2BE" w14:textId="77777777" w:rsidR="002A4646" w:rsidRPr="009539A3" w:rsidRDefault="002A4646" w:rsidP="002A4646">
            <w:pPr>
              <w:pStyle w:val="TableText"/>
            </w:pPr>
            <w:r w:rsidRPr="009539A3">
              <w:t>Other or previous names (if any)</w:t>
            </w:r>
          </w:p>
        </w:tc>
        <w:tc>
          <w:tcPr>
            <w:tcW w:w="5812" w:type="dxa"/>
            <w:shd w:val="clear" w:color="auto" w:fill="auto"/>
          </w:tcPr>
          <w:p w14:paraId="5497B52F" w14:textId="77777777" w:rsidR="002A4646" w:rsidRPr="009539A3" w:rsidRDefault="002A4646" w:rsidP="0041608A">
            <w:pPr>
              <w:pStyle w:val="TableTex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5745A185" w14:textId="77777777" w:rsidTr="00FF4C05">
        <w:trPr>
          <w:cantSplit/>
        </w:trPr>
        <w:tc>
          <w:tcPr>
            <w:tcW w:w="3544" w:type="dxa"/>
            <w:shd w:val="clear" w:color="auto" w:fill="auto"/>
          </w:tcPr>
          <w:p w14:paraId="5E3BD9F1" w14:textId="77777777" w:rsidR="002A4646" w:rsidRPr="00A76E79" w:rsidRDefault="002A4646" w:rsidP="002A4646">
            <w:pPr>
              <w:pStyle w:val="TableText"/>
            </w:pPr>
            <w:r w:rsidRPr="00A76E79">
              <w:t>Date of birth</w:t>
            </w:r>
          </w:p>
        </w:tc>
        <w:tc>
          <w:tcPr>
            <w:tcW w:w="5812" w:type="dxa"/>
            <w:shd w:val="clear" w:color="auto" w:fill="auto"/>
          </w:tcPr>
          <w:p w14:paraId="3924E3D8" w14:textId="77777777" w:rsidR="002A4646" w:rsidRPr="009539A3" w:rsidRDefault="002A4646" w:rsidP="0041608A">
            <w:pPr>
              <w:pStyle w:val="TableTex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4EC2BAD5" w14:textId="77777777" w:rsidTr="00FF4C05">
        <w:trPr>
          <w:cantSplit/>
        </w:trPr>
        <w:tc>
          <w:tcPr>
            <w:tcW w:w="3544" w:type="dxa"/>
            <w:shd w:val="clear" w:color="auto" w:fill="auto"/>
          </w:tcPr>
          <w:p w14:paraId="2552532B" w14:textId="77777777" w:rsidR="002A4646" w:rsidRPr="00A76E79" w:rsidRDefault="002A4646" w:rsidP="002A4646">
            <w:pPr>
              <w:pStyle w:val="TableText"/>
            </w:pPr>
            <w:r w:rsidRPr="00A76E79">
              <w:t>Current address</w:t>
            </w:r>
          </w:p>
        </w:tc>
        <w:tc>
          <w:tcPr>
            <w:tcW w:w="5812" w:type="dxa"/>
            <w:shd w:val="clear" w:color="auto" w:fill="auto"/>
          </w:tcPr>
          <w:p w14:paraId="624D6904" w14:textId="77777777" w:rsidR="002A4646" w:rsidRPr="009539A3" w:rsidRDefault="002A4646" w:rsidP="0041608A">
            <w:pPr>
              <w:pStyle w:val="TableTex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02CF2E5C" w14:textId="77777777" w:rsidTr="00FF4C05">
        <w:trPr>
          <w:cantSplit/>
        </w:trPr>
        <w:tc>
          <w:tcPr>
            <w:tcW w:w="9356" w:type="dxa"/>
            <w:gridSpan w:val="2"/>
            <w:shd w:val="clear" w:color="auto" w:fill="D9D9D9" w:themeFill="background1" w:themeFillShade="D9"/>
          </w:tcPr>
          <w:p w14:paraId="1F866B4D" w14:textId="77777777" w:rsidR="002A4646" w:rsidRPr="009539A3" w:rsidRDefault="002A4646" w:rsidP="002A4646">
            <w:pPr>
              <w:pStyle w:val="TableText"/>
            </w:pPr>
            <w:r w:rsidRPr="002A4646">
              <w:rPr>
                <w:b/>
              </w:rPr>
              <w:t>Conviction and assessment</w:t>
            </w:r>
          </w:p>
        </w:tc>
      </w:tr>
      <w:tr w:rsidR="002A4646" w:rsidRPr="009539A3" w14:paraId="1D7A9950" w14:textId="77777777" w:rsidTr="00FF4C05">
        <w:trPr>
          <w:cantSplit/>
        </w:trPr>
        <w:tc>
          <w:tcPr>
            <w:tcW w:w="3544" w:type="dxa"/>
            <w:shd w:val="clear" w:color="auto" w:fill="auto"/>
          </w:tcPr>
          <w:p w14:paraId="61323A8A" w14:textId="77777777" w:rsidR="002A4646" w:rsidRPr="00A76E79" w:rsidRDefault="002A4646" w:rsidP="002A4646">
            <w:pPr>
              <w:pStyle w:val="TableText"/>
            </w:pPr>
            <w:r w:rsidRPr="00A76E79">
              <w:t>Date of conviction</w:t>
            </w:r>
          </w:p>
        </w:tc>
        <w:tc>
          <w:tcPr>
            <w:tcW w:w="5812" w:type="dxa"/>
            <w:shd w:val="clear" w:color="auto" w:fill="auto"/>
          </w:tcPr>
          <w:p w14:paraId="5EFCA609" w14:textId="77777777" w:rsidR="002A4646" w:rsidRPr="009539A3" w:rsidRDefault="002A4646" w:rsidP="0041608A">
            <w:pPr>
              <w:pStyle w:val="TableTex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01CCD2A5" w14:textId="77777777" w:rsidTr="00FF4C05">
        <w:trPr>
          <w:cantSplit/>
        </w:trPr>
        <w:tc>
          <w:tcPr>
            <w:tcW w:w="3544" w:type="dxa"/>
            <w:shd w:val="clear" w:color="auto" w:fill="auto"/>
          </w:tcPr>
          <w:p w14:paraId="03585713" w14:textId="2E1DDE41" w:rsidR="002A4646" w:rsidRPr="00A76E79" w:rsidRDefault="002A4646" w:rsidP="002A4646">
            <w:pPr>
              <w:pStyle w:val="TableText"/>
            </w:pPr>
            <w:r w:rsidRPr="00A76E79">
              <w:t>Date of medical examination and explanation of blood tests, etc</w:t>
            </w:r>
          </w:p>
        </w:tc>
        <w:tc>
          <w:tcPr>
            <w:tcW w:w="5812" w:type="dxa"/>
            <w:shd w:val="clear" w:color="auto" w:fill="auto"/>
          </w:tcPr>
          <w:p w14:paraId="6F11328A" w14:textId="77777777" w:rsidR="002A4646" w:rsidRPr="009539A3" w:rsidRDefault="002A4646" w:rsidP="0041608A">
            <w:pPr>
              <w:pStyle w:val="TableTex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585A5F5D" w14:textId="77777777" w:rsidTr="00FF4C05">
        <w:trPr>
          <w:cantSplit/>
          <w:trHeight w:val="498"/>
        </w:trPr>
        <w:tc>
          <w:tcPr>
            <w:tcW w:w="3544" w:type="dxa"/>
            <w:vMerge w:val="restart"/>
            <w:shd w:val="clear" w:color="auto" w:fill="auto"/>
          </w:tcPr>
          <w:p w14:paraId="29B9B6D2" w14:textId="77777777" w:rsidR="002A4646" w:rsidRPr="00A76E79" w:rsidRDefault="002A4646" w:rsidP="002A4646">
            <w:pPr>
              <w:pStyle w:val="TableText"/>
              <w:rPr>
                <w:sz w:val="16"/>
                <w:szCs w:val="16"/>
              </w:rPr>
            </w:pPr>
            <w:r w:rsidRPr="00A76E79">
              <w:t>Date(s) of alcohol and other drug assessment</w:t>
            </w:r>
          </w:p>
          <w:p w14:paraId="54A75694" w14:textId="77777777" w:rsidR="002A4646" w:rsidRPr="00A76E79" w:rsidRDefault="002A4646" w:rsidP="002A4646">
            <w:pPr>
              <w:pStyle w:val="TableText"/>
              <w:spacing w:before="0"/>
            </w:pPr>
            <w:r w:rsidRPr="00A76E79">
              <w:rPr>
                <w:sz w:val="16"/>
                <w:szCs w:val="16"/>
              </w:rPr>
              <w:t>(Note the information contained in this report is based on information taken on the most recent assessment date)</w:t>
            </w:r>
          </w:p>
        </w:tc>
        <w:tc>
          <w:tcPr>
            <w:tcW w:w="5812" w:type="dxa"/>
            <w:tcBorders>
              <w:bottom w:val="nil"/>
            </w:tcBorders>
            <w:shd w:val="clear" w:color="auto" w:fill="auto"/>
          </w:tcPr>
          <w:p w14:paraId="32B156C4" w14:textId="77777777" w:rsidR="002A4646" w:rsidRPr="009539A3" w:rsidRDefault="002A4646" w:rsidP="002A4646">
            <w:pPr>
              <w:pStyle w:val="TableText"/>
              <w:ind w:left="284" w:hanging="284"/>
            </w:pPr>
            <w:r w:rsidRPr="009539A3">
              <w:t>1.</w:t>
            </w:r>
            <w:r>
              <w:tab/>
            </w:r>
            <w:r>
              <w:fldChar w:fldCharType="begin">
                <w:ffData>
                  <w:name w:val="Text23"/>
                  <w:enabled/>
                  <w:calcOnExit w:val="0"/>
                  <w:textInput/>
                </w:ffData>
              </w:fldChar>
            </w:r>
            <w:bookmarkStart w:id="9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2A4646" w:rsidRPr="009539A3" w14:paraId="4CD026BE" w14:textId="77777777" w:rsidTr="00FF4C05">
        <w:trPr>
          <w:cantSplit/>
          <w:trHeight w:val="497"/>
        </w:trPr>
        <w:tc>
          <w:tcPr>
            <w:tcW w:w="3544" w:type="dxa"/>
            <w:vMerge/>
            <w:shd w:val="clear" w:color="auto" w:fill="auto"/>
          </w:tcPr>
          <w:p w14:paraId="1E095B8A" w14:textId="77777777" w:rsidR="002A4646" w:rsidRPr="00A76E79" w:rsidRDefault="002A4646" w:rsidP="002A4646">
            <w:pPr>
              <w:pStyle w:val="TableText"/>
            </w:pPr>
          </w:p>
        </w:tc>
        <w:tc>
          <w:tcPr>
            <w:tcW w:w="5812" w:type="dxa"/>
            <w:tcBorders>
              <w:top w:val="nil"/>
            </w:tcBorders>
            <w:shd w:val="clear" w:color="auto" w:fill="auto"/>
          </w:tcPr>
          <w:p w14:paraId="68096E0F" w14:textId="77777777" w:rsidR="002A4646" w:rsidRPr="009539A3" w:rsidRDefault="002A4646" w:rsidP="002A4646">
            <w:pPr>
              <w:pStyle w:val="TableText"/>
              <w:ind w:left="284" w:hanging="284"/>
            </w:pPr>
            <w:r>
              <w:t>2.</w:t>
            </w:r>
            <w:r>
              <w:tab/>
            </w:r>
            <w:r>
              <w:fldChar w:fldCharType="begin">
                <w:ffData>
                  <w:name w:val="Text24"/>
                  <w:enabled/>
                  <w:calcOnExit w:val="0"/>
                  <w:textInput/>
                </w:ffData>
              </w:fldChar>
            </w:r>
            <w:bookmarkStart w:id="9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2A4646" w:rsidRPr="009539A3" w14:paraId="642F4AA2" w14:textId="77777777" w:rsidTr="00FF4C05">
        <w:trPr>
          <w:cantSplit/>
        </w:trPr>
        <w:tc>
          <w:tcPr>
            <w:tcW w:w="3544" w:type="dxa"/>
            <w:shd w:val="clear" w:color="auto" w:fill="D9D9D9" w:themeFill="background1" w:themeFillShade="D9"/>
          </w:tcPr>
          <w:p w14:paraId="07AFA42D" w14:textId="77777777" w:rsidR="002A4646" w:rsidRPr="002A4646" w:rsidRDefault="002A4646" w:rsidP="002A4646">
            <w:pPr>
              <w:pStyle w:val="TableText"/>
              <w:rPr>
                <w:b/>
              </w:rPr>
            </w:pPr>
            <w:r w:rsidRPr="002A4646">
              <w:rPr>
                <w:b/>
              </w:rPr>
              <w:t>Alcohol and other drug use</w:t>
            </w:r>
          </w:p>
        </w:tc>
        <w:tc>
          <w:tcPr>
            <w:tcW w:w="5812" w:type="dxa"/>
            <w:shd w:val="clear" w:color="auto" w:fill="D9D9D9" w:themeFill="background1" w:themeFillShade="D9"/>
          </w:tcPr>
          <w:p w14:paraId="783A006D" w14:textId="77777777" w:rsidR="002A4646" w:rsidRPr="002A4646" w:rsidRDefault="002A4646" w:rsidP="002A4646">
            <w:pPr>
              <w:pStyle w:val="TableText"/>
              <w:rPr>
                <w:b/>
              </w:rPr>
            </w:pPr>
            <w:r w:rsidRPr="002A4646">
              <w:rPr>
                <w:b/>
              </w:rPr>
              <w:t>Last six months</w:t>
            </w:r>
          </w:p>
        </w:tc>
      </w:tr>
      <w:tr w:rsidR="002A4646" w:rsidRPr="009539A3" w14:paraId="0B3B362D" w14:textId="77777777" w:rsidTr="00FF4C05">
        <w:trPr>
          <w:cantSplit/>
        </w:trPr>
        <w:tc>
          <w:tcPr>
            <w:tcW w:w="3544" w:type="dxa"/>
            <w:shd w:val="clear" w:color="auto" w:fill="auto"/>
          </w:tcPr>
          <w:p w14:paraId="054F1E91" w14:textId="77777777" w:rsidR="002A4646" w:rsidRPr="00A76E79" w:rsidRDefault="002A4646" w:rsidP="002A4646">
            <w:pPr>
              <w:pStyle w:val="TableText"/>
              <w:rPr>
                <w:rFonts w:cs="Arial Mäori"/>
              </w:rPr>
            </w:pPr>
            <w:r w:rsidRPr="00A76E79">
              <w:rPr>
                <w:rFonts w:cs="Arial Mäori"/>
              </w:rPr>
              <w:t>Average alcohol use</w:t>
            </w:r>
            <w:r>
              <w:rPr>
                <w:rFonts w:cs="Arial Mäori"/>
              </w:rPr>
              <w:br/>
            </w:r>
            <w:r w:rsidRPr="00A76E79">
              <w:rPr>
                <w:rFonts w:cs="Arial Mäori"/>
              </w:rPr>
              <w:t>(standard drinks per week)</w:t>
            </w:r>
          </w:p>
        </w:tc>
        <w:tc>
          <w:tcPr>
            <w:tcW w:w="5812" w:type="dxa"/>
            <w:shd w:val="clear" w:color="auto" w:fill="auto"/>
          </w:tcPr>
          <w:p w14:paraId="475461DD" w14:textId="77777777" w:rsidR="002A4646" w:rsidRPr="009539A3" w:rsidRDefault="002A4646" w:rsidP="002A4646">
            <w:pPr>
              <w:pStyle w:val="TableText"/>
            </w:pPr>
            <w:r>
              <w:fldChar w:fldCharType="begin">
                <w:ffData>
                  <w:name w:val="Text27"/>
                  <w:enabled/>
                  <w:calcOnExit w:val="0"/>
                  <w:textInput/>
                </w:ffData>
              </w:fldChar>
            </w:r>
            <w:bookmarkStart w:id="9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2A4646" w:rsidRPr="009539A3" w14:paraId="4762A823" w14:textId="77777777" w:rsidTr="00FF4C05">
        <w:trPr>
          <w:cantSplit/>
        </w:trPr>
        <w:tc>
          <w:tcPr>
            <w:tcW w:w="3544" w:type="dxa"/>
            <w:shd w:val="clear" w:color="auto" w:fill="auto"/>
          </w:tcPr>
          <w:p w14:paraId="799A1C7C" w14:textId="77777777" w:rsidR="002A4646" w:rsidRPr="00A76E79" w:rsidRDefault="002A4646" w:rsidP="002A4646">
            <w:pPr>
              <w:pStyle w:val="TableText"/>
              <w:rPr>
                <w:rFonts w:cs="Arial Mäori"/>
              </w:rPr>
            </w:pPr>
            <w:r w:rsidRPr="00A76E79">
              <w:rPr>
                <w:rFonts w:cs="Arial Mäori"/>
              </w:rPr>
              <w:t>Average cannabis use (per week)</w:t>
            </w:r>
          </w:p>
        </w:tc>
        <w:tc>
          <w:tcPr>
            <w:tcW w:w="5812" w:type="dxa"/>
            <w:shd w:val="clear" w:color="auto" w:fill="auto"/>
          </w:tcPr>
          <w:p w14:paraId="2843AD78" w14:textId="77777777" w:rsidR="002A4646" w:rsidRPr="009539A3" w:rsidRDefault="002A4646" w:rsidP="002A4646">
            <w:pPr>
              <w:pStyle w:val="TableT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37D40ABD" w14:textId="77777777" w:rsidTr="00FF4C05">
        <w:trPr>
          <w:cantSplit/>
        </w:trPr>
        <w:tc>
          <w:tcPr>
            <w:tcW w:w="3544" w:type="dxa"/>
            <w:shd w:val="clear" w:color="auto" w:fill="auto"/>
          </w:tcPr>
          <w:p w14:paraId="2ED934DC" w14:textId="77777777" w:rsidR="002A4646" w:rsidRPr="00A76E79" w:rsidRDefault="002A4646" w:rsidP="002A4646">
            <w:pPr>
              <w:pStyle w:val="TableText"/>
              <w:rPr>
                <w:rFonts w:cs="Arial Mäori"/>
              </w:rPr>
            </w:pPr>
            <w:r w:rsidRPr="00A76E79">
              <w:rPr>
                <w:rFonts w:cs="Arial Mäori"/>
              </w:rPr>
              <w:t>Other drug use (specify drug and average use per week)</w:t>
            </w:r>
          </w:p>
        </w:tc>
        <w:tc>
          <w:tcPr>
            <w:tcW w:w="5812" w:type="dxa"/>
            <w:shd w:val="clear" w:color="auto" w:fill="auto"/>
          </w:tcPr>
          <w:p w14:paraId="5DCDB635" w14:textId="77777777" w:rsidR="002A4646" w:rsidRPr="009539A3" w:rsidRDefault="002A4646" w:rsidP="002A4646">
            <w:pPr>
              <w:pStyle w:val="TableT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030C341D" w14:textId="77777777" w:rsidTr="00FF4C05">
        <w:trPr>
          <w:cantSplit/>
        </w:trPr>
        <w:tc>
          <w:tcPr>
            <w:tcW w:w="3544" w:type="dxa"/>
            <w:shd w:val="clear" w:color="auto" w:fill="D9D9D9" w:themeFill="background1" w:themeFillShade="D9"/>
          </w:tcPr>
          <w:p w14:paraId="5CACB552" w14:textId="77777777" w:rsidR="002A4646" w:rsidRPr="002A4646" w:rsidRDefault="002A4646" w:rsidP="00BB4B22">
            <w:pPr>
              <w:pStyle w:val="TableText"/>
              <w:keepNext/>
              <w:rPr>
                <w:b/>
              </w:rPr>
            </w:pPr>
            <w:r w:rsidRPr="002A4646">
              <w:rPr>
                <w:b/>
              </w:rPr>
              <w:t>Assessment</w:t>
            </w:r>
          </w:p>
        </w:tc>
        <w:tc>
          <w:tcPr>
            <w:tcW w:w="5812" w:type="dxa"/>
            <w:shd w:val="clear" w:color="auto" w:fill="D9D9D9" w:themeFill="background1" w:themeFillShade="D9"/>
          </w:tcPr>
          <w:p w14:paraId="68B501A0" w14:textId="77777777" w:rsidR="002A4646" w:rsidRPr="009539A3" w:rsidRDefault="002A4646" w:rsidP="00BB4B22">
            <w:pPr>
              <w:pStyle w:val="TableText"/>
              <w:keepNext/>
            </w:pPr>
          </w:p>
        </w:tc>
      </w:tr>
      <w:tr w:rsidR="002A4646" w:rsidRPr="009539A3" w14:paraId="65C567EF" w14:textId="77777777" w:rsidTr="00FF4C05">
        <w:trPr>
          <w:cantSplit/>
        </w:trPr>
        <w:tc>
          <w:tcPr>
            <w:tcW w:w="3544" w:type="dxa"/>
            <w:shd w:val="clear" w:color="auto" w:fill="auto"/>
          </w:tcPr>
          <w:p w14:paraId="0637FFF9" w14:textId="77777777" w:rsidR="002A4646" w:rsidRPr="00A76E79" w:rsidRDefault="002A4646" w:rsidP="00BB4B22">
            <w:pPr>
              <w:pStyle w:val="TableText"/>
              <w:keepNext/>
            </w:pPr>
            <w:r w:rsidRPr="00A76E79">
              <w:t>Alcohol</w:t>
            </w:r>
          </w:p>
        </w:tc>
        <w:tc>
          <w:tcPr>
            <w:tcW w:w="5812" w:type="dxa"/>
            <w:shd w:val="clear" w:color="auto" w:fill="auto"/>
          </w:tcPr>
          <w:p w14:paraId="2D63B938" w14:textId="77777777" w:rsidR="002A4646" w:rsidRPr="009539A3" w:rsidRDefault="002A4646" w:rsidP="00BB4B22">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076BE841" w14:textId="77777777" w:rsidTr="00FF4C05">
        <w:trPr>
          <w:cantSplit/>
        </w:trPr>
        <w:tc>
          <w:tcPr>
            <w:tcW w:w="3544" w:type="dxa"/>
            <w:shd w:val="clear" w:color="auto" w:fill="auto"/>
          </w:tcPr>
          <w:p w14:paraId="61311B2B" w14:textId="77777777" w:rsidR="002A4646" w:rsidRPr="00A76E79" w:rsidRDefault="002A4646" w:rsidP="00BB4B22">
            <w:pPr>
              <w:pStyle w:val="TableText"/>
              <w:keepNext/>
            </w:pPr>
            <w:r w:rsidRPr="00A76E79">
              <w:t>Cannabis</w:t>
            </w:r>
          </w:p>
        </w:tc>
        <w:tc>
          <w:tcPr>
            <w:tcW w:w="5812" w:type="dxa"/>
            <w:shd w:val="clear" w:color="auto" w:fill="auto"/>
          </w:tcPr>
          <w:p w14:paraId="33EC32F6" w14:textId="77777777" w:rsidR="002A4646" w:rsidRPr="009539A3" w:rsidRDefault="002A4646" w:rsidP="00BB4B22">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13EE7CB3" w14:textId="77777777" w:rsidTr="00FF4C05">
        <w:trPr>
          <w:cantSplit/>
        </w:trPr>
        <w:tc>
          <w:tcPr>
            <w:tcW w:w="3544" w:type="dxa"/>
            <w:shd w:val="clear" w:color="auto" w:fill="auto"/>
          </w:tcPr>
          <w:p w14:paraId="51B9B3C5" w14:textId="77777777" w:rsidR="002A4646" w:rsidRPr="00A76E79" w:rsidRDefault="002A4646" w:rsidP="00BB4B22">
            <w:pPr>
              <w:pStyle w:val="TableText"/>
              <w:keepNext/>
            </w:pPr>
            <w:r w:rsidRPr="00A76E79">
              <w:t>Other drug (please specify)</w:t>
            </w:r>
          </w:p>
        </w:tc>
        <w:tc>
          <w:tcPr>
            <w:tcW w:w="5812" w:type="dxa"/>
            <w:shd w:val="clear" w:color="auto" w:fill="auto"/>
          </w:tcPr>
          <w:p w14:paraId="5C326235" w14:textId="77777777" w:rsidR="002A4646" w:rsidRPr="009539A3" w:rsidRDefault="002A4646" w:rsidP="00BB4B22">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7A7EA4F0" w14:textId="77777777" w:rsidTr="00FF4C05">
        <w:trPr>
          <w:cantSplit/>
        </w:trPr>
        <w:tc>
          <w:tcPr>
            <w:tcW w:w="3544" w:type="dxa"/>
            <w:shd w:val="clear" w:color="auto" w:fill="auto"/>
          </w:tcPr>
          <w:p w14:paraId="3F3292A7" w14:textId="77777777" w:rsidR="002A4646" w:rsidRPr="00A76E79" w:rsidRDefault="002A4646" w:rsidP="00BB4B22">
            <w:pPr>
              <w:pStyle w:val="TableText"/>
              <w:keepNext/>
              <w:rPr>
                <w:rFonts w:cs="Arial Mäori"/>
              </w:rPr>
            </w:pPr>
            <w:r w:rsidRPr="00A76E79">
              <w:rPr>
                <w:rFonts w:cs="Arial Mäori"/>
              </w:rPr>
              <w:t>Liver function tests, including GGT level</w:t>
            </w:r>
            <w:r>
              <w:rPr>
                <w:rFonts w:cs="Arial Mäori"/>
              </w:rPr>
              <w:t xml:space="preserve"> </w:t>
            </w:r>
            <w:r w:rsidRPr="004711E2">
              <w:rPr>
                <w:rFonts w:cs="Arial Mäori"/>
              </w:rPr>
              <w:t>(attached and reviewed by a medical practitioner</w:t>
            </w:r>
            <w:r>
              <w:rPr>
                <w:rFonts w:cs="Arial Mäori"/>
              </w:rPr>
              <w:t>)</w:t>
            </w:r>
          </w:p>
        </w:tc>
        <w:tc>
          <w:tcPr>
            <w:tcW w:w="5812" w:type="dxa"/>
            <w:shd w:val="clear" w:color="auto" w:fill="auto"/>
          </w:tcPr>
          <w:p w14:paraId="1230F048" w14:textId="77777777" w:rsidR="002A4646" w:rsidRPr="009539A3" w:rsidRDefault="002A4646" w:rsidP="00BB4B22">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684497FC" w14:textId="77777777" w:rsidTr="00FF4C05">
        <w:trPr>
          <w:cantSplit/>
        </w:trPr>
        <w:tc>
          <w:tcPr>
            <w:tcW w:w="3544" w:type="dxa"/>
            <w:shd w:val="clear" w:color="auto" w:fill="auto"/>
          </w:tcPr>
          <w:p w14:paraId="678A8086" w14:textId="0ADC9BDC" w:rsidR="002A4646" w:rsidRPr="00A76E79" w:rsidRDefault="002A4646" w:rsidP="00BB4B22">
            <w:pPr>
              <w:pStyle w:val="TableText"/>
              <w:keepNext/>
              <w:rPr>
                <w:rFonts w:cs="Arial Mäori"/>
              </w:rPr>
            </w:pPr>
            <w:r w:rsidRPr="00A76E79">
              <w:rPr>
                <w:rFonts w:cs="Arial Mäori"/>
              </w:rPr>
              <w:t xml:space="preserve">Analysis of blood and </w:t>
            </w:r>
            <w:r w:rsidR="003B69A4">
              <w:rPr>
                <w:rFonts w:cs="Arial Mäori"/>
              </w:rPr>
              <w:t>drug detection</w:t>
            </w:r>
            <w:r w:rsidRPr="00A76E79">
              <w:rPr>
                <w:rFonts w:cs="Arial Mäori"/>
              </w:rPr>
              <w:t xml:space="preserve"> tests </w:t>
            </w:r>
            <w:r w:rsidR="003F633D">
              <w:rPr>
                <w:rFonts w:cs="Arial Mäori"/>
              </w:rPr>
              <w:t>(eg,</w:t>
            </w:r>
            <w:r w:rsidR="003B69A4">
              <w:rPr>
                <w:rFonts w:cs="Arial Mäori"/>
              </w:rPr>
              <w:t xml:space="preserve"> urine</w:t>
            </w:r>
            <w:r w:rsidR="003F633D">
              <w:rPr>
                <w:rFonts w:cs="Arial Mäori"/>
              </w:rPr>
              <w:t xml:space="preserve"> test</w:t>
            </w:r>
            <w:r w:rsidR="003B69A4">
              <w:rPr>
                <w:rFonts w:cs="Arial Mäori"/>
              </w:rPr>
              <w:t xml:space="preserve">) </w:t>
            </w:r>
            <w:r w:rsidRPr="00A76E79">
              <w:rPr>
                <w:rFonts w:cs="Arial Mäori"/>
              </w:rPr>
              <w:t>attached</w:t>
            </w:r>
            <w:r>
              <w:rPr>
                <w:rFonts w:cs="Arial Mäori"/>
              </w:rPr>
              <w:t xml:space="preserve"> </w:t>
            </w:r>
            <w:r w:rsidRPr="004711E2">
              <w:rPr>
                <w:rFonts w:cs="Arial Mäori"/>
              </w:rPr>
              <w:t>(attached and reviewed by a medical practitioner)</w:t>
            </w:r>
          </w:p>
        </w:tc>
        <w:tc>
          <w:tcPr>
            <w:tcW w:w="5812" w:type="dxa"/>
            <w:shd w:val="clear" w:color="auto" w:fill="auto"/>
          </w:tcPr>
          <w:p w14:paraId="47717FE7" w14:textId="77777777" w:rsidR="002A4646" w:rsidRPr="009539A3" w:rsidRDefault="002A4646" w:rsidP="00BB4B22">
            <w:pPr>
              <w:pStyle w:val="TableText"/>
              <w:keepNext/>
              <w:tabs>
                <w:tab w:val="left" w:pos="1026"/>
              </w:tabs>
            </w:pP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 xml:space="preserve">  </w:t>
            </w:r>
            <w:r w:rsidRPr="009539A3">
              <w:t>Yes</w:t>
            </w:r>
            <w:r>
              <w:tab/>
            </w: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 xml:space="preserve">  </w:t>
            </w:r>
            <w:r w:rsidRPr="009539A3">
              <w:t>No</w:t>
            </w:r>
          </w:p>
        </w:tc>
      </w:tr>
      <w:tr w:rsidR="002A4646" w:rsidRPr="009539A3" w14:paraId="244A39E4" w14:textId="77777777" w:rsidTr="00FF4C05">
        <w:trPr>
          <w:cantSplit/>
        </w:trPr>
        <w:tc>
          <w:tcPr>
            <w:tcW w:w="3544" w:type="dxa"/>
            <w:shd w:val="clear" w:color="auto" w:fill="auto"/>
          </w:tcPr>
          <w:p w14:paraId="2A877AEF" w14:textId="77777777" w:rsidR="002A4646" w:rsidRPr="00A76E79" w:rsidRDefault="002A4646" w:rsidP="00BB4B22">
            <w:pPr>
              <w:pStyle w:val="TableText"/>
              <w:keepNext/>
              <w:rPr>
                <w:rFonts w:cs="Arial Mäori"/>
              </w:rPr>
            </w:pPr>
            <w:r w:rsidRPr="00A76E79">
              <w:rPr>
                <w:rFonts w:cs="Arial Mäori"/>
              </w:rPr>
              <w:t>Other relevant mental health factors</w:t>
            </w:r>
          </w:p>
        </w:tc>
        <w:tc>
          <w:tcPr>
            <w:tcW w:w="5812" w:type="dxa"/>
            <w:shd w:val="clear" w:color="auto" w:fill="auto"/>
          </w:tcPr>
          <w:p w14:paraId="2A83FB3E" w14:textId="77777777" w:rsidR="002A4646" w:rsidRPr="009539A3" w:rsidRDefault="002A4646" w:rsidP="00BB4B22">
            <w:pPr>
              <w:pStyle w:val="TableText"/>
              <w:keepN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4D0DFF7A" w14:textId="77777777" w:rsidTr="00FF4C05">
        <w:trPr>
          <w:cantSplit/>
        </w:trPr>
        <w:tc>
          <w:tcPr>
            <w:tcW w:w="3544" w:type="dxa"/>
            <w:shd w:val="clear" w:color="auto" w:fill="auto"/>
          </w:tcPr>
          <w:p w14:paraId="4E9B946D" w14:textId="77777777" w:rsidR="002A4646" w:rsidRPr="00A76E79" w:rsidRDefault="002A4646" w:rsidP="002A4646">
            <w:pPr>
              <w:pStyle w:val="TableText"/>
              <w:rPr>
                <w:rFonts w:cs="Arial Mäori"/>
              </w:rPr>
            </w:pPr>
            <w:r w:rsidRPr="00A76E79">
              <w:rPr>
                <w:rFonts w:cs="Arial Mäori"/>
              </w:rPr>
              <w:t>Interventions recommended</w:t>
            </w:r>
          </w:p>
        </w:tc>
        <w:tc>
          <w:tcPr>
            <w:tcW w:w="5812" w:type="dxa"/>
            <w:shd w:val="clear" w:color="auto" w:fill="auto"/>
          </w:tcPr>
          <w:p w14:paraId="419A0711" w14:textId="77777777" w:rsidR="002A4646" w:rsidRPr="009539A3" w:rsidRDefault="002A4646" w:rsidP="002A4646">
            <w:pPr>
              <w:pStyle w:val="TableT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0E9287D1" w14:textId="77777777" w:rsidTr="00FF4C05">
        <w:trPr>
          <w:cantSplit/>
        </w:trPr>
        <w:tc>
          <w:tcPr>
            <w:tcW w:w="3544" w:type="dxa"/>
            <w:shd w:val="clear" w:color="auto" w:fill="D9D9D9" w:themeFill="background1" w:themeFillShade="D9"/>
          </w:tcPr>
          <w:p w14:paraId="2D0EBF2B" w14:textId="77777777" w:rsidR="002A4646" w:rsidRPr="002A4646" w:rsidRDefault="002A4646" w:rsidP="002A4646">
            <w:pPr>
              <w:pStyle w:val="TableText"/>
              <w:rPr>
                <w:b/>
              </w:rPr>
            </w:pPr>
            <w:r w:rsidRPr="002A4646">
              <w:rPr>
                <w:b/>
              </w:rPr>
              <w:lastRenderedPageBreak/>
              <w:t>Alcohol and other drug treatments undertaken or completed</w:t>
            </w:r>
          </w:p>
        </w:tc>
        <w:tc>
          <w:tcPr>
            <w:tcW w:w="5812" w:type="dxa"/>
            <w:shd w:val="clear" w:color="auto" w:fill="D9D9D9" w:themeFill="background1" w:themeFillShade="D9"/>
          </w:tcPr>
          <w:p w14:paraId="29C891EA" w14:textId="77777777" w:rsidR="002A4646" w:rsidRPr="002A4646" w:rsidRDefault="002A4646" w:rsidP="002A4646">
            <w:pPr>
              <w:pStyle w:val="TableText"/>
              <w:rPr>
                <w:b/>
              </w:rPr>
            </w:pPr>
            <w:r w:rsidRPr="002A4646">
              <w:rPr>
                <w:b/>
              </w:rPr>
              <w:t>Programme and date of completion</w:t>
            </w:r>
          </w:p>
        </w:tc>
      </w:tr>
      <w:tr w:rsidR="002A4646" w:rsidRPr="009539A3" w14:paraId="37BBAF72" w14:textId="77777777" w:rsidTr="00FF4C05">
        <w:trPr>
          <w:cantSplit/>
        </w:trPr>
        <w:tc>
          <w:tcPr>
            <w:tcW w:w="3544" w:type="dxa"/>
            <w:shd w:val="clear" w:color="auto" w:fill="auto"/>
          </w:tcPr>
          <w:p w14:paraId="26710D2E" w14:textId="77777777" w:rsidR="002A4646" w:rsidRPr="009539A3" w:rsidRDefault="002A4646" w:rsidP="002A4646">
            <w:pPr>
              <w:pStyle w:val="TableText"/>
            </w:pPr>
            <w:r w:rsidRPr="009539A3">
              <w:t>Education</w:t>
            </w:r>
          </w:p>
        </w:tc>
        <w:tc>
          <w:tcPr>
            <w:tcW w:w="5812" w:type="dxa"/>
            <w:shd w:val="clear" w:color="auto" w:fill="auto"/>
          </w:tcPr>
          <w:p w14:paraId="5A1376A6" w14:textId="77777777" w:rsidR="002A4646" w:rsidRPr="009539A3" w:rsidRDefault="002A4646" w:rsidP="002A4646">
            <w:pPr>
              <w:pStyle w:val="TableT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1FE88B63" w14:textId="77777777" w:rsidTr="00FF4C05">
        <w:trPr>
          <w:cantSplit/>
        </w:trPr>
        <w:tc>
          <w:tcPr>
            <w:tcW w:w="3544" w:type="dxa"/>
            <w:shd w:val="clear" w:color="auto" w:fill="auto"/>
          </w:tcPr>
          <w:p w14:paraId="36468CE5" w14:textId="77777777" w:rsidR="002A4646" w:rsidRPr="009539A3" w:rsidRDefault="002A4646" w:rsidP="002A4646">
            <w:pPr>
              <w:pStyle w:val="TableText"/>
            </w:pPr>
            <w:r w:rsidRPr="009539A3">
              <w:t>Psychosocial intervention</w:t>
            </w:r>
          </w:p>
        </w:tc>
        <w:tc>
          <w:tcPr>
            <w:tcW w:w="5812" w:type="dxa"/>
            <w:shd w:val="clear" w:color="auto" w:fill="auto"/>
          </w:tcPr>
          <w:p w14:paraId="4B97F6EC" w14:textId="77777777" w:rsidR="002A4646" w:rsidRPr="009539A3" w:rsidRDefault="002A4646" w:rsidP="002A4646">
            <w:pPr>
              <w:pStyle w:val="TableT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163163E6" w14:textId="77777777" w:rsidTr="00FF4C05">
        <w:trPr>
          <w:cantSplit/>
        </w:trPr>
        <w:tc>
          <w:tcPr>
            <w:tcW w:w="3544" w:type="dxa"/>
            <w:shd w:val="clear" w:color="auto" w:fill="auto"/>
          </w:tcPr>
          <w:p w14:paraId="37380BAA" w14:textId="77777777" w:rsidR="002A4646" w:rsidRPr="009539A3" w:rsidRDefault="002A4646" w:rsidP="002A4646">
            <w:pPr>
              <w:pStyle w:val="TableText"/>
            </w:pPr>
            <w:r w:rsidRPr="009539A3">
              <w:t>Residential treatment</w:t>
            </w:r>
          </w:p>
        </w:tc>
        <w:tc>
          <w:tcPr>
            <w:tcW w:w="5812" w:type="dxa"/>
            <w:shd w:val="clear" w:color="auto" w:fill="auto"/>
          </w:tcPr>
          <w:p w14:paraId="7C244329" w14:textId="77777777" w:rsidR="002A4646" w:rsidRPr="009539A3" w:rsidRDefault="002A4646" w:rsidP="002A4646">
            <w:pPr>
              <w:pStyle w:val="TableT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3969FEBF" w14:textId="77777777" w:rsidTr="00FF4C05">
        <w:trPr>
          <w:cantSplit/>
        </w:trPr>
        <w:tc>
          <w:tcPr>
            <w:tcW w:w="3544" w:type="dxa"/>
            <w:shd w:val="clear" w:color="auto" w:fill="auto"/>
          </w:tcPr>
          <w:p w14:paraId="7FD22686" w14:textId="77777777" w:rsidR="002A4646" w:rsidRPr="009539A3" w:rsidRDefault="002A4646" w:rsidP="002A4646">
            <w:pPr>
              <w:pStyle w:val="TableText"/>
            </w:pPr>
            <w:r w:rsidRPr="00BC210F">
              <w:t>Summary of provider comments</w:t>
            </w:r>
          </w:p>
        </w:tc>
        <w:tc>
          <w:tcPr>
            <w:tcW w:w="5812" w:type="dxa"/>
            <w:shd w:val="clear" w:color="auto" w:fill="auto"/>
          </w:tcPr>
          <w:p w14:paraId="3C1CD6D2" w14:textId="77777777" w:rsidR="002A4646" w:rsidRPr="009539A3" w:rsidRDefault="002A4646" w:rsidP="002A4646">
            <w:pPr>
              <w:pStyle w:val="TableTex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646" w:rsidRPr="009539A3" w14:paraId="2BE3A534" w14:textId="77777777" w:rsidTr="00FF4C05">
        <w:trPr>
          <w:cantSplit/>
        </w:trPr>
        <w:tc>
          <w:tcPr>
            <w:tcW w:w="3544" w:type="dxa"/>
            <w:shd w:val="clear" w:color="auto" w:fill="auto"/>
          </w:tcPr>
          <w:p w14:paraId="325EB1AA" w14:textId="77777777" w:rsidR="002A4646" w:rsidRPr="009539A3" w:rsidRDefault="002A4646" w:rsidP="002A4646">
            <w:pPr>
              <w:pStyle w:val="TableText"/>
            </w:pPr>
            <w:r w:rsidRPr="009539A3">
              <w:t>Comments of the programme provider attached to file</w:t>
            </w:r>
          </w:p>
        </w:tc>
        <w:tc>
          <w:tcPr>
            <w:tcW w:w="5812" w:type="dxa"/>
            <w:shd w:val="clear" w:color="auto" w:fill="auto"/>
          </w:tcPr>
          <w:p w14:paraId="75D29D26" w14:textId="77777777" w:rsidR="002A4646" w:rsidRPr="009539A3" w:rsidRDefault="002A4646" w:rsidP="002A4646">
            <w:pPr>
              <w:pStyle w:val="TableText"/>
            </w:pP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 xml:space="preserve">  </w:t>
            </w:r>
            <w:r w:rsidRPr="009539A3">
              <w:t>Yes</w:t>
            </w:r>
            <w:r>
              <w:tab/>
            </w: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 xml:space="preserve">  </w:t>
            </w:r>
            <w:r w:rsidRPr="009539A3">
              <w:t>No</w:t>
            </w:r>
          </w:p>
        </w:tc>
      </w:tr>
      <w:tr w:rsidR="002A4646" w:rsidRPr="009539A3" w14:paraId="23267D43" w14:textId="77777777" w:rsidTr="00FF4C05">
        <w:trPr>
          <w:cantSplit/>
        </w:trPr>
        <w:tc>
          <w:tcPr>
            <w:tcW w:w="9356" w:type="dxa"/>
            <w:gridSpan w:val="2"/>
            <w:shd w:val="clear" w:color="auto" w:fill="D9D9D9" w:themeFill="background1" w:themeFillShade="D9"/>
          </w:tcPr>
          <w:p w14:paraId="57459308" w14:textId="77777777" w:rsidR="002A4646" w:rsidRPr="009539A3" w:rsidRDefault="002A4646" w:rsidP="002A4646">
            <w:pPr>
              <w:pStyle w:val="TableText"/>
            </w:pPr>
            <w:r w:rsidRPr="002A4646">
              <w:rPr>
                <w:b/>
              </w:rPr>
              <w:t>Motivation to change</w:t>
            </w:r>
            <w:r>
              <w:t xml:space="preserve"> (tick as appropriate)</w:t>
            </w:r>
          </w:p>
        </w:tc>
      </w:tr>
      <w:tr w:rsidR="002A4646" w:rsidRPr="009539A3" w14:paraId="0DA38016" w14:textId="77777777" w:rsidTr="00FF4C05">
        <w:trPr>
          <w:cantSplit/>
        </w:trPr>
        <w:tc>
          <w:tcPr>
            <w:tcW w:w="3544" w:type="dxa"/>
            <w:tcBorders>
              <w:bottom w:val="nil"/>
            </w:tcBorders>
            <w:shd w:val="clear" w:color="auto" w:fill="auto"/>
          </w:tcPr>
          <w:p w14:paraId="16A047A3" w14:textId="77777777" w:rsidR="002A4646" w:rsidRPr="009539A3" w:rsidRDefault="002A4646" w:rsidP="002A4646">
            <w:pPr>
              <w:pStyle w:val="TableText"/>
              <w:ind w:left="425" w:hanging="425"/>
            </w:pP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ab/>
            </w:r>
            <w:r w:rsidRPr="009539A3">
              <w:t>High</w:t>
            </w:r>
          </w:p>
        </w:tc>
        <w:tc>
          <w:tcPr>
            <w:tcW w:w="5812" w:type="dxa"/>
            <w:tcBorders>
              <w:bottom w:val="nil"/>
            </w:tcBorders>
            <w:shd w:val="clear" w:color="auto" w:fill="auto"/>
          </w:tcPr>
          <w:p w14:paraId="1DE8F8F5" w14:textId="77777777" w:rsidR="002A4646" w:rsidRPr="009539A3" w:rsidRDefault="002A4646" w:rsidP="002A4646">
            <w:pPr>
              <w:pStyle w:val="TableText"/>
            </w:pPr>
          </w:p>
        </w:tc>
      </w:tr>
      <w:tr w:rsidR="002A4646" w:rsidRPr="009539A3" w14:paraId="3E25D984" w14:textId="77777777" w:rsidTr="00FF4C05">
        <w:trPr>
          <w:cantSplit/>
        </w:trPr>
        <w:tc>
          <w:tcPr>
            <w:tcW w:w="3544" w:type="dxa"/>
            <w:tcBorders>
              <w:top w:val="nil"/>
              <w:bottom w:val="nil"/>
            </w:tcBorders>
            <w:shd w:val="clear" w:color="auto" w:fill="auto"/>
          </w:tcPr>
          <w:p w14:paraId="54757E7E" w14:textId="77777777" w:rsidR="002A4646" w:rsidRPr="009539A3" w:rsidRDefault="002A4646" w:rsidP="002A4646">
            <w:pPr>
              <w:pStyle w:val="TableText"/>
              <w:ind w:left="425" w:hanging="425"/>
            </w:pP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ab/>
            </w:r>
            <w:r w:rsidRPr="009539A3">
              <w:t>Medium</w:t>
            </w:r>
          </w:p>
        </w:tc>
        <w:tc>
          <w:tcPr>
            <w:tcW w:w="5812" w:type="dxa"/>
            <w:tcBorders>
              <w:top w:val="nil"/>
              <w:bottom w:val="nil"/>
            </w:tcBorders>
            <w:shd w:val="clear" w:color="auto" w:fill="auto"/>
          </w:tcPr>
          <w:p w14:paraId="3A8291F3" w14:textId="77777777" w:rsidR="002A4646" w:rsidRPr="009539A3" w:rsidRDefault="002A4646" w:rsidP="002A4646">
            <w:pPr>
              <w:pStyle w:val="TableText"/>
            </w:pPr>
          </w:p>
        </w:tc>
      </w:tr>
      <w:tr w:rsidR="002A4646" w:rsidRPr="009539A3" w14:paraId="461DB151" w14:textId="77777777" w:rsidTr="00FF4C05">
        <w:trPr>
          <w:cantSplit/>
        </w:trPr>
        <w:tc>
          <w:tcPr>
            <w:tcW w:w="3544" w:type="dxa"/>
            <w:tcBorders>
              <w:top w:val="nil"/>
            </w:tcBorders>
            <w:shd w:val="clear" w:color="auto" w:fill="auto"/>
          </w:tcPr>
          <w:p w14:paraId="4D16664F" w14:textId="77777777" w:rsidR="002A4646" w:rsidRPr="009539A3" w:rsidRDefault="002A4646" w:rsidP="002A4646">
            <w:pPr>
              <w:pStyle w:val="TableText"/>
              <w:ind w:left="425" w:hanging="425"/>
            </w:pP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ab/>
            </w:r>
            <w:r w:rsidRPr="009539A3">
              <w:t>Low</w:t>
            </w:r>
          </w:p>
        </w:tc>
        <w:tc>
          <w:tcPr>
            <w:tcW w:w="5812" w:type="dxa"/>
            <w:tcBorders>
              <w:top w:val="nil"/>
            </w:tcBorders>
            <w:shd w:val="clear" w:color="auto" w:fill="auto"/>
          </w:tcPr>
          <w:p w14:paraId="6F5FB7DE" w14:textId="77777777" w:rsidR="002A4646" w:rsidRPr="009539A3" w:rsidRDefault="002A4646" w:rsidP="002A4646">
            <w:pPr>
              <w:pStyle w:val="TableText"/>
            </w:pPr>
          </w:p>
        </w:tc>
      </w:tr>
      <w:tr w:rsidR="002A4646" w:rsidRPr="009539A3" w14:paraId="39C3ED6A" w14:textId="77777777" w:rsidTr="00FF4C05">
        <w:trPr>
          <w:cantSplit/>
        </w:trPr>
        <w:tc>
          <w:tcPr>
            <w:tcW w:w="3544" w:type="dxa"/>
            <w:shd w:val="clear" w:color="auto" w:fill="auto"/>
          </w:tcPr>
          <w:p w14:paraId="7C283907" w14:textId="77777777" w:rsidR="002A4646" w:rsidRPr="009539A3" w:rsidRDefault="002A4646" w:rsidP="002A4646">
            <w:pPr>
              <w:pStyle w:val="TableText"/>
            </w:pPr>
            <w:r w:rsidRPr="009539A3">
              <w:t>Prognosis for the individual</w:t>
            </w:r>
            <w:r>
              <w:t>’</w:t>
            </w:r>
            <w:r w:rsidRPr="009539A3">
              <w:t>s ongoing substance use</w:t>
            </w:r>
          </w:p>
        </w:tc>
        <w:tc>
          <w:tcPr>
            <w:tcW w:w="5812" w:type="dxa"/>
            <w:shd w:val="clear" w:color="auto" w:fill="auto"/>
          </w:tcPr>
          <w:p w14:paraId="2E20C21F" w14:textId="77777777" w:rsidR="002A4646" w:rsidRPr="009539A3" w:rsidRDefault="00E920F2" w:rsidP="002A4646">
            <w:pPr>
              <w:pStyle w:val="TableText"/>
            </w:pPr>
            <w:r>
              <w:fldChar w:fldCharType="begin">
                <w:ffData>
                  <w:name w:val="Text28"/>
                  <w:enabled/>
                  <w:calcOnExit w:val="0"/>
                  <w:textInput/>
                </w:ffData>
              </w:fldChar>
            </w:r>
            <w:bookmarkStart w:id="9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E920F2" w:rsidRPr="009539A3" w14:paraId="178A897B" w14:textId="77777777" w:rsidTr="00FF4C05">
        <w:trPr>
          <w:cantSplit/>
        </w:trPr>
        <w:tc>
          <w:tcPr>
            <w:tcW w:w="3544" w:type="dxa"/>
            <w:shd w:val="clear" w:color="auto" w:fill="auto"/>
          </w:tcPr>
          <w:p w14:paraId="2C77C04B" w14:textId="77777777" w:rsidR="00E920F2" w:rsidRPr="009539A3" w:rsidRDefault="00E920F2" w:rsidP="002A4646">
            <w:pPr>
              <w:pStyle w:val="TableText"/>
            </w:pPr>
            <w:r w:rsidRPr="009539A3">
              <w:t>Other factors affecting fitness to drive</w:t>
            </w:r>
          </w:p>
        </w:tc>
        <w:tc>
          <w:tcPr>
            <w:tcW w:w="5812" w:type="dxa"/>
            <w:shd w:val="clear" w:color="auto" w:fill="auto"/>
          </w:tcPr>
          <w:p w14:paraId="0918CD59" w14:textId="77777777" w:rsidR="00E920F2" w:rsidRPr="009539A3" w:rsidRDefault="00E920F2" w:rsidP="0041608A">
            <w:pPr>
              <w:pStyle w:val="TableTex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0F2" w:rsidRPr="009539A3" w14:paraId="0A55428A" w14:textId="77777777" w:rsidTr="00FF4C05">
        <w:trPr>
          <w:cantSplit/>
        </w:trPr>
        <w:tc>
          <w:tcPr>
            <w:tcW w:w="3544" w:type="dxa"/>
            <w:shd w:val="clear" w:color="auto" w:fill="auto"/>
          </w:tcPr>
          <w:p w14:paraId="38C8E55D" w14:textId="77777777" w:rsidR="00E920F2" w:rsidRPr="009539A3" w:rsidRDefault="00E920F2" w:rsidP="00E920F2">
            <w:pPr>
              <w:pStyle w:val="TableText"/>
            </w:pPr>
            <w:r w:rsidRPr="009539A3">
              <w:t>Is there any other condition that might affect the individual</w:t>
            </w:r>
            <w:r>
              <w:t>’</w:t>
            </w:r>
            <w:r w:rsidRPr="009539A3">
              <w:t>s ability to safely operate a motor vehicle?</w:t>
            </w:r>
          </w:p>
        </w:tc>
        <w:tc>
          <w:tcPr>
            <w:tcW w:w="5812" w:type="dxa"/>
            <w:shd w:val="clear" w:color="auto" w:fill="auto"/>
          </w:tcPr>
          <w:p w14:paraId="0E13E4AC" w14:textId="77777777" w:rsidR="00E920F2" w:rsidRDefault="00E920F2" w:rsidP="00E920F2">
            <w:pPr>
              <w:pStyle w:val="TableText"/>
              <w:tabs>
                <w:tab w:val="left" w:pos="1026"/>
              </w:tabs>
            </w:pP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 xml:space="preserve">  </w:t>
            </w:r>
            <w:r w:rsidRPr="009539A3">
              <w:t>Yes</w:t>
            </w:r>
            <w:r>
              <w:tab/>
            </w: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 xml:space="preserve">  </w:t>
            </w:r>
            <w:r w:rsidRPr="009539A3">
              <w:t>No</w:t>
            </w:r>
          </w:p>
          <w:p w14:paraId="2C3863B1" w14:textId="77777777" w:rsidR="00E920F2" w:rsidRPr="009539A3" w:rsidRDefault="00E920F2" w:rsidP="00E920F2">
            <w:pPr>
              <w:pStyle w:val="TableText"/>
            </w:pPr>
            <w:r>
              <w:t xml:space="preserve">Please specify: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C05" w:rsidRPr="002A4646" w14:paraId="4BCC8CEF" w14:textId="77777777" w:rsidTr="00FF4C05">
        <w:trPr>
          <w:cantSplit/>
        </w:trPr>
        <w:tc>
          <w:tcPr>
            <w:tcW w:w="9356" w:type="dxa"/>
            <w:gridSpan w:val="2"/>
            <w:shd w:val="clear" w:color="auto" w:fill="D9D9D9" w:themeFill="background1" w:themeFillShade="D9"/>
          </w:tcPr>
          <w:p w14:paraId="15CBF040" w14:textId="77777777" w:rsidR="00FF4C05" w:rsidRPr="002A4646" w:rsidRDefault="00FF4C05" w:rsidP="00F34465">
            <w:pPr>
              <w:pStyle w:val="TableText"/>
              <w:rPr>
                <w:b/>
              </w:rPr>
            </w:pPr>
            <w:r w:rsidRPr="002A4646">
              <w:rPr>
                <w:b/>
              </w:rPr>
              <w:t>Risk assessment</w:t>
            </w:r>
          </w:p>
        </w:tc>
      </w:tr>
      <w:tr w:rsidR="00FF4C05" w:rsidRPr="009539A3" w14:paraId="11CB1282" w14:textId="77777777" w:rsidTr="00FF4C05">
        <w:trPr>
          <w:cantSplit/>
        </w:trPr>
        <w:tc>
          <w:tcPr>
            <w:tcW w:w="3544" w:type="dxa"/>
            <w:shd w:val="clear" w:color="auto" w:fill="auto"/>
          </w:tcPr>
          <w:p w14:paraId="014783D2" w14:textId="77777777" w:rsidR="00FF4C05" w:rsidRPr="00A76E79" w:rsidRDefault="00FF4C05" w:rsidP="00F34465">
            <w:pPr>
              <w:pStyle w:val="TableText"/>
            </w:pPr>
            <w:r w:rsidRPr="00A76E79">
              <w:t>Risk assessment</w:t>
            </w:r>
          </w:p>
        </w:tc>
        <w:tc>
          <w:tcPr>
            <w:tcW w:w="5812" w:type="dxa"/>
            <w:shd w:val="clear" w:color="auto" w:fill="auto"/>
          </w:tcPr>
          <w:p w14:paraId="2F98BE58" w14:textId="77777777" w:rsidR="00FF4C05" w:rsidRPr="009539A3" w:rsidRDefault="00FF4C05" w:rsidP="00F34465">
            <w:pPr>
              <w:pStyle w:val="TableTex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C05" w14:paraId="229D5C5D" w14:textId="77777777" w:rsidTr="00FF4C05">
        <w:trPr>
          <w:cantSplit/>
        </w:trPr>
        <w:tc>
          <w:tcPr>
            <w:tcW w:w="3544" w:type="dxa"/>
            <w:shd w:val="clear" w:color="auto" w:fill="auto"/>
          </w:tcPr>
          <w:p w14:paraId="3691D0B8" w14:textId="77777777" w:rsidR="00FF4C05" w:rsidRPr="00A76E79" w:rsidRDefault="00FF4C05" w:rsidP="00F34465">
            <w:pPr>
              <w:pStyle w:val="TableText"/>
            </w:pPr>
            <w:r>
              <w:t>Criminal conviction history reviewed (if you were unable to obtain, please provide reason)</w:t>
            </w:r>
          </w:p>
        </w:tc>
        <w:tc>
          <w:tcPr>
            <w:tcW w:w="5812" w:type="dxa"/>
            <w:shd w:val="clear" w:color="auto" w:fill="auto"/>
          </w:tcPr>
          <w:p w14:paraId="1300E99E" w14:textId="77777777" w:rsidR="00FF4C05" w:rsidRDefault="00FF4C05" w:rsidP="00F34465">
            <w:pPr>
              <w:pStyle w:val="TableText"/>
              <w:tabs>
                <w:tab w:val="left" w:pos="1026"/>
              </w:tabs>
            </w:pP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 xml:space="preserve">  </w:t>
            </w:r>
            <w:r w:rsidRPr="009539A3">
              <w:t>Yes</w:t>
            </w:r>
            <w:r>
              <w:tab/>
            </w: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 xml:space="preserve">  </w:t>
            </w:r>
            <w:r w:rsidRPr="009539A3">
              <w:t>No</w:t>
            </w:r>
          </w:p>
          <w:p w14:paraId="07924A1C" w14:textId="0735DAF2" w:rsidR="00FF4C05" w:rsidRDefault="00FF4C05" w:rsidP="00FF4C05">
            <w:pPr>
              <w:pStyle w:val="TableText"/>
              <w:tabs>
                <w:tab w:val="left" w:pos="1026"/>
              </w:tabs>
            </w:pPr>
            <w:r>
              <w:t xml:space="preserve">Comment </w:t>
            </w:r>
            <w:r w:rsidR="004B34F5">
              <w:t>on conviction history</w:t>
            </w:r>
            <w: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A500A" w14:textId="4961847F" w:rsidR="00FF4C05" w:rsidRDefault="00FF4C05" w:rsidP="00FF4C05">
            <w:pPr>
              <w:pStyle w:val="TableText"/>
              <w:tabs>
                <w:tab w:val="left" w:pos="1026"/>
              </w:tabs>
            </w:pPr>
            <w:r>
              <w:t xml:space="preserve">Comment if unable to obtain :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0F2" w:rsidRPr="009539A3" w14:paraId="3663CC35" w14:textId="77777777" w:rsidTr="00FF4C05">
        <w:trPr>
          <w:cantSplit/>
        </w:trPr>
        <w:tc>
          <w:tcPr>
            <w:tcW w:w="9356" w:type="dxa"/>
            <w:gridSpan w:val="2"/>
            <w:shd w:val="clear" w:color="auto" w:fill="D9D9D9" w:themeFill="background1" w:themeFillShade="D9"/>
          </w:tcPr>
          <w:p w14:paraId="03E65552" w14:textId="77777777" w:rsidR="00E920F2" w:rsidRPr="00E920F2" w:rsidRDefault="00E920F2" w:rsidP="002A4646">
            <w:pPr>
              <w:pStyle w:val="TableText"/>
              <w:rPr>
                <w:b/>
              </w:rPr>
            </w:pPr>
            <w:r w:rsidRPr="00E920F2">
              <w:rPr>
                <w:b/>
              </w:rPr>
              <w:t>Recommendation for removing disqualification</w:t>
            </w:r>
          </w:p>
        </w:tc>
      </w:tr>
      <w:tr w:rsidR="00E920F2" w:rsidRPr="009539A3" w14:paraId="32FA3210" w14:textId="77777777" w:rsidTr="00FF4C05">
        <w:trPr>
          <w:cantSplit/>
        </w:trPr>
        <w:tc>
          <w:tcPr>
            <w:tcW w:w="3544" w:type="dxa"/>
            <w:tcBorders>
              <w:bottom w:val="nil"/>
            </w:tcBorders>
            <w:shd w:val="clear" w:color="auto" w:fill="auto"/>
          </w:tcPr>
          <w:p w14:paraId="2D9DE78B" w14:textId="77777777" w:rsidR="00E920F2" w:rsidRPr="009539A3" w:rsidRDefault="00E920F2" w:rsidP="00E920F2">
            <w:pPr>
              <w:pStyle w:val="TableText"/>
              <w:ind w:left="425" w:hanging="425"/>
            </w:pP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ab/>
            </w:r>
            <w:r w:rsidRPr="009539A3">
              <w:t>Yes (why?)</w:t>
            </w:r>
          </w:p>
        </w:tc>
        <w:tc>
          <w:tcPr>
            <w:tcW w:w="5812" w:type="dxa"/>
            <w:tcBorders>
              <w:bottom w:val="nil"/>
            </w:tcBorders>
            <w:shd w:val="clear" w:color="auto" w:fill="auto"/>
          </w:tcPr>
          <w:p w14:paraId="1DC8949E" w14:textId="77777777" w:rsidR="00E920F2" w:rsidRPr="009539A3" w:rsidRDefault="00E920F2" w:rsidP="002A4646">
            <w:pPr>
              <w:pStyle w:val="TableText"/>
            </w:pPr>
            <w:r>
              <w:fldChar w:fldCharType="begin">
                <w:ffData>
                  <w:name w:val="Text29"/>
                  <w:enabled/>
                  <w:calcOnExit w:val="0"/>
                  <w:textInput/>
                </w:ffData>
              </w:fldChar>
            </w:r>
            <w:bookmarkStart w:id="10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E920F2" w:rsidRPr="009539A3" w14:paraId="6AF617A9" w14:textId="77777777" w:rsidTr="00FF4C05">
        <w:trPr>
          <w:cantSplit/>
        </w:trPr>
        <w:tc>
          <w:tcPr>
            <w:tcW w:w="3544" w:type="dxa"/>
            <w:tcBorders>
              <w:top w:val="nil"/>
            </w:tcBorders>
            <w:shd w:val="clear" w:color="auto" w:fill="auto"/>
          </w:tcPr>
          <w:p w14:paraId="435F6049" w14:textId="77777777" w:rsidR="00E920F2" w:rsidRPr="009539A3" w:rsidRDefault="00E920F2" w:rsidP="00E920F2">
            <w:pPr>
              <w:pStyle w:val="TableText"/>
              <w:ind w:left="425" w:hanging="425"/>
            </w:pPr>
            <w:r w:rsidRPr="002A4646">
              <w:rPr>
                <w:sz w:val="20"/>
              </w:rPr>
              <w:fldChar w:fldCharType="begin">
                <w:ffData>
                  <w:name w:val="Check3"/>
                  <w:enabled/>
                  <w:calcOnExit w:val="0"/>
                  <w:checkBox>
                    <w:sizeAuto/>
                    <w:default w:val="0"/>
                  </w:checkBox>
                </w:ffData>
              </w:fldChar>
            </w:r>
            <w:r w:rsidRPr="002A4646">
              <w:rPr>
                <w:sz w:val="20"/>
              </w:rPr>
              <w:instrText xml:space="preserve"> FORMCHECKBOX </w:instrText>
            </w:r>
            <w:r w:rsidR="005B12DD">
              <w:rPr>
                <w:sz w:val="20"/>
              </w:rPr>
            </w:r>
            <w:r w:rsidR="005B12DD">
              <w:rPr>
                <w:sz w:val="20"/>
              </w:rPr>
              <w:fldChar w:fldCharType="separate"/>
            </w:r>
            <w:r w:rsidRPr="002A4646">
              <w:rPr>
                <w:sz w:val="20"/>
              </w:rPr>
              <w:fldChar w:fldCharType="end"/>
            </w:r>
            <w:r>
              <w:tab/>
            </w:r>
            <w:r w:rsidRPr="009539A3">
              <w:t>No (why?)</w:t>
            </w:r>
          </w:p>
        </w:tc>
        <w:tc>
          <w:tcPr>
            <w:tcW w:w="5812" w:type="dxa"/>
            <w:tcBorders>
              <w:top w:val="nil"/>
            </w:tcBorders>
            <w:shd w:val="clear" w:color="auto" w:fill="auto"/>
          </w:tcPr>
          <w:p w14:paraId="3CFDAD82" w14:textId="77777777" w:rsidR="00E920F2" w:rsidRPr="009539A3" w:rsidRDefault="00E920F2" w:rsidP="002A4646">
            <w:pPr>
              <w:pStyle w:val="TableText"/>
            </w:pPr>
            <w:r>
              <w:fldChar w:fldCharType="begin">
                <w:ffData>
                  <w:name w:val="Text30"/>
                  <w:enabled/>
                  <w:calcOnExit w:val="0"/>
                  <w:textInput/>
                </w:ffData>
              </w:fldChar>
            </w:r>
            <w:bookmarkStart w:id="10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E920F2" w:rsidRPr="009539A3" w14:paraId="2ADD9D41" w14:textId="77777777" w:rsidTr="00FF4C05">
        <w:trPr>
          <w:cantSplit/>
          <w:trHeight w:val="851"/>
        </w:trPr>
        <w:tc>
          <w:tcPr>
            <w:tcW w:w="3544" w:type="dxa"/>
            <w:shd w:val="clear" w:color="auto" w:fill="auto"/>
          </w:tcPr>
          <w:p w14:paraId="7DF69A83" w14:textId="77777777" w:rsidR="00E920F2" w:rsidRPr="009539A3" w:rsidRDefault="00E920F2" w:rsidP="002A4646">
            <w:pPr>
              <w:pStyle w:val="TableText"/>
            </w:pPr>
            <w:r w:rsidRPr="009539A3">
              <w:t>Further comments</w:t>
            </w:r>
          </w:p>
        </w:tc>
        <w:tc>
          <w:tcPr>
            <w:tcW w:w="5812" w:type="dxa"/>
            <w:shd w:val="clear" w:color="auto" w:fill="auto"/>
          </w:tcPr>
          <w:p w14:paraId="789297FC" w14:textId="77777777" w:rsidR="00E920F2" w:rsidRPr="009539A3" w:rsidRDefault="00E920F2" w:rsidP="002A4646">
            <w:pPr>
              <w:pStyle w:val="TableText"/>
            </w:pPr>
            <w:r>
              <w:fldChar w:fldCharType="begin">
                <w:ffData>
                  <w:name w:val="Text31"/>
                  <w:enabled/>
                  <w:calcOnExit w:val="0"/>
                  <w:textInput/>
                </w:ffData>
              </w:fldChar>
            </w:r>
            <w:bookmarkStart w:id="10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E920F2" w:rsidRPr="009539A3" w14:paraId="55177B2F" w14:textId="77777777" w:rsidTr="00FF4C05">
        <w:trPr>
          <w:cantSplit/>
          <w:trHeight w:val="567"/>
        </w:trPr>
        <w:tc>
          <w:tcPr>
            <w:tcW w:w="3544" w:type="dxa"/>
            <w:shd w:val="clear" w:color="auto" w:fill="auto"/>
          </w:tcPr>
          <w:p w14:paraId="12E68016" w14:textId="77777777" w:rsidR="00E920F2" w:rsidRPr="009539A3" w:rsidRDefault="00E920F2" w:rsidP="00E920F2">
            <w:pPr>
              <w:pStyle w:val="TableText"/>
            </w:pPr>
            <w:r>
              <w:t>Signature of assessor:</w:t>
            </w:r>
          </w:p>
        </w:tc>
        <w:tc>
          <w:tcPr>
            <w:tcW w:w="5812" w:type="dxa"/>
            <w:shd w:val="clear" w:color="auto" w:fill="auto"/>
          </w:tcPr>
          <w:p w14:paraId="2FCC8BAF" w14:textId="77777777" w:rsidR="00E920F2" w:rsidRPr="009539A3" w:rsidRDefault="00E920F2" w:rsidP="00E920F2">
            <w:pPr>
              <w:pStyle w:val="TableText"/>
            </w:pPr>
          </w:p>
        </w:tc>
      </w:tr>
      <w:tr w:rsidR="00E920F2" w:rsidRPr="009539A3" w14:paraId="10FAC8D1" w14:textId="77777777" w:rsidTr="00FF4C05">
        <w:trPr>
          <w:cantSplit/>
        </w:trPr>
        <w:tc>
          <w:tcPr>
            <w:tcW w:w="3544" w:type="dxa"/>
            <w:shd w:val="clear" w:color="auto" w:fill="auto"/>
          </w:tcPr>
          <w:p w14:paraId="00DDA646" w14:textId="29D9DE96" w:rsidR="00E920F2" w:rsidRPr="009539A3" w:rsidRDefault="00E920F2">
            <w:pPr>
              <w:pStyle w:val="TableText"/>
            </w:pPr>
            <w:r>
              <w:t>dapaanz</w:t>
            </w:r>
            <w:r w:rsidRPr="009539A3">
              <w:t xml:space="preserve"> or other professio</w:t>
            </w:r>
            <w:r>
              <w:t>nal society membership number:</w:t>
            </w:r>
          </w:p>
        </w:tc>
        <w:tc>
          <w:tcPr>
            <w:tcW w:w="5812" w:type="dxa"/>
            <w:shd w:val="clear" w:color="auto" w:fill="auto"/>
          </w:tcPr>
          <w:p w14:paraId="524089FE" w14:textId="77777777" w:rsidR="00E920F2" w:rsidRPr="009539A3" w:rsidRDefault="00E920F2" w:rsidP="00E920F2">
            <w:pPr>
              <w:pStyle w:val="TableText"/>
            </w:pPr>
          </w:p>
        </w:tc>
      </w:tr>
      <w:tr w:rsidR="00E920F2" w:rsidRPr="009539A3" w14:paraId="081D0E11" w14:textId="77777777" w:rsidTr="00FF4C05">
        <w:trPr>
          <w:cantSplit/>
        </w:trPr>
        <w:tc>
          <w:tcPr>
            <w:tcW w:w="3544" w:type="dxa"/>
            <w:shd w:val="clear" w:color="auto" w:fill="auto"/>
          </w:tcPr>
          <w:p w14:paraId="7FF6BC4F" w14:textId="77777777" w:rsidR="00E920F2" w:rsidRPr="009539A3" w:rsidRDefault="00E920F2" w:rsidP="00E920F2">
            <w:pPr>
              <w:pStyle w:val="TableText"/>
            </w:pPr>
            <w:r>
              <w:t>Date:</w:t>
            </w:r>
          </w:p>
        </w:tc>
        <w:tc>
          <w:tcPr>
            <w:tcW w:w="5812" w:type="dxa"/>
            <w:shd w:val="clear" w:color="auto" w:fill="auto"/>
          </w:tcPr>
          <w:p w14:paraId="37A3205B" w14:textId="77777777" w:rsidR="00E920F2" w:rsidRPr="009539A3" w:rsidRDefault="00E920F2" w:rsidP="00E920F2">
            <w:pPr>
              <w:pStyle w:val="TableText"/>
            </w:pPr>
          </w:p>
        </w:tc>
      </w:tr>
    </w:tbl>
    <w:p w14:paraId="5DB14ED5" w14:textId="77777777" w:rsidR="00A90FD3" w:rsidRDefault="00A90FD3" w:rsidP="00E920F2"/>
    <w:p w14:paraId="762A251B" w14:textId="77777777" w:rsidR="004711E2" w:rsidRDefault="00A90FD3" w:rsidP="00E920F2">
      <w:r w:rsidRPr="00BF2C69">
        <w:rPr>
          <w:b/>
        </w:rPr>
        <w:t>Send to:</w:t>
      </w:r>
      <w:r>
        <w:t xml:space="preserve"> </w:t>
      </w:r>
      <w:hyperlink r:id="rId28" w:history="1">
        <w:r w:rsidR="004711E2" w:rsidRPr="0050447C">
          <w:rPr>
            <w:rStyle w:val="Hyperlink"/>
          </w:rPr>
          <w:t>medical@nzta.govt.nz</w:t>
        </w:r>
      </w:hyperlink>
    </w:p>
    <w:p w14:paraId="49DE73F2" w14:textId="77777777" w:rsidR="004711E2" w:rsidRDefault="004711E2" w:rsidP="00E920F2"/>
    <w:p w14:paraId="7612DD8F" w14:textId="77777777" w:rsidR="004711E2" w:rsidRDefault="00A90FD3" w:rsidP="00E920F2">
      <w:pPr>
        <w:pStyle w:val="Heading1"/>
        <w:numPr>
          <w:ilvl w:val="0"/>
          <w:numId w:val="0"/>
        </w:numPr>
      </w:pPr>
      <w:bookmarkStart w:id="103" w:name="_Toc490728426"/>
      <w:bookmarkStart w:id="104" w:name="_Toc492493095"/>
      <w:bookmarkStart w:id="105" w:name="_Toc123013804"/>
      <w:bookmarkStart w:id="106" w:name="_Toc42574903"/>
      <w:bookmarkStart w:id="107" w:name="_Toc139199625"/>
      <w:r>
        <w:lastRenderedPageBreak/>
        <w:t>Appendix C</w:t>
      </w:r>
      <w:r w:rsidRPr="009539A3">
        <w:t>:</w:t>
      </w:r>
      <w:r w:rsidR="00E920F2">
        <w:t xml:space="preserve"> </w:t>
      </w:r>
      <w:r w:rsidRPr="009539A3">
        <w:t>Application for approval as an assessment centre</w:t>
      </w:r>
      <w:bookmarkEnd w:id="103"/>
      <w:bookmarkEnd w:id="104"/>
    </w:p>
    <w:p w14:paraId="4CCA9E33" w14:textId="77777777" w:rsidR="004711E2" w:rsidRDefault="00A90FD3" w:rsidP="005E0F9A">
      <w:r>
        <w:t>Use this form</w:t>
      </w:r>
      <w:r w:rsidRPr="009539A3">
        <w:t xml:space="preserve"> when applying to be approved as an assessment centre for the purpose of </w:t>
      </w:r>
      <w:r>
        <w:t>section</w:t>
      </w:r>
      <w:r w:rsidR="005E0F9A">
        <w:t> </w:t>
      </w:r>
      <w:r w:rsidRPr="009539A3">
        <w:t>65 of the Land Transport Act 1998</w:t>
      </w:r>
      <w:r>
        <w:t xml:space="preserve"> (the Act)</w:t>
      </w:r>
      <w:r w:rsidRPr="009539A3">
        <w:t xml:space="preserve"> (see also the definition of assessment centre in section 2(1) of th</w:t>
      </w:r>
      <w:r>
        <w:t>e</w:t>
      </w:r>
      <w:r w:rsidRPr="009539A3">
        <w:t xml:space="preserve"> Act).</w:t>
      </w:r>
    </w:p>
    <w:p w14:paraId="1423F00F" w14:textId="77777777" w:rsidR="00A90FD3" w:rsidRPr="009539A3" w:rsidRDefault="00A90FD3" w:rsidP="0041608A"/>
    <w:p w14:paraId="41BD27A5" w14:textId="77777777" w:rsidR="004711E2" w:rsidRDefault="00A90FD3" w:rsidP="0041608A">
      <w:r w:rsidRPr="009539A3">
        <w:t>I am applying as (please tick the relevant option):</w:t>
      </w:r>
    </w:p>
    <w:p w14:paraId="10A6C7A0" w14:textId="77777777" w:rsidR="004711E2" w:rsidRDefault="0041608A" w:rsidP="0041608A">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00A90FD3" w:rsidRPr="009539A3">
        <w:tab/>
        <w:t>an individual</w:t>
      </w:r>
    </w:p>
    <w:p w14:paraId="69450111" w14:textId="77777777" w:rsidR="00A90FD3" w:rsidRDefault="0041608A" w:rsidP="0041608A">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00A90FD3" w:rsidRPr="009539A3">
        <w:tab/>
        <w:t xml:space="preserve">organisation (eg, </w:t>
      </w:r>
      <w:r w:rsidR="00A90FD3">
        <w:t>DHB</w:t>
      </w:r>
      <w:r w:rsidR="00A90FD3" w:rsidRPr="009539A3">
        <w:t>, company or not-for-profit organisation)</w:t>
      </w:r>
      <w:r>
        <w:t>.</w:t>
      </w:r>
    </w:p>
    <w:p w14:paraId="1746CF02" w14:textId="77777777" w:rsidR="0041608A" w:rsidRPr="009539A3" w:rsidRDefault="0041608A" w:rsidP="0041608A"/>
    <w:tbl>
      <w:tblPr>
        <w:tblW w:w="9294" w:type="dxa"/>
        <w:tblLayout w:type="fixed"/>
        <w:tblCellMar>
          <w:left w:w="0" w:type="dxa"/>
          <w:right w:w="0" w:type="dxa"/>
        </w:tblCellMar>
        <w:tblLook w:val="04A0" w:firstRow="1" w:lastRow="0" w:firstColumn="1" w:lastColumn="0" w:noHBand="0" w:noVBand="1"/>
      </w:tblPr>
      <w:tblGrid>
        <w:gridCol w:w="4503"/>
        <w:gridCol w:w="283"/>
        <w:gridCol w:w="4508"/>
      </w:tblGrid>
      <w:tr w:rsidR="00A90FD3" w:rsidRPr="009539A3" w14:paraId="0096BC02" w14:textId="77777777" w:rsidTr="004711E2">
        <w:trPr>
          <w:cantSplit/>
        </w:trPr>
        <w:tc>
          <w:tcPr>
            <w:tcW w:w="4503" w:type="dxa"/>
            <w:hideMark/>
          </w:tcPr>
          <w:p w14:paraId="12802D70"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2"/>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c>
          <w:tcPr>
            <w:tcW w:w="283" w:type="dxa"/>
          </w:tcPr>
          <w:p w14:paraId="5A5BCD85" w14:textId="77777777" w:rsidR="00A90FD3" w:rsidRPr="009539A3" w:rsidRDefault="00A90FD3" w:rsidP="004711E2">
            <w:pPr>
              <w:spacing w:before="180" w:after="80" w:line="240" w:lineRule="auto"/>
              <w:rPr>
                <w:rFonts w:cs="Arial"/>
                <w:szCs w:val="24"/>
              </w:rPr>
            </w:pPr>
          </w:p>
        </w:tc>
        <w:tc>
          <w:tcPr>
            <w:tcW w:w="4508" w:type="dxa"/>
            <w:hideMark/>
          </w:tcPr>
          <w:p w14:paraId="0EE84B20"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3"/>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4A43A5B4" w14:textId="77777777" w:rsidTr="0041608A">
        <w:trPr>
          <w:cantSplit/>
        </w:trPr>
        <w:tc>
          <w:tcPr>
            <w:tcW w:w="4503" w:type="dxa"/>
            <w:tcBorders>
              <w:top w:val="single" w:sz="4" w:space="0" w:color="auto"/>
              <w:left w:val="nil"/>
              <w:bottom w:val="nil"/>
              <w:right w:val="nil"/>
            </w:tcBorders>
            <w:hideMark/>
          </w:tcPr>
          <w:p w14:paraId="31B740BD" w14:textId="77777777" w:rsidR="00A90FD3" w:rsidRPr="009539A3" w:rsidRDefault="0041608A" w:rsidP="004711E2">
            <w:pPr>
              <w:spacing w:after="80" w:line="240" w:lineRule="auto"/>
              <w:rPr>
                <w:rFonts w:cs="Arial"/>
                <w:szCs w:val="24"/>
              </w:rPr>
            </w:pPr>
            <w:r>
              <w:rPr>
                <w:rFonts w:cs="Arial"/>
                <w:szCs w:val="24"/>
              </w:rPr>
              <w:t>First name</w:t>
            </w:r>
          </w:p>
        </w:tc>
        <w:tc>
          <w:tcPr>
            <w:tcW w:w="283" w:type="dxa"/>
            <w:tcBorders>
              <w:left w:val="nil"/>
              <w:bottom w:val="nil"/>
              <w:right w:val="nil"/>
            </w:tcBorders>
          </w:tcPr>
          <w:p w14:paraId="5E3B6C59" w14:textId="77777777" w:rsidR="00A90FD3" w:rsidRPr="009539A3" w:rsidRDefault="00A90FD3" w:rsidP="004711E2">
            <w:pPr>
              <w:spacing w:after="80" w:line="240" w:lineRule="auto"/>
              <w:rPr>
                <w:rFonts w:cs="Arial"/>
                <w:szCs w:val="24"/>
              </w:rPr>
            </w:pPr>
          </w:p>
        </w:tc>
        <w:tc>
          <w:tcPr>
            <w:tcW w:w="4508" w:type="dxa"/>
            <w:tcBorders>
              <w:top w:val="single" w:sz="4" w:space="0" w:color="auto"/>
              <w:left w:val="nil"/>
              <w:bottom w:val="nil"/>
              <w:right w:val="nil"/>
            </w:tcBorders>
          </w:tcPr>
          <w:p w14:paraId="28B887EF" w14:textId="77777777" w:rsidR="00A90FD3" w:rsidRPr="009539A3" w:rsidRDefault="00A90FD3" w:rsidP="004711E2">
            <w:pPr>
              <w:spacing w:after="80" w:line="240" w:lineRule="auto"/>
              <w:rPr>
                <w:rFonts w:cs="Arial"/>
                <w:szCs w:val="24"/>
              </w:rPr>
            </w:pPr>
            <w:r w:rsidRPr="009539A3">
              <w:rPr>
                <w:rFonts w:cs="Arial"/>
                <w:szCs w:val="24"/>
              </w:rPr>
              <w:t>Surname</w:t>
            </w:r>
          </w:p>
        </w:tc>
      </w:tr>
      <w:tr w:rsidR="00A90FD3" w:rsidRPr="009539A3" w14:paraId="761FD2E3" w14:textId="77777777" w:rsidTr="004711E2">
        <w:trPr>
          <w:cantSplit/>
        </w:trPr>
        <w:tc>
          <w:tcPr>
            <w:tcW w:w="4503" w:type="dxa"/>
            <w:hideMark/>
          </w:tcPr>
          <w:p w14:paraId="2038C7FA"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2"/>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c>
          <w:tcPr>
            <w:tcW w:w="283" w:type="dxa"/>
          </w:tcPr>
          <w:p w14:paraId="3D5C96A4" w14:textId="77777777" w:rsidR="00A90FD3" w:rsidRPr="009539A3" w:rsidRDefault="00A90FD3" w:rsidP="004711E2">
            <w:pPr>
              <w:spacing w:before="180" w:after="80" w:line="240" w:lineRule="auto"/>
              <w:rPr>
                <w:rFonts w:cs="Arial"/>
                <w:szCs w:val="24"/>
              </w:rPr>
            </w:pPr>
          </w:p>
        </w:tc>
        <w:tc>
          <w:tcPr>
            <w:tcW w:w="4508" w:type="dxa"/>
            <w:hideMark/>
          </w:tcPr>
          <w:p w14:paraId="240BDCBC"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3"/>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2AFCAB4B" w14:textId="77777777" w:rsidTr="004711E2">
        <w:trPr>
          <w:cantSplit/>
        </w:trPr>
        <w:tc>
          <w:tcPr>
            <w:tcW w:w="4503" w:type="dxa"/>
            <w:tcBorders>
              <w:top w:val="single" w:sz="4" w:space="0" w:color="auto"/>
              <w:left w:val="nil"/>
              <w:bottom w:val="nil"/>
              <w:right w:val="nil"/>
            </w:tcBorders>
            <w:hideMark/>
          </w:tcPr>
          <w:p w14:paraId="3DEA5051" w14:textId="77777777" w:rsidR="00A90FD3" w:rsidRPr="009539A3" w:rsidRDefault="00A90FD3">
            <w:pPr>
              <w:spacing w:after="80" w:line="240" w:lineRule="auto"/>
              <w:rPr>
                <w:rFonts w:cs="Arial"/>
                <w:szCs w:val="24"/>
              </w:rPr>
            </w:pPr>
            <w:r w:rsidRPr="009539A3">
              <w:rPr>
                <w:rFonts w:cs="Arial"/>
                <w:szCs w:val="24"/>
              </w:rPr>
              <w:t>Organisation/</w:t>
            </w:r>
            <w:r w:rsidR="005E0F9A">
              <w:rPr>
                <w:rFonts w:cs="Arial"/>
                <w:szCs w:val="24"/>
              </w:rPr>
              <w:t>c</w:t>
            </w:r>
            <w:r w:rsidRPr="009539A3">
              <w:rPr>
                <w:rFonts w:cs="Arial"/>
                <w:szCs w:val="24"/>
              </w:rPr>
              <w:t>ompany name</w:t>
            </w:r>
          </w:p>
        </w:tc>
        <w:tc>
          <w:tcPr>
            <w:tcW w:w="283" w:type="dxa"/>
          </w:tcPr>
          <w:p w14:paraId="61180505" w14:textId="77777777" w:rsidR="00A90FD3" w:rsidRPr="009539A3" w:rsidRDefault="00A90FD3" w:rsidP="004711E2">
            <w:pPr>
              <w:spacing w:after="80" w:line="240" w:lineRule="auto"/>
              <w:rPr>
                <w:rFonts w:cs="Arial"/>
                <w:szCs w:val="24"/>
              </w:rPr>
            </w:pPr>
          </w:p>
        </w:tc>
        <w:tc>
          <w:tcPr>
            <w:tcW w:w="4508" w:type="dxa"/>
            <w:tcBorders>
              <w:top w:val="single" w:sz="4" w:space="0" w:color="auto"/>
              <w:left w:val="nil"/>
              <w:bottom w:val="nil"/>
              <w:right w:val="nil"/>
            </w:tcBorders>
            <w:hideMark/>
          </w:tcPr>
          <w:p w14:paraId="71858999" w14:textId="77777777" w:rsidR="00A90FD3" w:rsidRPr="009539A3" w:rsidRDefault="00A90FD3" w:rsidP="004711E2">
            <w:pPr>
              <w:spacing w:after="80" w:line="240" w:lineRule="auto"/>
              <w:rPr>
                <w:rFonts w:cs="Arial"/>
                <w:szCs w:val="24"/>
              </w:rPr>
            </w:pPr>
            <w:r w:rsidRPr="009539A3">
              <w:rPr>
                <w:rFonts w:cs="Arial"/>
                <w:szCs w:val="24"/>
              </w:rPr>
              <w:t>Position</w:t>
            </w:r>
          </w:p>
        </w:tc>
      </w:tr>
      <w:tr w:rsidR="00A90FD3" w:rsidRPr="009539A3" w14:paraId="63B3D47E" w14:textId="77777777" w:rsidTr="004711E2">
        <w:trPr>
          <w:cantSplit/>
        </w:trPr>
        <w:tc>
          <w:tcPr>
            <w:tcW w:w="9294" w:type="dxa"/>
            <w:gridSpan w:val="3"/>
            <w:tcBorders>
              <w:top w:val="nil"/>
              <w:left w:val="nil"/>
              <w:bottom w:val="single" w:sz="4" w:space="0" w:color="auto"/>
              <w:right w:val="nil"/>
            </w:tcBorders>
            <w:hideMark/>
          </w:tcPr>
          <w:p w14:paraId="3A4427B3"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4"/>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41608A" w:rsidRPr="009539A3" w14:paraId="66A95319" w14:textId="77777777" w:rsidTr="0041608A">
        <w:trPr>
          <w:cantSplit/>
        </w:trPr>
        <w:tc>
          <w:tcPr>
            <w:tcW w:w="9294" w:type="dxa"/>
            <w:gridSpan w:val="3"/>
            <w:tcBorders>
              <w:top w:val="single" w:sz="4" w:space="0" w:color="auto"/>
              <w:left w:val="nil"/>
              <w:bottom w:val="nil"/>
              <w:right w:val="nil"/>
            </w:tcBorders>
            <w:hideMark/>
          </w:tcPr>
          <w:p w14:paraId="04EBD725" w14:textId="77777777" w:rsidR="0041608A" w:rsidRPr="009539A3" w:rsidRDefault="0041608A" w:rsidP="004711E2">
            <w:pPr>
              <w:spacing w:after="80" w:line="240" w:lineRule="auto"/>
              <w:rPr>
                <w:rFonts w:cs="Arial"/>
                <w:szCs w:val="24"/>
              </w:rPr>
            </w:pPr>
            <w:r w:rsidRPr="009539A3">
              <w:rPr>
                <w:rFonts w:cs="Arial"/>
                <w:szCs w:val="24"/>
              </w:rPr>
              <w:t>Postal address</w:t>
            </w:r>
          </w:p>
        </w:tc>
      </w:tr>
      <w:tr w:rsidR="00A90FD3" w:rsidRPr="009539A3" w14:paraId="7377B60C" w14:textId="77777777" w:rsidTr="004711E2">
        <w:trPr>
          <w:cantSplit/>
        </w:trPr>
        <w:tc>
          <w:tcPr>
            <w:tcW w:w="4503" w:type="dxa"/>
            <w:tcBorders>
              <w:top w:val="nil"/>
              <w:left w:val="nil"/>
              <w:bottom w:val="single" w:sz="4" w:space="0" w:color="auto"/>
              <w:right w:val="nil"/>
            </w:tcBorders>
            <w:hideMark/>
          </w:tcPr>
          <w:p w14:paraId="08E5C9D1" w14:textId="77777777" w:rsidR="00A90FD3" w:rsidRPr="009539A3" w:rsidRDefault="00A90FD3" w:rsidP="004711E2">
            <w:pPr>
              <w:spacing w:before="180" w:after="80" w:line="240" w:lineRule="auto"/>
              <w:rPr>
                <w:rFonts w:cs="Arial"/>
                <w:szCs w:val="24"/>
              </w:rPr>
            </w:pPr>
            <w:r w:rsidRPr="009539A3">
              <w:rPr>
                <w:rFonts w:cs="Arial"/>
                <w:szCs w:val="24"/>
              </w:rPr>
              <w:t>(</w:t>
            </w:r>
            <w:r w:rsidRPr="009539A3">
              <w:rPr>
                <w:rFonts w:cs="Arial"/>
                <w:szCs w:val="24"/>
              </w:rPr>
              <w:fldChar w:fldCharType="begin">
                <w:ffData>
                  <w:name w:val="Text5"/>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szCs w:val="24"/>
              </w:rPr>
              <w:fldChar w:fldCharType="end"/>
            </w:r>
            <w:r w:rsidRPr="009539A3">
              <w:rPr>
                <w:rFonts w:cs="Arial"/>
                <w:szCs w:val="24"/>
              </w:rPr>
              <w:t xml:space="preserve">) </w:t>
            </w:r>
            <w:r w:rsidRPr="009539A3">
              <w:rPr>
                <w:rFonts w:cs="Arial"/>
                <w:szCs w:val="24"/>
              </w:rPr>
              <w:fldChar w:fldCharType="begin">
                <w:ffData>
                  <w:name w:val="Text6"/>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c>
          <w:tcPr>
            <w:tcW w:w="283" w:type="dxa"/>
          </w:tcPr>
          <w:p w14:paraId="727C0155" w14:textId="77777777" w:rsidR="00A90FD3" w:rsidRPr="009539A3" w:rsidRDefault="00A90FD3" w:rsidP="004711E2">
            <w:pPr>
              <w:spacing w:before="180" w:after="80" w:line="240" w:lineRule="auto"/>
              <w:rPr>
                <w:rFonts w:cs="Arial"/>
                <w:szCs w:val="24"/>
              </w:rPr>
            </w:pPr>
          </w:p>
        </w:tc>
        <w:tc>
          <w:tcPr>
            <w:tcW w:w="4508" w:type="dxa"/>
            <w:tcBorders>
              <w:top w:val="nil"/>
              <w:left w:val="nil"/>
              <w:bottom w:val="single" w:sz="4" w:space="0" w:color="auto"/>
              <w:right w:val="nil"/>
            </w:tcBorders>
            <w:hideMark/>
          </w:tcPr>
          <w:p w14:paraId="1A4C12BE" w14:textId="77777777" w:rsidR="00A90FD3" w:rsidRPr="009539A3" w:rsidRDefault="00A90FD3" w:rsidP="004711E2">
            <w:pPr>
              <w:spacing w:before="180" w:after="80" w:line="240" w:lineRule="auto"/>
              <w:rPr>
                <w:rFonts w:cs="Arial"/>
                <w:szCs w:val="24"/>
              </w:rPr>
            </w:pPr>
            <w:r w:rsidRPr="009539A3">
              <w:rPr>
                <w:rFonts w:cs="Arial"/>
                <w:szCs w:val="24"/>
              </w:rPr>
              <w:t>(</w:t>
            </w:r>
            <w:r w:rsidRPr="009539A3">
              <w:rPr>
                <w:rFonts w:cs="Arial"/>
                <w:szCs w:val="24"/>
              </w:rPr>
              <w:fldChar w:fldCharType="begin">
                <w:ffData>
                  <w:name w:val="Text7"/>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szCs w:val="24"/>
              </w:rPr>
              <w:fldChar w:fldCharType="end"/>
            </w:r>
            <w:r w:rsidRPr="009539A3">
              <w:rPr>
                <w:rFonts w:cs="Arial"/>
                <w:szCs w:val="24"/>
              </w:rPr>
              <w:t xml:space="preserve">) </w:t>
            </w:r>
            <w:r w:rsidRPr="009539A3">
              <w:rPr>
                <w:rFonts w:cs="Arial"/>
                <w:szCs w:val="24"/>
              </w:rPr>
              <w:fldChar w:fldCharType="begin">
                <w:ffData>
                  <w:name w:val="Text8"/>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77B8C121" w14:textId="77777777" w:rsidTr="004711E2">
        <w:trPr>
          <w:cantSplit/>
        </w:trPr>
        <w:tc>
          <w:tcPr>
            <w:tcW w:w="4503" w:type="dxa"/>
            <w:tcBorders>
              <w:top w:val="single" w:sz="4" w:space="0" w:color="auto"/>
              <w:left w:val="nil"/>
              <w:bottom w:val="nil"/>
              <w:right w:val="nil"/>
            </w:tcBorders>
            <w:hideMark/>
          </w:tcPr>
          <w:p w14:paraId="528FDEF2" w14:textId="77777777" w:rsidR="00A90FD3" w:rsidRPr="009539A3" w:rsidRDefault="00A90FD3" w:rsidP="004711E2">
            <w:pPr>
              <w:spacing w:after="80" w:line="240" w:lineRule="auto"/>
              <w:rPr>
                <w:rFonts w:cs="Arial"/>
                <w:szCs w:val="24"/>
              </w:rPr>
            </w:pPr>
            <w:r w:rsidRPr="009539A3">
              <w:rPr>
                <w:rFonts w:cs="Arial"/>
                <w:szCs w:val="24"/>
              </w:rPr>
              <w:t>Telephone</w:t>
            </w:r>
          </w:p>
        </w:tc>
        <w:tc>
          <w:tcPr>
            <w:tcW w:w="283" w:type="dxa"/>
          </w:tcPr>
          <w:p w14:paraId="7468DC07" w14:textId="77777777" w:rsidR="00A90FD3" w:rsidRPr="009539A3" w:rsidRDefault="00A90FD3" w:rsidP="004711E2">
            <w:pPr>
              <w:spacing w:after="80" w:line="240" w:lineRule="auto"/>
              <w:rPr>
                <w:rFonts w:cs="Arial"/>
                <w:szCs w:val="24"/>
              </w:rPr>
            </w:pPr>
          </w:p>
        </w:tc>
        <w:tc>
          <w:tcPr>
            <w:tcW w:w="4508" w:type="dxa"/>
            <w:tcBorders>
              <w:top w:val="single" w:sz="4" w:space="0" w:color="auto"/>
              <w:left w:val="nil"/>
              <w:bottom w:val="nil"/>
              <w:right w:val="nil"/>
            </w:tcBorders>
            <w:hideMark/>
          </w:tcPr>
          <w:p w14:paraId="75CDEAE1" w14:textId="77777777" w:rsidR="00A90FD3" w:rsidRPr="009539A3" w:rsidRDefault="00A90FD3" w:rsidP="004711E2">
            <w:pPr>
              <w:spacing w:after="80" w:line="240" w:lineRule="auto"/>
              <w:rPr>
                <w:rFonts w:cs="Arial"/>
                <w:szCs w:val="24"/>
              </w:rPr>
            </w:pPr>
            <w:r w:rsidRPr="009539A3">
              <w:rPr>
                <w:rFonts w:cs="Arial"/>
                <w:szCs w:val="24"/>
              </w:rPr>
              <w:t>Mobile phone</w:t>
            </w:r>
          </w:p>
        </w:tc>
      </w:tr>
      <w:tr w:rsidR="00A90FD3" w:rsidRPr="009539A3" w14:paraId="015F0D8D" w14:textId="77777777" w:rsidTr="004711E2">
        <w:trPr>
          <w:cantSplit/>
        </w:trPr>
        <w:tc>
          <w:tcPr>
            <w:tcW w:w="9294" w:type="dxa"/>
            <w:gridSpan w:val="3"/>
            <w:tcBorders>
              <w:top w:val="nil"/>
              <w:left w:val="nil"/>
              <w:bottom w:val="single" w:sz="4" w:space="0" w:color="auto"/>
              <w:right w:val="nil"/>
            </w:tcBorders>
            <w:hideMark/>
          </w:tcPr>
          <w:p w14:paraId="05D617E3"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9"/>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6D7790F8" w14:textId="77777777" w:rsidTr="004711E2">
        <w:trPr>
          <w:cantSplit/>
        </w:trPr>
        <w:tc>
          <w:tcPr>
            <w:tcW w:w="9294" w:type="dxa"/>
            <w:gridSpan w:val="3"/>
            <w:tcBorders>
              <w:top w:val="single" w:sz="4" w:space="0" w:color="auto"/>
              <w:left w:val="nil"/>
              <w:right w:val="nil"/>
            </w:tcBorders>
            <w:hideMark/>
          </w:tcPr>
          <w:p w14:paraId="36978289" w14:textId="77777777" w:rsidR="00A90FD3" w:rsidRPr="009539A3" w:rsidRDefault="00A90FD3" w:rsidP="0041608A">
            <w:pPr>
              <w:spacing w:after="80" w:line="240" w:lineRule="auto"/>
              <w:rPr>
                <w:rFonts w:cs="Arial"/>
                <w:szCs w:val="24"/>
              </w:rPr>
            </w:pPr>
            <w:r w:rsidRPr="009539A3">
              <w:rPr>
                <w:rFonts w:cs="Arial"/>
                <w:szCs w:val="24"/>
              </w:rPr>
              <w:t>Email address</w:t>
            </w:r>
          </w:p>
        </w:tc>
      </w:tr>
      <w:tr w:rsidR="00A90FD3" w:rsidRPr="009539A3" w14:paraId="39C0FF93" w14:textId="77777777" w:rsidTr="004711E2">
        <w:trPr>
          <w:cantSplit/>
        </w:trPr>
        <w:tc>
          <w:tcPr>
            <w:tcW w:w="9294" w:type="dxa"/>
            <w:gridSpan w:val="3"/>
            <w:tcBorders>
              <w:left w:val="nil"/>
              <w:bottom w:val="single" w:sz="4" w:space="0" w:color="auto"/>
              <w:right w:val="nil"/>
            </w:tcBorders>
            <w:hideMark/>
          </w:tcPr>
          <w:p w14:paraId="1F015F2D" w14:textId="77777777" w:rsidR="0041608A" w:rsidRDefault="0041608A" w:rsidP="0041608A"/>
          <w:p w14:paraId="12ACF62D" w14:textId="77777777" w:rsidR="00A90FD3" w:rsidRDefault="00A90FD3" w:rsidP="0041608A">
            <w:r w:rsidRPr="009539A3">
              <w:t>The locations/areas (ie, cities/towns/regions) of my assessment centre/s (</w:t>
            </w:r>
            <w:r w:rsidR="0041608A">
              <w:t>t</w:t>
            </w:r>
            <w:r w:rsidRPr="009539A3">
              <w:t xml:space="preserve">his information </w:t>
            </w:r>
            <w:r>
              <w:t>will be used in</w:t>
            </w:r>
            <w:r w:rsidRPr="009539A3">
              <w:t xml:space="preserve"> listing </w:t>
            </w:r>
            <w:r>
              <w:t>approved assessment centres</w:t>
            </w:r>
            <w:r w:rsidRPr="009539A3">
              <w:t xml:space="preserve"> on the </w:t>
            </w:r>
            <w:r>
              <w:t>NZTA</w:t>
            </w:r>
            <w:r w:rsidRPr="009539A3">
              <w:t xml:space="preserve"> website):</w:t>
            </w:r>
          </w:p>
          <w:p w14:paraId="106CD200" w14:textId="77777777" w:rsidR="00A90FD3" w:rsidRPr="009539A3" w:rsidRDefault="00A90FD3" w:rsidP="004711E2">
            <w:pPr>
              <w:spacing w:before="80" w:after="80" w:line="240" w:lineRule="auto"/>
              <w:rPr>
                <w:rFonts w:cs="Arial"/>
                <w:szCs w:val="24"/>
              </w:rPr>
            </w:pPr>
            <w:r w:rsidRPr="009539A3">
              <w:rPr>
                <w:rFonts w:cs="Arial"/>
                <w:szCs w:val="24"/>
              </w:rPr>
              <w:fldChar w:fldCharType="begin">
                <w:ffData>
                  <w:name w:val="Text9"/>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szCs w:val="24"/>
              </w:rPr>
              <w:t> </w:t>
            </w:r>
            <w:r w:rsidRPr="009539A3">
              <w:rPr>
                <w:rFonts w:cs="Arial"/>
                <w:szCs w:val="24"/>
              </w:rPr>
              <w:t> </w:t>
            </w:r>
            <w:r w:rsidRPr="009539A3">
              <w:rPr>
                <w:rFonts w:cs="Arial"/>
                <w:szCs w:val="24"/>
              </w:rPr>
              <w:t> </w:t>
            </w:r>
            <w:r w:rsidRPr="009539A3">
              <w:rPr>
                <w:rFonts w:cs="Arial"/>
                <w:szCs w:val="24"/>
              </w:rPr>
              <w:t> </w:t>
            </w:r>
            <w:r w:rsidRPr="009539A3">
              <w:rPr>
                <w:rFonts w:cs="Arial"/>
                <w:szCs w:val="24"/>
              </w:rPr>
              <w:t> </w:t>
            </w:r>
            <w:r w:rsidRPr="009539A3">
              <w:rPr>
                <w:rFonts w:cs="Arial"/>
                <w:szCs w:val="24"/>
              </w:rPr>
              <w:fldChar w:fldCharType="end"/>
            </w:r>
          </w:p>
        </w:tc>
      </w:tr>
    </w:tbl>
    <w:p w14:paraId="3C197F5F" w14:textId="77777777" w:rsidR="005E0F9A" w:rsidRDefault="005E0F9A" w:rsidP="005B0254">
      <w:bookmarkStart w:id="108" w:name="_Toc381610256"/>
      <w:bookmarkStart w:id="109" w:name="_Toc490722695"/>
      <w:bookmarkStart w:id="110" w:name="_Toc490728427"/>
    </w:p>
    <w:p w14:paraId="3938389A" w14:textId="77777777" w:rsidR="00A90FD3" w:rsidRPr="009539A3" w:rsidRDefault="00A90FD3" w:rsidP="005B0254">
      <w:pPr>
        <w:pStyle w:val="Heading4"/>
      </w:pPr>
      <w:r w:rsidRPr="009539A3">
        <w:t>Additional information</w:t>
      </w:r>
      <w:bookmarkEnd w:id="108"/>
      <w:bookmarkEnd w:id="109"/>
      <w:bookmarkEnd w:id="110"/>
    </w:p>
    <w:p w14:paraId="3CE044A9" w14:textId="77777777" w:rsidR="00A90FD3" w:rsidRPr="009539A3" w:rsidRDefault="00A90FD3" w:rsidP="005B0254">
      <w:r w:rsidRPr="009539A3">
        <w:rPr>
          <w:b/>
        </w:rPr>
        <w:t xml:space="preserve">Individuals </w:t>
      </w:r>
      <w:r w:rsidRPr="009539A3">
        <w:t>applying for approval as an assessment centre, please attach the following information to your application:</w:t>
      </w:r>
    </w:p>
    <w:p w14:paraId="02B6E3A3" w14:textId="77777777" w:rsidR="00A90FD3" w:rsidRPr="009539A3" w:rsidRDefault="005B0254" w:rsidP="005B0254">
      <w:pPr>
        <w:spacing w:before="120"/>
        <w:ind w:left="567" w:hanging="567"/>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00A90FD3" w:rsidRPr="009539A3">
        <w:tab/>
        <w:t>A letter of application detailing your qualifications, work experience and training in addiction problems</w:t>
      </w:r>
    </w:p>
    <w:p w14:paraId="3D478855" w14:textId="77777777" w:rsidR="004711E2" w:rsidRDefault="005B0254" w:rsidP="005B0254">
      <w:pPr>
        <w:spacing w:before="120"/>
        <w:ind w:left="567" w:hanging="567"/>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00A90FD3" w:rsidRPr="009539A3">
        <w:tab/>
        <w:t xml:space="preserve">Proof of accreditation </w:t>
      </w:r>
      <w:r w:rsidR="00A90FD3">
        <w:t>with</w:t>
      </w:r>
      <w:r w:rsidR="00A90FD3" w:rsidRPr="009539A3">
        <w:t xml:space="preserve"> dapaanz </w:t>
      </w:r>
      <w:r w:rsidR="00A90FD3">
        <w:t>or FAChAM</w:t>
      </w:r>
    </w:p>
    <w:p w14:paraId="7C45ED7C" w14:textId="77777777" w:rsidR="005B0254" w:rsidRDefault="005B0254" w:rsidP="005B0254"/>
    <w:p w14:paraId="21B49F44" w14:textId="77777777" w:rsidR="00A90FD3" w:rsidRPr="009539A3" w:rsidRDefault="00A90FD3" w:rsidP="005B0254">
      <w:pPr>
        <w:keepNext/>
      </w:pPr>
      <w:r w:rsidRPr="009539A3">
        <w:rPr>
          <w:b/>
        </w:rPr>
        <w:lastRenderedPageBreak/>
        <w:t>Organisations</w:t>
      </w:r>
      <w:r w:rsidRPr="005B0254">
        <w:t xml:space="preserve"> </w:t>
      </w:r>
      <w:r w:rsidRPr="009539A3">
        <w:t>applying for approval as an assessment centre, please attach the following information to your application:</w:t>
      </w:r>
    </w:p>
    <w:p w14:paraId="294EB8DD" w14:textId="77777777" w:rsidR="00A90FD3" w:rsidRPr="009539A3" w:rsidRDefault="005B0254" w:rsidP="005B0254">
      <w:pPr>
        <w:spacing w:before="120"/>
        <w:ind w:left="567" w:hanging="567"/>
        <w:rPr>
          <w:rFonts w:cs="Arial"/>
        </w:rPr>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00A90FD3" w:rsidRPr="009539A3">
        <w:rPr>
          <w:rFonts w:cs="Arial"/>
        </w:rPr>
        <w:tab/>
        <w:t>A letter of application describing your organisation</w:t>
      </w:r>
      <w:r w:rsidR="004711E2">
        <w:rPr>
          <w:rFonts w:cs="Arial"/>
        </w:rPr>
        <w:t>’</w:t>
      </w:r>
      <w:r w:rsidR="00A90FD3" w:rsidRPr="009539A3">
        <w:rPr>
          <w:rFonts w:cs="Arial"/>
        </w:rPr>
        <w:t>s structure and its work in relation to the assessment and/or treatment of addictions issues</w:t>
      </w:r>
    </w:p>
    <w:p w14:paraId="4C16C2DD" w14:textId="77777777" w:rsidR="00A90FD3" w:rsidRPr="005B0254" w:rsidRDefault="005B0254" w:rsidP="005B0254">
      <w:pPr>
        <w:spacing w:before="120"/>
        <w:ind w:left="567" w:hanging="567"/>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00A90FD3">
        <w:rPr>
          <w:rFonts w:cs="Arial"/>
        </w:rPr>
        <w:tab/>
        <w:t>Proof of accreditation with</w:t>
      </w:r>
      <w:r w:rsidR="00A90FD3" w:rsidRPr="009539A3">
        <w:rPr>
          <w:rFonts w:cs="Arial"/>
        </w:rPr>
        <w:t xml:space="preserve"> dapaanz </w:t>
      </w:r>
      <w:r w:rsidR="00A90FD3">
        <w:rPr>
          <w:rFonts w:cs="Arial"/>
        </w:rPr>
        <w:t>or FAChAM for</w:t>
      </w:r>
      <w:r w:rsidR="00A90FD3" w:rsidRPr="009539A3">
        <w:rPr>
          <w:rFonts w:cs="Arial"/>
        </w:rPr>
        <w:t xml:space="preserve"> </w:t>
      </w:r>
      <w:r w:rsidR="00A90FD3" w:rsidRPr="009539A3">
        <w:rPr>
          <w:rFonts w:cs="Arial"/>
          <w:b/>
        </w:rPr>
        <w:t>all</w:t>
      </w:r>
      <w:r w:rsidR="00A90FD3" w:rsidRPr="009539A3">
        <w:rPr>
          <w:rFonts w:cs="Arial"/>
        </w:rPr>
        <w:t xml:space="preserve"> members of the organisation who will be undertaking assessments</w:t>
      </w:r>
      <w:r w:rsidR="00A90FD3">
        <w:rPr>
          <w:rFonts w:cs="Arial"/>
        </w:rPr>
        <w:t>.</w:t>
      </w:r>
    </w:p>
    <w:p w14:paraId="203E6431" w14:textId="77777777" w:rsidR="00A90FD3" w:rsidRPr="009539A3" w:rsidRDefault="00A90FD3" w:rsidP="005B0254"/>
    <w:p w14:paraId="14965F5B" w14:textId="77777777" w:rsidR="00A90FD3" w:rsidRPr="009539A3" w:rsidRDefault="00A90FD3" w:rsidP="005B0254">
      <w:pPr>
        <w:pStyle w:val="Heading3"/>
        <w:numPr>
          <w:ilvl w:val="0"/>
          <w:numId w:val="0"/>
        </w:numPr>
      </w:pPr>
      <w:bookmarkStart w:id="111" w:name="_Toc381610258"/>
      <w:bookmarkStart w:id="112" w:name="_Toc490722696"/>
      <w:bookmarkStart w:id="113" w:name="_Toc490728428"/>
      <w:r w:rsidRPr="009539A3">
        <w:t>Agreement</w:t>
      </w:r>
      <w:bookmarkEnd w:id="111"/>
      <w:bookmarkEnd w:id="112"/>
      <w:bookmarkEnd w:id="113"/>
    </w:p>
    <w:p w14:paraId="67D4D855" w14:textId="77777777" w:rsidR="00A90FD3" w:rsidRPr="009539A3" w:rsidRDefault="00A90FD3" w:rsidP="005B0254">
      <w:r w:rsidRPr="009539A3">
        <w:t>I (the applicant):</w:t>
      </w:r>
    </w:p>
    <w:p w14:paraId="6B7C3082" w14:textId="77777777" w:rsidR="004711E2" w:rsidRDefault="005B0254" w:rsidP="005B0254">
      <w:pPr>
        <w:pStyle w:val="Number"/>
      </w:pPr>
      <w:r>
        <w:t>1</w:t>
      </w:r>
      <w:r>
        <w:tab/>
      </w:r>
      <w:r w:rsidR="00A90FD3" w:rsidRPr="009539A3">
        <w:t xml:space="preserve">agree that I meet, or the organisation I represent meets, the criteria for approval outlined in section </w:t>
      </w:r>
      <w:r w:rsidR="00A90FD3">
        <w:t>7</w:t>
      </w:r>
      <w:r w:rsidR="00A90FD3" w:rsidRPr="009539A3">
        <w:t>.</w:t>
      </w:r>
      <w:r w:rsidR="00A90FD3">
        <w:t>1: Minimum requirements for assessment centre approval</w:t>
      </w:r>
    </w:p>
    <w:p w14:paraId="165DE031" w14:textId="77777777" w:rsidR="00A90FD3" w:rsidRPr="009539A3" w:rsidRDefault="005B0254" w:rsidP="005B0254">
      <w:pPr>
        <w:pStyle w:val="Number"/>
      </w:pPr>
      <w:r>
        <w:t>2</w:t>
      </w:r>
      <w:r>
        <w:tab/>
      </w:r>
      <w:r w:rsidR="00A90FD3" w:rsidRPr="009539A3">
        <w:t>agree that if there are any changes to the above information I will notify the Ministry of Health immediately</w:t>
      </w:r>
    </w:p>
    <w:p w14:paraId="2A6E801C" w14:textId="50A48704" w:rsidR="00A90FD3" w:rsidRPr="009539A3" w:rsidRDefault="005B0254" w:rsidP="005B0254">
      <w:pPr>
        <w:pStyle w:val="Number"/>
      </w:pPr>
      <w:r>
        <w:t>3</w:t>
      </w:r>
      <w:r>
        <w:tab/>
      </w:r>
      <w:r w:rsidR="00A90FD3" w:rsidRPr="009539A3">
        <w:t xml:space="preserve">agree to submit a yearly update to the Ministry of Health </w:t>
      </w:r>
      <w:r w:rsidR="00A401FF">
        <w:t xml:space="preserve">and NZTA </w:t>
      </w:r>
      <w:r w:rsidR="00A90FD3" w:rsidRPr="009539A3">
        <w:t xml:space="preserve">as per Appendix </w:t>
      </w:r>
      <w:r w:rsidR="00A90FD3">
        <w:t>D: Yearly update for assessment centres under section 65 of the Land Transport Act 1998</w:t>
      </w:r>
    </w:p>
    <w:p w14:paraId="6C357083" w14:textId="77777777" w:rsidR="004711E2" w:rsidRDefault="005B0254" w:rsidP="005B0254">
      <w:pPr>
        <w:pStyle w:val="Number"/>
      </w:pPr>
      <w:r>
        <w:t>4</w:t>
      </w:r>
      <w:r>
        <w:tab/>
      </w:r>
      <w:r w:rsidR="00A90FD3" w:rsidRPr="009539A3">
        <w:t>understand that my assessments may be audited from time to time</w:t>
      </w:r>
    </w:p>
    <w:p w14:paraId="592A3039" w14:textId="77777777" w:rsidR="00A90FD3" w:rsidRPr="009539A3" w:rsidRDefault="005B0254" w:rsidP="005B0254">
      <w:pPr>
        <w:pStyle w:val="Number"/>
      </w:pPr>
      <w:r>
        <w:t>5</w:t>
      </w:r>
      <w:r>
        <w:tab/>
      </w:r>
      <w:r w:rsidR="00A90FD3" w:rsidRPr="009539A3">
        <w:t>understand that dapaanz will inform the Ministry of Health if my registration, or the registration of anyone in my organisation, lapses</w:t>
      </w:r>
    </w:p>
    <w:p w14:paraId="4288E46E" w14:textId="77777777" w:rsidR="00A90FD3" w:rsidRPr="009539A3" w:rsidRDefault="005B0254" w:rsidP="005B0254">
      <w:pPr>
        <w:pStyle w:val="Number"/>
      </w:pPr>
      <w:r>
        <w:t>6</w:t>
      </w:r>
      <w:r>
        <w:tab/>
      </w:r>
      <w:r w:rsidR="00A90FD3" w:rsidRPr="009539A3">
        <w:t xml:space="preserve">understand that the Ministry </w:t>
      </w:r>
      <w:r w:rsidR="00A90FD3">
        <w:t xml:space="preserve">of Health </w:t>
      </w:r>
      <w:r w:rsidR="00A90FD3" w:rsidRPr="009539A3">
        <w:t>reserves the right to suspend or revoke my approval if</w:t>
      </w:r>
      <w:r w:rsidR="00A90FD3">
        <w:t>,</w:t>
      </w:r>
      <w:r w:rsidR="00A90FD3" w:rsidRPr="009539A3">
        <w:t xml:space="preserve"> at any point</w:t>
      </w:r>
      <w:r w:rsidR="00A90FD3">
        <w:t>,</w:t>
      </w:r>
      <w:r w:rsidR="00A90FD3" w:rsidRPr="009539A3">
        <w:t xml:space="preserve"> I do not meet all the requirements of an assessment centre set out in </w:t>
      </w:r>
      <w:r w:rsidR="00A90FD3">
        <w:t>s</w:t>
      </w:r>
      <w:r w:rsidR="00A90FD3" w:rsidRPr="009539A3">
        <w:t xml:space="preserve">ection </w:t>
      </w:r>
      <w:r w:rsidR="00A90FD3">
        <w:t>7:</w:t>
      </w:r>
      <w:r w:rsidR="00A90FD3" w:rsidRPr="009539A3">
        <w:t xml:space="preserve"> </w:t>
      </w:r>
      <w:r w:rsidR="00A90FD3">
        <w:t>Becoming an approved assessment centre</w:t>
      </w:r>
      <w:r w:rsidR="00A90FD3" w:rsidRPr="009539A3">
        <w:t>.</w:t>
      </w:r>
    </w:p>
    <w:p w14:paraId="18B0351E" w14:textId="77777777" w:rsidR="00A90FD3" w:rsidRPr="009539A3" w:rsidRDefault="00A90FD3" w:rsidP="005B0254"/>
    <w:tbl>
      <w:tblPr>
        <w:tblW w:w="9356" w:type="dxa"/>
        <w:tblLayout w:type="fixed"/>
        <w:tblCellMar>
          <w:left w:w="0" w:type="dxa"/>
          <w:right w:w="0" w:type="dxa"/>
        </w:tblCellMar>
        <w:tblLook w:val="04A0" w:firstRow="1" w:lastRow="0" w:firstColumn="1" w:lastColumn="0" w:noHBand="0" w:noVBand="1"/>
      </w:tblPr>
      <w:tblGrid>
        <w:gridCol w:w="9356"/>
      </w:tblGrid>
      <w:tr w:rsidR="00A90FD3" w:rsidRPr="009539A3" w14:paraId="037D2D53" w14:textId="77777777" w:rsidTr="005B0254">
        <w:trPr>
          <w:cantSplit/>
        </w:trPr>
        <w:tc>
          <w:tcPr>
            <w:tcW w:w="9356" w:type="dxa"/>
            <w:hideMark/>
          </w:tcPr>
          <w:p w14:paraId="3AF27B9E"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14"/>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69F6F2C7" w14:textId="77777777" w:rsidTr="005B0254">
        <w:trPr>
          <w:cantSplit/>
        </w:trPr>
        <w:tc>
          <w:tcPr>
            <w:tcW w:w="9356" w:type="dxa"/>
            <w:tcBorders>
              <w:top w:val="single" w:sz="4" w:space="0" w:color="auto"/>
              <w:left w:val="nil"/>
              <w:bottom w:val="nil"/>
              <w:right w:val="nil"/>
            </w:tcBorders>
            <w:hideMark/>
          </w:tcPr>
          <w:p w14:paraId="74408338" w14:textId="77777777" w:rsidR="00A90FD3" w:rsidRPr="009539A3" w:rsidRDefault="00A90FD3" w:rsidP="005B0254">
            <w:pPr>
              <w:spacing w:after="80" w:line="240" w:lineRule="auto"/>
              <w:rPr>
                <w:rFonts w:cs="Arial"/>
                <w:szCs w:val="24"/>
              </w:rPr>
            </w:pPr>
            <w:r w:rsidRPr="009539A3">
              <w:rPr>
                <w:rFonts w:cs="Arial"/>
                <w:szCs w:val="24"/>
              </w:rPr>
              <w:t>Applicant signature</w:t>
            </w:r>
          </w:p>
        </w:tc>
      </w:tr>
      <w:tr w:rsidR="00A90FD3" w:rsidRPr="009539A3" w14:paraId="63C1C454" w14:textId="77777777" w:rsidTr="005B0254">
        <w:trPr>
          <w:cantSplit/>
        </w:trPr>
        <w:tc>
          <w:tcPr>
            <w:tcW w:w="9356" w:type="dxa"/>
            <w:tcBorders>
              <w:top w:val="nil"/>
              <w:left w:val="nil"/>
              <w:bottom w:val="single" w:sz="4" w:space="0" w:color="auto"/>
              <w:right w:val="nil"/>
            </w:tcBorders>
            <w:hideMark/>
          </w:tcPr>
          <w:p w14:paraId="41CCAAD0" w14:textId="77777777" w:rsidR="00A90FD3" w:rsidRPr="009539A3" w:rsidRDefault="00A90FD3" w:rsidP="005B0254">
            <w:pPr>
              <w:spacing w:before="180" w:after="80" w:line="240" w:lineRule="auto"/>
              <w:rPr>
                <w:rFonts w:cs="Arial"/>
                <w:szCs w:val="24"/>
              </w:rPr>
            </w:pPr>
            <w:r w:rsidRPr="009539A3">
              <w:rPr>
                <w:rFonts w:cs="Arial"/>
                <w:szCs w:val="24"/>
              </w:rPr>
              <w:fldChar w:fldCharType="begin">
                <w:ffData>
                  <w:name w:val="Text16"/>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58C3323A" w14:textId="77777777" w:rsidTr="005B0254">
        <w:trPr>
          <w:cantSplit/>
        </w:trPr>
        <w:tc>
          <w:tcPr>
            <w:tcW w:w="9356" w:type="dxa"/>
            <w:tcBorders>
              <w:top w:val="single" w:sz="4" w:space="0" w:color="auto"/>
              <w:left w:val="nil"/>
              <w:bottom w:val="nil"/>
              <w:right w:val="nil"/>
            </w:tcBorders>
            <w:hideMark/>
          </w:tcPr>
          <w:p w14:paraId="1B95B165" w14:textId="77777777" w:rsidR="00A90FD3" w:rsidRPr="009539A3" w:rsidRDefault="00A90FD3" w:rsidP="005B0254">
            <w:pPr>
              <w:spacing w:after="80" w:line="240" w:lineRule="auto"/>
              <w:rPr>
                <w:rFonts w:cs="Arial"/>
                <w:szCs w:val="24"/>
              </w:rPr>
            </w:pPr>
            <w:r w:rsidRPr="009539A3">
              <w:rPr>
                <w:rFonts w:cs="Arial"/>
                <w:szCs w:val="24"/>
              </w:rPr>
              <w:t>Print name</w:t>
            </w:r>
          </w:p>
        </w:tc>
      </w:tr>
      <w:tr w:rsidR="00A90FD3" w:rsidRPr="009539A3" w14:paraId="41600CA9" w14:textId="77777777" w:rsidTr="005B0254">
        <w:trPr>
          <w:cantSplit/>
        </w:trPr>
        <w:tc>
          <w:tcPr>
            <w:tcW w:w="9356" w:type="dxa"/>
            <w:tcBorders>
              <w:top w:val="nil"/>
              <w:left w:val="nil"/>
              <w:bottom w:val="single" w:sz="4" w:space="0" w:color="auto"/>
              <w:right w:val="nil"/>
            </w:tcBorders>
            <w:hideMark/>
          </w:tcPr>
          <w:p w14:paraId="536AC04C" w14:textId="77777777" w:rsidR="00A90FD3" w:rsidRPr="009539A3" w:rsidRDefault="00A90FD3" w:rsidP="005B0254">
            <w:pPr>
              <w:spacing w:before="180" w:after="80" w:line="240" w:lineRule="auto"/>
              <w:rPr>
                <w:rFonts w:cs="Arial"/>
                <w:szCs w:val="24"/>
              </w:rPr>
            </w:pPr>
            <w:r w:rsidRPr="009539A3">
              <w:rPr>
                <w:rFonts w:cs="Arial"/>
                <w:szCs w:val="24"/>
              </w:rPr>
              <w:fldChar w:fldCharType="begin">
                <w:ffData>
                  <w:name w:val="Text18"/>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51F36AF8" w14:textId="77777777" w:rsidTr="005B0254">
        <w:trPr>
          <w:cantSplit/>
        </w:trPr>
        <w:tc>
          <w:tcPr>
            <w:tcW w:w="9356" w:type="dxa"/>
            <w:tcBorders>
              <w:top w:val="single" w:sz="4" w:space="0" w:color="auto"/>
              <w:left w:val="nil"/>
              <w:bottom w:val="nil"/>
              <w:right w:val="nil"/>
            </w:tcBorders>
            <w:hideMark/>
          </w:tcPr>
          <w:p w14:paraId="1CD27C33" w14:textId="77777777" w:rsidR="00A90FD3" w:rsidRPr="009539A3" w:rsidRDefault="00A90FD3" w:rsidP="005B0254">
            <w:pPr>
              <w:spacing w:after="80" w:line="240" w:lineRule="auto"/>
              <w:rPr>
                <w:rFonts w:cs="Arial"/>
                <w:szCs w:val="24"/>
              </w:rPr>
            </w:pPr>
            <w:r w:rsidRPr="009539A3">
              <w:rPr>
                <w:rFonts w:cs="Arial"/>
                <w:szCs w:val="24"/>
              </w:rPr>
              <w:t>Date</w:t>
            </w:r>
          </w:p>
        </w:tc>
      </w:tr>
    </w:tbl>
    <w:p w14:paraId="025BA003" w14:textId="77777777" w:rsidR="00A90FD3" w:rsidRPr="009539A3" w:rsidRDefault="00A90FD3" w:rsidP="005B0254"/>
    <w:p w14:paraId="1016467E" w14:textId="77777777" w:rsidR="00A90FD3" w:rsidRPr="009539A3" w:rsidRDefault="00A90FD3" w:rsidP="005B0254">
      <w:r w:rsidRPr="009539A3">
        <w:t>Please email this completed form (with attachments) to:</w:t>
      </w:r>
    </w:p>
    <w:p w14:paraId="419B1A7B" w14:textId="77777777" w:rsidR="004711E2" w:rsidRDefault="00A90FD3" w:rsidP="005B0254">
      <w:pPr>
        <w:spacing w:before="120"/>
        <w:ind w:left="567"/>
      </w:pPr>
      <w:r w:rsidRPr="009539A3">
        <w:t>Team Leader, Office of the Director of Mental Health</w:t>
      </w:r>
    </w:p>
    <w:p w14:paraId="7653AED5" w14:textId="77777777" w:rsidR="00A90FD3" w:rsidRPr="009539A3" w:rsidRDefault="00A90FD3" w:rsidP="005B0254">
      <w:pPr>
        <w:ind w:left="567"/>
      </w:pPr>
      <w:r w:rsidRPr="009539A3">
        <w:t>Email: mentalhealthadmin@moh.govt.nz</w:t>
      </w:r>
    </w:p>
    <w:p w14:paraId="03670C88" w14:textId="77777777" w:rsidR="00A90FD3" w:rsidRPr="009539A3" w:rsidRDefault="00A90FD3" w:rsidP="005B0254"/>
    <w:p w14:paraId="2358674B" w14:textId="77777777" w:rsidR="004711E2" w:rsidRDefault="00A90FD3" w:rsidP="00E920F2">
      <w:pPr>
        <w:pStyle w:val="Heading1"/>
        <w:numPr>
          <w:ilvl w:val="0"/>
          <w:numId w:val="0"/>
        </w:numPr>
      </w:pPr>
      <w:bookmarkStart w:id="114" w:name="_Toc490728429"/>
      <w:bookmarkStart w:id="115" w:name="_Toc492493096"/>
      <w:r>
        <w:lastRenderedPageBreak/>
        <w:t>Appendix D:</w:t>
      </w:r>
      <w:r w:rsidR="00E920F2">
        <w:t xml:space="preserve"> </w:t>
      </w:r>
      <w:r w:rsidRPr="004F1D8F">
        <w:t>Yearly update for assessment centres</w:t>
      </w:r>
      <w:bookmarkEnd w:id="114"/>
      <w:bookmarkEnd w:id="115"/>
    </w:p>
    <w:p w14:paraId="117F7055" w14:textId="77777777" w:rsidR="004711E2" w:rsidRPr="007551B7" w:rsidRDefault="00A90FD3" w:rsidP="007551B7">
      <w:pPr>
        <w:rPr>
          <w:b/>
        </w:rPr>
      </w:pPr>
      <w:r w:rsidRPr="007551B7">
        <w:rPr>
          <w:b/>
        </w:rPr>
        <w:t>This update is due at the Ministry of Health and NZTA by 1 July each year.</w:t>
      </w:r>
    </w:p>
    <w:p w14:paraId="61051650" w14:textId="77777777" w:rsidR="00A90FD3" w:rsidRPr="009539A3" w:rsidRDefault="00A90FD3" w:rsidP="007551B7"/>
    <w:p w14:paraId="1B35E610" w14:textId="77777777" w:rsidR="004711E2" w:rsidRDefault="00A90FD3" w:rsidP="007551B7">
      <w:r w:rsidRPr="009539A3">
        <w:t>I am providing this update as (please tick one):</w:t>
      </w:r>
    </w:p>
    <w:p w14:paraId="7DC7B5F9" w14:textId="77777777" w:rsidR="004711E2" w:rsidRDefault="007551B7" w:rsidP="007551B7">
      <w:pPr>
        <w:ind w:left="567" w:hanging="567"/>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00A90FD3" w:rsidRPr="009539A3">
        <w:tab/>
        <w:t>an individual approved as an assessment centre</w:t>
      </w:r>
    </w:p>
    <w:p w14:paraId="719CFA34" w14:textId="77777777" w:rsidR="004711E2" w:rsidRDefault="007551B7" w:rsidP="007551B7">
      <w:pPr>
        <w:ind w:left="567" w:hanging="567"/>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00A90FD3" w:rsidRPr="009539A3">
        <w:tab/>
        <w:t>an organisation approved as an assessment centre (DHB, company</w:t>
      </w:r>
      <w:r w:rsidR="00A90FD3">
        <w:t xml:space="preserve"> or not-for-profit)</w:t>
      </w:r>
    </w:p>
    <w:p w14:paraId="2E379AB2" w14:textId="77777777" w:rsidR="00A90FD3" w:rsidRPr="004F1D8F" w:rsidRDefault="00A90FD3" w:rsidP="007551B7"/>
    <w:tbl>
      <w:tblPr>
        <w:tblW w:w="9366" w:type="dxa"/>
        <w:tblLayout w:type="fixed"/>
        <w:tblCellMar>
          <w:left w:w="0" w:type="dxa"/>
          <w:right w:w="0" w:type="dxa"/>
        </w:tblCellMar>
        <w:tblLook w:val="04A0" w:firstRow="1" w:lastRow="0" w:firstColumn="1" w:lastColumn="0" w:noHBand="0" w:noVBand="1"/>
      </w:tblPr>
      <w:tblGrid>
        <w:gridCol w:w="3828"/>
        <w:gridCol w:w="1024"/>
        <w:gridCol w:w="146"/>
        <w:gridCol w:w="4358"/>
        <w:gridCol w:w="10"/>
      </w:tblGrid>
      <w:tr w:rsidR="007551B7" w:rsidRPr="009539A3" w14:paraId="12974017" w14:textId="77777777" w:rsidTr="007551B7">
        <w:trPr>
          <w:gridAfter w:val="1"/>
          <w:wAfter w:w="10" w:type="dxa"/>
          <w:cantSplit/>
          <w:trHeight w:val="273"/>
        </w:trPr>
        <w:tc>
          <w:tcPr>
            <w:tcW w:w="9356" w:type="dxa"/>
            <w:gridSpan w:val="4"/>
            <w:tcBorders>
              <w:top w:val="nil"/>
              <w:left w:val="nil"/>
              <w:bottom w:val="single" w:sz="4" w:space="0" w:color="auto"/>
            </w:tcBorders>
            <w:hideMark/>
          </w:tcPr>
          <w:p w14:paraId="2636779B" w14:textId="77777777" w:rsidR="007551B7" w:rsidRPr="009539A3" w:rsidRDefault="007551B7" w:rsidP="004711E2">
            <w:pPr>
              <w:spacing w:before="80" w:after="80" w:line="240" w:lineRule="auto"/>
              <w:rPr>
                <w:rFonts w:cs="Arial"/>
                <w:szCs w:val="24"/>
              </w:rPr>
            </w:pPr>
            <w:r w:rsidRPr="009539A3">
              <w:rPr>
                <w:rFonts w:cs="Arial"/>
                <w:szCs w:val="24"/>
              </w:rPr>
              <w:fldChar w:fldCharType="begin">
                <w:ffData>
                  <w:name w:val="Text1"/>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7551B7" w:rsidRPr="009539A3" w14:paraId="5A219BAF" w14:textId="77777777" w:rsidTr="007551B7">
        <w:trPr>
          <w:cantSplit/>
          <w:trHeight w:val="217"/>
        </w:trPr>
        <w:tc>
          <w:tcPr>
            <w:tcW w:w="9366" w:type="dxa"/>
            <w:gridSpan w:val="5"/>
            <w:tcBorders>
              <w:top w:val="single" w:sz="4" w:space="0" w:color="auto"/>
              <w:left w:val="nil"/>
              <w:bottom w:val="nil"/>
              <w:right w:val="nil"/>
            </w:tcBorders>
            <w:hideMark/>
          </w:tcPr>
          <w:p w14:paraId="4F827078" w14:textId="77777777" w:rsidR="007551B7" w:rsidRPr="009539A3" w:rsidRDefault="007551B7" w:rsidP="004711E2">
            <w:pPr>
              <w:spacing w:after="80" w:line="240" w:lineRule="auto"/>
              <w:rPr>
                <w:rFonts w:cs="Arial"/>
                <w:szCs w:val="24"/>
              </w:rPr>
            </w:pPr>
            <w:r w:rsidRPr="00A30D8F">
              <w:rPr>
                <w:rFonts w:cs="Arial"/>
                <w:szCs w:val="24"/>
              </w:rPr>
              <w:t>Name</w:t>
            </w:r>
          </w:p>
        </w:tc>
      </w:tr>
      <w:tr w:rsidR="00A90FD3" w:rsidRPr="009539A3" w14:paraId="305BC3EA" w14:textId="77777777" w:rsidTr="007551B7">
        <w:trPr>
          <w:cantSplit/>
          <w:trHeight w:val="339"/>
        </w:trPr>
        <w:tc>
          <w:tcPr>
            <w:tcW w:w="4852" w:type="dxa"/>
            <w:gridSpan w:val="2"/>
            <w:hideMark/>
          </w:tcPr>
          <w:p w14:paraId="565E7E96"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2"/>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c>
          <w:tcPr>
            <w:tcW w:w="146" w:type="dxa"/>
          </w:tcPr>
          <w:p w14:paraId="022B1D8F" w14:textId="77777777" w:rsidR="00A90FD3" w:rsidRPr="009539A3" w:rsidRDefault="00A90FD3" w:rsidP="004711E2">
            <w:pPr>
              <w:spacing w:before="180" w:after="80" w:line="240" w:lineRule="auto"/>
              <w:rPr>
                <w:rFonts w:cs="Arial"/>
                <w:szCs w:val="24"/>
              </w:rPr>
            </w:pPr>
          </w:p>
        </w:tc>
        <w:tc>
          <w:tcPr>
            <w:tcW w:w="4368" w:type="dxa"/>
            <w:gridSpan w:val="2"/>
            <w:hideMark/>
          </w:tcPr>
          <w:p w14:paraId="4B199AFD"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3"/>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72971F6F" w14:textId="77777777" w:rsidTr="007551B7">
        <w:trPr>
          <w:cantSplit/>
          <w:trHeight w:val="226"/>
        </w:trPr>
        <w:tc>
          <w:tcPr>
            <w:tcW w:w="4852" w:type="dxa"/>
            <w:gridSpan w:val="2"/>
            <w:tcBorders>
              <w:top w:val="single" w:sz="4" w:space="0" w:color="auto"/>
              <w:left w:val="nil"/>
              <w:bottom w:val="nil"/>
              <w:right w:val="nil"/>
            </w:tcBorders>
            <w:hideMark/>
          </w:tcPr>
          <w:p w14:paraId="4B77B6FB" w14:textId="77777777" w:rsidR="00A90FD3" w:rsidRPr="00A30D8F" w:rsidRDefault="00A90FD3">
            <w:pPr>
              <w:spacing w:after="80" w:line="240" w:lineRule="auto"/>
              <w:rPr>
                <w:rFonts w:cs="Arial"/>
                <w:szCs w:val="24"/>
              </w:rPr>
            </w:pPr>
            <w:r w:rsidRPr="00A30D8F">
              <w:rPr>
                <w:rFonts w:cs="Arial"/>
                <w:szCs w:val="24"/>
              </w:rPr>
              <w:t>Organisation/</w:t>
            </w:r>
            <w:r w:rsidR="007551B7">
              <w:rPr>
                <w:rFonts w:cs="Arial"/>
                <w:szCs w:val="24"/>
              </w:rPr>
              <w:t>c</w:t>
            </w:r>
            <w:r w:rsidRPr="00A30D8F">
              <w:rPr>
                <w:rFonts w:cs="Arial"/>
                <w:szCs w:val="24"/>
              </w:rPr>
              <w:t>ompany name</w:t>
            </w:r>
          </w:p>
        </w:tc>
        <w:tc>
          <w:tcPr>
            <w:tcW w:w="146" w:type="dxa"/>
          </w:tcPr>
          <w:p w14:paraId="4AB3A641" w14:textId="77777777" w:rsidR="00A90FD3" w:rsidRPr="00A30D8F" w:rsidRDefault="00A90FD3" w:rsidP="004711E2">
            <w:pPr>
              <w:spacing w:after="80" w:line="240" w:lineRule="auto"/>
              <w:rPr>
                <w:rFonts w:cs="Arial"/>
                <w:szCs w:val="24"/>
              </w:rPr>
            </w:pPr>
          </w:p>
        </w:tc>
        <w:tc>
          <w:tcPr>
            <w:tcW w:w="4368" w:type="dxa"/>
            <w:gridSpan w:val="2"/>
            <w:tcBorders>
              <w:top w:val="single" w:sz="4" w:space="0" w:color="auto"/>
              <w:left w:val="nil"/>
              <w:bottom w:val="nil"/>
              <w:right w:val="nil"/>
            </w:tcBorders>
            <w:hideMark/>
          </w:tcPr>
          <w:p w14:paraId="68FDFB1B" w14:textId="77777777" w:rsidR="00A90FD3" w:rsidRPr="00A30D8F" w:rsidRDefault="00A90FD3" w:rsidP="004711E2">
            <w:pPr>
              <w:spacing w:after="80" w:line="240" w:lineRule="auto"/>
              <w:rPr>
                <w:rFonts w:cs="Arial"/>
                <w:szCs w:val="24"/>
              </w:rPr>
            </w:pPr>
            <w:r w:rsidRPr="00A30D8F">
              <w:rPr>
                <w:rFonts w:cs="Arial"/>
                <w:szCs w:val="24"/>
              </w:rPr>
              <w:t>Position</w:t>
            </w:r>
          </w:p>
        </w:tc>
      </w:tr>
      <w:tr w:rsidR="00A90FD3" w:rsidRPr="009539A3" w14:paraId="0627E19E" w14:textId="77777777" w:rsidTr="007551B7">
        <w:trPr>
          <w:gridAfter w:val="3"/>
          <w:wAfter w:w="4514" w:type="dxa"/>
          <w:cantSplit/>
          <w:trHeight w:val="330"/>
        </w:trPr>
        <w:tc>
          <w:tcPr>
            <w:tcW w:w="4852" w:type="dxa"/>
            <w:gridSpan w:val="2"/>
            <w:tcBorders>
              <w:top w:val="nil"/>
              <w:left w:val="nil"/>
              <w:bottom w:val="single" w:sz="4" w:space="0" w:color="auto"/>
              <w:right w:val="nil"/>
            </w:tcBorders>
            <w:hideMark/>
          </w:tcPr>
          <w:p w14:paraId="2A9DE35B" w14:textId="77777777" w:rsidR="00A90FD3" w:rsidRPr="009539A3" w:rsidRDefault="00A90FD3" w:rsidP="004711E2">
            <w:pPr>
              <w:spacing w:before="180" w:after="80" w:line="240" w:lineRule="auto"/>
              <w:rPr>
                <w:rFonts w:cs="Arial"/>
                <w:szCs w:val="24"/>
              </w:rPr>
            </w:pPr>
            <w:r w:rsidRPr="009539A3">
              <w:rPr>
                <w:rFonts w:cs="Arial"/>
                <w:szCs w:val="24"/>
              </w:rPr>
              <w:fldChar w:fldCharType="begin">
                <w:ffData>
                  <w:name w:val="Text4"/>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6886B16F" w14:textId="77777777" w:rsidTr="007551B7">
        <w:trPr>
          <w:cantSplit/>
          <w:trHeight w:val="273"/>
        </w:trPr>
        <w:tc>
          <w:tcPr>
            <w:tcW w:w="4852" w:type="dxa"/>
            <w:gridSpan w:val="2"/>
            <w:tcBorders>
              <w:top w:val="single" w:sz="4" w:space="0" w:color="auto"/>
              <w:left w:val="nil"/>
              <w:bottom w:val="nil"/>
              <w:right w:val="nil"/>
            </w:tcBorders>
            <w:hideMark/>
          </w:tcPr>
          <w:p w14:paraId="43072FC8" w14:textId="77777777" w:rsidR="00A90FD3" w:rsidRPr="009539A3" w:rsidRDefault="00A90FD3" w:rsidP="004711E2">
            <w:pPr>
              <w:spacing w:before="80" w:after="80" w:line="240" w:lineRule="auto"/>
              <w:rPr>
                <w:rFonts w:cs="Arial"/>
                <w:szCs w:val="24"/>
              </w:rPr>
            </w:pPr>
            <w:r w:rsidRPr="00A30D8F">
              <w:rPr>
                <w:rFonts w:cs="Arial"/>
                <w:szCs w:val="24"/>
              </w:rPr>
              <w:t>Postal address</w:t>
            </w:r>
          </w:p>
        </w:tc>
        <w:tc>
          <w:tcPr>
            <w:tcW w:w="146" w:type="dxa"/>
            <w:tcBorders>
              <w:top w:val="single" w:sz="4" w:space="0" w:color="auto"/>
              <w:left w:val="nil"/>
              <w:bottom w:val="nil"/>
              <w:right w:val="nil"/>
            </w:tcBorders>
          </w:tcPr>
          <w:p w14:paraId="05C0ED24" w14:textId="77777777" w:rsidR="00A90FD3" w:rsidRPr="009539A3" w:rsidRDefault="00A90FD3" w:rsidP="004711E2">
            <w:pPr>
              <w:spacing w:before="80" w:after="80" w:line="240" w:lineRule="auto"/>
              <w:rPr>
                <w:rFonts w:cs="Arial"/>
                <w:szCs w:val="24"/>
              </w:rPr>
            </w:pPr>
          </w:p>
        </w:tc>
        <w:tc>
          <w:tcPr>
            <w:tcW w:w="4368" w:type="dxa"/>
            <w:gridSpan w:val="2"/>
            <w:tcBorders>
              <w:top w:val="single" w:sz="4" w:space="0" w:color="auto"/>
              <w:left w:val="nil"/>
              <w:bottom w:val="nil"/>
              <w:right w:val="nil"/>
            </w:tcBorders>
          </w:tcPr>
          <w:p w14:paraId="55563D9E" w14:textId="77777777" w:rsidR="00A90FD3" w:rsidRPr="009539A3" w:rsidRDefault="00A90FD3" w:rsidP="004711E2">
            <w:pPr>
              <w:spacing w:before="80" w:after="80" w:line="240" w:lineRule="auto"/>
              <w:rPr>
                <w:rFonts w:cs="Arial"/>
                <w:szCs w:val="24"/>
              </w:rPr>
            </w:pPr>
          </w:p>
        </w:tc>
      </w:tr>
      <w:tr w:rsidR="00A90FD3" w:rsidRPr="009539A3" w14:paraId="6F603166" w14:textId="77777777" w:rsidTr="007551B7">
        <w:trPr>
          <w:cantSplit/>
          <w:trHeight w:val="339"/>
        </w:trPr>
        <w:tc>
          <w:tcPr>
            <w:tcW w:w="4852" w:type="dxa"/>
            <w:gridSpan w:val="2"/>
            <w:tcBorders>
              <w:top w:val="nil"/>
              <w:left w:val="nil"/>
              <w:bottom w:val="single" w:sz="4" w:space="0" w:color="auto"/>
              <w:right w:val="nil"/>
            </w:tcBorders>
            <w:hideMark/>
          </w:tcPr>
          <w:p w14:paraId="1251E3C4" w14:textId="77777777" w:rsidR="00A90FD3" w:rsidRPr="009539A3" w:rsidRDefault="00A90FD3" w:rsidP="004711E2">
            <w:pPr>
              <w:spacing w:before="180" w:after="80" w:line="240" w:lineRule="auto"/>
              <w:rPr>
                <w:rFonts w:cs="Arial"/>
                <w:szCs w:val="24"/>
              </w:rPr>
            </w:pPr>
            <w:r w:rsidRPr="009539A3">
              <w:rPr>
                <w:rFonts w:cs="Arial"/>
                <w:szCs w:val="24"/>
              </w:rPr>
              <w:t>(</w:t>
            </w:r>
            <w:r w:rsidRPr="009539A3">
              <w:rPr>
                <w:rFonts w:cs="Arial"/>
                <w:szCs w:val="24"/>
              </w:rPr>
              <w:fldChar w:fldCharType="begin">
                <w:ffData>
                  <w:name w:val="Text5"/>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szCs w:val="24"/>
              </w:rPr>
              <w:fldChar w:fldCharType="end"/>
            </w:r>
            <w:r w:rsidRPr="009539A3">
              <w:rPr>
                <w:rFonts w:cs="Arial"/>
                <w:szCs w:val="24"/>
              </w:rPr>
              <w:t xml:space="preserve">) </w:t>
            </w:r>
            <w:r w:rsidRPr="009539A3">
              <w:rPr>
                <w:rFonts w:cs="Arial"/>
                <w:szCs w:val="24"/>
              </w:rPr>
              <w:fldChar w:fldCharType="begin">
                <w:ffData>
                  <w:name w:val="Text6"/>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c>
          <w:tcPr>
            <w:tcW w:w="146" w:type="dxa"/>
          </w:tcPr>
          <w:p w14:paraId="6A9B9404" w14:textId="77777777" w:rsidR="00A90FD3" w:rsidRPr="009539A3" w:rsidRDefault="00A90FD3" w:rsidP="004711E2">
            <w:pPr>
              <w:spacing w:before="180" w:after="80" w:line="240" w:lineRule="auto"/>
              <w:rPr>
                <w:rFonts w:cs="Arial"/>
                <w:szCs w:val="24"/>
              </w:rPr>
            </w:pPr>
          </w:p>
        </w:tc>
        <w:tc>
          <w:tcPr>
            <w:tcW w:w="4368" w:type="dxa"/>
            <w:gridSpan w:val="2"/>
            <w:tcBorders>
              <w:top w:val="nil"/>
              <w:left w:val="nil"/>
              <w:bottom w:val="single" w:sz="4" w:space="0" w:color="auto"/>
              <w:right w:val="nil"/>
            </w:tcBorders>
            <w:hideMark/>
          </w:tcPr>
          <w:p w14:paraId="6D8A5809" w14:textId="77777777" w:rsidR="00A90FD3" w:rsidRPr="009539A3" w:rsidRDefault="00A90FD3" w:rsidP="004711E2">
            <w:pPr>
              <w:spacing w:before="180" w:after="80" w:line="240" w:lineRule="auto"/>
              <w:rPr>
                <w:rFonts w:cs="Arial"/>
                <w:szCs w:val="24"/>
              </w:rPr>
            </w:pPr>
            <w:r w:rsidRPr="009539A3">
              <w:rPr>
                <w:rFonts w:cs="Arial"/>
                <w:szCs w:val="24"/>
              </w:rPr>
              <w:t>(</w:t>
            </w:r>
            <w:r w:rsidRPr="009539A3">
              <w:rPr>
                <w:rFonts w:cs="Arial"/>
                <w:szCs w:val="24"/>
              </w:rPr>
              <w:fldChar w:fldCharType="begin">
                <w:ffData>
                  <w:name w:val="Text7"/>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szCs w:val="24"/>
              </w:rPr>
              <w:fldChar w:fldCharType="end"/>
            </w:r>
            <w:r w:rsidRPr="009539A3">
              <w:rPr>
                <w:rFonts w:cs="Arial"/>
                <w:szCs w:val="24"/>
              </w:rPr>
              <w:t xml:space="preserve">) </w:t>
            </w:r>
            <w:r w:rsidRPr="009539A3">
              <w:rPr>
                <w:rFonts w:cs="Arial"/>
                <w:szCs w:val="24"/>
              </w:rPr>
              <w:fldChar w:fldCharType="begin">
                <w:ffData>
                  <w:name w:val="Text8"/>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A90FD3" w:rsidRPr="009539A3" w14:paraId="6F0929A5" w14:textId="77777777" w:rsidTr="007551B7">
        <w:trPr>
          <w:cantSplit/>
          <w:trHeight w:val="217"/>
        </w:trPr>
        <w:tc>
          <w:tcPr>
            <w:tcW w:w="4852" w:type="dxa"/>
            <w:gridSpan w:val="2"/>
            <w:tcBorders>
              <w:top w:val="single" w:sz="4" w:space="0" w:color="auto"/>
              <w:left w:val="nil"/>
              <w:bottom w:val="nil"/>
              <w:right w:val="nil"/>
            </w:tcBorders>
            <w:hideMark/>
          </w:tcPr>
          <w:p w14:paraId="5854180E" w14:textId="77777777" w:rsidR="00A90FD3" w:rsidRPr="00A30D8F" w:rsidRDefault="00A90FD3" w:rsidP="004711E2">
            <w:pPr>
              <w:spacing w:after="80" w:line="240" w:lineRule="auto"/>
              <w:rPr>
                <w:rFonts w:cs="Arial"/>
                <w:szCs w:val="24"/>
              </w:rPr>
            </w:pPr>
            <w:r w:rsidRPr="00A30D8F">
              <w:rPr>
                <w:rFonts w:cs="Arial"/>
                <w:szCs w:val="24"/>
              </w:rPr>
              <w:t>Telephone</w:t>
            </w:r>
          </w:p>
        </w:tc>
        <w:tc>
          <w:tcPr>
            <w:tcW w:w="146" w:type="dxa"/>
          </w:tcPr>
          <w:p w14:paraId="2D2BB09F" w14:textId="77777777" w:rsidR="00A90FD3" w:rsidRPr="00A30D8F" w:rsidRDefault="00A90FD3" w:rsidP="004711E2">
            <w:pPr>
              <w:spacing w:after="80" w:line="240" w:lineRule="auto"/>
              <w:rPr>
                <w:rFonts w:cs="Arial"/>
                <w:szCs w:val="24"/>
              </w:rPr>
            </w:pPr>
          </w:p>
        </w:tc>
        <w:tc>
          <w:tcPr>
            <w:tcW w:w="4368" w:type="dxa"/>
            <w:gridSpan w:val="2"/>
            <w:tcBorders>
              <w:top w:val="single" w:sz="4" w:space="0" w:color="auto"/>
              <w:left w:val="nil"/>
              <w:bottom w:val="nil"/>
              <w:right w:val="nil"/>
            </w:tcBorders>
            <w:hideMark/>
          </w:tcPr>
          <w:p w14:paraId="00238DF2" w14:textId="77777777" w:rsidR="00A90FD3" w:rsidRPr="00A30D8F" w:rsidRDefault="00A90FD3" w:rsidP="004711E2">
            <w:pPr>
              <w:spacing w:after="80" w:line="240" w:lineRule="auto"/>
              <w:rPr>
                <w:rFonts w:cs="Arial"/>
                <w:szCs w:val="24"/>
              </w:rPr>
            </w:pPr>
            <w:r w:rsidRPr="00A30D8F">
              <w:rPr>
                <w:rFonts w:cs="Arial"/>
                <w:szCs w:val="24"/>
              </w:rPr>
              <w:t>Mobile phone</w:t>
            </w:r>
          </w:p>
        </w:tc>
      </w:tr>
      <w:tr w:rsidR="007551B7" w:rsidRPr="009539A3" w14:paraId="16A0339E" w14:textId="77777777" w:rsidTr="00162C97">
        <w:trPr>
          <w:gridAfter w:val="1"/>
          <w:wAfter w:w="10" w:type="dxa"/>
          <w:cantSplit/>
          <w:trHeight w:val="273"/>
        </w:trPr>
        <w:tc>
          <w:tcPr>
            <w:tcW w:w="9356" w:type="dxa"/>
            <w:gridSpan w:val="4"/>
            <w:tcBorders>
              <w:top w:val="nil"/>
              <w:left w:val="nil"/>
              <w:bottom w:val="single" w:sz="4" w:space="0" w:color="auto"/>
            </w:tcBorders>
            <w:hideMark/>
          </w:tcPr>
          <w:p w14:paraId="4D8F89A4" w14:textId="77777777" w:rsidR="007551B7" w:rsidRPr="009539A3" w:rsidRDefault="007551B7" w:rsidP="007551B7">
            <w:pPr>
              <w:spacing w:before="180" w:after="80" w:line="240" w:lineRule="auto"/>
              <w:rPr>
                <w:rFonts w:cs="Arial"/>
                <w:szCs w:val="24"/>
              </w:rPr>
            </w:pPr>
            <w:r w:rsidRPr="009539A3">
              <w:rPr>
                <w:rFonts w:cs="Arial"/>
                <w:szCs w:val="24"/>
              </w:rPr>
              <w:fldChar w:fldCharType="begin">
                <w:ffData>
                  <w:name w:val="Text1"/>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r w:rsidR="007551B7" w:rsidRPr="009539A3" w14:paraId="7810C022" w14:textId="77777777" w:rsidTr="00162C97">
        <w:trPr>
          <w:cantSplit/>
          <w:trHeight w:val="217"/>
        </w:trPr>
        <w:tc>
          <w:tcPr>
            <w:tcW w:w="9366" w:type="dxa"/>
            <w:gridSpan w:val="5"/>
            <w:tcBorders>
              <w:top w:val="single" w:sz="4" w:space="0" w:color="auto"/>
              <w:left w:val="nil"/>
              <w:bottom w:val="nil"/>
              <w:right w:val="nil"/>
            </w:tcBorders>
            <w:hideMark/>
          </w:tcPr>
          <w:p w14:paraId="1AE9027A" w14:textId="77777777" w:rsidR="007551B7" w:rsidRPr="009539A3" w:rsidRDefault="007551B7" w:rsidP="007551B7">
            <w:pPr>
              <w:spacing w:after="80" w:line="240" w:lineRule="auto"/>
              <w:rPr>
                <w:rFonts w:cs="Arial"/>
                <w:szCs w:val="24"/>
              </w:rPr>
            </w:pPr>
            <w:r>
              <w:rPr>
                <w:rFonts w:cs="Arial"/>
                <w:szCs w:val="24"/>
              </w:rPr>
              <w:t>Email address</w:t>
            </w:r>
          </w:p>
        </w:tc>
      </w:tr>
      <w:tr w:rsidR="007551B7" w:rsidRPr="009539A3" w14:paraId="6ACF6490" w14:textId="77777777" w:rsidTr="007551B7">
        <w:trPr>
          <w:gridAfter w:val="1"/>
          <w:wAfter w:w="10" w:type="dxa"/>
          <w:cantSplit/>
          <w:trHeight w:val="273"/>
        </w:trPr>
        <w:tc>
          <w:tcPr>
            <w:tcW w:w="3828" w:type="dxa"/>
            <w:tcBorders>
              <w:top w:val="nil"/>
              <w:left w:val="nil"/>
            </w:tcBorders>
            <w:hideMark/>
          </w:tcPr>
          <w:p w14:paraId="35A7D2EF" w14:textId="77777777" w:rsidR="007551B7" w:rsidRPr="009539A3" w:rsidRDefault="007551B7" w:rsidP="00162C97">
            <w:pPr>
              <w:spacing w:before="180" w:after="80" w:line="240" w:lineRule="auto"/>
              <w:rPr>
                <w:rFonts w:cs="Arial"/>
                <w:szCs w:val="24"/>
              </w:rPr>
            </w:pPr>
            <w:r>
              <w:rPr>
                <w:rFonts w:cs="Arial"/>
                <w:szCs w:val="24"/>
              </w:rPr>
              <w:t>Locations of my assessment centre/s:</w:t>
            </w:r>
          </w:p>
        </w:tc>
        <w:tc>
          <w:tcPr>
            <w:tcW w:w="5528" w:type="dxa"/>
            <w:gridSpan w:val="3"/>
            <w:tcBorders>
              <w:top w:val="nil"/>
              <w:left w:val="nil"/>
              <w:bottom w:val="single" w:sz="4" w:space="0" w:color="auto"/>
            </w:tcBorders>
          </w:tcPr>
          <w:p w14:paraId="0253FAF6" w14:textId="77777777" w:rsidR="007551B7" w:rsidRPr="009539A3" w:rsidRDefault="007551B7" w:rsidP="00162C97">
            <w:pPr>
              <w:spacing w:before="180" w:after="80" w:line="240" w:lineRule="auto"/>
              <w:rPr>
                <w:rFonts w:cs="Arial"/>
                <w:szCs w:val="24"/>
              </w:rPr>
            </w:pPr>
            <w:r w:rsidRPr="009539A3">
              <w:rPr>
                <w:rFonts w:cs="Arial"/>
                <w:szCs w:val="24"/>
              </w:rPr>
              <w:fldChar w:fldCharType="begin">
                <w:ffData>
                  <w:name w:val="Text1"/>
                  <w:enabled/>
                  <w:calcOnExit w:val="0"/>
                  <w:textInput/>
                </w:ffData>
              </w:fldChar>
            </w:r>
            <w:r w:rsidRPr="009539A3">
              <w:rPr>
                <w:rFonts w:cs="Arial"/>
                <w:szCs w:val="24"/>
              </w:rPr>
              <w:instrText xml:space="preserve"> FORMTEXT </w:instrText>
            </w:r>
            <w:r w:rsidRPr="009539A3">
              <w:rPr>
                <w:rFonts w:cs="Arial"/>
                <w:szCs w:val="24"/>
              </w:rPr>
            </w:r>
            <w:r w:rsidRPr="009539A3">
              <w:rPr>
                <w:rFonts w:cs="Arial"/>
                <w:szCs w:val="24"/>
              </w:rPr>
              <w:fldChar w:fldCharType="separate"/>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noProof/>
                <w:szCs w:val="24"/>
              </w:rPr>
              <w:t> </w:t>
            </w:r>
            <w:r w:rsidRPr="009539A3">
              <w:rPr>
                <w:rFonts w:cs="Arial"/>
                <w:szCs w:val="24"/>
              </w:rPr>
              <w:fldChar w:fldCharType="end"/>
            </w:r>
          </w:p>
        </w:tc>
      </w:tr>
    </w:tbl>
    <w:p w14:paraId="3151E72B" w14:textId="77777777" w:rsidR="007551B7" w:rsidRDefault="007551B7"/>
    <w:p w14:paraId="2E1E3AF5" w14:textId="77777777" w:rsidR="007551B7" w:rsidRDefault="007551B7" w:rsidP="007551B7">
      <w:pPr>
        <w:spacing w:before="80" w:after="80" w:line="240" w:lineRule="auto"/>
        <w:rPr>
          <w:rFonts w:cs="Arial"/>
          <w:szCs w:val="24"/>
        </w:rPr>
      </w:pPr>
      <w:r>
        <w:rPr>
          <w:rFonts w:cs="Arial"/>
          <w:szCs w:val="24"/>
        </w:rPr>
        <w:t xml:space="preserve">Have there been changes to your address/info </w:t>
      </w:r>
      <w:r w:rsidRPr="00A30D8F">
        <w:rPr>
          <w:rFonts w:cs="Arial"/>
          <w:szCs w:val="24"/>
        </w:rPr>
        <w:t>since</w:t>
      </w:r>
      <w:r>
        <w:rPr>
          <w:rFonts w:cs="Arial"/>
          <w:szCs w:val="24"/>
        </w:rPr>
        <w:t xml:space="preserve"> approval or last year’s update? (t</w:t>
      </w:r>
      <w:r w:rsidRPr="00A30D8F">
        <w:rPr>
          <w:rFonts w:cs="Arial"/>
          <w:szCs w:val="24"/>
        </w:rPr>
        <w:t xml:space="preserve">his information </w:t>
      </w:r>
      <w:r>
        <w:rPr>
          <w:rFonts w:cs="Arial"/>
          <w:szCs w:val="24"/>
        </w:rPr>
        <w:t xml:space="preserve">will be used in </w:t>
      </w:r>
      <w:r w:rsidRPr="00A30D8F">
        <w:rPr>
          <w:rFonts w:cs="Arial"/>
          <w:szCs w:val="24"/>
        </w:rPr>
        <w:t xml:space="preserve">listing </w:t>
      </w:r>
      <w:r>
        <w:rPr>
          <w:rFonts w:cs="Arial"/>
          <w:szCs w:val="24"/>
        </w:rPr>
        <w:t>approved assessment centres</w:t>
      </w:r>
      <w:r w:rsidRPr="00A30D8F">
        <w:rPr>
          <w:rFonts w:cs="Arial"/>
          <w:szCs w:val="24"/>
        </w:rPr>
        <w:t xml:space="preserve"> on the </w:t>
      </w:r>
      <w:r>
        <w:rPr>
          <w:rFonts w:cs="Arial"/>
          <w:szCs w:val="24"/>
        </w:rPr>
        <w:t>NZTA</w:t>
      </w:r>
      <w:r w:rsidRPr="00A30D8F">
        <w:rPr>
          <w:rFonts w:cs="Arial"/>
          <w:szCs w:val="24"/>
        </w:rPr>
        <w:t xml:space="preserve"> website</w:t>
      </w:r>
      <w:r>
        <w:rPr>
          <w:rFonts w:cs="Arial"/>
          <w:szCs w:val="24"/>
        </w:rPr>
        <w:t>)</w:t>
      </w:r>
    </w:p>
    <w:p w14:paraId="58C896C7" w14:textId="77777777" w:rsidR="007551B7" w:rsidRDefault="007551B7" w:rsidP="007551B7">
      <w:pPr>
        <w:ind w:left="567" w:hanging="567"/>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Pr="009539A3">
        <w:tab/>
      </w:r>
      <w:r>
        <w:t>Yes</w:t>
      </w:r>
    </w:p>
    <w:p w14:paraId="224D3EF7" w14:textId="77777777" w:rsidR="007551B7" w:rsidRDefault="007551B7" w:rsidP="007551B7">
      <w:pPr>
        <w:ind w:left="567" w:hanging="567"/>
      </w:pPr>
      <w:r w:rsidRPr="007B4366">
        <w:rPr>
          <w:sz w:val="28"/>
          <w:szCs w:val="28"/>
        </w:rPr>
        <w:fldChar w:fldCharType="begin">
          <w:ffData>
            <w:name w:val="Check2"/>
            <w:enabled/>
            <w:calcOnExit w:val="0"/>
            <w:checkBox>
              <w:sizeAuto/>
              <w:default w:val="0"/>
            </w:checkBox>
          </w:ffData>
        </w:fldChar>
      </w:r>
      <w:r w:rsidRPr="007B4366">
        <w:rPr>
          <w:sz w:val="28"/>
          <w:szCs w:val="28"/>
        </w:rPr>
        <w:instrText xml:space="preserve"> FORMCHECKBOX </w:instrText>
      </w:r>
      <w:r w:rsidR="005B12DD">
        <w:rPr>
          <w:sz w:val="28"/>
          <w:szCs w:val="28"/>
        </w:rPr>
      </w:r>
      <w:r w:rsidR="005B12DD">
        <w:rPr>
          <w:sz w:val="28"/>
          <w:szCs w:val="28"/>
        </w:rPr>
        <w:fldChar w:fldCharType="separate"/>
      </w:r>
      <w:r w:rsidRPr="007B4366">
        <w:rPr>
          <w:sz w:val="28"/>
          <w:szCs w:val="28"/>
        </w:rPr>
        <w:fldChar w:fldCharType="end"/>
      </w:r>
      <w:r w:rsidRPr="009539A3">
        <w:tab/>
      </w:r>
      <w:r>
        <w:t>No</w:t>
      </w:r>
    </w:p>
    <w:p w14:paraId="08754813" w14:textId="77777777" w:rsidR="007551B7" w:rsidRDefault="007551B7"/>
    <w:p w14:paraId="165AB92D" w14:textId="77777777" w:rsidR="004711E2" w:rsidRDefault="00A90FD3" w:rsidP="007551B7">
      <w:pPr>
        <w:spacing w:after="120"/>
      </w:pPr>
      <w:r w:rsidRPr="00A30D8F">
        <w:t xml:space="preserve">Please list the dapaanz registered practitioner number (or </w:t>
      </w:r>
      <w:r>
        <w:t>F</w:t>
      </w:r>
      <w:r w:rsidRPr="00A30D8F">
        <w:t xml:space="preserve">AChAM membership number) and expiry date for ALL the </w:t>
      </w:r>
      <w:r>
        <w:t>assessors in your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833"/>
        <w:gridCol w:w="2207"/>
      </w:tblGrid>
      <w:tr w:rsidR="00A90FD3" w:rsidRPr="007551B7" w14:paraId="5BCA7081" w14:textId="77777777" w:rsidTr="007551B7">
        <w:trPr>
          <w:cantSplit/>
        </w:trPr>
        <w:tc>
          <w:tcPr>
            <w:tcW w:w="4248" w:type="dxa"/>
            <w:shd w:val="clear" w:color="auto" w:fill="D9D9D9" w:themeFill="background1" w:themeFillShade="D9"/>
          </w:tcPr>
          <w:p w14:paraId="317EB6A2" w14:textId="77777777" w:rsidR="00A90FD3" w:rsidRPr="007551B7" w:rsidRDefault="00A90FD3" w:rsidP="007551B7">
            <w:pPr>
              <w:pStyle w:val="TableText"/>
              <w:rPr>
                <w:b/>
              </w:rPr>
            </w:pPr>
            <w:r w:rsidRPr="007551B7">
              <w:rPr>
                <w:b/>
              </w:rPr>
              <w:t>Name</w:t>
            </w:r>
          </w:p>
        </w:tc>
        <w:tc>
          <w:tcPr>
            <w:tcW w:w="2833" w:type="dxa"/>
            <w:shd w:val="clear" w:color="auto" w:fill="D9D9D9" w:themeFill="background1" w:themeFillShade="D9"/>
          </w:tcPr>
          <w:p w14:paraId="65314309" w14:textId="77777777" w:rsidR="00A90FD3" w:rsidRPr="007551B7" w:rsidRDefault="00A90FD3" w:rsidP="007551B7">
            <w:pPr>
              <w:pStyle w:val="TableText"/>
              <w:rPr>
                <w:b/>
              </w:rPr>
            </w:pPr>
            <w:r w:rsidRPr="007551B7">
              <w:rPr>
                <w:b/>
              </w:rPr>
              <w:t>dapaanz / FAChAM number</w:t>
            </w:r>
          </w:p>
        </w:tc>
        <w:tc>
          <w:tcPr>
            <w:tcW w:w="2207" w:type="dxa"/>
            <w:shd w:val="clear" w:color="auto" w:fill="D9D9D9" w:themeFill="background1" w:themeFillShade="D9"/>
          </w:tcPr>
          <w:p w14:paraId="2DE59679" w14:textId="77777777" w:rsidR="00A90FD3" w:rsidRPr="007551B7" w:rsidRDefault="00A90FD3" w:rsidP="007551B7">
            <w:pPr>
              <w:pStyle w:val="TableText"/>
              <w:rPr>
                <w:b/>
              </w:rPr>
            </w:pPr>
            <w:r w:rsidRPr="007551B7">
              <w:rPr>
                <w:b/>
              </w:rPr>
              <w:t>Expiry</w:t>
            </w:r>
          </w:p>
        </w:tc>
      </w:tr>
      <w:tr w:rsidR="007551B7" w:rsidRPr="009539A3" w14:paraId="113A8EE1" w14:textId="77777777" w:rsidTr="007551B7">
        <w:trPr>
          <w:cantSplit/>
        </w:trPr>
        <w:tc>
          <w:tcPr>
            <w:tcW w:w="4248" w:type="dxa"/>
          </w:tcPr>
          <w:p w14:paraId="004AE8D2" w14:textId="77777777" w:rsidR="007551B7" w:rsidRPr="009539A3" w:rsidRDefault="007551B7" w:rsidP="007551B7">
            <w:pPr>
              <w:pStyle w:val="TableText"/>
            </w:pPr>
            <w:r>
              <w:fldChar w:fldCharType="begin">
                <w:ffData>
                  <w:name w:val="Text32"/>
                  <w:enabled/>
                  <w:calcOnExit w:val="0"/>
                  <w:textInput/>
                </w:ffData>
              </w:fldChar>
            </w:r>
            <w:bookmarkStart w:id="11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2833" w:type="dxa"/>
          </w:tcPr>
          <w:p w14:paraId="54D27F9A" w14:textId="77777777" w:rsidR="007551B7" w:rsidRPr="009539A3" w:rsidRDefault="007551B7" w:rsidP="00162C9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Pr>
          <w:p w14:paraId="2A762372" w14:textId="77777777" w:rsidR="007551B7" w:rsidRPr="009539A3" w:rsidRDefault="007551B7" w:rsidP="00162C9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B7" w:rsidRPr="009539A3" w14:paraId="36B3B5A3" w14:textId="77777777" w:rsidTr="007551B7">
        <w:trPr>
          <w:cantSplit/>
        </w:trPr>
        <w:tc>
          <w:tcPr>
            <w:tcW w:w="4248" w:type="dxa"/>
          </w:tcPr>
          <w:p w14:paraId="0E8805A3" w14:textId="77777777" w:rsidR="007551B7" w:rsidRPr="009539A3" w:rsidRDefault="007551B7" w:rsidP="007551B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3" w:type="dxa"/>
          </w:tcPr>
          <w:p w14:paraId="134D0506" w14:textId="77777777" w:rsidR="007551B7" w:rsidRPr="009539A3" w:rsidRDefault="007551B7" w:rsidP="00162C9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Pr>
          <w:p w14:paraId="0CC6839C" w14:textId="77777777" w:rsidR="007551B7" w:rsidRPr="009539A3" w:rsidRDefault="007551B7" w:rsidP="00162C9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B7" w:rsidRPr="009539A3" w14:paraId="3A951A62" w14:textId="77777777" w:rsidTr="007551B7">
        <w:trPr>
          <w:cantSplit/>
        </w:trPr>
        <w:tc>
          <w:tcPr>
            <w:tcW w:w="4248" w:type="dxa"/>
          </w:tcPr>
          <w:p w14:paraId="274C105F" w14:textId="77777777" w:rsidR="007551B7" w:rsidRPr="009539A3" w:rsidRDefault="007551B7" w:rsidP="007551B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3" w:type="dxa"/>
          </w:tcPr>
          <w:p w14:paraId="2C1CE467" w14:textId="77777777" w:rsidR="007551B7" w:rsidRPr="009539A3" w:rsidRDefault="007551B7" w:rsidP="00162C9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Pr>
          <w:p w14:paraId="6B731FBA" w14:textId="77777777" w:rsidR="007551B7" w:rsidRPr="009539A3" w:rsidRDefault="007551B7" w:rsidP="00162C9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B7" w:rsidRPr="009539A3" w14:paraId="5DC17339" w14:textId="77777777" w:rsidTr="007551B7">
        <w:trPr>
          <w:cantSplit/>
        </w:trPr>
        <w:tc>
          <w:tcPr>
            <w:tcW w:w="4248" w:type="dxa"/>
          </w:tcPr>
          <w:p w14:paraId="0521E62A" w14:textId="77777777" w:rsidR="007551B7" w:rsidRPr="009539A3" w:rsidRDefault="007551B7" w:rsidP="007551B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3" w:type="dxa"/>
          </w:tcPr>
          <w:p w14:paraId="00879475" w14:textId="77777777" w:rsidR="007551B7" w:rsidRPr="009539A3" w:rsidRDefault="007551B7" w:rsidP="00162C9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7" w:type="dxa"/>
          </w:tcPr>
          <w:p w14:paraId="6C56ECA5" w14:textId="77777777" w:rsidR="007551B7" w:rsidRPr="009539A3" w:rsidRDefault="007551B7" w:rsidP="00162C97">
            <w:pPr>
              <w:pStyle w:val="TableT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6E2BB2" w14:textId="77777777" w:rsidR="00A90FD3" w:rsidRPr="009539A3" w:rsidRDefault="00A90FD3" w:rsidP="00670CC3"/>
    <w:p w14:paraId="5A8F2B45" w14:textId="77777777" w:rsidR="004711E2" w:rsidRPr="00670CC3" w:rsidRDefault="00A90FD3" w:rsidP="00670CC3">
      <w:pPr>
        <w:rPr>
          <w:b/>
        </w:rPr>
      </w:pPr>
      <w:r w:rsidRPr="00670CC3">
        <w:rPr>
          <w:b/>
        </w:rPr>
        <w:t>Please email this completed form to:</w:t>
      </w:r>
    </w:p>
    <w:p w14:paraId="417BED94" w14:textId="77777777" w:rsidR="00A90FD3" w:rsidRDefault="005B12DD" w:rsidP="00670CC3">
      <w:pPr>
        <w:pStyle w:val="Bullet"/>
        <w:rPr>
          <w:rFonts w:cs="Arial"/>
        </w:rPr>
      </w:pPr>
      <w:hyperlink r:id="rId29" w:history="1">
        <w:r w:rsidR="00A90FD3" w:rsidRPr="009977F7">
          <w:rPr>
            <w:rFonts w:cs="Arial"/>
          </w:rPr>
          <w:t>mentalhealthadmin@moh.govt.nz</w:t>
        </w:r>
      </w:hyperlink>
      <w:bookmarkStart w:id="117" w:name="_Toc123013805"/>
      <w:bookmarkStart w:id="118" w:name="_Toc139199626"/>
      <w:bookmarkStart w:id="119" w:name="_Toc140638378"/>
      <w:bookmarkEnd w:id="105"/>
      <w:bookmarkEnd w:id="106"/>
      <w:bookmarkEnd w:id="107"/>
      <w:r w:rsidR="00A90FD3" w:rsidRPr="009977F7">
        <w:rPr>
          <w:rFonts w:cs="Arial"/>
        </w:rPr>
        <w:t>, and</w:t>
      </w:r>
    </w:p>
    <w:p w14:paraId="4A5615BD" w14:textId="77777777" w:rsidR="00A90FD3" w:rsidRPr="0009267B" w:rsidRDefault="005B12DD" w:rsidP="00670CC3">
      <w:pPr>
        <w:pStyle w:val="Bullet"/>
        <w:rPr>
          <w:rFonts w:cs="Arial"/>
        </w:rPr>
      </w:pPr>
      <w:hyperlink r:id="rId30" w:history="1">
        <w:r w:rsidR="00A90FD3" w:rsidRPr="004128C9">
          <w:rPr>
            <w:rStyle w:val="Hyperlink"/>
            <w:rFonts w:cs="Arial"/>
          </w:rPr>
          <w:t>medical@nzta.govt.nz</w:t>
        </w:r>
      </w:hyperlink>
    </w:p>
    <w:p w14:paraId="638CDEBB" w14:textId="77777777" w:rsidR="00A90FD3" w:rsidRPr="009539A3" w:rsidRDefault="00A90FD3" w:rsidP="00E920F2">
      <w:pPr>
        <w:pStyle w:val="Heading1"/>
        <w:numPr>
          <w:ilvl w:val="0"/>
          <w:numId w:val="0"/>
        </w:numPr>
        <w:rPr>
          <w:bCs/>
        </w:rPr>
      </w:pPr>
      <w:bookmarkStart w:id="120" w:name="_Toc490728430"/>
      <w:bookmarkStart w:id="121" w:name="_Toc492493097"/>
      <w:r w:rsidRPr="009539A3">
        <w:lastRenderedPageBreak/>
        <w:t xml:space="preserve">References and </w:t>
      </w:r>
      <w:bookmarkEnd w:id="117"/>
      <w:bookmarkEnd w:id="118"/>
      <w:bookmarkEnd w:id="119"/>
      <w:r>
        <w:t>b</w:t>
      </w:r>
      <w:r w:rsidRPr="009539A3">
        <w:t>ibliography</w:t>
      </w:r>
      <w:bookmarkEnd w:id="120"/>
      <w:bookmarkEnd w:id="121"/>
    </w:p>
    <w:p w14:paraId="2E499B6E" w14:textId="77777777" w:rsidR="00A90FD3" w:rsidRPr="009539A3" w:rsidRDefault="00A90FD3" w:rsidP="00E920F2">
      <w:pPr>
        <w:pStyle w:val="References"/>
      </w:pPr>
      <w:r w:rsidRPr="009539A3">
        <w:t xml:space="preserve">Alcohol Advisory Council of New Zealand. 1996. </w:t>
      </w:r>
      <w:r w:rsidRPr="00E920F2">
        <w:rPr>
          <w:i/>
        </w:rPr>
        <w:t>Guidelines for Alcohol and Drug Assessment: A review of alcohol and drug screening, diagnostic and evaluation instruments</w:t>
      </w:r>
      <w:r w:rsidRPr="009539A3">
        <w:t>. Wellington: Alcohol Advisory Council of New Zealand.</w:t>
      </w:r>
    </w:p>
    <w:p w14:paraId="58DC893A" w14:textId="77777777" w:rsidR="00A90FD3" w:rsidRPr="009539A3" w:rsidRDefault="00A90FD3" w:rsidP="00E920F2">
      <w:pPr>
        <w:pStyle w:val="References"/>
      </w:pPr>
      <w:r w:rsidRPr="009539A3">
        <w:t xml:space="preserve">Alcohol and Drug Treatment Workforce Development Advisory Group. 2000. </w:t>
      </w:r>
      <w:r w:rsidRPr="00E920F2">
        <w:rPr>
          <w:i/>
        </w:rPr>
        <w:t>Practitioners Competencies for Alcohol and Drug Workers</w:t>
      </w:r>
      <w:r w:rsidRPr="009539A3">
        <w:t>. Wellington: Alcohol Advisory Council of New Zealand.</w:t>
      </w:r>
    </w:p>
    <w:p w14:paraId="1F894DBD" w14:textId="77777777" w:rsidR="00A90FD3" w:rsidRPr="009539A3" w:rsidRDefault="00A90FD3" w:rsidP="00E920F2">
      <w:pPr>
        <w:pStyle w:val="References"/>
      </w:pPr>
      <w:r w:rsidRPr="009539A3">
        <w:t xml:space="preserve">American Psychiatric Association. 1994. </w:t>
      </w:r>
      <w:r w:rsidRPr="00E920F2">
        <w:rPr>
          <w:i/>
        </w:rPr>
        <w:t>Diagnostic and Statistical Manual of Mental Disorders</w:t>
      </w:r>
      <w:r w:rsidRPr="009539A3">
        <w:t xml:space="preserve"> (4th</w:t>
      </w:r>
      <w:r w:rsidR="00F84863">
        <w:t> </w:t>
      </w:r>
      <w:r w:rsidRPr="009539A3">
        <w:t>ed) (DSM-IV). Washington: American Psychiatric Association.</w:t>
      </w:r>
    </w:p>
    <w:p w14:paraId="71781310" w14:textId="77777777" w:rsidR="00A90FD3" w:rsidRPr="009539A3" w:rsidRDefault="00A90FD3" w:rsidP="00E920F2">
      <w:pPr>
        <w:pStyle w:val="References"/>
      </w:pPr>
      <w:r w:rsidRPr="009539A3">
        <w:t>Baker A. 1998. Brief interventions for alcohol and drug problems: a review with practitioner guidelines. In: JD Sellman, GM Robinson, R McCormack</w:t>
      </w:r>
      <w:r>
        <w:t>,</w:t>
      </w:r>
      <w:r w:rsidRPr="009539A3">
        <w:t xml:space="preserve"> et al (eds). </w:t>
      </w:r>
      <w:r w:rsidRPr="00E920F2">
        <w:rPr>
          <w:i/>
        </w:rPr>
        <w:t>The Long and Short of Treatment for Alcohol and Drug Disorders</w:t>
      </w:r>
      <w:r w:rsidRPr="009539A3">
        <w:t>. Christchurch: Department of Psychological Medicine, Christchurch School of Medicine.</w:t>
      </w:r>
    </w:p>
    <w:p w14:paraId="268050FD" w14:textId="77777777" w:rsidR="00A90FD3" w:rsidRPr="009539A3" w:rsidRDefault="00A90FD3" w:rsidP="00E920F2">
      <w:pPr>
        <w:pStyle w:val="References"/>
      </w:pPr>
      <w:r w:rsidRPr="009539A3">
        <w:t xml:space="preserve">Bakker LW. 1999. </w:t>
      </w:r>
      <w:r w:rsidRPr="00E920F2">
        <w:rPr>
          <w:i/>
        </w:rPr>
        <w:t>The Driving Offender Treatment Scale</w:t>
      </w:r>
      <w:r w:rsidRPr="009539A3">
        <w:t>. Wellington: Psychological Service, Department of Corrections.</w:t>
      </w:r>
    </w:p>
    <w:p w14:paraId="23AFBD46" w14:textId="77777777" w:rsidR="00A90FD3" w:rsidRPr="009539A3" w:rsidRDefault="00A90FD3" w:rsidP="00E920F2">
      <w:pPr>
        <w:pStyle w:val="References"/>
        <w:rPr>
          <w:rFonts w:cs="Arial Mäori"/>
        </w:rPr>
      </w:pPr>
      <w:r w:rsidRPr="009539A3">
        <w:rPr>
          <w:rFonts w:cs="Arial Mäori"/>
        </w:rPr>
        <w:t xml:space="preserve">Dawe S, Loxton N, Hides L, et al. 2002. </w:t>
      </w:r>
      <w:r w:rsidRPr="00E920F2">
        <w:rPr>
          <w:rFonts w:cs="Arial Mäori"/>
          <w:i/>
        </w:rPr>
        <w:t>Review of Diagnostic Screening Instruments for Alcohol and Other Drug Use and Other Psychiatric Disorders</w:t>
      </w:r>
      <w:r w:rsidRPr="009539A3">
        <w:rPr>
          <w:rFonts w:cs="Arial Mäori"/>
        </w:rPr>
        <w:t xml:space="preserve"> (2nd ed). Monograph Series no. 48. Canberra: Commonwealth of Australia.</w:t>
      </w:r>
    </w:p>
    <w:p w14:paraId="27FCE539" w14:textId="77777777" w:rsidR="00A90FD3" w:rsidRPr="009539A3" w:rsidRDefault="00A90FD3" w:rsidP="00E920F2">
      <w:pPr>
        <w:pStyle w:val="References"/>
      </w:pPr>
      <w:r w:rsidRPr="009539A3">
        <w:rPr>
          <w:bCs/>
        </w:rPr>
        <w:t xml:space="preserve">Department of Health. 1993. </w:t>
      </w:r>
      <w:r w:rsidRPr="00E920F2">
        <w:rPr>
          <w:bCs/>
          <w:i/>
        </w:rPr>
        <w:t>Assessment of Alcohol Dependence: A guide for health professionals assessing persons convicted of driving while intoxicated</w:t>
      </w:r>
      <w:r w:rsidRPr="009539A3">
        <w:rPr>
          <w:bCs/>
        </w:rPr>
        <w:t>. Wellington: Department of Health.</w:t>
      </w:r>
    </w:p>
    <w:p w14:paraId="2BF2776D" w14:textId="77777777" w:rsidR="00A90FD3" w:rsidRDefault="00A90FD3" w:rsidP="00E920F2">
      <w:pPr>
        <w:pStyle w:val="References"/>
        <w:rPr>
          <w:rFonts w:cs="Times New Roman Mäori"/>
        </w:rPr>
      </w:pPr>
      <w:r w:rsidRPr="009539A3">
        <w:rPr>
          <w:rFonts w:cs="Times New Roman Mäori"/>
        </w:rPr>
        <w:t>Donovan D. 1999. Chapter 11: Assessment strategies and measuring addictive behaviours. In: BS</w:t>
      </w:r>
      <w:r w:rsidR="00F84863">
        <w:rPr>
          <w:rFonts w:cs="Times New Roman Mäori"/>
        </w:rPr>
        <w:t> </w:t>
      </w:r>
      <w:r w:rsidRPr="009539A3">
        <w:rPr>
          <w:rFonts w:cs="Times New Roman Mäori"/>
        </w:rPr>
        <w:t xml:space="preserve">McCrady, EE Epstein (eds). </w:t>
      </w:r>
      <w:r w:rsidRPr="00E920F2">
        <w:rPr>
          <w:rFonts w:cs="Times New Roman Mäori"/>
          <w:i/>
        </w:rPr>
        <w:t>Addictions: A comprehensive guide book</w:t>
      </w:r>
      <w:r w:rsidRPr="009539A3">
        <w:rPr>
          <w:rFonts w:cs="Times New Roman Mäori"/>
        </w:rPr>
        <w:t>. New York: Oxford University Press.</w:t>
      </w:r>
    </w:p>
    <w:p w14:paraId="0FDC6186" w14:textId="77777777" w:rsidR="00A90FD3" w:rsidRPr="004B0BE0" w:rsidRDefault="00A90FD3" w:rsidP="00E920F2">
      <w:pPr>
        <w:pStyle w:val="References"/>
        <w:rPr>
          <w:rFonts w:cs="Times New Roman Mäori"/>
        </w:rPr>
      </w:pPr>
      <w:r>
        <w:rPr>
          <w:rFonts w:cs="Times New Roman Mäori"/>
        </w:rPr>
        <w:t xml:space="preserve">HDC. 2009. </w:t>
      </w:r>
      <w:r w:rsidRPr="00E920F2">
        <w:rPr>
          <w:rFonts w:cs="Times New Roman Mäori"/>
          <w:i/>
        </w:rPr>
        <w:t>Code of Health and Disability Services Consumers</w:t>
      </w:r>
      <w:r w:rsidR="004711E2" w:rsidRPr="00E920F2">
        <w:rPr>
          <w:rFonts w:cs="Times New Roman Mäori"/>
          <w:i/>
        </w:rPr>
        <w:t>’</w:t>
      </w:r>
      <w:r w:rsidRPr="00E920F2">
        <w:rPr>
          <w:rFonts w:cs="Times New Roman Mäori"/>
          <w:i/>
        </w:rPr>
        <w:t xml:space="preserve"> Rights</w:t>
      </w:r>
      <w:r>
        <w:rPr>
          <w:rFonts w:cs="Times New Roman Mäori"/>
        </w:rPr>
        <w:t xml:space="preserve">. Wellington: Health &amp; Disability Commissioner (HDC). URL: </w:t>
      </w:r>
      <w:hyperlink r:id="rId31" w:history="1">
        <w:r w:rsidR="00E920F2" w:rsidRPr="0050447C">
          <w:rPr>
            <w:rStyle w:val="Hyperlink"/>
            <w:rFonts w:cs="Times New Roman Mäori"/>
          </w:rPr>
          <w:t>www.hdc.org.nz/the-act-code/the-code-of-rights</w:t>
        </w:r>
      </w:hyperlink>
      <w:r>
        <w:rPr>
          <w:rFonts w:cs="Times New Roman Mäori"/>
        </w:rPr>
        <w:t xml:space="preserve"> (accessed 16</w:t>
      </w:r>
      <w:r w:rsidR="00E920F2">
        <w:rPr>
          <w:rFonts w:cs="Times New Roman Mäori"/>
        </w:rPr>
        <w:t> </w:t>
      </w:r>
      <w:r>
        <w:rPr>
          <w:rFonts w:cs="Times New Roman Mäori"/>
        </w:rPr>
        <w:t>August 2017).</w:t>
      </w:r>
    </w:p>
    <w:p w14:paraId="14960BC1" w14:textId="77777777" w:rsidR="00A90FD3" w:rsidRPr="009539A3" w:rsidRDefault="00A90FD3" w:rsidP="00E920F2">
      <w:pPr>
        <w:pStyle w:val="References"/>
        <w:rPr>
          <w:rFonts w:cs="Times New Roman Mäori"/>
        </w:rPr>
      </w:pPr>
      <w:r w:rsidRPr="009539A3">
        <w:rPr>
          <w:rFonts w:cs="Times New Roman Mäori"/>
        </w:rPr>
        <w:t xml:space="preserve">Heather N. 1995. Brief intervention strategies. In: RH Hester, WR Miller (eds). </w:t>
      </w:r>
      <w:r w:rsidRPr="00E920F2">
        <w:rPr>
          <w:rFonts w:cs="Times New Roman Mäori"/>
          <w:i/>
        </w:rPr>
        <w:t>Handbook of Alcoholism Treatment Approaches: Effective alternatives</w:t>
      </w:r>
      <w:r w:rsidRPr="009539A3">
        <w:rPr>
          <w:rFonts w:cs="Times New Roman Mäori"/>
        </w:rPr>
        <w:t xml:space="preserve"> (2nd ed). Boston: Allyn &amp; Bacon,</w:t>
      </w:r>
      <w:r w:rsidR="00F84863">
        <w:rPr>
          <w:rFonts w:cs="Times New Roman Mäori"/>
        </w:rPr>
        <w:br/>
      </w:r>
      <w:r w:rsidRPr="009539A3">
        <w:rPr>
          <w:rFonts w:cs="Times New Roman Mäori"/>
        </w:rPr>
        <w:t>pp. 105–22.</w:t>
      </w:r>
    </w:p>
    <w:p w14:paraId="5B4D95D2" w14:textId="77777777" w:rsidR="00A90FD3" w:rsidRPr="009539A3" w:rsidRDefault="00A90FD3" w:rsidP="00E920F2">
      <w:pPr>
        <w:pStyle w:val="References"/>
      </w:pPr>
      <w:r w:rsidRPr="009539A3">
        <w:t xml:space="preserve">Hulse G, White J, Cape G (eds). 2002. </w:t>
      </w:r>
      <w:r w:rsidRPr="00E920F2">
        <w:rPr>
          <w:i/>
        </w:rPr>
        <w:t>Management of Alcohol and Drug Problems</w:t>
      </w:r>
      <w:r w:rsidRPr="009539A3">
        <w:t>. New York: Oxford University Press.</w:t>
      </w:r>
    </w:p>
    <w:p w14:paraId="4A7987A8" w14:textId="77777777" w:rsidR="00A90FD3" w:rsidRPr="009539A3" w:rsidRDefault="00A90FD3" w:rsidP="00E920F2">
      <w:pPr>
        <w:pStyle w:val="References"/>
        <w:rPr>
          <w:rFonts w:cs="Times New Roman Mäori"/>
        </w:rPr>
      </w:pPr>
      <w:r w:rsidRPr="009539A3">
        <w:rPr>
          <w:rFonts w:cs="Times New Roman Mäori"/>
        </w:rPr>
        <w:t xml:space="preserve">Land Transport Safety Authority. 2002. </w:t>
      </w:r>
      <w:r w:rsidRPr="00E920F2">
        <w:rPr>
          <w:rFonts w:cs="Times New Roman Mäori"/>
          <w:i/>
        </w:rPr>
        <w:t>Medical Aspects of Fitness to Drive</w:t>
      </w:r>
      <w:r w:rsidRPr="009539A3">
        <w:rPr>
          <w:rFonts w:cs="Times New Roman Mäori"/>
        </w:rPr>
        <w:t>. Wellington: Land Transport Safety Authority.</w:t>
      </w:r>
    </w:p>
    <w:p w14:paraId="3356273A" w14:textId="77777777" w:rsidR="00A90FD3" w:rsidRDefault="00A90FD3" w:rsidP="00E920F2">
      <w:pPr>
        <w:pStyle w:val="References"/>
        <w:rPr>
          <w:rFonts w:cs="Times New Roman Mäori"/>
        </w:rPr>
      </w:pPr>
      <w:r w:rsidRPr="009539A3">
        <w:rPr>
          <w:rFonts w:cs="Times New Roman Mäori"/>
        </w:rPr>
        <w:t xml:space="preserve">Laumon B, Gadegbeku B, Martin J, et al. 2005. Cannabis intoxication and fatal road crashes in France: population based case-control study. </w:t>
      </w:r>
      <w:r w:rsidRPr="00E920F2">
        <w:rPr>
          <w:rFonts w:cs="Times New Roman Mäori"/>
          <w:i/>
        </w:rPr>
        <w:t>British Medical Journal</w:t>
      </w:r>
      <w:r w:rsidRPr="009539A3">
        <w:rPr>
          <w:rFonts w:cs="Times New Roman Mäori"/>
        </w:rPr>
        <w:t xml:space="preserve"> 331: 1371.</w:t>
      </w:r>
    </w:p>
    <w:p w14:paraId="0B2BA4D4" w14:textId="77777777" w:rsidR="00A90FD3" w:rsidRPr="004D23FC" w:rsidRDefault="00A90FD3" w:rsidP="00E920F2">
      <w:pPr>
        <w:pStyle w:val="References"/>
        <w:rPr>
          <w:rFonts w:cs="Times New Roman Mäori"/>
        </w:rPr>
      </w:pPr>
      <w:r>
        <w:rPr>
          <w:rFonts w:cs="Times New Roman Mäori"/>
        </w:rPr>
        <w:t xml:space="preserve">Matua Raki. 2011. </w:t>
      </w:r>
      <w:r w:rsidRPr="00E920F2">
        <w:rPr>
          <w:i/>
        </w:rPr>
        <w:t>Mental Health and Addiction Screening and Assessment Guideline</w:t>
      </w:r>
      <w:r>
        <w:t xml:space="preserve">. Updated November 2016. Wellington: The National Addiction Workforce Development Centre. URL: </w:t>
      </w:r>
      <w:hyperlink r:id="rId32" w:history="1">
        <w:r w:rsidRPr="004D23FC">
          <w:rPr>
            <w:rStyle w:val="Hyperlink"/>
          </w:rPr>
          <w:t>www.matuaraki.org.nz/resources/mental-health-and-addiction-screening-and-assessment-</w:t>
        </w:r>
        <w:r w:rsidRPr="002D7797">
          <w:rPr>
            <w:rStyle w:val="Hyperlink"/>
          </w:rPr>
          <w:t>guideline/363</w:t>
        </w:r>
      </w:hyperlink>
      <w:r>
        <w:t xml:space="preserve"> (accessed 16 August 2017).</w:t>
      </w:r>
    </w:p>
    <w:p w14:paraId="245F1ACE" w14:textId="77777777" w:rsidR="00A90FD3" w:rsidRDefault="00A90FD3" w:rsidP="00E920F2">
      <w:pPr>
        <w:pStyle w:val="References"/>
        <w:rPr>
          <w:rFonts w:cs="Times New Roman Mäori"/>
        </w:rPr>
      </w:pPr>
      <w:r w:rsidRPr="009539A3">
        <w:rPr>
          <w:rFonts w:cs="Times New Roman Mäori"/>
        </w:rPr>
        <w:t xml:space="preserve">Miller W, Rollnick S. 1991. </w:t>
      </w:r>
      <w:r w:rsidRPr="00E920F2">
        <w:rPr>
          <w:rFonts w:cs="Times New Roman Mäori"/>
          <w:i/>
        </w:rPr>
        <w:t>Motivational Interviewing: Preparing people to change addictive behaviour</w:t>
      </w:r>
      <w:r w:rsidRPr="009539A3">
        <w:rPr>
          <w:rFonts w:cs="Times New Roman Mäori"/>
        </w:rPr>
        <w:t>. New York: Guilford.</w:t>
      </w:r>
    </w:p>
    <w:p w14:paraId="6F9416BE" w14:textId="77777777" w:rsidR="00A90FD3" w:rsidRPr="00397E2B" w:rsidRDefault="00A90FD3" w:rsidP="00E920F2">
      <w:pPr>
        <w:pStyle w:val="References"/>
        <w:rPr>
          <w:rFonts w:cs="Times New Roman Mäori"/>
        </w:rPr>
      </w:pPr>
      <w:r>
        <w:rPr>
          <w:rFonts w:cs="Times New Roman Mäori"/>
        </w:rPr>
        <w:lastRenderedPageBreak/>
        <w:t xml:space="preserve">Ministry of Health. 2006. </w:t>
      </w:r>
      <w:r w:rsidRPr="00E920F2">
        <w:rPr>
          <w:rFonts w:cs="Times New Roman Mäori"/>
          <w:i/>
        </w:rPr>
        <w:t>Guidelines for Assessing Substance Dependence and Risk of Re</w:t>
      </w:r>
      <w:r w:rsidR="00E920F2">
        <w:rPr>
          <w:rFonts w:cs="Times New Roman Mäori"/>
          <w:i/>
        </w:rPr>
        <w:noBreakHyphen/>
      </w:r>
      <w:r w:rsidRPr="00E920F2">
        <w:rPr>
          <w:rFonts w:cs="Times New Roman Mäori"/>
          <w:i/>
        </w:rPr>
        <w:t>offending of People Sentenced under Section 65 of the Land Transport Act 1998</w:t>
      </w:r>
      <w:r>
        <w:rPr>
          <w:rFonts w:cs="Times New Roman Mäori"/>
        </w:rPr>
        <w:t>. Wellington: Ministry of Health.</w:t>
      </w:r>
    </w:p>
    <w:p w14:paraId="1F3962EC" w14:textId="77777777" w:rsidR="00A90FD3" w:rsidRPr="009539A3" w:rsidRDefault="00A90FD3" w:rsidP="00E920F2">
      <w:pPr>
        <w:pStyle w:val="References"/>
      </w:pPr>
      <w:r w:rsidRPr="009539A3">
        <w:t xml:space="preserve">National Health Committee. 1999. </w:t>
      </w:r>
      <w:r w:rsidRPr="00E920F2">
        <w:rPr>
          <w:i/>
        </w:rPr>
        <w:t>Guidelines for Recognising, Assessing and Treating Alcohol and Cannabis Abuse in Primary Care</w:t>
      </w:r>
      <w:r w:rsidRPr="009539A3">
        <w:t>. Wellington: National Health Committee on Health and Disability.</w:t>
      </w:r>
    </w:p>
    <w:p w14:paraId="7794C0C9" w14:textId="77777777" w:rsidR="00A90FD3" w:rsidRPr="009539A3" w:rsidRDefault="00A90FD3" w:rsidP="00E920F2">
      <w:pPr>
        <w:pStyle w:val="References"/>
      </w:pPr>
      <w:r w:rsidRPr="009539A3">
        <w:t>O</w:t>
      </w:r>
      <w:r w:rsidR="004711E2">
        <w:t>’</w:t>
      </w:r>
      <w:r w:rsidRPr="009539A3">
        <w:t xml:space="preserve">Hagan J, Robinson G, Whiteside E. 1993. </w:t>
      </w:r>
      <w:r w:rsidRPr="00E920F2">
        <w:rPr>
          <w:i/>
        </w:rPr>
        <w:t>Alcohol and Drug Problems: Handbook for health professionals</w:t>
      </w:r>
      <w:r w:rsidRPr="009539A3">
        <w:t>. Wellington: Alcohol Advisory Council of New Zealand.</w:t>
      </w:r>
    </w:p>
    <w:p w14:paraId="20B4E30C" w14:textId="77777777" w:rsidR="00A90FD3" w:rsidRPr="00A90FD3" w:rsidRDefault="00A90FD3" w:rsidP="00A90FD3"/>
    <w:sectPr w:rsidR="00A90FD3" w:rsidRPr="00A90FD3" w:rsidSect="004711E2">
      <w:headerReference w:type="default" r:id="rId33"/>
      <w:footerReference w:type="default" r:id="rId34"/>
      <w:pgSz w:w="11907" w:h="16834" w:code="9"/>
      <w:pgMar w:top="851" w:right="1134" w:bottom="1418" w:left="1134"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A98A1" w14:textId="77777777" w:rsidR="00FC1324" w:rsidRDefault="00FC1324">
      <w:pPr>
        <w:spacing w:line="240" w:lineRule="auto"/>
      </w:pPr>
      <w:r>
        <w:separator/>
      </w:r>
    </w:p>
    <w:p w14:paraId="6FEE1028" w14:textId="77777777" w:rsidR="00FC1324" w:rsidRDefault="00FC1324"/>
  </w:endnote>
  <w:endnote w:type="continuationSeparator" w:id="0">
    <w:p w14:paraId="564176D5" w14:textId="77777777" w:rsidR="00FC1324" w:rsidRDefault="00FC1324">
      <w:pPr>
        <w:spacing w:line="240" w:lineRule="auto"/>
      </w:pPr>
      <w:r>
        <w:continuationSeparator/>
      </w:r>
    </w:p>
    <w:p w14:paraId="2878BA86" w14:textId="77777777" w:rsidR="00FC1324" w:rsidRDefault="00FC1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B58D" w14:textId="77777777" w:rsidR="00FC1324" w:rsidRPr="00581136" w:rsidRDefault="00FC1324"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E0117" w14:textId="77777777" w:rsidR="00FC1324" w:rsidRDefault="00FC1324"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B9E5" w14:textId="77777777" w:rsidR="00FC1324" w:rsidRDefault="00FC13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DC791" w14:textId="77777777" w:rsidR="00FC1324" w:rsidRPr="00275D08" w:rsidRDefault="00FC1324"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B12DD">
      <w:rPr>
        <w:rStyle w:val="PageNumber"/>
        <w:noProof/>
      </w:rPr>
      <w:t>14</w:t>
    </w:r>
    <w:r w:rsidRPr="00FC46E7">
      <w:rPr>
        <w:rStyle w:val="PageNumber"/>
      </w:rPr>
      <w:fldChar w:fldCharType="end"/>
    </w:r>
    <w:r>
      <w:tab/>
      <w:t>Assessing the Fitness to Drive of People Sentenced under</w:t>
    </w:r>
    <w:r>
      <w:br/>
      <w:t>Section 65 of the Land Transport Act 1998: Standard operating procedures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1C38" w14:textId="77777777" w:rsidR="00FC1324" w:rsidRDefault="00FC1324" w:rsidP="00533B90">
    <w:pPr>
      <w:pStyle w:val="RectoFooter"/>
    </w:pPr>
    <w:r>
      <w:tab/>
      <w:t>Assessing the Fitness to Drive of People Sentenced under</w:t>
    </w:r>
    <w:r>
      <w:tab/>
    </w:r>
    <w:r>
      <w:rPr>
        <w:rStyle w:val="PageNumber"/>
      </w:rPr>
      <w:fldChar w:fldCharType="begin"/>
    </w:r>
    <w:r>
      <w:rPr>
        <w:rStyle w:val="PageNumber"/>
      </w:rPr>
      <w:instrText xml:space="preserve"> PAGE </w:instrText>
    </w:r>
    <w:r>
      <w:rPr>
        <w:rStyle w:val="PageNumber"/>
      </w:rPr>
      <w:fldChar w:fldCharType="separate"/>
    </w:r>
    <w:r w:rsidR="007257F9">
      <w:rPr>
        <w:rStyle w:val="PageNumber"/>
        <w:noProof/>
      </w:rPr>
      <w:t>iii</w:t>
    </w:r>
    <w:r>
      <w:rPr>
        <w:rStyle w:val="PageNumber"/>
      </w:rPr>
      <w:fldChar w:fldCharType="end"/>
    </w:r>
    <w:r>
      <w:br/>
    </w:r>
    <w:r>
      <w:tab/>
      <w:t>Section 65 of the Land Transport Act 1998: Standard operating procedures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6382" w14:textId="77777777" w:rsidR="00FC1324" w:rsidRDefault="00FC1324" w:rsidP="00533B90">
    <w:pPr>
      <w:pStyle w:val="RectoFooter"/>
    </w:pPr>
    <w:r>
      <w:tab/>
      <w:t>Assessing the Fitness to Drive of People Sentenced under</w:t>
    </w:r>
    <w:r>
      <w:tab/>
    </w:r>
    <w:r>
      <w:rPr>
        <w:rStyle w:val="PageNumber"/>
      </w:rPr>
      <w:fldChar w:fldCharType="begin"/>
    </w:r>
    <w:r>
      <w:rPr>
        <w:rStyle w:val="PageNumber"/>
      </w:rPr>
      <w:instrText xml:space="preserve"> PAGE </w:instrText>
    </w:r>
    <w:r>
      <w:rPr>
        <w:rStyle w:val="PageNumber"/>
      </w:rPr>
      <w:fldChar w:fldCharType="separate"/>
    </w:r>
    <w:r w:rsidR="005B12DD">
      <w:rPr>
        <w:rStyle w:val="PageNumber"/>
        <w:noProof/>
      </w:rPr>
      <w:t>23</w:t>
    </w:r>
    <w:r>
      <w:rPr>
        <w:rStyle w:val="PageNumber"/>
      </w:rPr>
      <w:fldChar w:fldCharType="end"/>
    </w:r>
    <w:r>
      <w:br/>
    </w:r>
    <w:r>
      <w:tab/>
      <w:t>Section 65 of the Land Transport Act 1998: Standard operating procedures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F5FD2" w14:textId="77777777" w:rsidR="00FC1324" w:rsidRPr="00A26E6B" w:rsidRDefault="00FC1324" w:rsidP="00A26E6B"/>
  </w:footnote>
  <w:footnote w:type="continuationSeparator" w:id="0">
    <w:p w14:paraId="7C2F7CA8" w14:textId="77777777" w:rsidR="00FC1324" w:rsidRDefault="00FC1324">
      <w:pPr>
        <w:spacing w:line="240" w:lineRule="auto"/>
      </w:pPr>
      <w:r>
        <w:continuationSeparator/>
      </w:r>
    </w:p>
    <w:p w14:paraId="44CE2634" w14:textId="77777777" w:rsidR="00FC1324" w:rsidRDefault="00FC1324"/>
  </w:footnote>
  <w:footnote w:id="1">
    <w:p w14:paraId="466115F5" w14:textId="77777777" w:rsidR="00FC1324" w:rsidRDefault="00FC1324">
      <w:pPr>
        <w:pStyle w:val="FootnoteText"/>
      </w:pPr>
      <w:r>
        <w:rPr>
          <w:rStyle w:val="FootnoteReference"/>
        </w:rPr>
        <w:footnoteRef/>
      </w:r>
      <w:r>
        <w:tab/>
      </w:r>
      <w:r w:rsidRPr="00A90FD3">
        <w:t>Formerly Land Transport New Zealand.</w:t>
      </w:r>
    </w:p>
  </w:footnote>
  <w:footnote w:id="2">
    <w:p w14:paraId="1594433B" w14:textId="77777777" w:rsidR="00FC1324" w:rsidRDefault="00FC1324" w:rsidP="004711E2">
      <w:pPr>
        <w:pStyle w:val="FootnoteText"/>
      </w:pPr>
      <w:r w:rsidRPr="004711E2">
        <w:rPr>
          <w:rStyle w:val="FootnoteReference"/>
        </w:rPr>
        <w:footnoteRef/>
      </w:r>
      <w:r>
        <w:tab/>
        <w:t>The Act defines an assessment centre as an establishment approved for the purposes of the Act by the Director-General of Health (Ministry of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63C1" w14:textId="77777777" w:rsidR="00FC1324" w:rsidRDefault="00FC1324" w:rsidP="009216CC">
    <w:pPr>
      <w:pStyle w:val="Header"/>
      <w:ind w:left="-1559"/>
    </w:pPr>
    <w:r>
      <w:rPr>
        <w:noProof/>
        <w:lang w:eastAsia="en-NZ"/>
      </w:rPr>
      <w:drawing>
        <wp:inline distT="0" distB="0" distL="0" distR="0" wp14:anchorId="5E6D00AA" wp14:editId="16BF5D0A">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24D4E" w14:textId="77777777" w:rsidR="00FC1324" w:rsidRDefault="00FC1324"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1C042" w14:textId="77777777" w:rsidR="00FC1324" w:rsidRDefault="00FC1324"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BE3C" w14:textId="77777777" w:rsidR="00FC1324" w:rsidRDefault="00FC13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873901"/>
    <w:multiLevelType w:val="hybridMultilevel"/>
    <w:tmpl w:val="10E45F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EA2F7C"/>
    <w:multiLevelType w:val="hybridMultilevel"/>
    <w:tmpl w:val="B790B720"/>
    <w:lvl w:ilvl="0" w:tplc="1409000F">
      <w:start w:val="1"/>
      <w:numFmt w:val="decimal"/>
      <w:lvlText w:val="%1."/>
      <w:lvlJc w:val="left"/>
      <w:pPr>
        <w:ind w:left="2345" w:hanging="360"/>
      </w:pPr>
    </w:lvl>
    <w:lvl w:ilvl="1" w:tplc="14090019" w:tentative="1">
      <w:start w:val="1"/>
      <w:numFmt w:val="lowerLetter"/>
      <w:lvlText w:val="%2."/>
      <w:lvlJc w:val="left"/>
      <w:pPr>
        <w:ind w:left="3065" w:hanging="360"/>
      </w:pPr>
    </w:lvl>
    <w:lvl w:ilvl="2" w:tplc="1409001B" w:tentative="1">
      <w:start w:val="1"/>
      <w:numFmt w:val="lowerRoman"/>
      <w:lvlText w:val="%3."/>
      <w:lvlJc w:val="right"/>
      <w:pPr>
        <w:ind w:left="3785" w:hanging="180"/>
      </w:pPr>
    </w:lvl>
    <w:lvl w:ilvl="3" w:tplc="1409000F" w:tentative="1">
      <w:start w:val="1"/>
      <w:numFmt w:val="decimal"/>
      <w:lvlText w:val="%4."/>
      <w:lvlJc w:val="left"/>
      <w:pPr>
        <w:ind w:left="4505" w:hanging="360"/>
      </w:pPr>
    </w:lvl>
    <w:lvl w:ilvl="4" w:tplc="14090019" w:tentative="1">
      <w:start w:val="1"/>
      <w:numFmt w:val="lowerLetter"/>
      <w:lvlText w:val="%5."/>
      <w:lvlJc w:val="left"/>
      <w:pPr>
        <w:ind w:left="5225" w:hanging="360"/>
      </w:pPr>
    </w:lvl>
    <w:lvl w:ilvl="5" w:tplc="1409001B" w:tentative="1">
      <w:start w:val="1"/>
      <w:numFmt w:val="lowerRoman"/>
      <w:lvlText w:val="%6."/>
      <w:lvlJc w:val="right"/>
      <w:pPr>
        <w:ind w:left="5945" w:hanging="180"/>
      </w:pPr>
    </w:lvl>
    <w:lvl w:ilvl="6" w:tplc="1409000F" w:tentative="1">
      <w:start w:val="1"/>
      <w:numFmt w:val="decimal"/>
      <w:lvlText w:val="%7."/>
      <w:lvlJc w:val="left"/>
      <w:pPr>
        <w:ind w:left="6665" w:hanging="360"/>
      </w:pPr>
    </w:lvl>
    <w:lvl w:ilvl="7" w:tplc="14090019" w:tentative="1">
      <w:start w:val="1"/>
      <w:numFmt w:val="lowerLetter"/>
      <w:lvlText w:val="%8."/>
      <w:lvlJc w:val="left"/>
      <w:pPr>
        <w:ind w:left="7385" w:hanging="360"/>
      </w:pPr>
    </w:lvl>
    <w:lvl w:ilvl="8" w:tplc="1409001B" w:tentative="1">
      <w:start w:val="1"/>
      <w:numFmt w:val="lowerRoman"/>
      <w:lvlText w:val="%9."/>
      <w:lvlJc w:val="right"/>
      <w:pPr>
        <w:ind w:left="8105" w:hanging="180"/>
      </w:pPr>
    </w:lvl>
  </w:abstractNum>
  <w:abstractNum w:abstractNumId="3" w15:restartNumberingAfterBreak="0">
    <w:nsid w:val="343E7D03"/>
    <w:multiLevelType w:val="multilevel"/>
    <w:tmpl w:val="FBA0B47A"/>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09314A"/>
    <w:multiLevelType w:val="multilevel"/>
    <w:tmpl w:val="7A160DD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Letter"/>
      <w:lvlText w:val="%4."/>
      <w:lvlJc w:val="left"/>
      <w:pPr>
        <w:ind w:left="567" w:hanging="567"/>
      </w:pPr>
      <w:rPr>
        <w:rFonts w:hint="default"/>
      </w:rPr>
    </w:lvl>
    <w:lvl w:ilvl="4">
      <w:start w:val="1"/>
      <w:numFmt w:val="lowerLetter"/>
      <w:pStyle w:val="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8" w15:restartNumberingAfterBreak="0">
    <w:nsid w:val="7C1218D3"/>
    <w:multiLevelType w:val="singleLevel"/>
    <w:tmpl w:val="1084E40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23124"/>
    <w:rsid w:val="00025A6F"/>
    <w:rsid w:val="00030B26"/>
    <w:rsid w:val="00032C0A"/>
    <w:rsid w:val="00035257"/>
    <w:rsid w:val="0006228D"/>
    <w:rsid w:val="00063395"/>
    <w:rsid w:val="00072BD6"/>
    <w:rsid w:val="00075B78"/>
    <w:rsid w:val="00082CD6"/>
    <w:rsid w:val="00085AFE"/>
    <w:rsid w:val="000B0730"/>
    <w:rsid w:val="000C4C1E"/>
    <w:rsid w:val="000F2AE2"/>
    <w:rsid w:val="00102063"/>
    <w:rsid w:val="0010541C"/>
    <w:rsid w:val="00106F93"/>
    <w:rsid w:val="00111D50"/>
    <w:rsid w:val="00113B8E"/>
    <w:rsid w:val="0011667E"/>
    <w:rsid w:val="00122363"/>
    <w:rsid w:val="001342C7"/>
    <w:rsid w:val="0013585C"/>
    <w:rsid w:val="00142954"/>
    <w:rsid w:val="001460E0"/>
    <w:rsid w:val="00147F71"/>
    <w:rsid w:val="00150A6E"/>
    <w:rsid w:val="00160373"/>
    <w:rsid w:val="00162C97"/>
    <w:rsid w:val="0016468A"/>
    <w:rsid w:val="001705A7"/>
    <w:rsid w:val="001A21B4"/>
    <w:rsid w:val="001A5CF5"/>
    <w:rsid w:val="001B39D2"/>
    <w:rsid w:val="001B4BF8"/>
    <w:rsid w:val="001C4326"/>
    <w:rsid w:val="001D3541"/>
    <w:rsid w:val="001F45A7"/>
    <w:rsid w:val="002019E8"/>
    <w:rsid w:val="00201A01"/>
    <w:rsid w:val="002104D3"/>
    <w:rsid w:val="00213A33"/>
    <w:rsid w:val="0021763B"/>
    <w:rsid w:val="00246DB1"/>
    <w:rsid w:val="002476B5"/>
    <w:rsid w:val="00253ECF"/>
    <w:rsid w:val="002541E5"/>
    <w:rsid w:val="002546A1"/>
    <w:rsid w:val="00275D08"/>
    <w:rsid w:val="002858E3"/>
    <w:rsid w:val="0029190A"/>
    <w:rsid w:val="00292C5A"/>
    <w:rsid w:val="00295241"/>
    <w:rsid w:val="002A4646"/>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779D2"/>
    <w:rsid w:val="003852B5"/>
    <w:rsid w:val="003A26A5"/>
    <w:rsid w:val="003A3761"/>
    <w:rsid w:val="003A5FEA"/>
    <w:rsid w:val="003B1D10"/>
    <w:rsid w:val="003B69A4"/>
    <w:rsid w:val="003C6590"/>
    <w:rsid w:val="003C76D4"/>
    <w:rsid w:val="003D137D"/>
    <w:rsid w:val="003D2CC5"/>
    <w:rsid w:val="003E7C46"/>
    <w:rsid w:val="003F2106"/>
    <w:rsid w:val="003F52A7"/>
    <w:rsid w:val="003F633D"/>
    <w:rsid w:val="0040240C"/>
    <w:rsid w:val="00413021"/>
    <w:rsid w:val="0041608A"/>
    <w:rsid w:val="00440BE0"/>
    <w:rsid w:val="00442C1C"/>
    <w:rsid w:val="00444E5B"/>
    <w:rsid w:val="0044584B"/>
    <w:rsid w:val="00447CB7"/>
    <w:rsid w:val="00451241"/>
    <w:rsid w:val="00455CC9"/>
    <w:rsid w:val="00460826"/>
    <w:rsid w:val="00460EA7"/>
    <w:rsid w:val="0046195B"/>
    <w:rsid w:val="0046596D"/>
    <w:rsid w:val="004711E2"/>
    <w:rsid w:val="0047671E"/>
    <w:rsid w:val="0048219A"/>
    <w:rsid w:val="00487C04"/>
    <w:rsid w:val="004907A2"/>
    <w:rsid w:val="004907E1"/>
    <w:rsid w:val="004A035B"/>
    <w:rsid w:val="004A38D7"/>
    <w:rsid w:val="004A778C"/>
    <w:rsid w:val="004B34F5"/>
    <w:rsid w:val="004C2E6A"/>
    <w:rsid w:val="004C64B8"/>
    <w:rsid w:val="004D1D00"/>
    <w:rsid w:val="004D2A2D"/>
    <w:rsid w:val="004D6689"/>
    <w:rsid w:val="004D722C"/>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16C2"/>
    <w:rsid w:val="005763E0"/>
    <w:rsid w:val="00581136"/>
    <w:rsid w:val="00596198"/>
    <w:rsid w:val="005A27CA"/>
    <w:rsid w:val="005A43BD"/>
    <w:rsid w:val="005B0254"/>
    <w:rsid w:val="005B12DD"/>
    <w:rsid w:val="005E0F9A"/>
    <w:rsid w:val="005E226E"/>
    <w:rsid w:val="005E2636"/>
    <w:rsid w:val="006015D7"/>
    <w:rsid w:val="00601B21"/>
    <w:rsid w:val="006041F0"/>
    <w:rsid w:val="00624174"/>
    <w:rsid w:val="006242F4"/>
    <w:rsid w:val="00626CF8"/>
    <w:rsid w:val="00634ED8"/>
    <w:rsid w:val="00636D7D"/>
    <w:rsid w:val="00637408"/>
    <w:rsid w:val="00642868"/>
    <w:rsid w:val="0064582B"/>
    <w:rsid w:val="00647AFE"/>
    <w:rsid w:val="006512BC"/>
    <w:rsid w:val="00653A5A"/>
    <w:rsid w:val="006575F4"/>
    <w:rsid w:val="006579E6"/>
    <w:rsid w:val="006636CB"/>
    <w:rsid w:val="00663B69"/>
    <w:rsid w:val="00663EDC"/>
    <w:rsid w:val="00670CC3"/>
    <w:rsid w:val="00671078"/>
    <w:rsid w:val="006758CA"/>
    <w:rsid w:val="00680A04"/>
    <w:rsid w:val="00686D80"/>
    <w:rsid w:val="00694895"/>
    <w:rsid w:val="00695BE6"/>
    <w:rsid w:val="00697E2E"/>
    <w:rsid w:val="006A25A2"/>
    <w:rsid w:val="006B0E73"/>
    <w:rsid w:val="006B4143"/>
    <w:rsid w:val="006B4A4D"/>
    <w:rsid w:val="006B5695"/>
    <w:rsid w:val="006C78EB"/>
    <w:rsid w:val="006D1660"/>
    <w:rsid w:val="006F1B67"/>
    <w:rsid w:val="0070091D"/>
    <w:rsid w:val="00702854"/>
    <w:rsid w:val="0071741C"/>
    <w:rsid w:val="007257F9"/>
    <w:rsid w:val="00740BEE"/>
    <w:rsid w:val="00742B90"/>
    <w:rsid w:val="0074434D"/>
    <w:rsid w:val="007551B7"/>
    <w:rsid w:val="00771B1E"/>
    <w:rsid w:val="00773C95"/>
    <w:rsid w:val="00776B7F"/>
    <w:rsid w:val="0078171E"/>
    <w:rsid w:val="00795B34"/>
    <w:rsid w:val="007B1770"/>
    <w:rsid w:val="007B4366"/>
    <w:rsid w:val="007B4D3E"/>
    <w:rsid w:val="007B7079"/>
    <w:rsid w:val="007B7C70"/>
    <w:rsid w:val="007D2151"/>
    <w:rsid w:val="007D3B90"/>
    <w:rsid w:val="007D42CC"/>
    <w:rsid w:val="007D5DE4"/>
    <w:rsid w:val="007E06BF"/>
    <w:rsid w:val="007E0777"/>
    <w:rsid w:val="007E1341"/>
    <w:rsid w:val="007E1B41"/>
    <w:rsid w:val="007E30B9"/>
    <w:rsid w:val="007E74F1"/>
    <w:rsid w:val="007F0F0C"/>
    <w:rsid w:val="007F1288"/>
    <w:rsid w:val="007F3F21"/>
    <w:rsid w:val="00800A8A"/>
    <w:rsid w:val="0080155C"/>
    <w:rsid w:val="00802BC4"/>
    <w:rsid w:val="008052E1"/>
    <w:rsid w:val="00822F2C"/>
    <w:rsid w:val="008305E8"/>
    <w:rsid w:val="00860826"/>
    <w:rsid w:val="00860E21"/>
    <w:rsid w:val="00863117"/>
    <w:rsid w:val="0086388B"/>
    <w:rsid w:val="008642E5"/>
    <w:rsid w:val="00872D93"/>
    <w:rsid w:val="00880470"/>
    <w:rsid w:val="00880D94"/>
    <w:rsid w:val="008924DE"/>
    <w:rsid w:val="008A3755"/>
    <w:rsid w:val="008B19DC"/>
    <w:rsid w:val="008B264F"/>
    <w:rsid w:val="008B3483"/>
    <w:rsid w:val="008B6F83"/>
    <w:rsid w:val="008B7FD8"/>
    <w:rsid w:val="008C2973"/>
    <w:rsid w:val="008C39B4"/>
    <w:rsid w:val="008C6324"/>
    <w:rsid w:val="008C64C4"/>
    <w:rsid w:val="008D74D5"/>
    <w:rsid w:val="008E3A07"/>
    <w:rsid w:val="008F29BE"/>
    <w:rsid w:val="008F3149"/>
    <w:rsid w:val="008F4AE5"/>
    <w:rsid w:val="008F51EB"/>
    <w:rsid w:val="00900197"/>
    <w:rsid w:val="0090132A"/>
    <w:rsid w:val="00902F55"/>
    <w:rsid w:val="0090582B"/>
    <w:rsid w:val="009060C0"/>
    <w:rsid w:val="009133F5"/>
    <w:rsid w:val="00920A27"/>
    <w:rsid w:val="00921216"/>
    <w:rsid w:val="009216CC"/>
    <w:rsid w:val="0092297A"/>
    <w:rsid w:val="00930D08"/>
    <w:rsid w:val="00932D69"/>
    <w:rsid w:val="00944647"/>
    <w:rsid w:val="00966F9A"/>
    <w:rsid w:val="00977B8A"/>
    <w:rsid w:val="00982971"/>
    <w:rsid w:val="009845AD"/>
    <w:rsid w:val="00984EB0"/>
    <w:rsid w:val="00991E2E"/>
    <w:rsid w:val="00995BA0"/>
    <w:rsid w:val="009A418B"/>
    <w:rsid w:val="009A426F"/>
    <w:rsid w:val="009A4473"/>
    <w:rsid w:val="009C151C"/>
    <w:rsid w:val="009D5125"/>
    <w:rsid w:val="009D60B8"/>
    <w:rsid w:val="009D7D4B"/>
    <w:rsid w:val="009E36ED"/>
    <w:rsid w:val="009E3C8C"/>
    <w:rsid w:val="009E589F"/>
    <w:rsid w:val="009E6B77"/>
    <w:rsid w:val="009E768B"/>
    <w:rsid w:val="009F460A"/>
    <w:rsid w:val="00A043FB"/>
    <w:rsid w:val="00A0729C"/>
    <w:rsid w:val="00A07779"/>
    <w:rsid w:val="00A11E51"/>
    <w:rsid w:val="00A14973"/>
    <w:rsid w:val="00A20B2E"/>
    <w:rsid w:val="00A25069"/>
    <w:rsid w:val="00A26E6B"/>
    <w:rsid w:val="00A3068F"/>
    <w:rsid w:val="00A3145B"/>
    <w:rsid w:val="00A339D0"/>
    <w:rsid w:val="00A401FF"/>
    <w:rsid w:val="00A41002"/>
    <w:rsid w:val="00A4201A"/>
    <w:rsid w:val="00A42F7E"/>
    <w:rsid w:val="00A553CE"/>
    <w:rsid w:val="00A5677A"/>
    <w:rsid w:val="00A625E8"/>
    <w:rsid w:val="00A6490D"/>
    <w:rsid w:val="00A80363"/>
    <w:rsid w:val="00A83E9D"/>
    <w:rsid w:val="00A8784A"/>
    <w:rsid w:val="00A90FD3"/>
    <w:rsid w:val="00A9169D"/>
    <w:rsid w:val="00AA240C"/>
    <w:rsid w:val="00AA5F64"/>
    <w:rsid w:val="00AC101C"/>
    <w:rsid w:val="00AD4CF1"/>
    <w:rsid w:val="00AD5988"/>
    <w:rsid w:val="00AF5C8A"/>
    <w:rsid w:val="00AF7800"/>
    <w:rsid w:val="00B072E0"/>
    <w:rsid w:val="00B253F6"/>
    <w:rsid w:val="00B305DB"/>
    <w:rsid w:val="00B332F8"/>
    <w:rsid w:val="00B3492B"/>
    <w:rsid w:val="00B4646F"/>
    <w:rsid w:val="00B5326A"/>
    <w:rsid w:val="00B55C7D"/>
    <w:rsid w:val="00B63038"/>
    <w:rsid w:val="00B64BD8"/>
    <w:rsid w:val="00B66B9D"/>
    <w:rsid w:val="00B701D1"/>
    <w:rsid w:val="00B73AF2"/>
    <w:rsid w:val="00B7551A"/>
    <w:rsid w:val="00B773F1"/>
    <w:rsid w:val="00B86AB1"/>
    <w:rsid w:val="00BB2CBB"/>
    <w:rsid w:val="00BB4B22"/>
    <w:rsid w:val="00BC59F1"/>
    <w:rsid w:val="00BE26FE"/>
    <w:rsid w:val="00BF3DE1"/>
    <w:rsid w:val="00BF4843"/>
    <w:rsid w:val="00BF5205"/>
    <w:rsid w:val="00BF7A45"/>
    <w:rsid w:val="00C015C4"/>
    <w:rsid w:val="00C119E6"/>
    <w:rsid w:val="00C12508"/>
    <w:rsid w:val="00C23728"/>
    <w:rsid w:val="00C4478A"/>
    <w:rsid w:val="00C45AA2"/>
    <w:rsid w:val="00C55BEF"/>
    <w:rsid w:val="00C66296"/>
    <w:rsid w:val="00C77240"/>
    <w:rsid w:val="00C77282"/>
    <w:rsid w:val="00C8432F"/>
    <w:rsid w:val="00C84DE5"/>
    <w:rsid w:val="00C85F17"/>
    <w:rsid w:val="00C86248"/>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1DF7"/>
    <w:rsid w:val="00D72BE5"/>
    <w:rsid w:val="00D741AF"/>
    <w:rsid w:val="00D82F26"/>
    <w:rsid w:val="00D863D0"/>
    <w:rsid w:val="00D87C87"/>
    <w:rsid w:val="00D90E07"/>
    <w:rsid w:val="00DA7FAF"/>
    <w:rsid w:val="00DB39CF"/>
    <w:rsid w:val="00DD0BCD"/>
    <w:rsid w:val="00DD283E"/>
    <w:rsid w:val="00DD447A"/>
    <w:rsid w:val="00DD70B4"/>
    <w:rsid w:val="00DE3B20"/>
    <w:rsid w:val="00DE6C94"/>
    <w:rsid w:val="00DE6FD7"/>
    <w:rsid w:val="00DF50E4"/>
    <w:rsid w:val="00E047A2"/>
    <w:rsid w:val="00E23271"/>
    <w:rsid w:val="00E24F80"/>
    <w:rsid w:val="00E259F3"/>
    <w:rsid w:val="00E33238"/>
    <w:rsid w:val="00E4486C"/>
    <w:rsid w:val="00E460B6"/>
    <w:rsid w:val="00E511D5"/>
    <w:rsid w:val="00E54B7B"/>
    <w:rsid w:val="00E55C86"/>
    <w:rsid w:val="00E60249"/>
    <w:rsid w:val="00E65269"/>
    <w:rsid w:val="00E76D66"/>
    <w:rsid w:val="00E81D19"/>
    <w:rsid w:val="00E8664E"/>
    <w:rsid w:val="00E91C75"/>
    <w:rsid w:val="00E920F2"/>
    <w:rsid w:val="00EA796A"/>
    <w:rsid w:val="00EB1856"/>
    <w:rsid w:val="00EC50CE"/>
    <w:rsid w:val="00EC5B34"/>
    <w:rsid w:val="00ED0720"/>
    <w:rsid w:val="00ED1562"/>
    <w:rsid w:val="00ED323C"/>
    <w:rsid w:val="00EE2D5C"/>
    <w:rsid w:val="00EE4ADE"/>
    <w:rsid w:val="00EE5CB7"/>
    <w:rsid w:val="00EE6519"/>
    <w:rsid w:val="00F024FE"/>
    <w:rsid w:val="00F05AD4"/>
    <w:rsid w:val="00F140B2"/>
    <w:rsid w:val="00F25970"/>
    <w:rsid w:val="00F5180D"/>
    <w:rsid w:val="00F63781"/>
    <w:rsid w:val="00F67496"/>
    <w:rsid w:val="00F678B1"/>
    <w:rsid w:val="00F7300E"/>
    <w:rsid w:val="00F801BA"/>
    <w:rsid w:val="00F84863"/>
    <w:rsid w:val="00F9366A"/>
    <w:rsid w:val="00F946C9"/>
    <w:rsid w:val="00FA0B47"/>
    <w:rsid w:val="00FA74EE"/>
    <w:rsid w:val="00FC1324"/>
    <w:rsid w:val="00FC3711"/>
    <w:rsid w:val="00FC46E7"/>
    <w:rsid w:val="00FC5D25"/>
    <w:rsid w:val="00FD0D7E"/>
    <w:rsid w:val="00FE6E13"/>
    <w:rsid w:val="00FF15F6"/>
    <w:rsid w:val="00FF4C05"/>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EBC628"/>
  <w15:docId w15:val="{2ABA1767-98E1-493C-83C5-28B35636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qFormat/>
    <w:rsid w:val="008E3A07"/>
    <w:pPr>
      <w:pageBreakBefore/>
      <w:numPr>
        <w:numId w:val="7"/>
      </w:numPr>
      <w:pBdr>
        <w:top w:val="single" w:sz="48" w:space="16" w:color="auto"/>
      </w:pBdr>
      <w:spacing w:after="360"/>
      <w:outlineLvl w:val="0"/>
    </w:pPr>
    <w:rPr>
      <w:b/>
      <w:sz w:val="60"/>
    </w:rPr>
  </w:style>
  <w:style w:type="paragraph" w:styleId="Heading2">
    <w:name w:val="heading 2"/>
    <w:basedOn w:val="Normal"/>
    <w:next w:val="Normal"/>
    <w:link w:val="Heading2Char"/>
    <w:qFormat/>
    <w:rsid w:val="008E3A07"/>
    <w:pPr>
      <w:keepNext/>
      <w:numPr>
        <w:ilvl w:val="1"/>
        <w:numId w:val="7"/>
      </w:numPr>
      <w:spacing w:before="120" w:after="120"/>
      <w:outlineLvl w:val="1"/>
    </w:pPr>
    <w:rPr>
      <w:b/>
      <w:sz w:val="40"/>
    </w:rPr>
  </w:style>
  <w:style w:type="paragraph" w:styleId="Heading3">
    <w:name w:val="heading 3"/>
    <w:basedOn w:val="Normal"/>
    <w:next w:val="Normal"/>
    <w:link w:val="Heading3Char"/>
    <w:qFormat/>
    <w:rsid w:val="008E3A07"/>
    <w:pPr>
      <w:keepNext/>
      <w:numPr>
        <w:ilvl w:val="2"/>
        <w:numId w:val="7"/>
      </w:numPr>
      <w:spacing w:before="240" w:after="18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A07"/>
    <w:rPr>
      <w:rFonts w:ascii="Georgia" w:hAnsi="Georgia"/>
      <w:b/>
      <w:sz w:val="60"/>
      <w:lang w:eastAsia="en-GB"/>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rsid w:val="008E3A07"/>
    <w:rPr>
      <w:rFonts w:ascii="Georgia" w:hAnsi="Georgia"/>
      <w:b/>
      <w:sz w:val="28"/>
      <w:lang w:eastAsia="en-GB"/>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51241"/>
    <w:pPr>
      <w:tabs>
        <w:tab w:val="right" w:pos="9356"/>
      </w:tabs>
      <w:spacing w:before="240"/>
      <w:ind w:left="567" w:right="567" w:hanging="567"/>
    </w:pPr>
    <w:rPr>
      <w:b/>
    </w:rPr>
  </w:style>
  <w:style w:type="paragraph" w:styleId="TOC2">
    <w:name w:val="toc 2"/>
    <w:basedOn w:val="Normal"/>
    <w:next w:val="Normal"/>
    <w:uiPriority w:val="39"/>
    <w:qFormat/>
    <w:rsid w:val="00451241"/>
    <w:pPr>
      <w:tabs>
        <w:tab w:val="left" w:pos="284"/>
        <w:tab w:val="right" w:pos="9356"/>
      </w:tabs>
      <w:spacing w:before="3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984EB0"/>
    <w:pPr>
      <w:pBdr>
        <w:bottom w:val="single" w:sz="48" w:space="6" w:color="auto"/>
      </w:pBdr>
      <w:ind w:right="1134"/>
    </w:pPr>
    <w:rPr>
      <w:b/>
      <w:sz w:val="72"/>
    </w:rPr>
  </w:style>
  <w:style w:type="character" w:customStyle="1" w:styleId="TitleChar">
    <w:name w:val="Title Char"/>
    <w:link w:val="Title"/>
    <w:rsid w:val="00984EB0"/>
    <w:rPr>
      <w:rFonts w:ascii="Georgia" w:hAnsi="Georgia"/>
      <w:b/>
      <w:sz w:val="72"/>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984EB0"/>
    <w:pPr>
      <w:numPr>
        <w:numId w:val="0"/>
      </w:num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8E3A07"/>
    <w:pPr>
      <w:pBdr>
        <w:bottom w:val="single" w:sz="48" w:space="6" w:color="auto"/>
      </w:pBdr>
    </w:pPr>
    <w:rPr>
      <w:sz w:val="56"/>
    </w:rPr>
  </w:style>
  <w:style w:type="paragraph" w:customStyle="1" w:styleId="Number">
    <w:name w:val="Number"/>
    <w:basedOn w:val="Normal"/>
    <w:rsid w:val="00F140B2"/>
    <w:pPr>
      <w:spacing w:before="180"/>
      <w:ind w:left="567" w:hanging="567"/>
    </w:pPr>
    <w:rPr>
      <w:szCs w:val="24"/>
    </w:rPr>
  </w:style>
  <w:style w:type="paragraph" w:customStyle="1" w:styleId="Letter">
    <w:name w:val="Letter"/>
    <w:basedOn w:val="Normal"/>
    <w:qFormat/>
    <w:rsid w:val="00F140B2"/>
    <w:pPr>
      <w:numPr>
        <w:ilvl w:val="4"/>
        <w:numId w:val="6"/>
      </w:numPr>
      <w:spacing w:before="120"/>
    </w:pPr>
  </w:style>
  <w:style w:type="paragraph" w:styleId="Date">
    <w:name w:val="Date"/>
    <w:basedOn w:val="Normal"/>
    <w:next w:val="Normal"/>
    <w:link w:val="DateChar"/>
    <w:rsid w:val="00A90FD3"/>
    <w:pPr>
      <w:spacing w:before="960" w:line="240" w:lineRule="auto"/>
    </w:pPr>
    <w:rPr>
      <w:rFonts w:ascii="Arial" w:hAnsi="Arial" w:cs="Times"/>
      <w:sz w:val="24"/>
      <w:szCs w:val="24"/>
    </w:rPr>
  </w:style>
  <w:style w:type="character" w:customStyle="1" w:styleId="DateChar">
    <w:name w:val="Date Char"/>
    <w:basedOn w:val="DefaultParagraphFont"/>
    <w:link w:val="Date"/>
    <w:rsid w:val="00A90FD3"/>
    <w:rPr>
      <w:rFonts w:ascii="Arial" w:hAnsi="Arial" w:cs="Times"/>
      <w:sz w:val="24"/>
      <w:szCs w:val="24"/>
      <w:lang w:eastAsia="en-GB"/>
    </w:rPr>
  </w:style>
  <w:style w:type="paragraph" w:styleId="BalloonText">
    <w:name w:val="Balloon Text"/>
    <w:basedOn w:val="Normal"/>
    <w:link w:val="BalloonTextChar"/>
    <w:uiPriority w:val="99"/>
    <w:semiHidden/>
    <w:unhideWhenUsed/>
    <w:rsid w:val="008F31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149"/>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DD283E"/>
    <w:rPr>
      <w:sz w:val="18"/>
      <w:szCs w:val="18"/>
    </w:rPr>
  </w:style>
  <w:style w:type="paragraph" w:styleId="CommentText">
    <w:name w:val="annotation text"/>
    <w:basedOn w:val="Normal"/>
    <w:link w:val="CommentTextChar"/>
    <w:uiPriority w:val="99"/>
    <w:semiHidden/>
    <w:unhideWhenUsed/>
    <w:rsid w:val="00DD283E"/>
    <w:pPr>
      <w:spacing w:line="240" w:lineRule="auto"/>
    </w:pPr>
    <w:rPr>
      <w:sz w:val="24"/>
      <w:szCs w:val="24"/>
    </w:rPr>
  </w:style>
  <w:style w:type="character" w:customStyle="1" w:styleId="CommentTextChar">
    <w:name w:val="Comment Text Char"/>
    <w:basedOn w:val="DefaultParagraphFont"/>
    <w:link w:val="CommentText"/>
    <w:uiPriority w:val="99"/>
    <w:semiHidden/>
    <w:rsid w:val="00DD283E"/>
    <w:rPr>
      <w:rFonts w:ascii="Georgia" w:hAnsi="Georgia"/>
      <w:sz w:val="24"/>
      <w:szCs w:val="24"/>
      <w:lang w:eastAsia="en-GB"/>
    </w:rPr>
  </w:style>
  <w:style w:type="paragraph" w:styleId="CommentSubject">
    <w:name w:val="annotation subject"/>
    <w:basedOn w:val="CommentText"/>
    <w:next w:val="CommentText"/>
    <w:link w:val="CommentSubjectChar"/>
    <w:uiPriority w:val="99"/>
    <w:semiHidden/>
    <w:unhideWhenUsed/>
    <w:rsid w:val="00DD283E"/>
    <w:rPr>
      <w:b/>
      <w:bCs/>
      <w:sz w:val="20"/>
      <w:szCs w:val="20"/>
    </w:rPr>
  </w:style>
  <w:style w:type="character" w:customStyle="1" w:styleId="CommentSubjectChar">
    <w:name w:val="Comment Subject Char"/>
    <w:basedOn w:val="CommentTextChar"/>
    <w:link w:val="CommentSubject"/>
    <w:uiPriority w:val="99"/>
    <w:semiHidden/>
    <w:rsid w:val="00DD283E"/>
    <w:rPr>
      <w:rFonts w:ascii="Georgia" w:hAnsi="Georgia"/>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dc.org.nz" TargetMode="External"/><Relationship Id="rId26" Type="http://schemas.openxmlformats.org/officeDocument/2006/relationships/hyperlink" Target="mailto:office@dapaanz.org.nz" TargetMode="External"/><Relationship Id="rId3" Type="http://schemas.openxmlformats.org/officeDocument/2006/relationships/styles" Target="styles.xml"/><Relationship Id="rId21" Type="http://schemas.openxmlformats.org/officeDocument/2006/relationships/image" Target="media/image5.jp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medical@nzta.govt.nz"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jpg"/><Relationship Id="rId29" Type="http://schemas.openxmlformats.org/officeDocument/2006/relationships/hyperlink" Target="mailto:mentalhealthadmin@moh.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jpg"/><Relationship Id="rId32" Type="http://schemas.openxmlformats.org/officeDocument/2006/relationships/hyperlink" Target="http://www.matuaraki.org.nz/resources/mental-health-and-addiction-screening-and-assessment-guideline/363"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jpg"/><Relationship Id="rId28" Type="http://schemas.openxmlformats.org/officeDocument/2006/relationships/hyperlink" Target="mailto:medical@nzta.govt.nz"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dapaanz.org.nz/code-of-ethics" TargetMode="External"/><Relationship Id="rId31" Type="http://schemas.openxmlformats.org/officeDocument/2006/relationships/hyperlink" Target="http://www.hdc.org.nz/the-act-code/the-code-of-righ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6.jpg"/><Relationship Id="rId27" Type="http://schemas.openxmlformats.org/officeDocument/2006/relationships/hyperlink" Target="mailto:medical@nzta.govt.nz" TargetMode="External"/><Relationship Id="rId30" Type="http://schemas.openxmlformats.org/officeDocument/2006/relationships/hyperlink" Target="mailto:medical@nzta.govt.nz"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518C-468B-43DA-8A4F-47C5EC47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28</Pages>
  <Words>6021</Words>
  <Characters>37759</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Assessing the Fitness to Drive of People Sentenced under Section 65 of the Land Transport Act 1998</vt:lpstr>
    </vt:vector>
  </TitlesOfParts>
  <Company>Microsoft</Company>
  <LinksUpToDate>false</LinksUpToDate>
  <CharactersWithSpaces>43693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the Fitness to Drive of People Sentenced under Section 65 of the Land Transport Act 1998</dc:title>
  <dc:creator>Ministry of Health</dc:creator>
  <cp:lastModifiedBy>Ministry of Health</cp:lastModifiedBy>
  <cp:revision>3</cp:revision>
  <cp:lastPrinted>2017-10-08T21:35:00Z</cp:lastPrinted>
  <dcterms:created xsi:type="dcterms:W3CDTF">2019-06-13T03:35:00Z</dcterms:created>
  <dcterms:modified xsi:type="dcterms:W3CDTF">2019-06-13T03:36:00Z</dcterms:modified>
</cp:coreProperties>
</file>