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id w:val="-388415555"/>
        <w:docPartObj>
          <w:docPartGallery w:val="Cover Pages"/>
          <w:docPartUnique/>
        </w:docPartObj>
      </w:sdtPr>
      <w:sdtEndPr/>
      <w:sdtContent>
        <w:p w:rsidR="00A57A0F" w:rsidRDefault="008307BA" w:rsidP="00A57A0F">
          <w:pPr>
            <w:pStyle w:val="Logo"/>
            <w:pBdr>
              <w:bottom w:val="single" w:sz="4" w:space="1" w:color="auto"/>
            </w:pBdr>
          </w:pPr>
          <w:r>
            <w:rPr>
              <w:noProof/>
              <w:lang w:eastAsia="en-NZ"/>
            </w:rPr>
            <w:drawing>
              <wp:inline distT="0" distB="0" distL="0" distR="0" wp14:anchorId="2CF57BB0" wp14:editId="6096D72B">
                <wp:extent cx="1897200" cy="349200"/>
                <wp:effectExtent l="0" t="0" r="0" b="0"/>
                <wp:docPr id="3" name="Picture 3" descr="monoc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nocle-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7200" cy="349200"/>
                        </a:xfrm>
                        <a:prstGeom prst="rect">
                          <a:avLst/>
                        </a:prstGeom>
                        <a:noFill/>
                        <a:ln>
                          <a:noFill/>
                        </a:ln>
                      </pic:spPr>
                    </pic:pic>
                  </a:graphicData>
                </a:graphic>
              </wp:inline>
            </w:drawing>
          </w:r>
        </w:p>
        <w:p w:rsidR="00A57A0F" w:rsidRPr="004B00FA" w:rsidRDefault="00A57A0F" w:rsidP="00A57A0F">
          <w:pPr>
            <w:rPr>
              <w:sz w:val="20"/>
              <w:szCs w:val="20"/>
            </w:rPr>
          </w:pPr>
        </w:p>
        <w:p w:rsidR="00A57A0F" w:rsidRPr="004B00FA" w:rsidRDefault="00A57A0F" w:rsidP="00A57A0F">
          <w:pPr>
            <w:rPr>
              <w:sz w:val="20"/>
              <w:szCs w:val="20"/>
            </w:rPr>
          </w:pPr>
        </w:p>
        <w:p w:rsidR="00A57A0F" w:rsidRPr="004B00FA" w:rsidRDefault="00A57A0F" w:rsidP="00A57A0F">
          <w:pPr>
            <w:rPr>
              <w:sz w:val="20"/>
              <w:szCs w:val="20"/>
            </w:rPr>
          </w:pPr>
        </w:p>
        <w:p w:rsidR="008307BA" w:rsidRPr="004B00FA" w:rsidRDefault="008307BA" w:rsidP="008307BA">
          <w:pPr>
            <w:rPr>
              <w:sz w:val="20"/>
              <w:szCs w:val="20"/>
            </w:rPr>
          </w:pPr>
        </w:p>
        <w:p w:rsidR="008307BA" w:rsidRPr="00D2136C" w:rsidRDefault="008307BA" w:rsidP="008307BA">
          <w:pPr>
            <w:rPr>
              <w:sz w:val="52"/>
              <w:szCs w:val="52"/>
            </w:rPr>
          </w:pPr>
          <w:r w:rsidRPr="00D2136C">
            <w:rPr>
              <w:sz w:val="52"/>
              <w:szCs w:val="52"/>
            </w:rPr>
            <w:t>Health Promoting Schools</w:t>
          </w:r>
        </w:p>
        <w:p w:rsidR="008307BA" w:rsidRPr="00D2136C" w:rsidRDefault="008307BA" w:rsidP="008307BA">
          <w:pPr>
            <w:rPr>
              <w:sz w:val="52"/>
              <w:szCs w:val="52"/>
            </w:rPr>
          </w:pPr>
          <w:r w:rsidRPr="00D2136C">
            <w:rPr>
              <w:sz w:val="52"/>
              <w:szCs w:val="52"/>
            </w:rPr>
            <w:t xml:space="preserve">Impact on </w:t>
          </w:r>
          <w:r w:rsidR="00BF58FF">
            <w:rPr>
              <w:sz w:val="52"/>
              <w:szCs w:val="52"/>
            </w:rPr>
            <w:t xml:space="preserve">Targeted </w:t>
          </w:r>
          <w:r w:rsidRPr="00D2136C">
            <w:rPr>
              <w:sz w:val="52"/>
              <w:szCs w:val="52"/>
            </w:rPr>
            <w:t>Student Outcomes</w:t>
          </w:r>
        </w:p>
        <w:p w:rsidR="008307BA" w:rsidRPr="004B666F" w:rsidRDefault="008307BA" w:rsidP="008307BA">
          <w:pPr>
            <w:rPr>
              <w:sz w:val="52"/>
              <w:szCs w:val="72"/>
            </w:rPr>
          </w:pPr>
        </w:p>
        <w:p w:rsidR="008307BA" w:rsidRPr="00D2136C" w:rsidRDefault="008307BA" w:rsidP="008307BA">
          <w:pPr>
            <w:rPr>
              <w:sz w:val="44"/>
              <w:szCs w:val="44"/>
            </w:rPr>
          </w:pPr>
          <w:r w:rsidRPr="00D2136C">
            <w:rPr>
              <w:sz w:val="44"/>
              <w:szCs w:val="44"/>
            </w:rPr>
            <w:t xml:space="preserve">  </w:t>
          </w:r>
          <w:r w:rsidR="00A64AD9">
            <w:rPr>
              <w:sz w:val="44"/>
              <w:szCs w:val="44"/>
            </w:rPr>
            <w:t>Analysis</w:t>
          </w:r>
          <w:r w:rsidRPr="00D2136C">
            <w:rPr>
              <w:sz w:val="44"/>
              <w:szCs w:val="44"/>
            </w:rPr>
            <w:t xml:space="preserve"> Report</w:t>
          </w:r>
        </w:p>
        <w:p w:rsidR="008307BA" w:rsidRPr="00D2136C" w:rsidRDefault="008307BA" w:rsidP="008307BA">
          <w:pPr>
            <w:rPr>
              <w:sz w:val="30"/>
              <w:szCs w:val="30"/>
            </w:rPr>
          </w:pPr>
          <w:r>
            <w:rPr>
              <w:sz w:val="32"/>
              <w:szCs w:val="32"/>
            </w:rPr>
            <w:t xml:space="preserve">    </w:t>
          </w:r>
          <w:r w:rsidR="002F543A">
            <w:rPr>
              <w:sz w:val="30"/>
              <w:szCs w:val="30"/>
            </w:rPr>
            <w:t>SEPTEMBER</w:t>
          </w:r>
          <w:r w:rsidR="00D27F8E">
            <w:rPr>
              <w:sz w:val="30"/>
              <w:szCs w:val="30"/>
            </w:rPr>
            <w:t xml:space="preserve"> </w:t>
          </w:r>
          <w:r w:rsidR="00A069C7">
            <w:rPr>
              <w:sz w:val="30"/>
              <w:szCs w:val="30"/>
            </w:rPr>
            <w:t>06</w:t>
          </w:r>
          <w:r w:rsidRPr="00D2136C">
            <w:rPr>
              <w:sz w:val="30"/>
              <w:szCs w:val="30"/>
            </w:rPr>
            <w:t>, 2017</w:t>
          </w:r>
        </w:p>
        <w:p w:rsidR="008307BA" w:rsidRPr="00943955" w:rsidRDefault="008307BA" w:rsidP="008307BA">
          <w:pPr>
            <w:pStyle w:val="Footer"/>
            <w:rPr>
              <w:color w:val="000000" w:themeColor="text1"/>
              <w:sz w:val="18"/>
              <w:szCs w:val="18"/>
            </w:rPr>
          </w:pPr>
          <w:r w:rsidRPr="00943955">
            <w:rPr>
              <w:rFonts w:ascii="Candara" w:hAnsi="Candara"/>
              <w:color w:val="000000" w:themeColor="text1"/>
            </w:rPr>
            <w:t xml:space="preserve">       </w:t>
          </w:r>
        </w:p>
        <w:p w:rsidR="008307BA" w:rsidRPr="004B00FA" w:rsidRDefault="008307BA" w:rsidP="008307BA">
          <w:pPr>
            <w:rPr>
              <w:sz w:val="20"/>
              <w:szCs w:val="20"/>
            </w:rPr>
          </w:pPr>
        </w:p>
        <w:p w:rsidR="008307BA" w:rsidRPr="004B00FA" w:rsidRDefault="008307BA" w:rsidP="008307BA">
          <w:pPr>
            <w:rPr>
              <w:sz w:val="20"/>
              <w:szCs w:val="20"/>
            </w:rPr>
          </w:pPr>
        </w:p>
        <w:p w:rsidR="008307BA" w:rsidRPr="004B00FA" w:rsidRDefault="008307BA" w:rsidP="008307BA">
          <w:pPr>
            <w:rPr>
              <w:sz w:val="20"/>
              <w:szCs w:val="20"/>
            </w:rPr>
          </w:pPr>
        </w:p>
        <w:p w:rsidR="008307BA" w:rsidRPr="004B00FA" w:rsidRDefault="008307BA" w:rsidP="008307BA">
          <w:pPr>
            <w:rPr>
              <w:sz w:val="20"/>
              <w:szCs w:val="20"/>
            </w:rPr>
          </w:pPr>
        </w:p>
        <w:p w:rsidR="008307BA" w:rsidRPr="004B00FA" w:rsidRDefault="008307BA" w:rsidP="008307BA">
          <w:pPr>
            <w:rPr>
              <w:sz w:val="20"/>
              <w:szCs w:val="20"/>
            </w:rPr>
          </w:pPr>
        </w:p>
        <w:p w:rsidR="008307BA" w:rsidRPr="004B00FA" w:rsidRDefault="008307BA" w:rsidP="008307BA">
          <w:pPr>
            <w:rPr>
              <w:sz w:val="20"/>
              <w:szCs w:val="20"/>
            </w:rPr>
          </w:pPr>
        </w:p>
        <w:p w:rsidR="008307BA" w:rsidRDefault="008307BA" w:rsidP="008307BA"/>
        <w:p w:rsidR="008307BA" w:rsidRDefault="008307BA" w:rsidP="008307BA">
          <w:pPr>
            <w:rPr>
              <w:rFonts w:ascii="Candara" w:hAnsi="Candara"/>
              <w:sz w:val="24"/>
            </w:rPr>
          </w:pPr>
          <w:r>
            <w:rPr>
              <w:rFonts w:ascii="Candara" w:hAnsi="Candara"/>
              <w:sz w:val="24"/>
            </w:rPr>
            <w:t>Prepared by:</w:t>
          </w:r>
        </w:p>
        <w:p w:rsidR="008307BA" w:rsidRDefault="008307BA" w:rsidP="008307BA">
          <w:pPr>
            <w:rPr>
              <w:rFonts w:ascii="Candara" w:hAnsi="Candara"/>
              <w:color w:val="104864" w:themeColor="background2" w:themeShade="40"/>
              <w:sz w:val="32"/>
            </w:rPr>
          </w:pPr>
          <w:r>
            <w:rPr>
              <w:rFonts w:ascii="Candara" w:hAnsi="Candara"/>
              <w:color w:val="104864" w:themeColor="background2" w:themeShade="40"/>
              <w:sz w:val="32"/>
            </w:rPr>
            <w:t>Dr Heidi Leeson</w:t>
          </w:r>
        </w:p>
        <w:p w:rsidR="008307BA" w:rsidRDefault="008307BA" w:rsidP="008307BA">
          <w:r>
            <w:t>External Evaluator</w:t>
          </w:r>
        </w:p>
        <w:p w:rsidR="00A57A0F" w:rsidRDefault="00A57A0F" w:rsidP="00817A45">
          <w:pPr>
            <w:tabs>
              <w:tab w:val="left" w:pos="5355"/>
            </w:tabs>
            <w:rPr>
              <w:sz w:val="20"/>
              <w:szCs w:val="20"/>
            </w:rPr>
          </w:pPr>
        </w:p>
        <w:p w:rsidR="004B00FA" w:rsidRPr="004B00FA" w:rsidRDefault="004B00FA" w:rsidP="00A57A0F">
          <w:pPr>
            <w:rPr>
              <w:sz w:val="20"/>
              <w:szCs w:val="20"/>
            </w:rPr>
          </w:pPr>
        </w:p>
        <w:p w:rsidR="000F7AA2" w:rsidRDefault="000F7AA2" w:rsidP="000F7AA2">
          <w:pPr>
            <w:pBdr>
              <w:bottom w:val="single" w:sz="4" w:space="1" w:color="auto"/>
            </w:pBdr>
            <w:spacing w:after="0"/>
          </w:pPr>
        </w:p>
        <w:p w:rsidR="00A57A0F" w:rsidRDefault="00A43D35" w:rsidP="000F7AA2">
          <w:pPr>
            <w:pBdr>
              <w:bottom w:val="single" w:sz="4" w:space="1" w:color="auto"/>
            </w:pBdr>
            <w:spacing w:after="0"/>
          </w:pPr>
        </w:p>
      </w:sdtContent>
    </w:sdt>
    <w:p w:rsidR="00D62CAB" w:rsidRDefault="00D62CAB" w:rsidP="00D62CAB">
      <w:pPr>
        <w:spacing w:before="240"/>
        <w:rPr>
          <w:i/>
        </w:rPr>
        <w:sectPr w:rsidR="00D62CAB" w:rsidSect="00295057">
          <w:footerReference w:type="default" r:id="rId10"/>
          <w:type w:val="continuous"/>
          <w:pgSz w:w="12240" w:h="15840" w:code="1"/>
          <w:pgMar w:top="1080" w:right="1440" w:bottom="1080" w:left="1276" w:header="720" w:footer="624" w:gutter="0"/>
          <w:cols w:space="567"/>
          <w:titlePg/>
          <w:docGrid w:linePitch="360"/>
        </w:sectPr>
      </w:pPr>
    </w:p>
    <w:p w:rsidR="00381238" w:rsidRPr="00CF7488" w:rsidRDefault="00381238" w:rsidP="00381238">
      <w:pPr>
        <w:pStyle w:val="Heading1"/>
      </w:pPr>
      <w:bookmarkStart w:id="1" w:name="_Toc490574440"/>
      <w:bookmarkStart w:id="2" w:name="_Toc490648816"/>
      <w:bookmarkStart w:id="3" w:name="_Toc490654694"/>
      <w:bookmarkStart w:id="4" w:name="_Toc491238032"/>
      <w:bookmarkStart w:id="5" w:name="_Toc491756888"/>
      <w:bookmarkStart w:id="6" w:name="_Toc491757194"/>
      <w:r>
        <w:lastRenderedPageBreak/>
        <w:t>Author</w:t>
      </w:r>
      <w:bookmarkEnd w:id="1"/>
      <w:bookmarkEnd w:id="2"/>
      <w:bookmarkEnd w:id="3"/>
      <w:bookmarkEnd w:id="4"/>
      <w:bookmarkEnd w:id="5"/>
      <w:bookmarkEnd w:id="6"/>
    </w:p>
    <w:p w:rsidR="00381238" w:rsidRPr="006D74F8" w:rsidRDefault="00381238" w:rsidP="00381238">
      <w:pPr>
        <w:spacing w:before="240"/>
        <w:rPr>
          <w:b/>
        </w:rPr>
      </w:pPr>
      <w:r w:rsidRPr="006D74F8">
        <w:rPr>
          <w:b/>
        </w:rPr>
        <w:t>Dr Heidi Leeson, External Evaluator</w:t>
      </w:r>
      <w:r>
        <w:rPr>
          <w:b/>
        </w:rPr>
        <w:t>, Monocle Solutions Limited</w:t>
      </w:r>
    </w:p>
    <w:p w:rsidR="00C62DBE" w:rsidRDefault="00FF6E6E" w:rsidP="00381238">
      <w:r w:rsidRPr="00FF6E6E">
        <w:t>Dr Leeson has conducted numerous evaluation and assessment projects across the health and education sectors, both within New Zealand and internationally. She has applied her knowledge of psychometrics, multivariate and advanced statistical analysis to a variety of areas, such as, health econometrics, education, medicine, public health, and psychology. In her previous role as a Senior Lecturer (University of Auckland), and current role as Director of Monocle Solutions, she has had extensive involvement with various crown entities, non-government and commercial organisations.</w:t>
      </w:r>
    </w:p>
    <w:p w:rsidR="00C62DBE" w:rsidRDefault="00C62DBE" w:rsidP="00381238"/>
    <w:p w:rsidR="00381238" w:rsidRDefault="00381238" w:rsidP="00CF3E99">
      <w:pPr>
        <w:tabs>
          <w:tab w:val="left" w:pos="3410"/>
        </w:tabs>
        <w:spacing w:before="240"/>
      </w:pPr>
      <w:r>
        <w:br w:type="page"/>
      </w:r>
    </w:p>
    <w:sdt>
      <w:sdtPr>
        <w:rPr>
          <w:rFonts w:asciiTheme="minorHAnsi" w:eastAsiaTheme="minorEastAsia" w:hAnsiTheme="minorHAnsi" w:cstheme="minorBidi"/>
          <w:color w:val="auto"/>
          <w:sz w:val="21"/>
          <w:szCs w:val="21"/>
        </w:rPr>
        <w:id w:val="1714144633"/>
        <w:docPartObj>
          <w:docPartGallery w:val="Table of Contents"/>
          <w:docPartUnique/>
        </w:docPartObj>
      </w:sdtPr>
      <w:sdtEndPr>
        <w:rPr>
          <w:b/>
          <w:bCs/>
          <w:noProof/>
        </w:rPr>
      </w:sdtEndPr>
      <w:sdtContent>
        <w:p w:rsidR="0022796A" w:rsidRDefault="00381238" w:rsidP="00943955">
          <w:pPr>
            <w:pStyle w:val="TOCHeading"/>
            <w:rPr>
              <w:noProof/>
            </w:rPr>
          </w:pPr>
          <w:r w:rsidRPr="00CF7488">
            <w:t>Contents</w:t>
          </w:r>
          <w:r w:rsidR="00B24635">
            <w:fldChar w:fldCharType="begin"/>
          </w:r>
          <w:r w:rsidR="00B24635">
            <w:instrText xml:space="preserve"> TOC \o "1-3" \h \z \u </w:instrText>
          </w:r>
          <w:r w:rsidR="00B24635">
            <w:fldChar w:fldCharType="separate"/>
          </w:r>
        </w:p>
        <w:p w:rsidR="0022796A" w:rsidRDefault="00A43D35">
          <w:pPr>
            <w:pStyle w:val="TOC1"/>
            <w:tabs>
              <w:tab w:val="right" w:leader="dot" w:pos="9350"/>
            </w:tabs>
            <w:rPr>
              <w:rFonts w:asciiTheme="minorHAnsi" w:hAnsiTheme="minorHAnsi"/>
              <w:b w:val="0"/>
              <w:bCs w:val="0"/>
              <w:caps w:val="0"/>
              <w:noProof/>
              <w:sz w:val="22"/>
              <w:szCs w:val="22"/>
              <w:lang w:eastAsia="en-NZ"/>
            </w:rPr>
          </w:pPr>
          <w:hyperlink w:anchor="_Toc491757195" w:history="1">
            <w:r w:rsidR="0022796A" w:rsidRPr="006833F9">
              <w:rPr>
                <w:rStyle w:val="Hyperlink"/>
                <w:noProof/>
              </w:rPr>
              <w:t>Executive Summary</w:t>
            </w:r>
            <w:r w:rsidR="0022796A">
              <w:rPr>
                <w:noProof/>
                <w:webHidden/>
              </w:rPr>
              <w:tab/>
            </w:r>
            <w:r w:rsidR="0022796A">
              <w:rPr>
                <w:noProof/>
                <w:webHidden/>
              </w:rPr>
              <w:fldChar w:fldCharType="begin"/>
            </w:r>
            <w:r w:rsidR="0022796A">
              <w:rPr>
                <w:noProof/>
                <w:webHidden/>
              </w:rPr>
              <w:instrText xml:space="preserve"> PAGEREF _Toc491757195 \h </w:instrText>
            </w:r>
            <w:r w:rsidR="0022796A">
              <w:rPr>
                <w:noProof/>
                <w:webHidden/>
              </w:rPr>
            </w:r>
            <w:r w:rsidR="0022796A">
              <w:rPr>
                <w:noProof/>
                <w:webHidden/>
              </w:rPr>
              <w:fldChar w:fldCharType="separate"/>
            </w:r>
            <w:r>
              <w:rPr>
                <w:noProof/>
                <w:webHidden/>
              </w:rPr>
              <w:t>4</w:t>
            </w:r>
            <w:r w:rsidR="0022796A">
              <w:rPr>
                <w:noProof/>
                <w:webHidden/>
              </w:rPr>
              <w:fldChar w:fldCharType="end"/>
            </w:r>
          </w:hyperlink>
        </w:p>
        <w:p w:rsidR="0022796A" w:rsidRDefault="00A43D35">
          <w:pPr>
            <w:pStyle w:val="TOC1"/>
            <w:tabs>
              <w:tab w:val="right" w:leader="dot" w:pos="9350"/>
            </w:tabs>
            <w:rPr>
              <w:rFonts w:asciiTheme="minorHAnsi" w:hAnsiTheme="minorHAnsi"/>
              <w:b w:val="0"/>
              <w:bCs w:val="0"/>
              <w:caps w:val="0"/>
              <w:noProof/>
              <w:sz w:val="22"/>
              <w:szCs w:val="22"/>
              <w:lang w:eastAsia="en-NZ"/>
            </w:rPr>
          </w:pPr>
          <w:hyperlink w:anchor="_Toc491757196" w:history="1">
            <w:r w:rsidR="0022796A" w:rsidRPr="006833F9">
              <w:rPr>
                <w:rStyle w:val="Hyperlink"/>
                <w:noProof/>
              </w:rPr>
              <w:t>Introduction</w:t>
            </w:r>
            <w:r w:rsidR="0022796A">
              <w:rPr>
                <w:noProof/>
                <w:webHidden/>
              </w:rPr>
              <w:tab/>
            </w:r>
            <w:r w:rsidR="0022796A">
              <w:rPr>
                <w:noProof/>
                <w:webHidden/>
              </w:rPr>
              <w:fldChar w:fldCharType="begin"/>
            </w:r>
            <w:r w:rsidR="0022796A">
              <w:rPr>
                <w:noProof/>
                <w:webHidden/>
              </w:rPr>
              <w:instrText xml:space="preserve"> PAGEREF _Toc491757196 \h </w:instrText>
            </w:r>
            <w:r w:rsidR="0022796A">
              <w:rPr>
                <w:noProof/>
                <w:webHidden/>
              </w:rPr>
            </w:r>
            <w:r w:rsidR="0022796A">
              <w:rPr>
                <w:noProof/>
                <w:webHidden/>
              </w:rPr>
              <w:fldChar w:fldCharType="separate"/>
            </w:r>
            <w:r>
              <w:rPr>
                <w:noProof/>
                <w:webHidden/>
              </w:rPr>
              <w:t>5</w:t>
            </w:r>
            <w:r w:rsidR="0022796A">
              <w:rPr>
                <w:noProof/>
                <w:webHidden/>
              </w:rPr>
              <w:fldChar w:fldCharType="end"/>
            </w:r>
          </w:hyperlink>
        </w:p>
        <w:p w:rsidR="0022796A" w:rsidRDefault="00A43D35">
          <w:pPr>
            <w:pStyle w:val="TOC1"/>
            <w:tabs>
              <w:tab w:val="right" w:leader="dot" w:pos="9350"/>
            </w:tabs>
            <w:rPr>
              <w:rFonts w:asciiTheme="minorHAnsi" w:hAnsiTheme="minorHAnsi"/>
              <w:b w:val="0"/>
              <w:bCs w:val="0"/>
              <w:caps w:val="0"/>
              <w:noProof/>
              <w:sz w:val="22"/>
              <w:szCs w:val="22"/>
              <w:lang w:eastAsia="en-NZ"/>
            </w:rPr>
          </w:pPr>
          <w:hyperlink w:anchor="_Toc491757197" w:history="1">
            <w:r w:rsidR="0022796A" w:rsidRPr="006833F9">
              <w:rPr>
                <w:rStyle w:val="Hyperlink"/>
                <w:noProof/>
              </w:rPr>
              <w:t>Methodology</w:t>
            </w:r>
            <w:r w:rsidR="0022796A">
              <w:rPr>
                <w:noProof/>
                <w:webHidden/>
              </w:rPr>
              <w:tab/>
            </w:r>
            <w:r w:rsidR="0022796A">
              <w:rPr>
                <w:noProof/>
                <w:webHidden/>
              </w:rPr>
              <w:fldChar w:fldCharType="begin"/>
            </w:r>
            <w:r w:rsidR="0022796A">
              <w:rPr>
                <w:noProof/>
                <w:webHidden/>
              </w:rPr>
              <w:instrText xml:space="preserve"> PAGEREF _Toc491757197 \h </w:instrText>
            </w:r>
            <w:r w:rsidR="0022796A">
              <w:rPr>
                <w:noProof/>
                <w:webHidden/>
              </w:rPr>
            </w:r>
            <w:r w:rsidR="0022796A">
              <w:rPr>
                <w:noProof/>
                <w:webHidden/>
              </w:rPr>
              <w:fldChar w:fldCharType="separate"/>
            </w:r>
            <w:r>
              <w:rPr>
                <w:noProof/>
                <w:webHidden/>
              </w:rPr>
              <w:t>7</w:t>
            </w:r>
            <w:r w:rsidR="0022796A">
              <w:rPr>
                <w:noProof/>
                <w:webHidden/>
              </w:rPr>
              <w:fldChar w:fldCharType="end"/>
            </w:r>
          </w:hyperlink>
        </w:p>
        <w:p w:rsidR="0022796A" w:rsidRDefault="00A43D35">
          <w:pPr>
            <w:pStyle w:val="TOC2"/>
            <w:tabs>
              <w:tab w:val="right" w:leader="dot" w:pos="9350"/>
            </w:tabs>
            <w:rPr>
              <w:b w:val="0"/>
              <w:bCs w:val="0"/>
              <w:noProof/>
              <w:sz w:val="22"/>
              <w:szCs w:val="22"/>
              <w:lang w:eastAsia="en-NZ"/>
            </w:rPr>
          </w:pPr>
          <w:hyperlink w:anchor="_Toc491757198" w:history="1">
            <w:r w:rsidR="0022796A" w:rsidRPr="006833F9">
              <w:rPr>
                <w:rStyle w:val="Hyperlink"/>
                <w:noProof/>
              </w:rPr>
              <w:t>Sample</w:t>
            </w:r>
            <w:r w:rsidR="0022796A">
              <w:rPr>
                <w:noProof/>
                <w:webHidden/>
              </w:rPr>
              <w:tab/>
            </w:r>
            <w:r w:rsidR="0022796A">
              <w:rPr>
                <w:noProof/>
                <w:webHidden/>
              </w:rPr>
              <w:fldChar w:fldCharType="begin"/>
            </w:r>
            <w:r w:rsidR="0022796A">
              <w:rPr>
                <w:noProof/>
                <w:webHidden/>
              </w:rPr>
              <w:instrText xml:space="preserve"> PAGEREF _Toc491757198 \h </w:instrText>
            </w:r>
            <w:r w:rsidR="0022796A">
              <w:rPr>
                <w:noProof/>
                <w:webHidden/>
              </w:rPr>
            </w:r>
            <w:r w:rsidR="0022796A">
              <w:rPr>
                <w:noProof/>
                <w:webHidden/>
              </w:rPr>
              <w:fldChar w:fldCharType="separate"/>
            </w:r>
            <w:r>
              <w:rPr>
                <w:noProof/>
                <w:webHidden/>
              </w:rPr>
              <w:t>7</w:t>
            </w:r>
            <w:r w:rsidR="0022796A">
              <w:rPr>
                <w:noProof/>
                <w:webHidden/>
              </w:rPr>
              <w:fldChar w:fldCharType="end"/>
            </w:r>
          </w:hyperlink>
        </w:p>
        <w:p w:rsidR="0022796A" w:rsidRDefault="00A43D35">
          <w:pPr>
            <w:pStyle w:val="TOC2"/>
            <w:tabs>
              <w:tab w:val="right" w:leader="dot" w:pos="9350"/>
            </w:tabs>
            <w:rPr>
              <w:b w:val="0"/>
              <w:bCs w:val="0"/>
              <w:noProof/>
              <w:sz w:val="22"/>
              <w:szCs w:val="22"/>
              <w:lang w:eastAsia="en-NZ"/>
            </w:rPr>
          </w:pPr>
          <w:hyperlink w:anchor="_Toc491757199" w:history="1">
            <w:r w:rsidR="0022796A" w:rsidRPr="006833F9">
              <w:rPr>
                <w:rStyle w:val="Hyperlink"/>
                <w:noProof/>
              </w:rPr>
              <w:t>Measures and Data</w:t>
            </w:r>
            <w:r w:rsidR="0022796A">
              <w:rPr>
                <w:noProof/>
                <w:webHidden/>
              </w:rPr>
              <w:tab/>
            </w:r>
            <w:r w:rsidR="0022796A">
              <w:rPr>
                <w:noProof/>
                <w:webHidden/>
              </w:rPr>
              <w:fldChar w:fldCharType="begin"/>
            </w:r>
            <w:r w:rsidR="0022796A">
              <w:rPr>
                <w:noProof/>
                <w:webHidden/>
              </w:rPr>
              <w:instrText xml:space="preserve"> PAGEREF _Toc491757199 \h </w:instrText>
            </w:r>
            <w:r w:rsidR="0022796A">
              <w:rPr>
                <w:noProof/>
                <w:webHidden/>
              </w:rPr>
            </w:r>
            <w:r w:rsidR="0022796A">
              <w:rPr>
                <w:noProof/>
                <w:webHidden/>
              </w:rPr>
              <w:fldChar w:fldCharType="separate"/>
            </w:r>
            <w:r>
              <w:rPr>
                <w:noProof/>
                <w:webHidden/>
              </w:rPr>
              <w:t>8</w:t>
            </w:r>
            <w:r w:rsidR="0022796A">
              <w:rPr>
                <w:noProof/>
                <w:webHidden/>
              </w:rPr>
              <w:fldChar w:fldCharType="end"/>
            </w:r>
          </w:hyperlink>
        </w:p>
        <w:p w:rsidR="0022796A" w:rsidRDefault="00A43D35">
          <w:pPr>
            <w:pStyle w:val="TOC3"/>
            <w:tabs>
              <w:tab w:val="right" w:leader="dot" w:pos="9350"/>
            </w:tabs>
            <w:rPr>
              <w:noProof/>
              <w:sz w:val="22"/>
              <w:szCs w:val="22"/>
              <w:lang w:eastAsia="en-NZ"/>
            </w:rPr>
          </w:pPr>
          <w:hyperlink w:anchor="_Toc491757200" w:history="1">
            <w:r w:rsidR="0022796A" w:rsidRPr="006833F9">
              <w:rPr>
                <w:rStyle w:val="Hyperlink"/>
                <w:noProof/>
              </w:rPr>
              <w:t>ERO Cycle Category</w:t>
            </w:r>
            <w:r w:rsidR="0022796A">
              <w:rPr>
                <w:noProof/>
                <w:webHidden/>
              </w:rPr>
              <w:tab/>
            </w:r>
            <w:r w:rsidR="0022796A">
              <w:rPr>
                <w:noProof/>
                <w:webHidden/>
              </w:rPr>
              <w:fldChar w:fldCharType="begin"/>
            </w:r>
            <w:r w:rsidR="0022796A">
              <w:rPr>
                <w:noProof/>
                <w:webHidden/>
              </w:rPr>
              <w:instrText xml:space="preserve"> PAGEREF _Toc491757200 \h </w:instrText>
            </w:r>
            <w:r w:rsidR="0022796A">
              <w:rPr>
                <w:noProof/>
                <w:webHidden/>
              </w:rPr>
            </w:r>
            <w:r w:rsidR="0022796A">
              <w:rPr>
                <w:noProof/>
                <w:webHidden/>
              </w:rPr>
              <w:fldChar w:fldCharType="separate"/>
            </w:r>
            <w:r>
              <w:rPr>
                <w:noProof/>
                <w:webHidden/>
              </w:rPr>
              <w:t>8</w:t>
            </w:r>
            <w:r w:rsidR="0022796A">
              <w:rPr>
                <w:noProof/>
                <w:webHidden/>
              </w:rPr>
              <w:fldChar w:fldCharType="end"/>
            </w:r>
          </w:hyperlink>
        </w:p>
        <w:p w:rsidR="0022796A" w:rsidRDefault="00A43D35">
          <w:pPr>
            <w:pStyle w:val="TOC3"/>
            <w:tabs>
              <w:tab w:val="right" w:leader="dot" w:pos="9350"/>
            </w:tabs>
            <w:rPr>
              <w:noProof/>
              <w:sz w:val="22"/>
              <w:szCs w:val="22"/>
              <w:lang w:eastAsia="en-NZ"/>
            </w:rPr>
          </w:pPr>
          <w:hyperlink w:anchor="_Toc491757201" w:history="1">
            <w:r w:rsidR="0022796A" w:rsidRPr="006833F9">
              <w:rPr>
                <w:rStyle w:val="Hyperlink"/>
                <w:noProof/>
              </w:rPr>
              <w:t>HPS Health and Wellbeing Rubric</w:t>
            </w:r>
            <w:r w:rsidR="0022796A">
              <w:rPr>
                <w:noProof/>
                <w:webHidden/>
              </w:rPr>
              <w:tab/>
            </w:r>
            <w:r w:rsidR="0022796A">
              <w:rPr>
                <w:noProof/>
                <w:webHidden/>
              </w:rPr>
              <w:fldChar w:fldCharType="begin"/>
            </w:r>
            <w:r w:rsidR="0022796A">
              <w:rPr>
                <w:noProof/>
                <w:webHidden/>
              </w:rPr>
              <w:instrText xml:space="preserve"> PAGEREF _Toc491757201 \h </w:instrText>
            </w:r>
            <w:r w:rsidR="0022796A">
              <w:rPr>
                <w:noProof/>
                <w:webHidden/>
              </w:rPr>
            </w:r>
            <w:r w:rsidR="0022796A">
              <w:rPr>
                <w:noProof/>
                <w:webHidden/>
              </w:rPr>
              <w:fldChar w:fldCharType="separate"/>
            </w:r>
            <w:r>
              <w:rPr>
                <w:noProof/>
                <w:webHidden/>
              </w:rPr>
              <w:t>8</w:t>
            </w:r>
            <w:r w:rsidR="0022796A">
              <w:rPr>
                <w:noProof/>
                <w:webHidden/>
              </w:rPr>
              <w:fldChar w:fldCharType="end"/>
            </w:r>
          </w:hyperlink>
        </w:p>
        <w:p w:rsidR="0022796A" w:rsidRDefault="00A43D35">
          <w:pPr>
            <w:pStyle w:val="TOC3"/>
            <w:tabs>
              <w:tab w:val="right" w:leader="dot" w:pos="9350"/>
            </w:tabs>
            <w:rPr>
              <w:noProof/>
              <w:sz w:val="22"/>
              <w:szCs w:val="22"/>
              <w:lang w:eastAsia="en-NZ"/>
            </w:rPr>
          </w:pPr>
          <w:hyperlink w:anchor="_Toc491757202" w:history="1">
            <w:r w:rsidR="0022796A" w:rsidRPr="006833F9">
              <w:rPr>
                <w:rStyle w:val="Hyperlink"/>
                <w:noProof/>
              </w:rPr>
              <w:t>HPS Schools Survey</w:t>
            </w:r>
            <w:r w:rsidR="0022796A">
              <w:rPr>
                <w:noProof/>
                <w:webHidden/>
              </w:rPr>
              <w:tab/>
            </w:r>
            <w:r w:rsidR="0022796A">
              <w:rPr>
                <w:noProof/>
                <w:webHidden/>
              </w:rPr>
              <w:fldChar w:fldCharType="begin"/>
            </w:r>
            <w:r w:rsidR="0022796A">
              <w:rPr>
                <w:noProof/>
                <w:webHidden/>
              </w:rPr>
              <w:instrText xml:space="preserve"> PAGEREF _Toc491757202 \h </w:instrText>
            </w:r>
            <w:r w:rsidR="0022796A">
              <w:rPr>
                <w:noProof/>
                <w:webHidden/>
              </w:rPr>
            </w:r>
            <w:r w:rsidR="0022796A">
              <w:rPr>
                <w:noProof/>
                <w:webHidden/>
              </w:rPr>
              <w:fldChar w:fldCharType="separate"/>
            </w:r>
            <w:r>
              <w:rPr>
                <w:noProof/>
                <w:webHidden/>
              </w:rPr>
              <w:t>9</w:t>
            </w:r>
            <w:r w:rsidR="0022796A">
              <w:rPr>
                <w:noProof/>
                <w:webHidden/>
              </w:rPr>
              <w:fldChar w:fldCharType="end"/>
            </w:r>
          </w:hyperlink>
        </w:p>
        <w:p w:rsidR="0022796A" w:rsidRDefault="00A43D35">
          <w:pPr>
            <w:pStyle w:val="TOC3"/>
            <w:tabs>
              <w:tab w:val="right" w:leader="dot" w:pos="9350"/>
            </w:tabs>
            <w:rPr>
              <w:noProof/>
              <w:sz w:val="22"/>
              <w:szCs w:val="22"/>
              <w:lang w:eastAsia="en-NZ"/>
            </w:rPr>
          </w:pPr>
          <w:hyperlink w:anchor="_Toc491757203" w:history="1">
            <w:r w:rsidR="0022796A" w:rsidRPr="006833F9">
              <w:rPr>
                <w:rStyle w:val="Hyperlink"/>
                <w:noProof/>
              </w:rPr>
              <w:t>HPS Database</w:t>
            </w:r>
            <w:r w:rsidR="0022796A">
              <w:rPr>
                <w:noProof/>
                <w:webHidden/>
              </w:rPr>
              <w:tab/>
            </w:r>
            <w:r w:rsidR="0022796A">
              <w:rPr>
                <w:noProof/>
                <w:webHidden/>
              </w:rPr>
              <w:fldChar w:fldCharType="begin"/>
            </w:r>
            <w:r w:rsidR="0022796A">
              <w:rPr>
                <w:noProof/>
                <w:webHidden/>
              </w:rPr>
              <w:instrText xml:space="preserve"> PAGEREF _Toc491757203 \h </w:instrText>
            </w:r>
            <w:r w:rsidR="0022796A">
              <w:rPr>
                <w:noProof/>
                <w:webHidden/>
              </w:rPr>
            </w:r>
            <w:r w:rsidR="0022796A">
              <w:rPr>
                <w:noProof/>
                <w:webHidden/>
              </w:rPr>
              <w:fldChar w:fldCharType="separate"/>
            </w:r>
            <w:r>
              <w:rPr>
                <w:noProof/>
                <w:webHidden/>
              </w:rPr>
              <w:t>9</w:t>
            </w:r>
            <w:r w:rsidR="0022796A">
              <w:rPr>
                <w:noProof/>
                <w:webHidden/>
              </w:rPr>
              <w:fldChar w:fldCharType="end"/>
            </w:r>
          </w:hyperlink>
        </w:p>
        <w:p w:rsidR="0022796A" w:rsidRDefault="00A43D35">
          <w:pPr>
            <w:pStyle w:val="TOC3"/>
            <w:tabs>
              <w:tab w:val="right" w:leader="dot" w:pos="9350"/>
            </w:tabs>
            <w:rPr>
              <w:noProof/>
              <w:sz w:val="22"/>
              <w:szCs w:val="22"/>
              <w:lang w:eastAsia="en-NZ"/>
            </w:rPr>
          </w:pPr>
          <w:hyperlink w:anchor="_Toc491757204" w:history="1">
            <w:r w:rsidR="0022796A" w:rsidRPr="006833F9">
              <w:rPr>
                <w:rStyle w:val="Hyperlink"/>
                <w:noProof/>
              </w:rPr>
              <w:t>Ministry of Education data</w:t>
            </w:r>
            <w:r w:rsidR="0022796A">
              <w:rPr>
                <w:noProof/>
                <w:webHidden/>
              </w:rPr>
              <w:tab/>
            </w:r>
            <w:r w:rsidR="0022796A">
              <w:rPr>
                <w:noProof/>
                <w:webHidden/>
              </w:rPr>
              <w:fldChar w:fldCharType="begin"/>
            </w:r>
            <w:r w:rsidR="0022796A">
              <w:rPr>
                <w:noProof/>
                <w:webHidden/>
              </w:rPr>
              <w:instrText xml:space="preserve"> PAGEREF _Toc491757204 \h </w:instrText>
            </w:r>
            <w:r w:rsidR="0022796A">
              <w:rPr>
                <w:noProof/>
                <w:webHidden/>
              </w:rPr>
            </w:r>
            <w:r w:rsidR="0022796A">
              <w:rPr>
                <w:noProof/>
                <w:webHidden/>
              </w:rPr>
              <w:fldChar w:fldCharType="separate"/>
            </w:r>
            <w:r>
              <w:rPr>
                <w:noProof/>
                <w:webHidden/>
              </w:rPr>
              <w:t>10</w:t>
            </w:r>
            <w:r w:rsidR="0022796A">
              <w:rPr>
                <w:noProof/>
                <w:webHidden/>
              </w:rPr>
              <w:fldChar w:fldCharType="end"/>
            </w:r>
          </w:hyperlink>
        </w:p>
        <w:p w:rsidR="0022796A" w:rsidRDefault="00A43D35">
          <w:pPr>
            <w:pStyle w:val="TOC2"/>
            <w:tabs>
              <w:tab w:val="right" w:leader="dot" w:pos="9350"/>
            </w:tabs>
            <w:rPr>
              <w:b w:val="0"/>
              <w:bCs w:val="0"/>
              <w:noProof/>
              <w:sz w:val="22"/>
              <w:szCs w:val="22"/>
              <w:lang w:eastAsia="en-NZ"/>
            </w:rPr>
          </w:pPr>
          <w:hyperlink w:anchor="_Toc491757205" w:history="1">
            <w:r w:rsidR="0022796A" w:rsidRPr="006833F9">
              <w:rPr>
                <w:rStyle w:val="Hyperlink"/>
                <w:noProof/>
              </w:rPr>
              <w:t>Data Analysis</w:t>
            </w:r>
            <w:r w:rsidR="0022796A">
              <w:rPr>
                <w:noProof/>
                <w:webHidden/>
              </w:rPr>
              <w:tab/>
            </w:r>
            <w:r w:rsidR="0022796A">
              <w:rPr>
                <w:noProof/>
                <w:webHidden/>
              </w:rPr>
              <w:fldChar w:fldCharType="begin"/>
            </w:r>
            <w:r w:rsidR="0022796A">
              <w:rPr>
                <w:noProof/>
                <w:webHidden/>
              </w:rPr>
              <w:instrText xml:space="preserve"> PAGEREF _Toc491757205 \h </w:instrText>
            </w:r>
            <w:r w:rsidR="0022796A">
              <w:rPr>
                <w:noProof/>
                <w:webHidden/>
              </w:rPr>
            </w:r>
            <w:r w:rsidR="0022796A">
              <w:rPr>
                <w:noProof/>
                <w:webHidden/>
              </w:rPr>
              <w:fldChar w:fldCharType="separate"/>
            </w:r>
            <w:r>
              <w:rPr>
                <w:noProof/>
                <w:webHidden/>
              </w:rPr>
              <w:t>10</w:t>
            </w:r>
            <w:r w:rsidR="0022796A">
              <w:rPr>
                <w:noProof/>
                <w:webHidden/>
              </w:rPr>
              <w:fldChar w:fldCharType="end"/>
            </w:r>
          </w:hyperlink>
        </w:p>
        <w:p w:rsidR="0022796A" w:rsidRDefault="00A43D35">
          <w:pPr>
            <w:pStyle w:val="TOC3"/>
            <w:tabs>
              <w:tab w:val="right" w:leader="dot" w:pos="9350"/>
            </w:tabs>
            <w:rPr>
              <w:noProof/>
              <w:sz w:val="22"/>
              <w:szCs w:val="22"/>
              <w:lang w:eastAsia="en-NZ"/>
            </w:rPr>
          </w:pPr>
          <w:hyperlink w:anchor="_Toc491757206" w:history="1">
            <w:r w:rsidR="0022796A" w:rsidRPr="006833F9">
              <w:rPr>
                <w:rStyle w:val="Hyperlink"/>
                <w:noProof/>
              </w:rPr>
              <w:t>Structural Equation Modelling (SEM)</w:t>
            </w:r>
            <w:r w:rsidR="0022796A">
              <w:rPr>
                <w:noProof/>
                <w:webHidden/>
              </w:rPr>
              <w:tab/>
            </w:r>
            <w:r w:rsidR="0022796A">
              <w:rPr>
                <w:noProof/>
                <w:webHidden/>
              </w:rPr>
              <w:fldChar w:fldCharType="begin"/>
            </w:r>
            <w:r w:rsidR="0022796A">
              <w:rPr>
                <w:noProof/>
                <w:webHidden/>
              </w:rPr>
              <w:instrText xml:space="preserve"> PAGEREF _Toc491757206 \h </w:instrText>
            </w:r>
            <w:r w:rsidR="0022796A">
              <w:rPr>
                <w:noProof/>
                <w:webHidden/>
              </w:rPr>
            </w:r>
            <w:r w:rsidR="0022796A">
              <w:rPr>
                <w:noProof/>
                <w:webHidden/>
              </w:rPr>
              <w:fldChar w:fldCharType="separate"/>
            </w:r>
            <w:r>
              <w:rPr>
                <w:noProof/>
                <w:webHidden/>
              </w:rPr>
              <w:t>10</w:t>
            </w:r>
            <w:r w:rsidR="0022796A">
              <w:rPr>
                <w:noProof/>
                <w:webHidden/>
              </w:rPr>
              <w:fldChar w:fldCharType="end"/>
            </w:r>
          </w:hyperlink>
        </w:p>
        <w:p w:rsidR="0022796A" w:rsidRDefault="00A43D35">
          <w:pPr>
            <w:pStyle w:val="TOC3"/>
            <w:tabs>
              <w:tab w:val="right" w:leader="dot" w:pos="9350"/>
            </w:tabs>
            <w:rPr>
              <w:noProof/>
              <w:sz w:val="22"/>
              <w:szCs w:val="22"/>
              <w:lang w:eastAsia="en-NZ"/>
            </w:rPr>
          </w:pPr>
          <w:hyperlink w:anchor="_Toc491757207" w:history="1">
            <w:r w:rsidR="0022796A" w:rsidRPr="006833F9">
              <w:rPr>
                <w:rStyle w:val="Hyperlink"/>
                <w:noProof/>
              </w:rPr>
              <w:t>Model Estimations</w:t>
            </w:r>
            <w:r w:rsidR="0022796A">
              <w:rPr>
                <w:noProof/>
                <w:webHidden/>
              </w:rPr>
              <w:tab/>
            </w:r>
            <w:r w:rsidR="0022796A">
              <w:rPr>
                <w:noProof/>
                <w:webHidden/>
              </w:rPr>
              <w:fldChar w:fldCharType="begin"/>
            </w:r>
            <w:r w:rsidR="0022796A">
              <w:rPr>
                <w:noProof/>
                <w:webHidden/>
              </w:rPr>
              <w:instrText xml:space="preserve"> PAGEREF _Toc491757207 \h </w:instrText>
            </w:r>
            <w:r w:rsidR="0022796A">
              <w:rPr>
                <w:noProof/>
                <w:webHidden/>
              </w:rPr>
            </w:r>
            <w:r w:rsidR="0022796A">
              <w:rPr>
                <w:noProof/>
                <w:webHidden/>
              </w:rPr>
              <w:fldChar w:fldCharType="separate"/>
            </w:r>
            <w:r>
              <w:rPr>
                <w:noProof/>
                <w:webHidden/>
              </w:rPr>
              <w:t>11</w:t>
            </w:r>
            <w:r w:rsidR="0022796A">
              <w:rPr>
                <w:noProof/>
                <w:webHidden/>
              </w:rPr>
              <w:fldChar w:fldCharType="end"/>
            </w:r>
          </w:hyperlink>
        </w:p>
        <w:p w:rsidR="0022796A" w:rsidRDefault="00A43D35">
          <w:pPr>
            <w:pStyle w:val="TOC3"/>
            <w:tabs>
              <w:tab w:val="right" w:leader="dot" w:pos="9350"/>
            </w:tabs>
            <w:rPr>
              <w:noProof/>
              <w:sz w:val="22"/>
              <w:szCs w:val="22"/>
              <w:lang w:eastAsia="en-NZ"/>
            </w:rPr>
          </w:pPr>
          <w:hyperlink w:anchor="_Toc491757208" w:history="1">
            <w:r w:rsidR="0022796A" w:rsidRPr="006833F9">
              <w:rPr>
                <w:rStyle w:val="Hyperlink"/>
                <w:noProof/>
              </w:rPr>
              <w:t>Missing data</w:t>
            </w:r>
            <w:r w:rsidR="0022796A">
              <w:rPr>
                <w:noProof/>
                <w:webHidden/>
              </w:rPr>
              <w:tab/>
            </w:r>
            <w:r w:rsidR="0022796A">
              <w:rPr>
                <w:noProof/>
                <w:webHidden/>
              </w:rPr>
              <w:fldChar w:fldCharType="begin"/>
            </w:r>
            <w:r w:rsidR="0022796A">
              <w:rPr>
                <w:noProof/>
                <w:webHidden/>
              </w:rPr>
              <w:instrText xml:space="preserve"> PAGEREF _Toc491757208 \h </w:instrText>
            </w:r>
            <w:r w:rsidR="0022796A">
              <w:rPr>
                <w:noProof/>
                <w:webHidden/>
              </w:rPr>
            </w:r>
            <w:r w:rsidR="0022796A">
              <w:rPr>
                <w:noProof/>
                <w:webHidden/>
              </w:rPr>
              <w:fldChar w:fldCharType="separate"/>
            </w:r>
            <w:r>
              <w:rPr>
                <w:noProof/>
                <w:webHidden/>
              </w:rPr>
              <w:t>11</w:t>
            </w:r>
            <w:r w:rsidR="0022796A">
              <w:rPr>
                <w:noProof/>
                <w:webHidden/>
              </w:rPr>
              <w:fldChar w:fldCharType="end"/>
            </w:r>
          </w:hyperlink>
        </w:p>
        <w:p w:rsidR="0022796A" w:rsidRDefault="00A43D35">
          <w:pPr>
            <w:pStyle w:val="TOC1"/>
            <w:tabs>
              <w:tab w:val="right" w:leader="dot" w:pos="9350"/>
            </w:tabs>
            <w:rPr>
              <w:rFonts w:asciiTheme="minorHAnsi" w:hAnsiTheme="minorHAnsi"/>
              <w:b w:val="0"/>
              <w:bCs w:val="0"/>
              <w:caps w:val="0"/>
              <w:noProof/>
              <w:sz w:val="22"/>
              <w:szCs w:val="22"/>
              <w:lang w:eastAsia="en-NZ"/>
            </w:rPr>
          </w:pPr>
          <w:hyperlink w:anchor="_Toc491757209" w:history="1">
            <w:r w:rsidR="0022796A" w:rsidRPr="006833F9">
              <w:rPr>
                <w:rStyle w:val="Hyperlink"/>
                <w:rFonts w:eastAsiaTheme="majorEastAsia" w:cstheme="majorBidi"/>
                <w:noProof/>
              </w:rPr>
              <w:t>Results</w:t>
            </w:r>
            <w:r w:rsidR="0022796A">
              <w:rPr>
                <w:noProof/>
                <w:webHidden/>
              </w:rPr>
              <w:tab/>
            </w:r>
            <w:r w:rsidR="0022796A">
              <w:rPr>
                <w:noProof/>
                <w:webHidden/>
              </w:rPr>
              <w:fldChar w:fldCharType="begin"/>
            </w:r>
            <w:r w:rsidR="0022796A">
              <w:rPr>
                <w:noProof/>
                <w:webHidden/>
              </w:rPr>
              <w:instrText xml:space="preserve"> PAGEREF _Toc491757209 \h </w:instrText>
            </w:r>
            <w:r w:rsidR="0022796A">
              <w:rPr>
                <w:noProof/>
                <w:webHidden/>
              </w:rPr>
            </w:r>
            <w:r w:rsidR="0022796A">
              <w:rPr>
                <w:noProof/>
                <w:webHidden/>
              </w:rPr>
              <w:fldChar w:fldCharType="separate"/>
            </w:r>
            <w:r>
              <w:rPr>
                <w:noProof/>
                <w:webHidden/>
              </w:rPr>
              <w:t>12</w:t>
            </w:r>
            <w:r w:rsidR="0022796A">
              <w:rPr>
                <w:noProof/>
                <w:webHidden/>
              </w:rPr>
              <w:fldChar w:fldCharType="end"/>
            </w:r>
          </w:hyperlink>
        </w:p>
        <w:p w:rsidR="0022796A" w:rsidRDefault="00A43D35">
          <w:pPr>
            <w:pStyle w:val="TOC3"/>
            <w:tabs>
              <w:tab w:val="right" w:leader="dot" w:pos="9350"/>
            </w:tabs>
            <w:rPr>
              <w:noProof/>
              <w:sz w:val="22"/>
              <w:szCs w:val="22"/>
              <w:lang w:eastAsia="en-NZ"/>
            </w:rPr>
          </w:pPr>
          <w:hyperlink w:anchor="_Toc491757210" w:history="1">
            <w:r w:rsidR="0022796A" w:rsidRPr="006833F9">
              <w:rPr>
                <w:rStyle w:val="Hyperlink"/>
                <w:noProof/>
              </w:rPr>
              <w:t>R</w:t>
            </w:r>
            <w:r w:rsidR="0022796A" w:rsidRPr="006833F9">
              <w:rPr>
                <w:rStyle w:val="Hyperlink"/>
                <w:noProof/>
                <w:vertAlign w:val="superscript"/>
              </w:rPr>
              <w:t>2</w:t>
            </w:r>
            <w:r w:rsidR="0022796A" w:rsidRPr="006833F9">
              <w:rPr>
                <w:rStyle w:val="Hyperlink"/>
                <w:noProof/>
              </w:rPr>
              <w:t xml:space="preserve"> for Dependent Constructs</w:t>
            </w:r>
            <w:r w:rsidR="0022796A">
              <w:rPr>
                <w:noProof/>
                <w:webHidden/>
              </w:rPr>
              <w:tab/>
            </w:r>
            <w:r w:rsidR="0022796A">
              <w:rPr>
                <w:noProof/>
                <w:webHidden/>
              </w:rPr>
              <w:fldChar w:fldCharType="begin"/>
            </w:r>
            <w:r w:rsidR="0022796A">
              <w:rPr>
                <w:noProof/>
                <w:webHidden/>
              </w:rPr>
              <w:instrText xml:space="preserve"> PAGEREF _Toc491757210 \h </w:instrText>
            </w:r>
            <w:r w:rsidR="0022796A">
              <w:rPr>
                <w:noProof/>
                <w:webHidden/>
              </w:rPr>
            </w:r>
            <w:r w:rsidR="0022796A">
              <w:rPr>
                <w:noProof/>
                <w:webHidden/>
              </w:rPr>
              <w:fldChar w:fldCharType="separate"/>
            </w:r>
            <w:r>
              <w:rPr>
                <w:noProof/>
                <w:webHidden/>
              </w:rPr>
              <w:t>15</w:t>
            </w:r>
            <w:r w:rsidR="0022796A">
              <w:rPr>
                <w:noProof/>
                <w:webHidden/>
              </w:rPr>
              <w:fldChar w:fldCharType="end"/>
            </w:r>
          </w:hyperlink>
        </w:p>
        <w:p w:rsidR="0022796A" w:rsidRDefault="00A43D35">
          <w:pPr>
            <w:pStyle w:val="TOC3"/>
            <w:tabs>
              <w:tab w:val="right" w:leader="dot" w:pos="9350"/>
            </w:tabs>
            <w:rPr>
              <w:noProof/>
              <w:sz w:val="22"/>
              <w:szCs w:val="22"/>
              <w:lang w:eastAsia="en-NZ"/>
            </w:rPr>
          </w:pPr>
          <w:hyperlink w:anchor="_Toc491757211" w:history="1">
            <w:r w:rsidR="0022796A" w:rsidRPr="006833F9">
              <w:rPr>
                <w:rStyle w:val="Hyperlink"/>
                <w:noProof/>
              </w:rPr>
              <w:t>The Stone-Geisser Q</w:t>
            </w:r>
            <w:r w:rsidR="0022796A" w:rsidRPr="006833F9">
              <w:rPr>
                <w:rStyle w:val="Hyperlink"/>
                <w:noProof/>
                <w:vertAlign w:val="superscript"/>
              </w:rPr>
              <w:t>2</w:t>
            </w:r>
            <w:r w:rsidR="0022796A" w:rsidRPr="006833F9">
              <w:rPr>
                <w:rStyle w:val="Hyperlink"/>
                <w:noProof/>
              </w:rPr>
              <w:t xml:space="preserve"> Test</w:t>
            </w:r>
            <w:r w:rsidR="0022796A">
              <w:rPr>
                <w:noProof/>
                <w:webHidden/>
              </w:rPr>
              <w:tab/>
            </w:r>
            <w:r w:rsidR="0022796A">
              <w:rPr>
                <w:noProof/>
                <w:webHidden/>
              </w:rPr>
              <w:fldChar w:fldCharType="begin"/>
            </w:r>
            <w:r w:rsidR="0022796A">
              <w:rPr>
                <w:noProof/>
                <w:webHidden/>
              </w:rPr>
              <w:instrText xml:space="preserve"> PAGEREF _Toc491757211 \h </w:instrText>
            </w:r>
            <w:r w:rsidR="0022796A">
              <w:rPr>
                <w:noProof/>
                <w:webHidden/>
              </w:rPr>
            </w:r>
            <w:r w:rsidR="0022796A">
              <w:rPr>
                <w:noProof/>
                <w:webHidden/>
              </w:rPr>
              <w:fldChar w:fldCharType="separate"/>
            </w:r>
            <w:r>
              <w:rPr>
                <w:noProof/>
                <w:webHidden/>
              </w:rPr>
              <w:t>15</w:t>
            </w:r>
            <w:r w:rsidR="0022796A">
              <w:rPr>
                <w:noProof/>
                <w:webHidden/>
              </w:rPr>
              <w:fldChar w:fldCharType="end"/>
            </w:r>
          </w:hyperlink>
        </w:p>
        <w:p w:rsidR="0022796A" w:rsidRDefault="00A43D35">
          <w:pPr>
            <w:pStyle w:val="TOC3"/>
            <w:tabs>
              <w:tab w:val="right" w:leader="dot" w:pos="9350"/>
            </w:tabs>
            <w:rPr>
              <w:noProof/>
              <w:sz w:val="22"/>
              <w:szCs w:val="22"/>
              <w:lang w:eastAsia="en-NZ"/>
            </w:rPr>
          </w:pPr>
          <w:hyperlink w:anchor="_Toc491757212" w:history="1">
            <w:r w:rsidR="0022796A" w:rsidRPr="006833F9">
              <w:rPr>
                <w:rStyle w:val="Hyperlink"/>
                <w:noProof/>
              </w:rPr>
              <w:t>Structural Path Coefficients</w:t>
            </w:r>
            <w:r w:rsidR="0022796A">
              <w:rPr>
                <w:noProof/>
                <w:webHidden/>
              </w:rPr>
              <w:tab/>
            </w:r>
            <w:r w:rsidR="0022796A">
              <w:rPr>
                <w:noProof/>
                <w:webHidden/>
              </w:rPr>
              <w:fldChar w:fldCharType="begin"/>
            </w:r>
            <w:r w:rsidR="0022796A">
              <w:rPr>
                <w:noProof/>
                <w:webHidden/>
              </w:rPr>
              <w:instrText xml:space="preserve"> PAGEREF _Toc491757212 \h </w:instrText>
            </w:r>
            <w:r w:rsidR="0022796A">
              <w:rPr>
                <w:noProof/>
                <w:webHidden/>
              </w:rPr>
            </w:r>
            <w:r w:rsidR="0022796A">
              <w:rPr>
                <w:noProof/>
                <w:webHidden/>
              </w:rPr>
              <w:fldChar w:fldCharType="separate"/>
            </w:r>
            <w:r>
              <w:rPr>
                <w:noProof/>
                <w:webHidden/>
              </w:rPr>
              <w:t>15</w:t>
            </w:r>
            <w:r w:rsidR="0022796A">
              <w:rPr>
                <w:noProof/>
                <w:webHidden/>
              </w:rPr>
              <w:fldChar w:fldCharType="end"/>
            </w:r>
          </w:hyperlink>
        </w:p>
        <w:p w:rsidR="0022796A" w:rsidRDefault="00A43D35">
          <w:pPr>
            <w:pStyle w:val="TOC1"/>
            <w:tabs>
              <w:tab w:val="right" w:leader="dot" w:pos="9350"/>
            </w:tabs>
            <w:rPr>
              <w:rFonts w:asciiTheme="minorHAnsi" w:hAnsiTheme="minorHAnsi"/>
              <w:b w:val="0"/>
              <w:bCs w:val="0"/>
              <w:caps w:val="0"/>
              <w:noProof/>
              <w:sz w:val="22"/>
              <w:szCs w:val="22"/>
              <w:lang w:eastAsia="en-NZ"/>
            </w:rPr>
          </w:pPr>
          <w:hyperlink w:anchor="_Toc491757213" w:history="1">
            <w:r w:rsidR="0022796A" w:rsidRPr="006833F9">
              <w:rPr>
                <w:rStyle w:val="Hyperlink"/>
                <w:rFonts w:eastAsiaTheme="majorEastAsia" w:cstheme="majorBidi"/>
                <w:noProof/>
              </w:rPr>
              <w:t>Recommendations</w:t>
            </w:r>
            <w:r w:rsidR="0022796A">
              <w:rPr>
                <w:noProof/>
                <w:webHidden/>
              </w:rPr>
              <w:tab/>
            </w:r>
            <w:r w:rsidR="0022796A">
              <w:rPr>
                <w:noProof/>
                <w:webHidden/>
              </w:rPr>
              <w:fldChar w:fldCharType="begin"/>
            </w:r>
            <w:r w:rsidR="0022796A">
              <w:rPr>
                <w:noProof/>
                <w:webHidden/>
              </w:rPr>
              <w:instrText xml:space="preserve"> PAGEREF _Toc491757213 \h </w:instrText>
            </w:r>
            <w:r w:rsidR="0022796A">
              <w:rPr>
                <w:noProof/>
                <w:webHidden/>
              </w:rPr>
            </w:r>
            <w:r w:rsidR="0022796A">
              <w:rPr>
                <w:noProof/>
                <w:webHidden/>
              </w:rPr>
              <w:fldChar w:fldCharType="separate"/>
            </w:r>
            <w:r>
              <w:rPr>
                <w:noProof/>
                <w:webHidden/>
              </w:rPr>
              <w:t>18</w:t>
            </w:r>
            <w:r w:rsidR="0022796A">
              <w:rPr>
                <w:noProof/>
                <w:webHidden/>
              </w:rPr>
              <w:fldChar w:fldCharType="end"/>
            </w:r>
          </w:hyperlink>
        </w:p>
        <w:p w:rsidR="0022796A" w:rsidRDefault="00A43D35">
          <w:pPr>
            <w:pStyle w:val="TOC1"/>
            <w:tabs>
              <w:tab w:val="right" w:leader="dot" w:pos="9350"/>
            </w:tabs>
            <w:rPr>
              <w:rFonts w:asciiTheme="minorHAnsi" w:hAnsiTheme="minorHAnsi"/>
              <w:b w:val="0"/>
              <w:bCs w:val="0"/>
              <w:caps w:val="0"/>
              <w:noProof/>
              <w:sz w:val="22"/>
              <w:szCs w:val="22"/>
              <w:lang w:eastAsia="en-NZ"/>
            </w:rPr>
          </w:pPr>
          <w:hyperlink w:anchor="_Toc491757214" w:history="1">
            <w:r w:rsidR="0022796A" w:rsidRPr="006833F9">
              <w:rPr>
                <w:rStyle w:val="Hyperlink"/>
                <w:rFonts w:eastAsiaTheme="majorEastAsia" w:cstheme="majorBidi"/>
                <w:noProof/>
              </w:rPr>
              <w:t>Conclusions</w:t>
            </w:r>
            <w:r w:rsidR="0022796A">
              <w:rPr>
                <w:noProof/>
                <w:webHidden/>
              </w:rPr>
              <w:tab/>
            </w:r>
            <w:r w:rsidR="0022796A">
              <w:rPr>
                <w:noProof/>
                <w:webHidden/>
              </w:rPr>
              <w:fldChar w:fldCharType="begin"/>
            </w:r>
            <w:r w:rsidR="0022796A">
              <w:rPr>
                <w:noProof/>
                <w:webHidden/>
              </w:rPr>
              <w:instrText xml:space="preserve"> PAGEREF _Toc491757214 \h </w:instrText>
            </w:r>
            <w:r w:rsidR="0022796A">
              <w:rPr>
                <w:noProof/>
                <w:webHidden/>
              </w:rPr>
            </w:r>
            <w:r w:rsidR="0022796A">
              <w:rPr>
                <w:noProof/>
                <w:webHidden/>
              </w:rPr>
              <w:fldChar w:fldCharType="separate"/>
            </w:r>
            <w:r>
              <w:rPr>
                <w:noProof/>
                <w:webHidden/>
              </w:rPr>
              <w:t>19</w:t>
            </w:r>
            <w:r w:rsidR="0022796A">
              <w:rPr>
                <w:noProof/>
                <w:webHidden/>
              </w:rPr>
              <w:fldChar w:fldCharType="end"/>
            </w:r>
          </w:hyperlink>
        </w:p>
        <w:p w:rsidR="0022796A" w:rsidRDefault="00A43D35">
          <w:pPr>
            <w:pStyle w:val="TOC1"/>
            <w:tabs>
              <w:tab w:val="right" w:leader="dot" w:pos="9350"/>
            </w:tabs>
            <w:rPr>
              <w:rFonts w:asciiTheme="minorHAnsi" w:hAnsiTheme="minorHAnsi"/>
              <w:b w:val="0"/>
              <w:bCs w:val="0"/>
              <w:caps w:val="0"/>
              <w:noProof/>
              <w:sz w:val="22"/>
              <w:szCs w:val="22"/>
              <w:lang w:eastAsia="en-NZ"/>
            </w:rPr>
          </w:pPr>
          <w:hyperlink w:anchor="_Toc491757215" w:history="1">
            <w:r w:rsidR="0022796A" w:rsidRPr="006833F9">
              <w:rPr>
                <w:rStyle w:val="Hyperlink"/>
                <w:rFonts w:eastAsiaTheme="majorEastAsia" w:cstheme="majorBidi"/>
                <w:noProof/>
              </w:rPr>
              <w:t>References</w:t>
            </w:r>
            <w:r w:rsidR="0022796A">
              <w:rPr>
                <w:noProof/>
                <w:webHidden/>
              </w:rPr>
              <w:tab/>
            </w:r>
            <w:r w:rsidR="0022796A">
              <w:rPr>
                <w:noProof/>
                <w:webHidden/>
              </w:rPr>
              <w:fldChar w:fldCharType="begin"/>
            </w:r>
            <w:r w:rsidR="0022796A">
              <w:rPr>
                <w:noProof/>
                <w:webHidden/>
              </w:rPr>
              <w:instrText xml:space="preserve"> PAGEREF _Toc491757215 \h </w:instrText>
            </w:r>
            <w:r w:rsidR="0022796A">
              <w:rPr>
                <w:noProof/>
                <w:webHidden/>
              </w:rPr>
            </w:r>
            <w:r w:rsidR="0022796A">
              <w:rPr>
                <w:noProof/>
                <w:webHidden/>
              </w:rPr>
              <w:fldChar w:fldCharType="separate"/>
            </w:r>
            <w:r>
              <w:rPr>
                <w:noProof/>
                <w:webHidden/>
              </w:rPr>
              <w:t>20</w:t>
            </w:r>
            <w:r w:rsidR="0022796A">
              <w:rPr>
                <w:noProof/>
                <w:webHidden/>
              </w:rPr>
              <w:fldChar w:fldCharType="end"/>
            </w:r>
          </w:hyperlink>
        </w:p>
        <w:p w:rsidR="0022796A" w:rsidRDefault="00A43D35">
          <w:pPr>
            <w:pStyle w:val="TOC1"/>
            <w:tabs>
              <w:tab w:val="right" w:leader="dot" w:pos="9350"/>
            </w:tabs>
            <w:rPr>
              <w:rFonts w:asciiTheme="minorHAnsi" w:hAnsiTheme="minorHAnsi"/>
              <w:b w:val="0"/>
              <w:bCs w:val="0"/>
              <w:caps w:val="0"/>
              <w:noProof/>
              <w:sz w:val="22"/>
              <w:szCs w:val="22"/>
              <w:lang w:eastAsia="en-NZ"/>
            </w:rPr>
          </w:pPr>
          <w:hyperlink w:anchor="_Toc491757216" w:history="1">
            <w:r w:rsidR="0022796A" w:rsidRPr="006833F9">
              <w:rPr>
                <w:rStyle w:val="Hyperlink"/>
                <w:noProof/>
              </w:rPr>
              <w:t>Appendix 1</w:t>
            </w:r>
            <w:r w:rsidR="0022796A">
              <w:rPr>
                <w:noProof/>
                <w:webHidden/>
              </w:rPr>
              <w:tab/>
            </w:r>
            <w:r w:rsidR="0022796A">
              <w:rPr>
                <w:noProof/>
                <w:webHidden/>
              </w:rPr>
              <w:fldChar w:fldCharType="begin"/>
            </w:r>
            <w:r w:rsidR="0022796A">
              <w:rPr>
                <w:noProof/>
                <w:webHidden/>
              </w:rPr>
              <w:instrText xml:space="preserve"> PAGEREF _Toc491757216 \h </w:instrText>
            </w:r>
            <w:r w:rsidR="0022796A">
              <w:rPr>
                <w:noProof/>
                <w:webHidden/>
              </w:rPr>
            </w:r>
            <w:r w:rsidR="0022796A">
              <w:rPr>
                <w:noProof/>
                <w:webHidden/>
              </w:rPr>
              <w:fldChar w:fldCharType="separate"/>
            </w:r>
            <w:r>
              <w:rPr>
                <w:noProof/>
                <w:webHidden/>
              </w:rPr>
              <w:t>22</w:t>
            </w:r>
            <w:r w:rsidR="0022796A">
              <w:rPr>
                <w:noProof/>
                <w:webHidden/>
              </w:rPr>
              <w:fldChar w:fldCharType="end"/>
            </w:r>
          </w:hyperlink>
        </w:p>
        <w:p w:rsidR="0022796A" w:rsidRDefault="00A43D35">
          <w:pPr>
            <w:pStyle w:val="TOC1"/>
            <w:tabs>
              <w:tab w:val="right" w:leader="dot" w:pos="9350"/>
            </w:tabs>
            <w:rPr>
              <w:rFonts w:asciiTheme="minorHAnsi" w:hAnsiTheme="minorHAnsi"/>
              <w:b w:val="0"/>
              <w:bCs w:val="0"/>
              <w:caps w:val="0"/>
              <w:noProof/>
              <w:sz w:val="22"/>
              <w:szCs w:val="22"/>
              <w:lang w:eastAsia="en-NZ"/>
            </w:rPr>
          </w:pPr>
          <w:hyperlink w:anchor="_Toc491757217" w:history="1">
            <w:r w:rsidR="0022796A" w:rsidRPr="006833F9">
              <w:rPr>
                <w:rStyle w:val="Hyperlink"/>
                <w:noProof/>
              </w:rPr>
              <w:t>Appendix 2</w:t>
            </w:r>
            <w:r w:rsidR="0022796A">
              <w:rPr>
                <w:noProof/>
                <w:webHidden/>
              </w:rPr>
              <w:tab/>
            </w:r>
            <w:r w:rsidR="0022796A">
              <w:rPr>
                <w:noProof/>
                <w:webHidden/>
              </w:rPr>
              <w:fldChar w:fldCharType="begin"/>
            </w:r>
            <w:r w:rsidR="0022796A">
              <w:rPr>
                <w:noProof/>
                <w:webHidden/>
              </w:rPr>
              <w:instrText xml:space="preserve"> PAGEREF _Toc491757217 \h </w:instrText>
            </w:r>
            <w:r w:rsidR="0022796A">
              <w:rPr>
                <w:noProof/>
                <w:webHidden/>
              </w:rPr>
            </w:r>
            <w:r w:rsidR="0022796A">
              <w:rPr>
                <w:noProof/>
                <w:webHidden/>
              </w:rPr>
              <w:fldChar w:fldCharType="separate"/>
            </w:r>
            <w:r>
              <w:rPr>
                <w:noProof/>
                <w:webHidden/>
              </w:rPr>
              <w:t>23</w:t>
            </w:r>
            <w:r w:rsidR="0022796A">
              <w:rPr>
                <w:noProof/>
                <w:webHidden/>
              </w:rPr>
              <w:fldChar w:fldCharType="end"/>
            </w:r>
          </w:hyperlink>
        </w:p>
        <w:p w:rsidR="0022796A" w:rsidRDefault="00A43D35">
          <w:pPr>
            <w:pStyle w:val="TOC1"/>
            <w:tabs>
              <w:tab w:val="right" w:leader="dot" w:pos="9350"/>
            </w:tabs>
            <w:rPr>
              <w:rFonts w:asciiTheme="minorHAnsi" w:hAnsiTheme="minorHAnsi"/>
              <w:b w:val="0"/>
              <w:bCs w:val="0"/>
              <w:caps w:val="0"/>
              <w:noProof/>
              <w:sz w:val="22"/>
              <w:szCs w:val="22"/>
              <w:lang w:eastAsia="en-NZ"/>
            </w:rPr>
          </w:pPr>
          <w:hyperlink w:anchor="_Toc491757218" w:history="1">
            <w:r w:rsidR="0022796A" w:rsidRPr="006833F9">
              <w:rPr>
                <w:rStyle w:val="Hyperlink"/>
                <w:noProof/>
              </w:rPr>
              <w:t>Appendix 3</w:t>
            </w:r>
            <w:r w:rsidR="0022796A">
              <w:rPr>
                <w:noProof/>
                <w:webHidden/>
              </w:rPr>
              <w:tab/>
            </w:r>
            <w:r w:rsidR="0022796A">
              <w:rPr>
                <w:noProof/>
                <w:webHidden/>
              </w:rPr>
              <w:fldChar w:fldCharType="begin"/>
            </w:r>
            <w:r w:rsidR="0022796A">
              <w:rPr>
                <w:noProof/>
                <w:webHidden/>
              </w:rPr>
              <w:instrText xml:space="preserve"> PAGEREF _Toc491757218 \h </w:instrText>
            </w:r>
            <w:r w:rsidR="0022796A">
              <w:rPr>
                <w:noProof/>
                <w:webHidden/>
              </w:rPr>
            </w:r>
            <w:r w:rsidR="0022796A">
              <w:rPr>
                <w:noProof/>
                <w:webHidden/>
              </w:rPr>
              <w:fldChar w:fldCharType="separate"/>
            </w:r>
            <w:r>
              <w:rPr>
                <w:noProof/>
                <w:webHidden/>
              </w:rPr>
              <w:t>33</w:t>
            </w:r>
            <w:r w:rsidR="0022796A">
              <w:rPr>
                <w:noProof/>
                <w:webHidden/>
              </w:rPr>
              <w:fldChar w:fldCharType="end"/>
            </w:r>
          </w:hyperlink>
        </w:p>
        <w:p w:rsidR="00381238" w:rsidRDefault="00B24635" w:rsidP="00381238">
          <w:r>
            <w:rPr>
              <w:rFonts w:asciiTheme="majorHAnsi" w:hAnsiTheme="majorHAnsi"/>
              <w:b/>
              <w:bCs/>
              <w:caps/>
              <w:sz w:val="24"/>
              <w:szCs w:val="24"/>
            </w:rPr>
            <w:fldChar w:fldCharType="end"/>
          </w:r>
        </w:p>
      </w:sdtContent>
    </w:sdt>
    <w:p w:rsidR="00074AFB" w:rsidRPr="00351636" w:rsidRDefault="00B24635" w:rsidP="00A06AE3">
      <w:pPr>
        <w:pStyle w:val="Heading1"/>
      </w:pPr>
      <w:bookmarkStart w:id="7" w:name="_Toc491757195"/>
      <w:r>
        <w:t>E</w:t>
      </w:r>
      <w:r w:rsidR="00074AFB" w:rsidRPr="00351636">
        <w:t>xecutive Summary</w:t>
      </w:r>
      <w:bookmarkEnd w:id="7"/>
    </w:p>
    <w:p w:rsidR="00603EEC" w:rsidRDefault="001C448E" w:rsidP="00603EEC">
      <w:pPr>
        <w:spacing w:before="240"/>
      </w:pPr>
      <w:r w:rsidRPr="001C448E">
        <w:t xml:space="preserve">Health Promoting Schools (or HPS) is a school community focused </w:t>
      </w:r>
      <w:r w:rsidR="00FB484D" w:rsidRPr="000066D8">
        <w:t xml:space="preserve">national </w:t>
      </w:r>
      <w:r w:rsidRPr="001C448E">
        <w:t>service funded by the Ministry of Health in New Zealand</w:t>
      </w:r>
      <w:r w:rsidR="00D346A9">
        <w:t>. This service</w:t>
      </w:r>
      <w:r w:rsidRPr="001C448E">
        <w:t xml:space="preserve"> </w:t>
      </w:r>
      <w:r w:rsidR="00D346A9">
        <w:t xml:space="preserve">has been designed </w:t>
      </w:r>
      <w:r w:rsidR="00B80D97">
        <w:t>to help schools</w:t>
      </w:r>
      <w:r w:rsidRPr="001C448E">
        <w:t xml:space="preserve"> assess and address the health and wellbeing </w:t>
      </w:r>
      <w:r w:rsidR="00B80D97">
        <w:t>requirements</w:t>
      </w:r>
      <w:r w:rsidR="00020879">
        <w:t xml:space="preserve"> </w:t>
      </w:r>
      <w:r w:rsidR="00603EEC">
        <w:t>of their students to advance student learning and achievement outcome</w:t>
      </w:r>
      <w:r w:rsidR="00EE6544">
        <w:t>s</w:t>
      </w:r>
      <w:r w:rsidR="00603EEC">
        <w:t>.</w:t>
      </w:r>
    </w:p>
    <w:p w:rsidR="00A64AD9" w:rsidRDefault="00A64AD9" w:rsidP="00A06AE3">
      <w:r w:rsidRPr="00A64AD9">
        <w:t xml:space="preserve">The purpose of this analysis was to assess the impact that the Health Promoting Schools (HPS) </w:t>
      </w:r>
      <w:r w:rsidR="00894DD6">
        <w:t>approach</w:t>
      </w:r>
      <w:r w:rsidRPr="00A64AD9">
        <w:t xml:space="preserve"> was having in New Zealand schools on the targeted student outcomes</w:t>
      </w:r>
      <w:r w:rsidR="00D346A9">
        <w:t xml:space="preserve"> of</w:t>
      </w:r>
      <w:r w:rsidRPr="00A64AD9">
        <w:t xml:space="preserve"> attendance, transience, suspensions, stand-downs, and achievement.</w:t>
      </w:r>
    </w:p>
    <w:p w:rsidR="00A64AD9" w:rsidRDefault="00A64AD9" w:rsidP="00A06AE3">
      <w:r w:rsidRPr="00A64AD9">
        <w:t xml:space="preserve">To model the impact of the HPS </w:t>
      </w:r>
      <w:r w:rsidR="00894DD6">
        <w:t>approach</w:t>
      </w:r>
      <w:r w:rsidRPr="00A64AD9">
        <w:t xml:space="preserve"> on these outcome variables</w:t>
      </w:r>
      <w:r w:rsidR="00D346A9">
        <w:t>,</w:t>
      </w:r>
      <w:r w:rsidRPr="00A64AD9">
        <w:t xml:space="preserve"> the following indicators were used: HPS facilitator performance, HPS health and wellbeing rubric performance, degree of </w:t>
      </w:r>
      <w:r w:rsidR="009E4253">
        <w:t xml:space="preserve">school </w:t>
      </w:r>
      <w:r w:rsidRPr="00A64AD9">
        <w:t>involvement in the HPS service, school engagement and relationship with whānau, Educational Review Office (ERO) cycle category, and school decile.</w:t>
      </w:r>
    </w:p>
    <w:p w:rsidR="00D346A9" w:rsidRDefault="00074AFB" w:rsidP="00A06AE3">
      <w:r w:rsidRPr="00205713">
        <w:t xml:space="preserve">Results </w:t>
      </w:r>
      <w:r w:rsidR="00137002" w:rsidRPr="00205713">
        <w:t>showed</w:t>
      </w:r>
      <w:r w:rsidRPr="00205713">
        <w:t xml:space="preserve"> that</w:t>
      </w:r>
      <w:r w:rsidR="00D346A9">
        <w:t>, with the exception of transience</w:t>
      </w:r>
      <w:r w:rsidR="0065238E">
        <w:t xml:space="preserve"> (due to missing data)</w:t>
      </w:r>
      <w:r w:rsidR="00D346A9">
        <w:t>,</w:t>
      </w:r>
      <w:r w:rsidRPr="00205713">
        <w:t xml:space="preserve"> </w:t>
      </w:r>
      <w:r w:rsidR="00110D3C">
        <w:t xml:space="preserve">these </w:t>
      </w:r>
      <w:r w:rsidR="00955301" w:rsidRPr="00205713">
        <w:t xml:space="preserve">student </w:t>
      </w:r>
      <w:r w:rsidR="00FF179F">
        <w:t>outcome</w:t>
      </w:r>
      <w:r w:rsidR="00D346A9">
        <w:t>s</w:t>
      </w:r>
      <w:r w:rsidR="00FF179F">
        <w:t xml:space="preserve"> </w:t>
      </w:r>
      <w:r w:rsidR="001C1D44" w:rsidRPr="00205713">
        <w:t xml:space="preserve">were positively impacted by </w:t>
      </w:r>
      <w:r w:rsidR="00FF179F">
        <w:t xml:space="preserve">a </w:t>
      </w:r>
      <w:r w:rsidR="00942470" w:rsidRPr="00205713">
        <w:t>school’s</w:t>
      </w:r>
      <w:r w:rsidR="001C1D44" w:rsidRPr="00205713">
        <w:t xml:space="preserve"> involvement in the </w:t>
      </w:r>
      <w:r w:rsidRPr="00205713">
        <w:t xml:space="preserve">HPS </w:t>
      </w:r>
      <w:r w:rsidR="00110D3C">
        <w:t>service</w:t>
      </w:r>
      <w:r w:rsidR="00E4755E" w:rsidRPr="00205713">
        <w:t>.</w:t>
      </w:r>
      <w:r>
        <w:t xml:space="preserve"> </w:t>
      </w:r>
      <w:r w:rsidR="00D346A9">
        <w:t xml:space="preserve">Specifically, </w:t>
      </w:r>
      <w:r w:rsidR="00250EC2">
        <w:t>structural models showed that a proportion of the gains made by schools in these outcomes could be predicted by</w:t>
      </w:r>
      <w:r w:rsidR="00110D3C">
        <w:t xml:space="preserve"> a</w:t>
      </w:r>
      <w:r w:rsidR="00250EC2">
        <w:t xml:space="preserve"> </w:t>
      </w:r>
      <w:r w:rsidR="000F5AEB">
        <w:t>school’s</w:t>
      </w:r>
      <w:r w:rsidR="00250EC2">
        <w:t xml:space="preserve"> </w:t>
      </w:r>
      <w:r w:rsidR="00110D3C" w:rsidRPr="00110D3C">
        <w:t>successful implementation of the HPS approach.</w:t>
      </w:r>
    </w:p>
    <w:p w:rsidR="00F64821" w:rsidRDefault="00F64821" w:rsidP="00A06AE3">
      <w:r>
        <w:t>Multivariate modelling also showed the impact of leadership within schools as being strongly correlated with the degree of success gained by a school’s involvement in the HPS approach. For example, results showed that the effect of the approach was enhanced by leaders who performed strongly on establishing equity and excellence across their school.</w:t>
      </w:r>
    </w:p>
    <w:p w:rsidR="001530D6" w:rsidRDefault="009E6D66" w:rsidP="00A06AE3">
      <w:r>
        <w:t>Across all of the school outcomes, t</w:t>
      </w:r>
      <w:r w:rsidR="001530D6">
        <w:t>he strongest predictor was the degree to which school</w:t>
      </w:r>
      <w:r>
        <w:t>s</w:t>
      </w:r>
      <w:r w:rsidR="001530D6">
        <w:t xml:space="preserve"> successfully established education</w:t>
      </w:r>
      <w:r w:rsidR="00110D3C">
        <w:t>ally</w:t>
      </w:r>
      <w:r w:rsidR="001530D6">
        <w:t xml:space="preserve"> powerful connections and relationships with parents and whānau. </w:t>
      </w:r>
      <w:r>
        <w:t xml:space="preserve">This finding clearly suggests that </w:t>
      </w:r>
      <w:r w:rsidR="006C0D53">
        <w:t>the development of these relationships is critical to the effectiveness of the HPS approach on students.</w:t>
      </w:r>
    </w:p>
    <w:p w:rsidR="00074AFB" w:rsidRDefault="00F64821" w:rsidP="00A06AE3">
      <w:r>
        <w:lastRenderedPageBreak/>
        <w:t>T</w:t>
      </w:r>
      <w:r w:rsidR="00074AFB">
        <w:t>he role of the HPS facilita</w:t>
      </w:r>
      <w:r w:rsidR="00FB484D">
        <w:t>tor was a</w:t>
      </w:r>
      <w:r>
        <w:t xml:space="preserve">lso seen as being a </w:t>
      </w:r>
      <w:r w:rsidR="004C182B">
        <w:t xml:space="preserve">significant </w:t>
      </w:r>
      <w:r w:rsidR="003C0256">
        <w:t>predictor</w:t>
      </w:r>
      <w:r w:rsidR="00074AFB">
        <w:t xml:space="preserve"> </w:t>
      </w:r>
      <w:r w:rsidR="003C0256">
        <w:t xml:space="preserve">of a </w:t>
      </w:r>
      <w:r w:rsidR="00074AFB">
        <w:t>school</w:t>
      </w:r>
      <w:r w:rsidR="003C0256">
        <w:t>’</w:t>
      </w:r>
      <w:r w:rsidR="00074AFB">
        <w:t xml:space="preserve">s successful </w:t>
      </w:r>
      <w:r w:rsidR="002F6CDF">
        <w:t>implementation</w:t>
      </w:r>
      <w:r w:rsidR="003C0256">
        <w:t xml:space="preserve"> of the HPS </w:t>
      </w:r>
      <w:r w:rsidR="00894DD6">
        <w:t>approach</w:t>
      </w:r>
      <w:r w:rsidR="00C42B55">
        <w:t>, particularly in relatio</w:t>
      </w:r>
      <w:r w:rsidR="00110D3C">
        <w:t xml:space="preserve">n to improvements in attendance, </w:t>
      </w:r>
      <w:r w:rsidR="00C42B55">
        <w:t>stand-downs and suspensions.</w:t>
      </w:r>
      <w:r w:rsidR="003C0256">
        <w:t xml:space="preserve"> </w:t>
      </w:r>
    </w:p>
    <w:p w:rsidR="00941686" w:rsidRDefault="00B273D6" w:rsidP="00A06AE3">
      <w:r>
        <w:t>Amongst the various tools and data used to measure impact, s</w:t>
      </w:r>
      <w:r w:rsidR="008B6AAC">
        <w:t xml:space="preserve">chool performance on the HPS health and wellbeing rubric was </w:t>
      </w:r>
      <w:r w:rsidR="00224431">
        <w:t xml:space="preserve">shown </w:t>
      </w:r>
      <w:r w:rsidR="008B6AAC">
        <w:t xml:space="preserve">to be </w:t>
      </w:r>
      <w:r w:rsidR="009D122B">
        <w:t>a</w:t>
      </w:r>
      <w:r w:rsidR="00DD1631">
        <w:t xml:space="preserve"> powerful </w:t>
      </w:r>
      <w:r w:rsidR="00FA0FEB">
        <w:t>tool to measure</w:t>
      </w:r>
      <w:r w:rsidR="00DD1631">
        <w:t xml:space="preserve"> </w:t>
      </w:r>
      <w:r w:rsidR="00FA0FEB">
        <w:t xml:space="preserve">the impact of </w:t>
      </w:r>
      <w:r w:rsidR="000D31CB">
        <w:t xml:space="preserve">the </w:t>
      </w:r>
      <w:r w:rsidR="00FA0FEB">
        <w:t xml:space="preserve">HPS </w:t>
      </w:r>
      <w:r w:rsidR="008B6AAC">
        <w:t>service</w:t>
      </w:r>
      <w:r w:rsidR="00DD1631">
        <w:t xml:space="preserve">. </w:t>
      </w:r>
      <w:r w:rsidR="00E70E84">
        <w:t xml:space="preserve">The tool provides HPS facilitators and schools with a framework to clearly evaluate current practices, and establish a systematic approach to improving the health and wellbeing of students. </w:t>
      </w:r>
      <w:r w:rsidR="00DD1631">
        <w:t xml:space="preserve">This rubric was found to be a </w:t>
      </w:r>
      <w:r w:rsidR="00E303E4">
        <w:t xml:space="preserve">psychometrically </w:t>
      </w:r>
      <w:r w:rsidR="00DD1631">
        <w:t xml:space="preserve">valid and reliable measure of </w:t>
      </w:r>
      <w:r w:rsidR="00285080">
        <w:t xml:space="preserve">a </w:t>
      </w:r>
      <w:r w:rsidR="00DD1631">
        <w:t>school</w:t>
      </w:r>
      <w:r w:rsidR="00285080">
        <w:t>’</w:t>
      </w:r>
      <w:r w:rsidR="00DD1631">
        <w:t xml:space="preserve">s </w:t>
      </w:r>
      <w:r w:rsidR="002051C0">
        <w:t>health and well</w:t>
      </w:r>
      <w:r w:rsidR="00867BDC">
        <w:t xml:space="preserve">being </w:t>
      </w:r>
      <w:r w:rsidR="00B9405E">
        <w:t>capabilities</w:t>
      </w:r>
      <w:r w:rsidR="00783305">
        <w:t>.</w:t>
      </w:r>
      <w:r w:rsidR="00FA0FEB">
        <w:t xml:space="preserve"> </w:t>
      </w:r>
    </w:p>
    <w:p w:rsidR="007C5905" w:rsidRDefault="007C5905">
      <w:pPr>
        <w:rPr>
          <w:rFonts w:asciiTheme="majorHAnsi" w:eastAsiaTheme="majorEastAsia" w:hAnsiTheme="majorHAnsi" w:cstheme="majorBidi"/>
          <w:color w:val="262626" w:themeColor="text1" w:themeTint="D9"/>
          <w:sz w:val="40"/>
          <w:szCs w:val="40"/>
        </w:rPr>
      </w:pPr>
      <w:r>
        <w:br w:type="page"/>
      </w:r>
    </w:p>
    <w:p w:rsidR="001763A1" w:rsidRPr="00351636" w:rsidRDefault="001763A1" w:rsidP="001763A1">
      <w:pPr>
        <w:pStyle w:val="Heading1"/>
      </w:pPr>
      <w:bookmarkStart w:id="8" w:name="_Toc491757196"/>
      <w:r>
        <w:lastRenderedPageBreak/>
        <w:t>Introduction</w:t>
      </w:r>
      <w:bookmarkEnd w:id="8"/>
    </w:p>
    <w:p w:rsidR="00A92DD2" w:rsidRPr="0003279F" w:rsidRDefault="00017590" w:rsidP="00017590">
      <w:pPr>
        <w:spacing w:before="240"/>
      </w:pPr>
      <w:r w:rsidRPr="0003279F">
        <w:t xml:space="preserve">The HPS service is </w:t>
      </w:r>
      <w:r w:rsidR="00855B74" w:rsidRPr="0003279F">
        <w:t xml:space="preserve">a </w:t>
      </w:r>
      <w:r w:rsidRPr="0003279F">
        <w:t xml:space="preserve">school community health and wellbeing development framework and approach that fosters collaborative relationship building and engagement. </w:t>
      </w:r>
      <w:r w:rsidR="00A92DD2" w:rsidRPr="0003279F">
        <w:rPr>
          <w:rFonts w:eastAsia="Times New Roman"/>
          <w:color w:val="000000"/>
          <w:lang w:eastAsia="en-NZ"/>
        </w:rPr>
        <w:t xml:space="preserve">HPS is a process that seeks to improve the health and educational outcomes for students. </w:t>
      </w:r>
      <w:r w:rsidR="00A92DD2" w:rsidRPr="0003279F">
        <w:rPr>
          <w:rFonts w:eastAsia="Times New Roman"/>
          <w:color w:val="000000"/>
          <w:lang w:val="en-US" w:eastAsia="en-NZ"/>
        </w:rPr>
        <w:t>St</w:t>
      </w:r>
      <w:r w:rsidR="00855B74" w:rsidRPr="0003279F">
        <w:rPr>
          <w:rFonts w:eastAsia="Times New Roman"/>
          <w:color w:val="000000"/>
          <w:lang w:val="en-US" w:eastAsia="en-NZ"/>
        </w:rPr>
        <w:t>.</w:t>
      </w:r>
      <w:r w:rsidR="00A92DD2" w:rsidRPr="0003279F">
        <w:rPr>
          <w:rFonts w:eastAsia="Times New Roman"/>
          <w:color w:val="000000"/>
          <w:lang w:val="en-US" w:eastAsia="en-NZ"/>
        </w:rPr>
        <w:t xml:space="preserve"> Leger</w:t>
      </w:r>
      <w:r w:rsidR="000A3B23" w:rsidRPr="0003279F">
        <w:rPr>
          <w:rFonts w:eastAsia="Times New Roman"/>
          <w:color w:val="000000"/>
          <w:lang w:val="en-US" w:eastAsia="en-NZ"/>
        </w:rPr>
        <w:t xml:space="preserve"> (1999) </w:t>
      </w:r>
      <w:r w:rsidR="00FC2474" w:rsidRPr="0003279F">
        <w:rPr>
          <w:rFonts w:eastAsia="Times New Roman"/>
          <w:color w:val="000000"/>
          <w:lang w:eastAsia="en-NZ"/>
        </w:rPr>
        <w:t xml:space="preserve">states </w:t>
      </w:r>
      <w:r w:rsidR="00A92DD2" w:rsidRPr="0003279F">
        <w:rPr>
          <w:rFonts w:eastAsia="Times New Roman"/>
          <w:color w:val="000000"/>
          <w:lang w:eastAsia="en-NZ"/>
        </w:rPr>
        <w:t xml:space="preserve">that the prime purpose of HPS is </w:t>
      </w:r>
      <w:r w:rsidR="00FC2474" w:rsidRPr="0003279F">
        <w:rPr>
          <w:rFonts w:eastAsia="Times New Roman"/>
          <w:color w:val="000000"/>
          <w:lang w:eastAsia="en-NZ"/>
        </w:rPr>
        <w:t xml:space="preserve">to </w:t>
      </w:r>
      <w:r w:rsidR="00A92DD2" w:rsidRPr="0003279F">
        <w:rPr>
          <w:rFonts w:eastAsia="Times New Roman"/>
          <w:color w:val="000000"/>
          <w:lang w:eastAsia="en-NZ"/>
        </w:rPr>
        <w:t>achiev</w:t>
      </w:r>
      <w:r w:rsidR="00FC2474" w:rsidRPr="0003279F">
        <w:rPr>
          <w:rFonts w:eastAsia="Times New Roman"/>
          <w:color w:val="000000"/>
          <w:lang w:eastAsia="en-NZ"/>
        </w:rPr>
        <w:t>e</w:t>
      </w:r>
      <w:r w:rsidR="00A92DD2" w:rsidRPr="0003279F">
        <w:rPr>
          <w:rFonts w:eastAsia="Times New Roman"/>
          <w:color w:val="000000"/>
          <w:lang w:eastAsia="en-NZ"/>
        </w:rPr>
        <w:t xml:space="preserve"> educational goals through addressing health issues within an educational framework</w:t>
      </w:r>
      <w:r w:rsidR="00FC2474" w:rsidRPr="0003279F">
        <w:rPr>
          <w:rFonts w:eastAsia="Times New Roman"/>
          <w:color w:val="000000"/>
          <w:lang w:eastAsia="en-NZ"/>
        </w:rPr>
        <w:t>.</w:t>
      </w:r>
    </w:p>
    <w:p w:rsidR="0003279F" w:rsidRPr="0003279F" w:rsidRDefault="00017590" w:rsidP="00017590">
      <w:pPr>
        <w:spacing w:before="240"/>
      </w:pPr>
      <w:r w:rsidRPr="0003279F">
        <w:t xml:space="preserve">HPS facilitates and supports school communities (leaders, teachers, students, parents and whānau and others in the community) to work together to better understand, evaluate, and activate the </w:t>
      </w:r>
      <w:r w:rsidR="0003279F" w:rsidRPr="0003279F">
        <w:t xml:space="preserve">unique </w:t>
      </w:r>
      <w:r w:rsidRPr="0003279F">
        <w:t>health and wellbeing needs of their students, and ensure they are aligned with the vision, values, goals</w:t>
      </w:r>
      <w:r w:rsidR="0003279F" w:rsidRPr="0003279F">
        <w:t>,</w:t>
      </w:r>
      <w:r w:rsidRPr="0003279F">
        <w:t xml:space="preserve"> and priorities of their school.</w:t>
      </w:r>
    </w:p>
    <w:p w:rsidR="00017590" w:rsidRPr="0003279F" w:rsidRDefault="00017590" w:rsidP="00017590">
      <w:pPr>
        <w:spacing w:before="240"/>
      </w:pPr>
      <w:r w:rsidRPr="0003279F">
        <w:t xml:space="preserve">As a </w:t>
      </w:r>
      <w:r w:rsidR="00FB484D" w:rsidRPr="0003279F">
        <w:t xml:space="preserve">national </w:t>
      </w:r>
      <w:r w:rsidRPr="0003279F">
        <w:t>service to schools, HPS has been promoted as being an effective mechanism to ensure the right combination of health and social services are sought and utilised by schools. As such, HPS acts as an enabler for schools to provide effective and timely responses to the ever-changing health and</w:t>
      </w:r>
      <w:r w:rsidR="0003279F">
        <w:t xml:space="preserve"> wellbeing circumstances of </w:t>
      </w:r>
      <w:r w:rsidRPr="0003279F">
        <w:t>student’s in their sch</w:t>
      </w:r>
      <w:r w:rsidR="0003279F">
        <w:t>ools</w:t>
      </w:r>
      <w:r w:rsidR="0003279F" w:rsidRPr="0003279F">
        <w:t>.</w:t>
      </w:r>
    </w:p>
    <w:p w:rsidR="00AF10F8" w:rsidRPr="000066D8" w:rsidRDefault="00AF10F8" w:rsidP="008508AD">
      <w:pPr>
        <w:spacing w:before="240"/>
      </w:pPr>
      <w:r w:rsidRPr="001D6B57">
        <w:t xml:space="preserve">The development of the </w:t>
      </w:r>
      <w:r w:rsidR="0003279F">
        <w:t>New Zealand</w:t>
      </w:r>
      <w:r w:rsidR="001A7853" w:rsidRPr="001D6B57">
        <w:t xml:space="preserve"> </w:t>
      </w:r>
      <w:r w:rsidRPr="001D6B57">
        <w:t xml:space="preserve">HPS </w:t>
      </w:r>
      <w:r w:rsidR="00894DD6">
        <w:t>approach</w:t>
      </w:r>
      <w:r w:rsidR="001A7853" w:rsidRPr="001D6B57">
        <w:t xml:space="preserve"> </w:t>
      </w:r>
      <w:r w:rsidRPr="001D6B57">
        <w:t xml:space="preserve">was guided </w:t>
      </w:r>
      <w:r w:rsidR="008D3096">
        <w:t xml:space="preserve">by </w:t>
      </w:r>
      <w:r w:rsidR="008508AD" w:rsidRPr="001D6B57">
        <w:t xml:space="preserve">the World Health Organization </w:t>
      </w:r>
      <w:r w:rsidRPr="001D6B57">
        <w:t xml:space="preserve">(WHO) </w:t>
      </w:r>
      <w:r w:rsidR="008D3096" w:rsidRPr="008D3096">
        <w:t>Health Promoting Schools framework</w:t>
      </w:r>
      <w:r w:rsidR="001A7853" w:rsidRPr="001D6B57">
        <w:t xml:space="preserve">, </w:t>
      </w:r>
      <w:r w:rsidR="008D3096">
        <w:t>which was</w:t>
      </w:r>
      <w:r w:rsidR="008D3096" w:rsidRPr="001D6B57">
        <w:t xml:space="preserve"> </w:t>
      </w:r>
      <w:r w:rsidR="001A7853" w:rsidRPr="001D6B57">
        <w:t>founded on the principles of the Ottawa Charter for Health Promotion (1986)</w:t>
      </w:r>
      <w:r w:rsidR="008508AD" w:rsidRPr="001D6B57">
        <w:t xml:space="preserve">. </w:t>
      </w:r>
      <w:r w:rsidR="00FF22C6" w:rsidRPr="001D6B57">
        <w:t xml:space="preserve">In their Global School Health Initiative paper, </w:t>
      </w:r>
      <w:r w:rsidR="00FF22C6" w:rsidRPr="004612E3">
        <w:t>the WHO</w:t>
      </w:r>
      <w:r w:rsidR="008508AD" w:rsidRPr="004612E3">
        <w:t xml:space="preserve"> define </w:t>
      </w:r>
      <w:r w:rsidR="00074E84" w:rsidRPr="004612E3">
        <w:t>HPS</w:t>
      </w:r>
      <w:r w:rsidR="008508AD" w:rsidRPr="004612E3">
        <w:t xml:space="preserve"> as one </w:t>
      </w:r>
      <w:r w:rsidR="00A860A6">
        <w:t>“</w:t>
      </w:r>
      <w:r w:rsidR="008508AD" w:rsidRPr="00345F6C">
        <w:t>that constantly strengthens its capacity as a healthy setting for living, learning and worki</w:t>
      </w:r>
      <w:r w:rsidR="00AB0BBF" w:rsidRPr="00345F6C">
        <w:t>ng</w:t>
      </w:r>
      <w:r w:rsidR="00A860A6">
        <w:t>”</w:t>
      </w:r>
      <w:r w:rsidR="00794F05" w:rsidRPr="00345F6C">
        <w:t xml:space="preserve"> </w:t>
      </w:r>
      <w:r w:rsidR="00AE1FC6">
        <w:t>(WHO, 1986</w:t>
      </w:r>
      <w:r w:rsidR="000066D8" w:rsidRPr="004612E3">
        <w:t>).</w:t>
      </w:r>
    </w:p>
    <w:p w:rsidR="00AB487D" w:rsidRPr="000066D8" w:rsidRDefault="001D0BDB" w:rsidP="00AB487D">
      <w:pPr>
        <w:spacing w:before="240"/>
      </w:pPr>
      <w:r w:rsidRPr="000066D8">
        <w:t>The Ministry of Health, in conjunction w</w:t>
      </w:r>
      <w:r w:rsidR="00FB484D" w:rsidRPr="000066D8">
        <w:t xml:space="preserve">ith </w:t>
      </w:r>
      <w:r w:rsidR="00692B67" w:rsidRPr="00692B67">
        <w:t>the HPS National Leadership and Co-ordination Service (Cognition Education Limited)</w:t>
      </w:r>
      <w:r w:rsidR="00692B67">
        <w:t xml:space="preserve"> </w:t>
      </w:r>
      <w:r w:rsidR="00FB484D" w:rsidRPr="000066D8">
        <w:t>and the health and education sectors</w:t>
      </w:r>
      <w:r w:rsidR="00074E84">
        <w:t>,</w:t>
      </w:r>
      <w:r w:rsidRPr="000066D8">
        <w:t xml:space="preserve"> developed the HPS service </w:t>
      </w:r>
      <w:r w:rsidR="00FB484D" w:rsidRPr="000066D8">
        <w:t xml:space="preserve">approach </w:t>
      </w:r>
      <w:r w:rsidRPr="000066D8">
        <w:t xml:space="preserve">with the aim to measurably improve the health and wellbeing of New Zealand school communities. </w:t>
      </w:r>
      <w:r w:rsidR="00AB487D" w:rsidRPr="000066D8">
        <w:t>The Ministry of Health provides HPS</w:t>
      </w:r>
      <w:r w:rsidR="00AB487D">
        <w:t xml:space="preserve"> to schools as a free service. </w:t>
      </w:r>
      <w:r w:rsidR="00AB487D" w:rsidRPr="000066D8">
        <w:t xml:space="preserve">It is not a mandatory requirement for schools to make use of the service, rather schools can choose to take part. At the end of 2016, a total of 1,518 schools – 60% of all schools </w:t>
      </w:r>
      <w:r w:rsidR="00345F6C" w:rsidRPr="000066D8">
        <w:t>–</w:t>
      </w:r>
      <w:r w:rsidR="00AB487D" w:rsidRPr="000066D8">
        <w:t xml:space="preserve"> were participating in the service across New Zealand</w:t>
      </w:r>
      <w:r w:rsidR="00AB487D">
        <w:t xml:space="preserve"> (see Appendix 1)</w:t>
      </w:r>
      <w:r w:rsidR="00AB487D" w:rsidRPr="000066D8">
        <w:t>.</w:t>
      </w:r>
    </w:p>
    <w:p w:rsidR="001D0BDB" w:rsidRDefault="00074E84" w:rsidP="008508AD">
      <w:pPr>
        <w:spacing w:before="240"/>
      </w:pPr>
      <w:r>
        <w:t>T</w:t>
      </w:r>
      <w:r w:rsidR="001D0BDB" w:rsidRPr="000066D8">
        <w:t xml:space="preserve">he </w:t>
      </w:r>
      <w:r w:rsidR="00894DD6" w:rsidRPr="000066D8">
        <w:t>approach</w:t>
      </w:r>
      <w:r w:rsidR="001D0BDB" w:rsidRPr="000066D8">
        <w:t xml:space="preserve"> seeks to support all aspects relating to hauora - physical, mental, emotional, </w:t>
      </w:r>
      <w:r w:rsidRPr="000066D8">
        <w:t>social,</w:t>
      </w:r>
      <w:r w:rsidR="001D0BDB" w:rsidRPr="000066D8">
        <w:t xml:space="preserve"> and spiritual wellbeing. To achieve this</w:t>
      </w:r>
      <w:r w:rsidR="00FB484D" w:rsidRPr="000066D8">
        <w:t>,</w:t>
      </w:r>
      <w:r w:rsidR="001D0BDB" w:rsidRPr="000066D8">
        <w:t xml:space="preserve"> trained HPS facilitators, from District Health Boards throughout </w:t>
      </w:r>
      <w:r w:rsidR="001D0BDB" w:rsidRPr="000066D8">
        <w:lastRenderedPageBreak/>
        <w:t xml:space="preserve">New Zealand, support schools to establish connections between the different groups in a school community: child, whānau/family, education, health and social service organisations. In line with the holistic school community approach, </w:t>
      </w:r>
      <w:r w:rsidR="00FB484D" w:rsidRPr="000066D8">
        <w:t xml:space="preserve">the </w:t>
      </w:r>
      <w:r w:rsidR="001D0BDB" w:rsidRPr="000066D8">
        <w:t xml:space="preserve">HPS framework </w:t>
      </w:r>
      <w:r w:rsidR="00FB484D" w:rsidRPr="000066D8">
        <w:t xml:space="preserve">and tools </w:t>
      </w:r>
      <w:r w:rsidR="001D0BDB" w:rsidRPr="000066D8">
        <w:t xml:space="preserve">enable these groups </w:t>
      </w:r>
      <w:r w:rsidR="00FB484D" w:rsidRPr="000066D8">
        <w:t>to work</w:t>
      </w:r>
      <w:r w:rsidR="001D0BDB" w:rsidRPr="000066D8">
        <w:t xml:space="preserve"> together to make a positive impact on communities’ health and wellbeing. Ideally, schools include health and wellbeing into their planning and review processes, teaching strategies, curriculum, and assessment </w:t>
      </w:r>
      <w:r w:rsidR="001D0BDB" w:rsidRPr="001D0BDB">
        <w:t>activities.</w:t>
      </w:r>
    </w:p>
    <w:p w:rsidR="00896D2D" w:rsidRPr="000066D8" w:rsidRDefault="001D0BDB" w:rsidP="001763A1">
      <w:pPr>
        <w:spacing w:before="240"/>
      </w:pPr>
      <w:r w:rsidRPr="001D0BDB">
        <w:t>The New Zealand</w:t>
      </w:r>
      <w:r w:rsidR="001F6E22">
        <w:t xml:space="preserve"> HPS approach </w:t>
      </w:r>
      <w:r w:rsidR="00565B5E">
        <w:t xml:space="preserve">was guided by </w:t>
      </w:r>
      <w:r w:rsidRPr="001D0BDB">
        <w:t xml:space="preserve">St Leger’s </w:t>
      </w:r>
      <w:r w:rsidR="00565B5E">
        <w:t xml:space="preserve">(1999) </w:t>
      </w:r>
      <w:r w:rsidRPr="001D0BDB">
        <w:t>observation that “</w:t>
      </w:r>
      <w:r w:rsidRPr="00345F6C">
        <w:t>the health sector had largely ignored the vast literature on school organisation and improvement, teaching and learning practices, professional development, and in</w:t>
      </w:r>
      <w:r w:rsidR="004A78CE">
        <w:t>novation and dissemination...s</w:t>
      </w:r>
      <w:r w:rsidRPr="00345F6C">
        <w:t>chools are complex places and the way forward in school health requires more sophisticated theoretical models which are based on both health and educational frameworks</w:t>
      </w:r>
      <w:r w:rsidR="00AF1906">
        <w:t>”</w:t>
      </w:r>
      <w:r w:rsidR="00B90DBC">
        <w:t xml:space="preserve"> (pg. 65).</w:t>
      </w:r>
      <w:r w:rsidRPr="001D0BDB">
        <w:t xml:space="preserve">The New Zealand HPS approach and theory for improvement was therefore based on sound evidence from both the health and education sector on how to improve health, </w:t>
      </w:r>
      <w:r w:rsidR="00BA493A" w:rsidRPr="001D0BDB">
        <w:t>wellbeing,</w:t>
      </w:r>
      <w:r w:rsidRPr="001D0BDB">
        <w:t xml:space="preserve"> and education outcomes in school communities</w:t>
      </w:r>
      <w:r w:rsidR="0007793F">
        <w:t>.</w:t>
      </w:r>
      <w:r w:rsidRPr="001D0BDB">
        <w:t xml:space="preserve"> </w:t>
      </w:r>
      <w:r w:rsidR="001B79F3" w:rsidRPr="009F72FF">
        <w:rPr>
          <w:color w:val="000000" w:themeColor="text1"/>
        </w:rPr>
        <w:t>As a</w:t>
      </w:r>
      <w:r w:rsidR="009929DF" w:rsidRPr="009F72FF">
        <w:rPr>
          <w:color w:val="000000" w:themeColor="text1"/>
        </w:rPr>
        <w:t xml:space="preserve">n outcome of </w:t>
      </w:r>
      <w:r w:rsidR="00AC3B63" w:rsidRPr="009F72FF">
        <w:rPr>
          <w:color w:val="000000" w:themeColor="text1"/>
        </w:rPr>
        <w:t xml:space="preserve">improving the health and wellbeing of students, the </w:t>
      </w:r>
      <w:r w:rsidR="00894DD6">
        <w:rPr>
          <w:color w:val="000000" w:themeColor="text1"/>
        </w:rPr>
        <w:t>approach</w:t>
      </w:r>
      <w:r w:rsidR="00AC3B63" w:rsidRPr="009F72FF">
        <w:rPr>
          <w:color w:val="000000" w:themeColor="text1"/>
        </w:rPr>
        <w:t xml:space="preserve"> seek</w:t>
      </w:r>
      <w:r w:rsidR="001F6E22">
        <w:rPr>
          <w:color w:val="000000" w:themeColor="text1"/>
        </w:rPr>
        <w:t xml:space="preserve">s to have </w:t>
      </w:r>
      <w:r w:rsidR="00AC3B63" w:rsidRPr="009F72FF">
        <w:rPr>
          <w:color w:val="000000" w:themeColor="text1"/>
        </w:rPr>
        <w:t xml:space="preserve">measurable </w:t>
      </w:r>
      <w:r w:rsidR="00FE464E" w:rsidRPr="009F72FF">
        <w:rPr>
          <w:color w:val="000000" w:themeColor="text1"/>
        </w:rPr>
        <w:t xml:space="preserve">positive </w:t>
      </w:r>
      <w:r w:rsidR="00CF0114" w:rsidRPr="009F72FF">
        <w:rPr>
          <w:color w:val="000000" w:themeColor="text1"/>
        </w:rPr>
        <w:t>impact on student outcomes, specifically,</w:t>
      </w:r>
      <w:r w:rsidR="00AC3B63" w:rsidRPr="009F72FF">
        <w:rPr>
          <w:color w:val="000000" w:themeColor="text1"/>
        </w:rPr>
        <w:t xml:space="preserve"> learning behaviours and </w:t>
      </w:r>
      <w:r w:rsidR="00AC3B63" w:rsidRPr="000066D8">
        <w:t xml:space="preserve">achievement. </w:t>
      </w:r>
    </w:p>
    <w:p w:rsidR="001C76F2" w:rsidRPr="009F72FF" w:rsidRDefault="00AC3B63" w:rsidP="001763A1">
      <w:pPr>
        <w:spacing w:before="240"/>
        <w:rPr>
          <w:color w:val="000000" w:themeColor="text1"/>
        </w:rPr>
      </w:pPr>
      <w:r w:rsidRPr="000066D8">
        <w:t xml:space="preserve">Previous research has found that </w:t>
      </w:r>
      <w:r w:rsidR="0096734D" w:rsidRPr="000066D8">
        <w:t>different aspects of students learning and performance have benefited from improvements in their health and wellbeing</w:t>
      </w:r>
      <w:r w:rsidR="0007793F" w:rsidRPr="001D0BDB">
        <w:t xml:space="preserve"> (see Appendix </w:t>
      </w:r>
      <w:r w:rsidR="005E1F29">
        <w:t>2</w:t>
      </w:r>
      <w:r w:rsidR="001F6E22">
        <w:t>)</w:t>
      </w:r>
      <w:r w:rsidR="009F72FF" w:rsidRPr="000066D8">
        <w:t>.</w:t>
      </w:r>
      <w:r w:rsidR="0096734D" w:rsidRPr="000066D8">
        <w:t xml:space="preserve"> </w:t>
      </w:r>
      <w:r w:rsidR="0093020C" w:rsidRPr="000066D8">
        <w:t xml:space="preserve">Building on this </w:t>
      </w:r>
      <w:r w:rsidR="0093020C" w:rsidRPr="009F72FF">
        <w:rPr>
          <w:color w:val="000000" w:themeColor="text1"/>
        </w:rPr>
        <w:t xml:space="preserve">research, this </w:t>
      </w:r>
      <w:r w:rsidR="00AB487D">
        <w:rPr>
          <w:color w:val="000000" w:themeColor="text1"/>
        </w:rPr>
        <w:t>analysis</w:t>
      </w:r>
      <w:r w:rsidR="00AB487D" w:rsidRPr="009F72FF">
        <w:rPr>
          <w:color w:val="000000" w:themeColor="text1"/>
        </w:rPr>
        <w:t xml:space="preserve"> </w:t>
      </w:r>
      <w:r w:rsidR="0093020C" w:rsidRPr="009F72FF">
        <w:rPr>
          <w:color w:val="000000" w:themeColor="text1"/>
        </w:rPr>
        <w:t xml:space="preserve">was </w:t>
      </w:r>
      <w:r w:rsidRPr="009F72FF">
        <w:rPr>
          <w:color w:val="000000" w:themeColor="text1"/>
        </w:rPr>
        <w:t xml:space="preserve">aimed at assessing the impact of the </w:t>
      </w:r>
      <w:r w:rsidR="0093020C" w:rsidRPr="009F72FF">
        <w:rPr>
          <w:color w:val="000000" w:themeColor="text1"/>
        </w:rPr>
        <w:t xml:space="preserve">HPS </w:t>
      </w:r>
      <w:r w:rsidR="00894DD6">
        <w:rPr>
          <w:color w:val="000000" w:themeColor="text1"/>
        </w:rPr>
        <w:t>approach</w:t>
      </w:r>
      <w:r w:rsidRPr="009F72FF">
        <w:rPr>
          <w:color w:val="000000" w:themeColor="text1"/>
        </w:rPr>
        <w:t xml:space="preserve"> on </w:t>
      </w:r>
      <w:r w:rsidR="0093020C" w:rsidRPr="009F72FF">
        <w:rPr>
          <w:color w:val="000000" w:themeColor="text1"/>
        </w:rPr>
        <w:t xml:space="preserve">the </w:t>
      </w:r>
      <w:r w:rsidR="00E53205" w:rsidRPr="009F72FF">
        <w:rPr>
          <w:color w:val="000000" w:themeColor="text1"/>
        </w:rPr>
        <w:t>target</w:t>
      </w:r>
      <w:r w:rsidR="0093020C" w:rsidRPr="009F72FF">
        <w:rPr>
          <w:color w:val="000000" w:themeColor="text1"/>
        </w:rPr>
        <w:t>ed</w:t>
      </w:r>
      <w:r w:rsidR="00E53205" w:rsidRPr="009F72FF">
        <w:rPr>
          <w:color w:val="000000" w:themeColor="text1"/>
        </w:rPr>
        <w:t xml:space="preserve"> </w:t>
      </w:r>
      <w:r w:rsidRPr="009F72FF">
        <w:rPr>
          <w:color w:val="000000" w:themeColor="text1"/>
        </w:rPr>
        <w:t xml:space="preserve">student outcomes </w:t>
      </w:r>
      <w:r w:rsidR="0093020C" w:rsidRPr="009F72FF">
        <w:rPr>
          <w:color w:val="000000" w:themeColor="text1"/>
        </w:rPr>
        <w:t xml:space="preserve">of increased </w:t>
      </w:r>
      <w:r w:rsidR="002E4A77" w:rsidRPr="009F72FF">
        <w:rPr>
          <w:color w:val="000000" w:themeColor="text1"/>
        </w:rPr>
        <w:t>attendance</w:t>
      </w:r>
      <w:r w:rsidR="0093020C" w:rsidRPr="009F72FF">
        <w:rPr>
          <w:color w:val="000000" w:themeColor="text1"/>
        </w:rPr>
        <w:t xml:space="preserve"> and achievement</w:t>
      </w:r>
      <w:r w:rsidR="002E4A77" w:rsidRPr="009F72FF">
        <w:rPr>
          <w:color w:val="000000" w:themeColor="text1"/>
        </w:rPr>
        <w:t xml:space="preserve">, </w:t>
      </w:r>
      <w:r w:rsidR="0093020C" w:rsidRPr="009F72FF">
        <w:rPr>
          <w:color w:val="000000" w:themeColor="text1"/>
        </w:rPr>
        <w:t xml:space="preserve">and decreased </w:t>
      </w:r>
      <w:r w:rsidR="002E4A77" w:rsidRPr="009F72FF">
        <w:rPr>
          <w:color w:val="000000" w:themeColor="text1"/>
        </w:rPr>
        <w:t xml:space="preserve">transience, suspensions, and </w:t>
      </w:r>
      <w:r w:rsidR="00706EFC" w:rsidRPr="009F72FF">
        <w:rPr>
          <w:color w:val="000000" w:themeColor="text1"/>
        </w:rPr>
        <w:t>stand-downs</w:t>
      </w:r>
      <w:r w:rsidR="004F6611" w:rsidRPr="009F72FF">
        <w:rPr>
          <w:color w:val="000000" w:themeColor="text1"/>
        </w:rPr>
        <w:t xml:space="preserve">. </w:t>
      </w:r>
    </w:p>
    <w:p w:rsidR="001C76F2" w:rsidRDefault="001C76F2">
      <w:r>
        <w:br w:type="page"/>
      </w:r>
    </w:p>
    <w:p w:rsidR="001763A1" w:rsidRPr="00351636" w:rsidRDefault="001763A1" w:rsidP="00850C57">
      <w:pPr>
        <w:pStyle w:val="Heading1"/>
        <w:tabs>
          <w:tab w:val="left" w:pos="3416"/>
        </w:tabs>
      </w:pPr>
      <w:bookmarkStart w:id="9" w:name="_Toc491757197"/>
      <w:r>
        <w:lastRenderedPageBreak/>
        <w:t>Methodology</w:t>
      </w:r>
      <w:bookmarkEnd w:id="9"/>
      <w:r w:rsidR="00850C57">
        <w:tab/>
      </w:r>
    </w:p>
    <w:p w:rsidR="0071083D" w:rsidRDefault="0071083D" w:rsidP="0071083D">
      <w:pPr>
        <w:rPr>
          <w:highlight w:val="yellow"/>
        </w:rPr>
      </w:pPr>
      <w:r w:rsidRPr="008D55C7">
        <w:t xml:space="preserve">The purpose of this analysis was to establish the relationships between the various areas of the HPS </w:t>
      </w:r>
      <w:r>
        <w:t>approach</w:t>
      </w:r>
      <w:r w:rsidRPr="008D55C7">
        <w:t xml:space="preserve"> on </w:t>
      </w:r>
      <w:r w:rsidR="00566907">
        <w:t xml:space="preserve">positive student behaviours </w:t>
      </w:r>
      <w:r w:rsidRPr="008D55C7">
        <w:t>and academic achievement of students. Using various multivariate modelling techniques, data was analysed and tested in relation to its structure</w:t>
      </w:r>
      <w:r w:rsidR="00341245">
        <w:t xml:space="preserve"> (Structural Equation </w:t>
      </w:r>
      <w:r w:rsidR="00341245" w:rsidRPr="003C5662">
        <w:t>Modelling: SEM)</w:t>
      </w:r>
      <w:r w:rsidRPr="003C5662">
        <w:t xml:space="preserve">. </w:t>
      </w:r>
      <w:r w:rsidR="0078003B" w:rsidRPr="003C5662">
        <w:t xml:space="preserve">Using </w:t>
      </w:r>
      <w:r w:rsidR="003F7ECB" w:rsidRPr="003C5662">
        <w:t xml:space="preserve">a </w:t>
      </w:r>
      <w:r w:rsidR="0078003B" w:rsidRPr="003C5662">
        <w:t xml:space="preserve">Partial Least Squares (PLS) </w:t>
      </w:r>
      <w:r w:rsidR="00341245" w:rsidRPr="003C5662">
        <w:t xml:space="preserve">SEM </w:t>
      </w:r>
      <w:r w:rsidR="0078003B" w:rsidRPr="003C5662">
        <w:t xml:space="preserve">approach, </w:t>
      </w:r>
      <w:r w:rsidR="00341245" w:rsidRPr="003C5662">
        <w:t xml:space="preserve">the degree and direction of the correlations between factors </w:t>
      </w:r>
      <w:r w:rsidR="0078003B" w:rsidRPr="003C5662">
        <w:t xml:space="preserve">was tested </w:t>
      </w:r>
      <w:r w:rsidR="00104222" w:rsidRPr="003C5662">
        <w:t xml:space="preserve">across </w:t>
      </w:r>
      <w:r w:rsidR="00A04605" w:rsidRPr="003C5662">
        <w:t>all</w:t>
      </w:r>
      <w:r w:rsidR="000E38A5" w:rsidRPr="003C5662">
        <w:t xml:space="preserve"> the variables. </w:t>
      </w:r>
      <w:r w:rsidR="000F15CD" w:rsidRPr="003C5662">
        <w:t xml:space="preserve">Data from the following areas were </w:t>
      </w:r>
      <w:r w:rsidRPr="003C5662">
        <w:t xml:space="preserve">modelled to </w:t>
      </w:r>
      <w:r w:rsidR="000F15CD" w:rsidRPr="003C5662">
        <w:t>determine</w:t>
      </w:r>
      <w:r w:rsidRPr="003C5662">
        <w:t xml:space="preserve"> the degree of impact that they</w:t>
      </w:r>
      <w:r w:rsidR="008261C6" w:rsidRPr="003C5662">
        <w:t xml:space="preserve"> have</w:t>
      </w:r>
      <w:r w:rsidRPr="003C5662">
        <w:t xml:space="preserve">, as </w:t>
      </w:r>
      <w:r w:rsidR="009C1452" w:rsidRPr="003C5662">
        <w:t>separate</w:t>
      </w:r>
      <w:r w:rsidRPr="003C5662">
        <w:t xml:space="preserve"> constr</w:t>
      </w:r>
      <w:r w:rsidR="008261C6" w:rsidRPr="003C5662">
        <w:t xml:space="preserve">ucts and collectively, </w:t>
      </w:r>
      <w:r w:rsidR="003F7ECB" w:rsidRPr="003C5662">
        <w:t>on the student outcomes</w:t>
      </w:r>
      <w:r w:rsidRPr="003C5662">
        <w:t>.</w:t>
      </w:r>
      <w:r>
        <w:t xml:space="preserve"> </w:t>
      </w:r>
    </w:p>
    <w:p w:rsidR="0071083D" w:rsidRPr="008D55C7" w:rsidRDefault="0071083D" w:rsidP="0071083D">
      <w:r w:rsidRPr="008D55C7">
        <w:t xml:space="preserve">HPS </w:t>
      </w:r>
      <w:r w:rsidR="008261C6">
        <w:t>areas and school</w:t>
      </w:r>
      <w:r w:rsidR="00DD4EBB">
        <w:t>-based constructs</w:t>
      </w:r>
      <w:r w:rsidR="008261C6">
        <w:t xml:space="preserve"> </w:t>
      </w:r>
      <w:r w:rsidR="00A04605">
        <w:t>(independent variables)</w:t>
      </w:r>
      <w:r w:rsidRPr="008D55C7">
        <w:t>:</w:t>
      </w:r>
    </w:p>
    <w:p w:rsidR="0071083D" w:rsidRDefault="0071083D" w:rsidP="0071083D">
      <w:pPr>
        <w:pStyle w:val="ListParagraph"/>
        <w:numPr>
          <w:ilvl w:val="0"/>
          <w:numId w:val="11"/>
        </w:numPr>
        <w:spacing w:after="200"/>
      </w:pPr>
      <w:r>
        <w:t>Quality/performance of the HPS facilitator</w:t>
      </w:r>
    </w:p>
    <w:p w:rsidR="0071083D" w:rsidRDefault="0071083D" w:rsidP="0071083D">
      <w:pPr>
        <w:pStyle w:val="ListParagraph"/>
        <w:numPr>
          <w:ilvl w:val="0"/>
          <w:numId w:val="11"/>
        </w:numPr>
        <w:spacing w:after="200"/>
      </w:pPr>
      <w:r>
        <w:t>Performance on (and completion of) the HPS health and wellbeing rubric</w:t>
      </w:r>
    </w:p>
    <w:p w:rsidR="0071083D" w:rsidRDefault="0071083D" w:rsidP="0071083D">
      <w:pPr>
        <w:pStyle w:val="ListParagraph"/>
        <w:numPr>
          <w:ilvl w:val="0"/>
          <w:numId w:val="11"/>
        </w:numPr>
        <w:spacing w:after="200"/>
      </w:pPr>
      <w:r>
        <w:t>School decile</w:t>
      </w:r>
    </w:p>
    <w:p w:rsidR="0071083D" w:rsidRDefault="0071083D" w:rsidP="0071083D">
      <w:pPr>
        <w:pStyle w:val="ListParagraph"/>
        <w:numPr>
          <w:ilvl w:val="0"/>
          <w:numId w:val="11"/>
        </w:numPr>
        <w:spacing w:after="200"/>
      </w:pPr>
      <w:r>
        <w:t xml:space="preserve">HPS level of inquiry </w:t>
      </w:r>
    </w:p>
    <w:p w:rsidR="0071083D" w:rsidRDefault="0071083D" w:rsidP="0071083D">
      <w:pPr>
        <w:pStyle w:val="ListParagraph"/>
        <w:numPr>
          <w:ilvl w:val="0"/>
          <w:numId w:val="11"/>
        </w:numPr>
        <w:spacing w:after="200"/>
      </w:pPr>
      <w:r>
        <w:t>Level of involvement in HPS (</w:t>
      </w:r>
      <w:r w:rsidR="00506C9D">
        <w:t>non-HPS, non</w:t>
      </w:r>
      <w:r w:rsidR="002051C0">
        <w:t>-HPS with health promotion/well</w:t>
      </w:r>
      <w:r w:rsidR="00506C9D">
        <w:t>being focus</w:t>
      </w:r>
      <w:r>
        <w:t>)</w:t>
      </w:r>
    </w:p>
    <w:p w:rsidR="0071083D" w:rsidRDefault="0071083D" w:rsidP="0071083D">
      <w:pPr>
        <w:pStyle w:val="ListParagraph"/>
        <w:numPr>
          <w:ilvl w:val="0"/>
          <w:numId w:val="11"/>
        </w:numPr>
        <w:spacing w:after="200"/>
      </w:pPr>
      <w:r>
        <w:t>Whānau engagement with schools</w:t>
      </w:r>
    </w:p>
    <w:p w:rsidR="0071083D" w:rsidRDefault="0071083D" w:rsidP="0071083D">
      <w:pPr>
        <w:pStyle w:val="ListParagraph"/>
        <w:numPr>
          <w:ilvl w:val="0"/>
          <w:numId w:val="11"/>
        </w:numPr>
        <w:spacing w:after="200"/>
      </w:pPr>
      <w:r>
        <w:t>Educational Review Office (ERO) cycle category</w:t>
      </w:r>
    </w:p>
    <w:p w:rsidR="0071083D" w:rsidRDefault="0071083D" w:rsidP="00775521">
      <w:pPr>
        <w:spacing w:after="120"/>
      </w:pPr>
      <w:r>
        <w:t xml:space="preserve">Student </w:t>
      </w:r>
      <w:r w:rsidRPr="00B134F8">
        <w:t xml:space="preserve">target </w:t>
      </w:r>
      <w:r w:rsidR="003C5662">
        <w:t xml:space="preserve">outcomes - positive student </w:t>
      </w:r>
      <w:r>
        <w:t>b</w:t>
      </w:r>
      <w:r w:rsidR="003C5662">
        <w:t>ehaviours and academic outcomes</w:t>
      </w:r>
      <w:r>
        <w:t xml:space="preserve"> </w:t>
      </w:r>
      <w:r w:rsidR="00A04605">
        <w:t>(dependent variables)</w:t>
      </w:r>
      <w:r>
        <w:t>:</w:t>
      </w:r>
    </w:p>
    <w:p w:rsidR="0071083D" w:rsidRDefault="0071083D" w:rsidP="0071083D">
      <w:pPr>
        <w:pStyle w:val="ListParagraph"/>
        <w:numPr>
          <w:ilvl w:val="0"/>
          <w:numId w:val="11"/>
        </w:numPr>
        <w:spacing w:after="200"/>
      </w:pPr>
      <w:r>
        <w:t>Attendance</w:t>
      </w:r>
    </w:p>
    <w:p w:rsidR="0071083D" w:rsidRDefault="0071083D" w:rsidP="0071083D">
      <w:pPr>
        <w:pStyle w:val="ListParagraph"/>
        <w:numPr>
          <w:ilvl w:val="0"/>
          <w:numId w:val="11"/>
        </w:numPr>
        <w:spacing w:after="200"/>
      </w:pPr>
      <w:r>
        <w:t>Transience</w:t>
      </w:r>
    </w:p>
    <w:p w:rsidR="0071083D" w:rsidRDefault="0071083D" w:rsidP="0071083D">
      <w:pPr>
        <w:pStyle w:val="ListParagraph"/>
        <w:numPr>
          <w:ilvl w:val="0"/>
          <w:numId w:val="11"/>
        </w:numPr>
        <w:spacing w:after="200"/>
      </w:pPr>
      <w:r>
        <w:t>Stand-downs</w:t>
      </w:r>
    </w:p>
    <w:p w:rsidR="0071083D" w:rsidRDefault="0071083D" w:rsidP="0071083D">
      <w:pPr>
        <w:pStyle w:val="ListParagraph"/>
        <w:numPr>
          <w:ilvl w:val="0"/>
          <w:numId w:val="11"/>
        </w:numPr>
        <w:spacing w:after="200"/>
      </w:pPr>
      <w:r>
        <w:t>Suspensions</w:t>
      </w:r>
    </w:p>
    <w:p w:rsidR="0071083D" w:rsidRDefault="0071083D" w:rsidP="00775521">
      <w:pPr>
        <w:pStyle w:val="ListParagraph"/>
        <w:numPr>
          <w:ilvl w:val="0"/>
          <w:numId w:val="11"/>
        </w:numPr>
        <w:spacing w:after="0"/>
        <w:ind w:left="1077" w:hanging="357"/>
      </w:pPr>
      <w:r>
        <w:t>Achievement</w:t>
      </w:r>
    </w:p>
    <w:p w:rsidR="00292254" w:rsidRPr="00FB2287" w:rsidRDefault="00292254" w:rsidP="003C5662">
      <w:pPr>
        <w:pStyle w:val="Heading2"/>
        <w:spacing w:before="240"/>
      </w:pPr>
      <w:bookmarkStart w:id="10" w:name="_Toc491757198"/>
      <w:r w:rsidRPr="00FB2287">
        <w:lastRenderedPageBreak/>
        <w:t>Sample</w:t>
      </w:r>
      <w:bookmarkEnd w:id="10"/>
    </w:p>
    <w:p w:rsidR="0070053D" w:rsidRDefault="0070053D" w:rsidP="00292254">
      <w:r w:rsidRPr="00351636">
        <w:rPr>
          <w:noProof/>
          <w:lang w:eastAsia="en-NZ"/>
        </w:rPr>
        <w:drawing>
          <wp:anchor distT="0" distB="0" distL="114300" distR="114300" simplePos="0" relativeHeight="251663360" behindDoc="0" locked="0" layoutInCell="1" allowOverlap="1" wp14:anchorId="15C96A5C" wp14:editId="6B0207D0">
            <wp:simplePos x="0" y="0"/>
            <wp:positionH relativeFrom="column">
              <wp:posOffset>0</wp:posOffset>
            </wp:positionH>
            <wp:positionV relativeFrom="paragraph">
              <wp:posOffset>666159</wp:posOffset>
            </wp:positionV>
            <wp:extent cx="5943600" cy="2133600"/>
            <wp:effectExtent l="0" t="0" r="0" b="0"/>
            <wp:wrapTopAndBottom/>
            <wp:docPr id="7" name="Chart 7" descr="Survey response 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A32249">
        <w:t xml:space="preserve">The </w:t>
      </w:r>
      <w:r w:rsidR="00E5176F">
        <w:t xml:space="preserve">student outcome </w:t>
      </w:r>
      <w:r w:rsidR="00A32249">
        <w:t xml:space="preserve">data </w:t>
      </w:r>
      <w:r w:rsidR="00E5176F">
        <w:t xml:space="preserve">in </w:t>
      </w:r>
      <w:r w:rsidR="00A43815">
        <w:t xml:space="preserve">the </w:t>
      </w:r>
      <w:r w:rsidR="00A32249">
        <w:t xml:space="preserve">analysis ranged </w:t>
      </w:r>
      <w:r w:rsidR="00E5176F">
        <w:t>over 2013 to 2016</w:t>
      </w:r>
      <w:r w:rsidR="00176127">
        <w:t xml:space="preserve">. </w:t>
      </w:r>
      <w:r w:rsidR="003600AC">
        <w:t xml:space="preserve">As </w:t>
      </w:r>
      <w:r w:rsidR="003218A9">
        <w:t>many</w:t>
      </w:r>
      <w:r w:rsidR="003600AC">
        <w:t xml:space="preserve"> </w:t>
      </w:r>
      <w:r w:rsidR="00277E30">
        <w:t xml:space="preserve">of the </w:t>
      </w:r>
      <w:r w:rsidR="0093107C">
        <w:t xml:space="preserve">HPS </w:t>
      </w:r>
      <w:r w:rsidR="003600AC">
        <w:t xml:space="preserve">schools with </w:t>
      </w:r>
      <w:r w:rsidR="000734E8">
        <w:t xml:space="preserve">complete </w:t>
      </w:r>
      <w:r w:rsidR="003600AC">
        <w:t xml:space="preserve">longitudinal data </w:t>
      </w:r>
      <w:r w:rsidR="000734E8">
        <w:t xml:space="preserve">sets covered the </w:t>
      </w:r>
      <w:r w:rsidR="003600AC">
        <w:t>primary</w:t>
      </w:r>
      <w:r w:rsidR="003218A9">
        <w:t xml:space="preserve"> and intermediate</w:t>
      </w:r>
      <w:r w:rsidR="000734E8">
        <w:t xml:space="preserve"> years</w:t>
      </w:r>
      <w:r w:rsidR="004C54B1">
        <w:t xml:space="preserve"> (years 1 – 9)</w:t>
      </w:r>
      <w:r w:rsidR="000734E8">
        <w:t xml:space="preserve">, the analysis was focused </w:t>
      </w:r>
      <w:r w:rsidR="003218A9">
        <w:t xml:space="preserve">on </w:t>
      </w:r>
      <w:r w:rsidR="00176127">
        <w:t xml:space="preserve">these </w:t>
      </w:r>
      <w:r w:rsidR="0093107C">
        <w:t>school years</w:t>
      </w:r>
      <w:r w:rsidR="006F2CDF">
        <w:t xml:space="preserve"> (see Figure 1)</w:t>
      </w:r>
      <w:r w:rsidR="003218A9">
        <w:t xml:space="preserve">. </w:t>
      </w:r>
    </w:p>
    <w:p w:rsidR="009A1A8B" w:rsidRPr="009B0958" w:rsidRDefault="009A1A8B" w:rsidP="00AA64FE">
      <w:pPr>
        <w:spacing w:before="300"/>
        <w:rPr>
          <w:i/>
        </w:rPr>
      </w:pPr>
      <w:r>
        <w:rPr>
          <w:i/>
        </w:rPr>
        <w:t xml:space="preserve">Figure 1. </w:t>
      </w:r>
      <w:r w:rsidR="00B0112F">
        <w:rPr>
          <w:i/>
        </w:rPr>
        <w:t xml:space="preserve">The distribution </w:t>
      </w:r>
      <w:r>
        <w:rPr>
          <w:i/>
        </w:rPr>
        <w:t xml:space="preserve">of schools’ </w:t>
      </w:r>
      <w:r w:rsidR="00B0112F">
        <w:rPr>
          <w:i/>
        </w:rPr>
        <w:t xml:space="preserve">inquiry levels </w:t>
      </w:r>
      <w:r>
        <w:rPr>
          <w:i/>
        </w:rPr>
        <w:t>on the HPS rubric by school type.</w:t>
      </w:r>
    </w:p>
    <w:p w:rsidR="004460BB" w:rsidRDefault="008D55C7" w:rsidP="00292254">
      <w:r>
        <w:t xml:space="preserve">To assess </w:t>
      </w:r>
      <w:r w:rsidR="00ED283E">
        <w:t xml:space="preserve">impact, only schools that were at Levels 1, 2, and 3 of the </w:t>
      </w:r>
      <w:r w:rsidR="00AA64FE">
        <w:t xml:space="preserve">HPS </w:t>
      </w:r>
      <w:r w:rsidR="00ED283E">
        <w:t xml:space="preserve">inquiry cycle were included in the </w:t>
      </w:r>
      <w:r w:rsidR="00DF14B9">
        <w:t>final dataset</w:t>
      </w:r>
      <w:r w:rsidR="00BB7461">
        <w:t xml:space="preserve"> </w:t>
      </w:r>
      <w:r>
        <w:t xml:space="preserve">of HPS schools </w:t>
      </w:r>
      <w:r w:rsidR="00BB7461">
        <w:t>(</w:t>
      </w:r>
      <w:r>
        <w:rPr>
          <w:i/>
        </w:rPr>
        <w:t xml:space="preserve">n </w:t>
      </w:r>
      <w:r>
        <w:t xml:space="preserve">= </w:t>
      </w:r>
      <w:r w:rsidR="00BB7461">
        <w:t>807)</w:t>
      </w:r>
      <w:r w:rsidR="00DF14B9">
        <w:t xml:space="preserve">. </w:t>
      </w:r>
      <w:r>
        <w:t xml:space="preserve">Of this </w:t>
      </w:r>
      <w:r w:rsidR="00A76E7E">
        <w:t>total,</w:t>
      </w:r>
      <w:r>
        <w:t xml:space="preserve"> there </w:t>
      </w:r>
      <w:r w:rsidR="002008A7">
        <w:t xml:space="preserve">were 492 schools that </w:t>
      </w:r>
      <w:r w:rsidR="00F2566C">
        <w:t>had more than 35% Maori and/or Pasifika students on their roll.</w:t>
      </w:r>
    </w:p>
    <w:p w:rsidR="00E17631" w:rsidRDefault="007D43B3" w:rsidP="00292254">
      <w:r>
        <w:t>In addition to the HPS sample, t</w:t>
      </w:r>
      <w:r w:rsidR="00062387">
        <w:t xml:space="preserve">wo </w:t>
      </w:r>
      <w:r w:rsidR="004C7A1B">
        <w:t>c</w:t>
      </w:r>
      <w:r w:rsidR="00B5516B">
        <w:t>omparison sample</w:t>
      </w:r>
      <w:r w:rsidR="00062387">
        <w:t>s</w:t>
      </w:r>
      <w:r w:rsidR="00B5516B">
        <w:t xml:space="preserve"> </w:t>
      </w:r>
      <w:r w:rsidR="00062387">
        <w:t xml:space="preserve">were </w:t>
      </w:r>
      <w:r w:rsidR="009D2600">
        <w:t>established</w:t>
      </w:r>
      <w:r w:rsidR="007C4CE3">
        <w:t xml:space="preserve">. One sample consisted of </w:t>
      </w:r>
      <w:r w:rsidR="00062387">
        <w:t xml:space="preserve">schools </w:t>
      </w:r>
      <w:r w:rsidR="00413E20">
        <w:t xml:space="preserve">who were not participating in the </w:t>
      </w:r>
      <w:r w:rsidR="00B5516B">
        <w:t xml:space="preserve">HPS </w:t>
      </w:r>
      <w:r w:rsidR="00894DD6">
        <w:t>approach</w:t>
      </w:r>
      <w:r w:rsidR="00A552C8">
        <w:t xml:space="preserve"> (</w:t>
      </w:r>
      <w:r w:rsidR="00A552C8">
        <w:rPr>
          <w:i/>
        </w:rPr>
        <w:t xml:space="preserve">n </w:t>
      </w:r>
      <w:r w:rsidR="00A552C8">
        <w:t xml:space="preserve">= </w:t>
      </w:r>
      <w:r w:rsidR="003A0763">
        <w:t>920)</w:t>
      </w:r>
      <w:r w:rsidR="007C4CE3">
        <w:t>, with the other sample consisting of schools that</w:t>
      </w:r>
      <w:r w:rsidR="00B5516B">
        <w:t xml:space="preserve"> </w:t>
      </w:r>
      <w:r w:rsidR="00EE3AEF">
        <w:t xml:space="preserve">were </w:t>
      </w:r>
      <w:r w:rsidR="00B5516B">
        <w:t xml:space="preserve">participating in Health Promotion </w:t>
      </w:r>
      <w:r w:rsidR="00F26A7E">
        <w:t>initiative</w:t>
      </w:r>
      <w:r w:rsidR="00413E20">
        <w:t>s</w:t>
      </w:r>
      <w:r w:rsidR="00967F2D">
        <w:t xml:space="preserve"> </w:t>
      </w:r>
      <w:r w:rsidR="003C608C">
        <w:t xml:space="preserve">but </w:t>
      </w:r>
      <w:r w:rsidR="006B3AF3">
        <w:t xml:space="preserve">were </w:t>
      </w:r>
      <w:r w:rsidR="003C608C">
        <w:t>not under the HPS framework</w:t>
      </w:r>
      <w:r w:rsidR="00DC6168">
        <w:t xml:space="preserve"> (</w:t>
      </w:r>
      <w:r w:rsidR="00DC6168">
        <w:rPr>
          <w:i/>
        </w:rPr>
        <w:t xml:space="preserve">n </w:t>
      </w:r>
      <w:r w:rsidR="00DC6168">
        <w:t>= 412)</w:t>
      </w:r>
      <w:r w:rsidR="003C608C">
        <w:t xml:space="preserve">. </w:t>
      </w:r>
      <w:r w:rsidR="00AD7A16">
        <w:t>School variables were matched in this sample</w:t>
      </w:r>
      <w:r w:rsidR="00670DF5">
        <w:t xml:space="preserve"> to ensure </w:t>
      </w:r>
      <w:r w:rsidR="005855C3">
        <w:t xml:space="preserve">a robust </w:t>
      </w:r>
      <w:r w:rsidR="008C4247">
        <w:t xml:space="preserve">representative </w:t>
      </w:r>
      <w:r w:rsidR="00670DF5">
        <w:t xml:space="preserve">sample </w:t>
      </w:r>
      <w:r w:rsidR="008C4247">
        <w:t>of non-</w:t>
      </w:r>
      <w:r w:rsidR="00670DF5">
        <w:t>HPS schools.</w:t>
      </w:r>
    </w:p>
    <w:p w:rsidR="009B0958" w:rsidRPr="00830952" w:rsidRDefault="00830952" w:rsidP="00292254">
      <w:r>
        <w:t xml:space="preserve">Statistically, the </w:t>
      </w:r>
      <w:r w:rsidR="00D8219D">
        <w:t xml:space="preserve">large </w:t>
      </w:r>
      <w:r>
        <w:t xml:space="preserve">sizes of the </w:t>
      </w:r>
      <w:r w:rsidR="009A1A8B">
        <w:t xml:space="preserve">both the </w:t>
      </w:r>
      <w:r>
        <w:t xml:space="preserve">HPS school sample and the </w:t>
      </w:r>
      <w:r w:rsidR="001D27DA">
        <w:t xml:space="preserve">two </w:t>
      </w:r>
      <w:r>
        <w:t>non-HPS comparison sample</w:t>
      </w:r>
      <w:r w:rsidR="001D27DA">
        <w:t>s</w:t>
      </w:r>
      <w:r>
        <w:t xml:space="preserve"> permitted </w:t>
      </w:r>
      <w:r w:rsidR="001D27DA">
        <w:t xml:space="preserve">the </w:t>
      </w:r>
      <w:r>
        <w:t>SEM</w:t>
      </w:r>
      <w:r w:rsidR="001D27DA">
        <w:t xml:space="preserve"> technique </w:t>
      </w:r>
      <w:r>
        <w:t xml:space="preserve">to be </w:t>
      </w:r>
      <w:r w:rsidR="00AC1D84">
        <w:t xml:space="preserve">robustly </w:t>
      </w:r>
      <w:r>
        <w:t>applied.</w:t>
      </w:r>
    </w:p>
    <w:p w:rsidR="00E62FA9" w:rsidRDefault="00B42C26" w:rsidP="00F61689">
      <w:pPr>
        <w:pStyle w:val="Heading2"/>
        <w:spacing w:before="300"/>
      </w:pPr>
      <w:bookmarkStart w:id="11" w:name="_Toc491757199"/>
      <w:r>
        <w:t xml:space="preserve">Measures and </w:t>
      </w:r>
      <w:r w:rsidR="00E42521">
        <w:t>Data</w:t>
      </w:r>
      <w:bookmarkEnd w:id="11"/>
    </w:p>
    <w:p w:rsidR="00E62FA9" w:rsidRDefault="006E3023" w:rsidP="00E62FA9">
      <w:r>
        <w:t>The following outlines the v</w:t>
      </w:r>
      <w:r w:rsidR="00E42521">
        <w:t xml:space="preserve">arious </w:t>
      </w:r>
      <w:r w:rsidR="00E62FA9">
        <w:t xml:space="preserve">measures </w:t>
      </w:r>
      <w:r w:rsidR="00E42521">
        <w:t>and data</w:t>
      </w:r>
      <w:r>
        <w:t>sets</w:t>
      </w:r>
      <w:r w:rsidR="00E42521">
        <w:t xml:space="preserve"> </w:t>
      </w:r>
      <w:r>
        <w:t xml:space="preserve">that were </w:t>
      </w:r>
      <w:r w:rsidR="00E62FA9">
        <w:t xml:space="preserve">used to </w:t>
      </w:r>
      <w:r w:rsidR="00FB0117">
        <w:t>assess</w:t>
      </w:r>
      <w:r w:rsidR="00E62FA9">
        <w:t xml:space="preserve"> the effe</w:t>
      </w:r>
      <w:r w:rsidR="007F3F2A">
        <w:t xml:space="preserve">ctiveness of the HPS </w:t>
      </w:r>
      <w:r w:rsidR="00986BA7">
        <w:t>approach</w:t>
      </w:r>
      <w:r w:rsidR="003F7ECB">
        <w:rPr>
          <w:rStyle w:val="FootnoteReference"/>
        </w:rPr>
        <w:footnoteReference w:id="1"/>
      </w:r>
      <w:r w:rsidR="006730D2">
        <w:t>.</w:t>
      </w:r>
    </w:p>
    <w:p w:rsidR="00377292" w:rsidRPr="0098576A" w:rsidRDefault="00377292" w:rsidP="00DB6226">
      <w:pPr>
        <w:pStyle w:val="Heading3"/>
      </w:pPr>
      <w:bookmarkStart w:id="12" w:name="_Toc491757200"/>
      <w:r w:rsidRPr="0098576A">
        <w:lastRenderedPageBreak/>
        <w:t>ERO Cycle</w:t>
      </w:r>
      <w:r w:rsidR="00ED2949">
        <w:t xml:space="preserve"> Category</w:t>
      </w:r>
      <w:bookmarkEnd w:id="12"/>
    </w:p>
    <w:p w:rsidR="003A7EBC" w:rsidRDefault="00CB5905" w:rsidP="00E62FA9">
      <w:r>
        <w:t xml:space="preserve">The Educational Review Office (ERO) conducts internal and external evaluations </w:t>
      </w:r>
      <w:r w:rsidR="00C12C2A">
        <w:t>on</w:t>
      </w:r>
      <w:r>
        <w:t xml:space="preserve"> school performance against specific and wide-ranging criteria</w:t>
      </w:r>
      <w:r w:rsidR="00122E3D">
        <w:t xml:space="preserve"> (ERO, 2011)</w:t>
      </w:r>
      <w:r>
        <w:t xml:space="preserve">. </w:t>
      </w:r>
      <w:r w:rsidR="00C055AC">
        <w:t xml:space="preserve">The results of these evaluations </w:t>
      </w:r>
      <w:r w:rsidR="003367A5">
        <w:t xml:space="preserve">provide evidence on what is working in schools and for </w:t>
      </w:r>
      <w:r w:rsidR="00C12C2A">
        <w:t xml:space="preserve">students (e.g., </w:t>
      </w:r>
      <w:r w:rsidR="00894DD6">
        <w:t>approach</w:t>
      </w:r>
      <w:r w:rsidR="000708C5">
        <w:t>e</w:t>
      </w:r>
      <w:r w:rsidR="00986BA7">
        <w:t>s</w:t>
      </w:r>
      <w:r w:rsidR="00C12C2A">
        <w:t xml:space="preserve">, processes, improvement and accelerated student achievement), which can </w:t>
      </w:r>
      <w:r w:rsidR="00B91E5E">
        <w:t xml:space="preserve">be used to </w:t>
      </w:r>
      <w:r w:rsidR="00C12C2A">
        <w:t xml:space="preserve">determine and influence </w:t>
      </w:r>
      <w:r w:rsidR="003367A5">
        <w:t>policies</w:t>
      </w:r>
      <w:r w:rsidR="001A48E6">
        <w:t>,</w:t>
      </w:r>
      <w:r w:rsidR="003367A5">
        <w:t xml:space="preserve"> and</w:t>
      </w:r>
      <w:r w:rsidR="00C12C2A">
        <w:t xml:space="preserve"> </w:t>
      </w:r>
      <w:r w:rsidR="003367A5">
        <w:t xml:space="preserve">promote better educational practice. </w:t>
      </w:r>
      <w:r w:rsidR="009F2929">
        <w:t>An outcome indicator of a school’s performance</w:t>
      </w:r>
      <w:r w:rsidR="00C12C2A">
        <w:t xml:space="preserve"> is represented by the </w:t>
      </w:r>
      <w:r w:rsidR="009F2929">
        <w:t xml:space="preserve">ERO </w:t>
      </w:r>
      <w:r w:rsidR="00C12C2A">
        <w:t xml:space="preserve">cycle. </w:t>
      </w:r>
      <w:r w:rsidR="003A7EBC">
        <w:t>The differentiated cycle categories are</w:t>
      </w:r>
      <w:r w:rsidR="00276BDF">
        <w:rPr>
          <w:rStyle w:val="FootnoteReference"/>
        </w:rPr>
        <w:footnoteReference w:id="2"/>
      </w:r>
      <w:r w:rsidR="003A7EBC">
        <w:t>:</w:t>
      </w:r>
    </w:p>
    <w:p w:rsidR="00276BDF" w:rsidRPr="00276BDF" w:rsidRDefault="003A7EBC" w:rsidP="00276BDF">
      <w:pPr>
        <w:numPr>
          <w:ilvl w:val="0"/>
          <w:numId w:val="13"/>
        </w:numPr>
      </w:pPr>
      <w:r>
        <w:t xml:space="preserve"> </w:t>
      </w:r>
      <w:r w:rsidR="00276BDF" w:rsidRPr="00276BDF">
        <w:t xml:space="preserve">The </w:t>
      </w:r>
      <w:r w:rsidR="00276BDF">
        <w:t xml:space="preserve">1-2 </w:t>
      </w:r>
      <w:r w:rsidR="00276BDF" w:rsidRPr="00276BDF">
        <w:t xml:space="preserve">year return category describes those schools </w:t>
      </w:r>
      <w:r w:rsidR="00B91E5E">
        <w:t>working with</w:t>
      </w:r>
      <w:r w:rsidR="00B91E5E" w:rsidRPr="00276BDF">
        <w:t xml:space="preserve"> </w:t>
      </w:r>
      <w:r w:rsidR="00276BDF" w:rsidRPr="00276BDF">
        <w:t>ERO</w:t>
      </w:r>
      <w:r w:rsidR="00B91E5E" w:rsidRPr="00276BDF">
        <w:t xml:space="preserve"> </w:t>
      </w:r>
      <w:r w:rsidR="00276BDF" w:rsidRPr="00276BDF">
        <w:t xml:space="preserve">to develop </w:t>
      </w:r>
      <w:r w:rsidR="00B91E5E">
        <w:t xml:space="preserve">a </w:t>
      </w:r>
      <w:r w:rsidR="00276BDF" w:rsidRPr="00276BDF">
        <w:t>self-review capacity so that they can develop strategies to focus on and improve student achievement</w:t>
      </w:r>
    </w:p>
    <w:p w:rsidR="00276BDF" w:rsidRPr="00276BDF" w:rsidRDefault="00276BDF" w:rsidP="00276BDF">
      <w:pPr>
        <w:numPr>
          <w:ilvl w:val="0"/>
          <w:numId w:val="13"/>
        </w:numPr>
      </w:pPr>
      <w:r w:rsidRPr="00276BDF">
        <w:t>The 3 year return category describes those schools that have established effective processes for student engagement, progress, and achievement</w:t>
      </w:r>
    </w:p>
    <w:p w:rsidR="00276BDF" w:rsidRDefault="00276BDF" w:rsidP="00276BDF">
      <w:pPr>
        <w:numPr>
          <w:ilvl w:val="0"/>
          <w:numId w:val="13"/>
        </w:numPr>
      </w:pPr>
      <w:r w:rsidRPr="00276BDF">
        <w:t xml:space="preserve">The </w:t>
      </w:r>
      <w:r>
        <w:t xml:space="preserve">4-5 </w:t>
      </w:r>
      <w:r w:rsidRPr="00276BDF">
        <w:t>year return category describes those schools who can consistently demonstrate sustained student engagement, progress, and achievement.</w:t>
      </w:r>
    </w:p>
    <w:p w:rsidR="006139F4" w:rsidRPr="00CB5905" w:rsidRDefault="006139F4" w:rsidP="00DB6226">
      <w:pPr>
        <w:pStyle w:val="Heading3"/>
      </w:pPr>
      <w:bookmarkStart w:id="13" w:name="_Toc491757201"/>
      <w:r>
        <w:t xml:space="preserve">HPS </w:t>
      </w:r>
      <w:r w:rsidR="0079650D">
        <w:t xml:space="preserve">Health and Wellbeing </w:t>
      </w:r>
      <w:r>
        <w:t>Rubric</w:t>
      </w:r>
      <w:bookmarkEnd w:id="13"/>
    </w:p>
    <w:p w:rsidR="00C25282" w:rsidRDefault="00922B35" w:rsidP="00C25282">
      <w:r>
        <w:t>The HPS</w:t>
      </w:r>
      <w:r w:rsidR="00564EEF">
        <w:t xml:space="preserve"> </w:t>
      </w:r>
      <w:r w:rsidR="0079650D">
        <w:t xml:space="preserve">health and wellbeing </w:t>
      </w:r>
      <w:r w:rsidR="00564EEF">
        <w:t>rubric</w:t>
      </w:r>
      <w:r w:rsidR="00533A3B" w:rsidRPr="00DD10A1">
        <w:rPr>
          <w:vertAlign w:val="superscript"/>
        </w:rPr>
        <w:footnoteReference w:id="3"/>
      </w:r>
      <w:r w:rsidR="00564EEF">
        <w:t xml:space="preserve"> is </w:t>
      </w:r>
      <w:r w:rsidR="009C0622">
        <w:t>an</w:t>
      </w:r>
      <w:r>
        <w:t xml:space="preserve"> evaluation </w:t>
      </w:r>
      <w:r w:rsidR="00564EEF">
        <w:t xml:space="preserve">tool that provides a framework </w:t>
      </w:r>
      <w:r w:rsidR="0059799A">
        <w:t xml:space="preserve">to </w:t>
      </w:r>
      <w:r w:rsidR="00564EEF">
        <w:t xml:space="preserve">assess </w:t>
      </w:r>
      <w:r w:rsidR="00E941B2">
        <w:t xml:space="preserve">the </w:t>
      </w:r>
      <w:r w:rsidR="00564EEF">
        <w:t xml:space="preserve">current policies, procedures and practises </w:t>
      </w:r>
      <w:r w:rsidR="00E941B2">
        <w:t>of a school</w:t>
      </w:r>
      <w:r w:rsidR="00C25282">
        <w:t xml:space="preserve"> that have been identified </w:t>
      </w:r>
      <w:r w:rsidR="008E3C75">
        <w:t xml:space="preserve">to </w:t>
      </w:r>
      <w:r w:rsidR="00C25282">
        <w:t>contribute to improvements in educational, health and wellbeing outcomes in school communities.</w:t>
      </w:r>
      <w:r w:rsidR="009C0622">
        <w:t xml:space="preserve"> </w:t>
      </w:r>
    </w:p>
    <w:p w:rsidR="008E3C75" w:rsidRDefault="009C0622" w:rsidP="00922B35">
      <w:r>
        <w:t xml:space="preserve">The rubric consists of </w:t>
      </w:r>
      <w:r w:rsidR="00426C37">
        <w:t>four</w:t>
      </w:r>
      <w:r>
        <w:t xml:space="preserve"> levels of inquiry</w:t>
      </w:r>
      <w:r w:rsidR="00516FB7">
        <w:t>,</w:t>
      </w:r>
      <w:r>
        <w:t xml:space="preserve"> across six domain</w:t>
      </w:r>
      <w:r w:rsidR="00516FB7">
        <w:t xml:space="preserve"> </w:t>
      </w:r>
      <w:r>
        <w:t>indicators.</w:t>
      </w:r>
      <w:r w:rsidR="00516FB7">
        <w:t xml:space="preserve"> </w:t>
      </w:r>
      <w:r w:rsidR="003B3437">
        <w:t xml:space="preserve">The levels of inquiry (or HPS Inquiry Cycle) are aligned with the </w:t>
      </w:r>
      <w:r w:rsidR="003B3437" w:rsidRPr="009C0622">
        <w:t xml:space="preserve">ERO </w:t>
      </w:r>
      <w:r w:rsidR="003B3437">
        <w:t xml:space="preserve">learner-focused evaluation processes recommended for internal evaluations. The domain </w:t>
      </w:r>
      <w:r w:rsidR="003B3437" w:rsidRPr="009C0622">
        <w:t>indicators</w:t>
      </w:r>
      <w:r w:rsidR="003B3437">
        <w:t xml:space="preserve"> are based on the ERO school evaluation process</w:t>
      </w:r>
      <w:r w:rsidR="003B3437" w:rsidRPr="009C0622">
        <w:t xml:space="preserve"> indicator</w:t>
      </w:r>
      <w:r w:rsidR="003B3437">
        <w:t>s.</w:t>
      </w:r>
    </w:p>
    <w:p w:rsidR="009C0622" w:rsidRDefault="008E3C75" w:rsidP="00922B35">
      <w:r>
        <w:t>The rubric has been developed to allow a wide range of school performance and capability assessments conducted by ERO to be aligned with indicators specifically fo</w:t>
      </w:r>
      <w:r w:rsidR="002051C0">
        <w:t>cused on school health and well</w:t>
      </w:r>
      <w:r>
        <w:t xml:space="preserve">being. </w:t>
      </w:r>
      <w:r w:rsidR="003B3437">
        <w:t>The tool can be used to give an indication of progress over time that a school is making on each domain.</w:t>
      </w:r>
    </w:p>
    <w:p w:rsidR="00C25282" w:rsidRDefault="00C25282" w:rsidP="00C25282">
      <w:r>
        <w:t>The levels of inquiry are:</w:t>
      </w:r>
    </w:p>
    <w:p w:rsidR="00C25282" w:rsidRPr="00B2791E" w:rsidRDefault="00C25282" w:rsidP="00C25282">
      <w:r w:rsidRPr="00B2791E">
        <w:lastRenderedPageBreak/>
        <w:t>Emergent: Indicates that the school is yet to question and examine their data, requires an HPS facilitator to notice. At this level, there is a high level of support needed from the HPS facilitator.</w:t>
      </w:r>
    </w:p>
    <w:p w:rsidR="00C25282" w:rsidRPr="00B2791E" w:rsidRDefault="00C25282" w:rsidP="00C25282">
      <w:r w:rsidRPr="00B2791E">
        <w:t xml:space="preserve">Level 1: Indicates an early involvement in the </w:t>
      </w:r>
      <w:r w:rsidR="00986BA7">
        <w:t>approach</w:t>
      </w:r>
      <w:r w:rsidRPr="00B2791E">
        <w:t xml:space="preserve"> with schools </w:t>
      </w:r>
      <w:r w:rsidRPr="00B2791E">
        <w:rPr>
          <w:i/>
        </w:rPr>
        <w:t xml:space="preserve">noticing and investigating </w:t>
      </w:r>
      <w:r w:rsidRPr="00B2791E">
        <w:t>their performance against the rubrics outcome and process indicators. At this level, there is a high level of support needed from the HPS facilitator.</w:t>
      </w:r>
    </w:p>
    <w:p w:rsidR="00C25282" w:rsidRPr="00B2791E" w:rsidRDefault="00C25282" w:rsidP="00C25282">
      <w:r w:rsidRPr="00B2791E">
        <w:t xml:space="preserve">Level 2: Indicates that schools have developed their inquiry capability to being able to collaborate sense-making with the school community to take the appropriate actions. At level 2 there is a medium level of supported needed from the HPS facilitator. </w:t>
      </w:r>
    </w:p>
    <w:p w:rsidR="003B3437" w:rsidRDefault="00C25282" w:rsidP="003B3437">
      <w:r w:rsidRPr="00B2791E">
        <w:t>Level 3: Indicates that schools have processes and procedures that are embedded within the schools’ practices, strategic plans and policies. Schools at this level of inquiry only require a low level of support from HPS facilitators.</w:t>
      </w:r>
    </w:p>
    <w:p w:rsidR="003B3437" w:rsidRDefault="0096013C" w:rsidP="003B3437">
      <w:r>
        <w:t>S</w:t>
      </w:r>
      <w:r w:rsidR="003B3437">
        <w:t xml:space="preserve">chool leadership, </w:t>
      </w:r>
      <w:r>
        <w:t xml:space="preserve">independent of the </w:t>
      </w:r>
      <w:r w:rsidR="003B3437">
        <w:t>HPS facilitators</w:t>
      </w:r>
      <w:r>
        <w:t>,</w:t>
      </w:r>
      <w:r w:rsidR="003B3437">
        <w:t xml:space="preserve"> score school performance on each of the domains, against each of the levels of inquiry. This structure aids in differentiating the progress that schools have made based on the evidence of change being reflected in the school community.</w:t>
      </w:r>
    </w:p>
    <w:p w:rsidR="00646019" w:rsidRDefault="009C0622" w:rsidP="00922B35">
      <w:r>
        <w:t>The domain indicator</w:t>
      </w:r>
      <w:r w:rsidR="005E6BD4">
        <w:t>s</w:t>
      </w:r>
      <w:r w:rsidR="0059799A">
        <w:t xml:space="preserve"> </w:t>
      </w:r>
      <w:r w:rsidR="00DC51C9">
        <w:t>are</w:t>
      </w:r>
      <w:r w:rsidR="00646019">
        <w:t>:</w:t>
      </w:r>
    </w:p>
    <w:p w:rsidR="00646019" w:rsidRDefault="00646019" w:rsidP="00646019">
      <w:pPr>
        <w:pStyle w:val="ListParagraph"/>
        <w:numPr>
          <w:ilvl w:val="0"/>
          <w:numId w:val="15"/>
        </w:numPr>
      </w:pPr>
      <w:r>
        <w:t>Student achievement and progress</w:t>
      </w:r>
    </w:p>
    <w:p w:rsidR="00646019" w:rsidRDefault="00646019" w:rsidP="00646019">
      <w:pPr>
        <w:pStyle w:val="ListParagraph"/>
        <w:numPr>
          <w:ilvl w:val="0"/>
          <w:numId w:val="15"/>
        </w:numPr>
      </w:pPr>
      <w:r>
        <w:t>Stewardship</w:t>
      </w:r>
    </w:p>
    <w:p w:rsidR="00646019" w:rsidRDefault="00646019" w:rsidP="00646019">
      <w:pPr>
        <w:pStyle w:val="ListParagraph"/>
        <w:numPr>
          <w:ilvl w:val="0"/>
          <w:numId w:val="15"/>
        </w:numPr>
      </w:pPr>
      <w:r>
        <w:t>Leadership for equity and excellence</w:t>
      </w:r>
    </w:p>
    <w:p w:rsidR="00646019" w:rsidRDefault="00646019" w:rsidP="00646019">
      <w:pPr>
        <w:pStyle w:val="ListParagraph"/>
        <w:numPr>
          <w:ilvl w:val="0"/>
          <w:numId w:val="15"/>
        </w:numPr>
      </w:pPr>
      <w:r>
        <w:t>Educationally powerful connections and relationships</w:t>
      </w:r>
    </w:p>
    <w:p w:rsidR="00646019" w:rsidRDefault="00646019" w:rsidP="00646019">
      <w:pPr>
        <w:pStyle w:val="ListParagraph"/>
        <w:numPr>
          <w:ilvl w:val="0"/>
          <w:numId w:val="15"/>
        </w:numPr>
      </w:pPr>
      <w:r>
        <w:t xml:space="preserve">Responsive curriculum, effective </w:t>
      </w:r>
      <w:r w:rsidR="001246C2">
        <w:t>teaching,</w:t>
      </w:r>
      <w:r>
        <w:t xml:space="preserve"> and opportunity to learn</w:t>
      </w:r>
    </w:p>
    <w:p w:rsidR="00646019" w:rsidRDefault="00646019" w:rsidP="00646019">
      <w:pPr>
        <w:pStyle w:val="ListParagraph"/>
        <w:numPr>
          <w:ilvl w:val="0"/>
          <w:numId w:val="15"/>
        </w:numPr>
      </w:pPr>
      <w:r>
        <w:t>Professional capability and collective capacity.</w:t>
      </w:r>
    </w:p>
    <w:p w:rsidR="00D8038F" w:rsidRPr="00CB5905" w:rsidRDefault="00DD3EEC" w:rsidP="00DB6226">
      <w:pPr>
        <w:pStyle w:val="Heading3"/>
      </w:pPr>
      <w:bookmarkStart w:id="14" w:name="_Toc491757202"/>
      <w:r>
        <w:t xml:space="preserve">HPS </w:t>
      </w:r>
      <w:r w:rsidR="00D8038F">
        <w:t>School</w:t>
      </w:r>
      <w:r w:rsidR="00757C6D">
        <w:t>s</w:t>
      </w:r>
      <w:r w:rsidR="00D8038F">
        <w:t xml:space="preserve"> Survey</w:t>
      </w:r>
      <w:bookmarkEnd w:id="14"/>
    </w:p>
    <w:p w:rsidR="00E62FA9" w:rsidRDefault="00DD3EEC" w:rsidP="00292254">
      <w:r>
        <w:t xml:space="preserve">The HPS </w:t>
      </w:r>
      <w:r w:rsidR="00E179DE" w:rsidRPr="00E646F9">
        <w:t>School</w:t>
      </w:r>
      <w:r w:rsidR="00757C6D">
        <w:t>s</w:t>
      </w:r>
      <w:r w:rsidR="00E179DE" w:rsidRPr="00E646F9">
        <w:t xml:space="preserve"> Survey is </w:t>
      </w:r>
      <w:r w:rsidR="00757C6D">
        <w:t xml:space="preserve">an annual survey that is completed </w:t>
      </w:r>
      <w:r>
        <w:t xml:space="preserve">by the </w:t>
      </w:r>
      <w:r w:rsidRPr="00E646F9">
        <w:t xml:space="preserve">school leadership </w:t>
      </w:r>
      <w:r>
        <w:t xml:space="preserve">of schools participating in the HPS </w:t>
      </w:r>
      <w:r w:rsidR="00986BA7">
        <w:t>approach</w:t>
      </w:r>
      <w:r w:rsidR="00E179DE" w:rsidRPr="00E646F9">
        <w:t xml:space="preserve">. The survey </w:t>
      </w:r>
      <w:r w:rsidR="00EC706B" w:rsidRPr="00E646F9">
        <w:t>has been designed to gather</w:t>
      </w:r>
      <w:r w:rsidR="00E179DE" w:rsidRPr="00E646F9">
        <w:t xml:space="preserve"> feedback on various aspects of the HPS </w:t>
      </w:r>
      <w:r w:rsidR="0025670E">
        <w:t>approach</w:t>
      </w:r>
      <w:r w:rsidR="00EC706B" w:rsidRPr="00E646F9">
        <w:t xml:space="preserve"> and service</w:t>
      </w:r>
      <w:r w:rsidR="00E179DE" w:rsidRPr="00E646F9">
        <w:t xml:space="preserve">, </w:t>
      </w:r>
      <w:r w:rsidR="0059769F">
        <w:t>specifically</w:t>
      </w:r>
      <w:r w:rsidR="00E179DE" w:rsidRPr="00E646F9">
        <w:t xml:space="preserve">, tools and resources, workshops, and the quality of the </w:t>
      </w:r>
      <w:r w:rsidR="007B2A77" w:rsidRPr="00E646F9">
        <w:t xml:space="preserve">facilitator. On the latter, specific </w:t>
      </w:r>
      <w:r w:rsidR="008F532F" w:rsidRPr="00E646F9">
        <w:t xml:space="preserve">items </w:t>
      </w:r>
      <w:r w:rsidR="007B2A77" w:rsidRPr="00E646F9">
        <w:t xml:space="preserve">in the survey </w:t>
      </w:r>
      <w:r w:rsidR="008F532F" w:rsidRPr="00E646F9">
        <w:t xml:space="preserve">ask </w:t>
      </w:r>
      <w:r w:rsidR="007B2A77" w:rsidRPr="00E646F9">
        <w:t xml:space="preserve">school leaders to give feedback </w:t>
      </w:r>
      <w:r w:rsidR="00F306C4" w:rsidRPr="00E646F9">
        <w:t xml:space="preserve">on the </w:t>
      </w:r>
      <w:r w:rsidR="007B2A77" w:rsidRPr="00E646F9">
        <w:t xml:space="preserve">perceived quality of communication, </w:t>
      </w:r>
      <w:r w:rsidR="00CE6653" w:rsidRPr="00E646F9">
        <w:t>support</w:t>
      </w:r>
      <w:r w:rsidR="007B2A77" w:rsidRPr="00E646F9">
        <w:t xml:space="preserve"> and </w:t>
      </w:r>
      <w:r w:rsidR="008F532F" w:rsidRPr="00E646F9">
        <w:t>advi</w:t>
      </w:r>
      <w:r w:rsidR="00341DE5">
        <w:t>c</w:t>
      </w:r>
      <w:r w:rsidR="008F532F" w:rsidRPr="00E646F9">
        <w:t>e</w:t>
      </w:r>
      <w:r w:rsidR="007B2A77" w:rsidRPr="00E646F9">
        <w:t xml:space="preserve"> </w:t>
      </w:r>
      <w:r w:rsidR="002748C1" w:rsidRPr="00E646F9">
        <w:t xml:space="preserve">provided by </w:t>
      </w:r>
      <w:r w:rsidR="007B2A77" w:rsidRPr="00E646F9">
        <w:t xml:space="preserve">their </w:t>
      </w:r>
      <w:r w:rsidR="00E646F9">
        <w:t xml:space="preserve">school’s </w:t>
      </w:r>
      <w:r w:rsidR="00F306C4" w:rsidRPr="00E646F9">
        <w:t>HPS facilitator</w:t>
      </w:r>
      <w:r w:rsidR="007F0242" w:rsidRPr="00E646F9">
        <w:t>.</w:t>
      </w:r>
      <w:r w:rsidR="008F532F" w:rsidRPr="00E646F9">
        <w:t xml:space="preserve"> </w:t>
      </w:r>
    </w:p>
    <w:p w:rsidR="000708C5" w:rsidRDefault="00B62033" w:rsidP="000708C5">
      <w:pPr>
        <w:pStyle w:val="Heading3"/>
      </w:pPr>
      <w:bookmarkStart w:id="15" w:name="_Toc491757203"/>
      <w:r>
        <w:lastRenderedPageBreak/>
        <w:t>HPS D</w:t>
      </w:r>
      <w:r w:rsidR="000708C5">
        <w:t>atabase</w:t>
      </w:r>
      <w:bookmarkEnd w:id="15"/>
    </w:p>
    <w:p w:rsidR="000708C5" w:rsidRPr="00A93BA6" w:rsidRDefault="000708C5" w:rsidP="00A93BA6">
      <w:r w:rsidRPr="00A93BA6">
        <w:t xml:space="preserve">The HPS database collects, analyses and produces regular reports on the inputs, outputs activities and outcomes achieved by </w:t>
      </w:r>
      <w:r>
        <w:t>sch</w:t>
      </w:r>
      <w:r w:rsidR="007E3F93">
        <w:t>ools receiving the HPS service.</w:t>
      </w:r>
    </w:p>
    <w:p w:rsidR="004F6861" w:rsidRDefault="004F6861">
      <w:pPr>
        <w:rPr>
          <w:rFonts w:asciiTheme="majorHAnsi" w:eastAsiaTheme="majorEastAsia" w:hAnsiTheme="majorHAnsi" w:cstheme="majorBidi"/>
          <w:color w:val="0F6FC6" w:themeColor="accent1"/>
          <w:sz w:val="28"/>
          <w:szCs w:val="32"/>
        </w:rPr>
      </w:pPr>
      <w:r>
        <w:br w:type="page"/>
      </w:r>
    </w:p>
    <w:p w:rsidR="00957B4E" w:rsidRPr="00DB6226" w:rsidRDefault="00957B4E" w:rsidP="00DB6226">
      <w:pPr>
        <w:pStyle w:val="Heading3"/>
      </w:pPr>
      <w:bookmarkStart w:id="16" w:name="_Toc491757204"/>
      <w:r w:rsidRPr="00DB6226">
        <w:lastRenderedPageBreak/>
        <w:t>Ministry of Education data</w:t>
      </w:r>
      <w:bookmarkEnd w:id="16"/>
    </w:p>
    <w:p w:rsidR="00F61689" w:rsidRDefault="00FB6595" w:rsidP="00292254">
      <w:r>
        <w:t xml:space="preserve">Student learning behaviour and academic achievement data was supplied by the Ministry of Education. </w:t>
      </w:r>
      <w:r w:rsidR="0039204D">
        <w:t>T</w:t>
      </w:r>
      <w:r w:rsidR="00B22634">
        <w:t xml:space="preserve">he </w:t>
      </w:r>
      <w:r w:rsidR="0039204D">
        <w:t xml:space="preserve">student learning behaviour data showed rates </w:t>
      </w:r>
      <w:r w:rsidR="00940817">
        <w:t xml:space="preserve">of </w:t>
      </w:r>
      <w:r w:rsidR="0039204D">
        <w:t>attendance, stand-downs, transience, and suspensions</w:t>
      </w:r>
      <w:r w:rsidR="00B22634">
        <w:t xml:space="preserve"> for each school </w:t>
      </w:r>
      <w:r w:rsidR="00032FC1">
        <w:t xml:space="preserve">over the past </w:t>
      </w:r>
      <w:r w:rsidR="002E7CB6">
        <w:t>four years (</w:t>
      </w:r>
      <w:r w:rsidR="00B22634">
        <w:t>2013 to 2016</w:t>
      </w:r>
      <w:r w:rsidR="002E7CB6">
        <w:t>)</w:t>
      </w:r>
      <w:r w:rsidR="00B22634">
        <w:t>.</w:t>
      </w:r>
      <w:r w:rsidR="00BD631B">
        <w:t xml:space="preserve"> The student achievement data consisted of National Standards performance in reading, </w:t>
      </w:r>
      <w:r w:rsidR="007533F6">
        <w:t>mathematics,</w:t>
      </w:r>
      <w:r w:rsidR="00BD631B">
        <w:t xml:space="preserve"> and writing.</w:t>
      </w:r>
      <w:r w:rsidR="00FB256F">
        <w:t xml:space="preserve"> Achievement results for each school were disaggregated to </w:t>
      </w:r>
      <w:r w:rsidR="00FB256F" w:rsidRPr="00FB256F">
        <w:rPr>
          <w:i/>
        </w:rPr>
        <w:t>well below or below</w:t>
      </w:r>
      <w:r w:rsidR="00FB256F">
        <w:t xml:space="preserve">, </w:t>
      </w:r>
      <w:r w:rsidR="00FB256F" w:rsidRPr="00FB256F">
        <w:rPr>
          <w:i/>
        </w:rPr>
        <w:t>at or above</w:t>
      </w:r>
      <w:r w:rsidR="00FB256F">
        <w:t>, and the overall su</w:t>
      </w:r>
      <w:r w:rsidR="00F61689">
        <w:t>bject percentage for each year.</w:t>
      </w:r>
    </w:p>
    <w:p w:rsidR="00A9281A" w:rsidRDefault="00A9281A" w:rsidP="00346EAF">
      <w:pPr>
        <w:pStyle w:val="Heading2"/>
        <w:spacing w:before="300"/>
      </w:pPr>
      <w:bookmarkStart w:id="17" w:name="_Toc491757205"/>
      <w:r>
        <w:t>Data</w:t>
      </w:r>
      <w:r w:rsidR="00ED00E0">
        <w:t xml:space="preserve"> Analysis</w:t>
      </w:r>
      <w:bookmarkEnd w:id="17"/>
    </w:p>
    <w:p w:rsidR="001163CF" w:rsidRDefault="001163CF" w:rsidP="00ED00E0">
      <w:pPr>
        <w:spacing w:after="200"/>
      </w:pPr>
      <w:r>
        <w:t xml:space="preserve">To examine the differences between the three samples, data was </w:t>
      </w:r>
      <w:r w:rsidR="00013B41">
        <w:t>analysed</w:t>
      </w:r>
      <w:r>
        <w:t xml:space="preserve"> </w:t>
      </w:r>
      <w:r w:rsidR="00593D54">
        <w:t>using the following</w:t>
      </w:r>
      <w:r>
        <w:t xml:space="preserve"> scho</w:t>
      </w:r>
      <w:r w:rsidR="00593D54">
        <w:t>ol-based demographic variables</w:t>
      </w:r>
      <w:r>
        <w:t>: school type, decile, proportion of Maori and Pasifika students</w:t>
      </w:r>
      <w:r w:rsidR="00FC7D4B">
        <w:t xml:space="preserve"> and ERO cycle</w:t>
      </w:r>
      <w:r w:rsidR="004F6861">
        <w:t xml:space="preserve"> category</w:t>
      </w:r>
      <w:r w:rsidR="00FC7D4B">
        <w:t xml:space="preserve">. </w:t>
      </w:r>
      <w:r w:rsidR="00013B41">
        <w:t>Propensity score matching was used as</w:t>
      </w:r>
      <w:r w:rsidR="004E619A">
        <w:t xml:space="preserve"> a statistical method to match the</w:t>
      </w:r>
      <w:r w:rsidR="00013B41">
        <w:t xml:space="preserve"> comparison group</w:t>
      </w:r>
      <w:r w:rsidR="004E619A">
        <w:t>s</w:t>
      </w:r>
      <w:r w:rsidR="00013B41">
        <w:t xml:space="preserve"> </w:t>
      </w:r>
      <w:r w:rsidR="004E619A">
        <w:t xml:space="preserve">to the HPS sample </w:t>
      </w:r>
      <w:r w:rsidR="00013B41">
        <w:t xml:space="preserve">as closely as possible on the range of variables outlined </w:t>
      </w:r>
      <w:r w:rsidR="00E512D5">
        <w:t>above</w:t>
      </w:r>
      <w:r w:rsidR="00013B41">
        <w:t>.</w:t>
      </w:r>
      <w:r w:rsidR="00013B41" w:rsidRPr="00013B41">
        <w:t xml:space="preserve"> </w:t>
      </w:r>
      <w:r w:rsidR="00E232A4">
        <w:t xml:space="preserve">Where schools could not be matched identically, as close </w:t>
      </w:r>
      <w:r w:rsidR="00593D54">
        <w:t>a match as possible was sought.</w:t>
      </w:r>
    </w:p>
    <w:p w:rsidR="001163CF" w:rsidRDefault="00A628CC" w:rsidP="00ED00E0">
      <w:pPr>
        <w:spacing w:after="200"/>
      </w:pPr>
      <w:r>
        <w:t xml:space="preserve">The </w:t>
      </w:r>
      <w:r w:rsidR="00DE2C07">
        <w:t>next</w:t>
      </w:r>
      <w:r>
        <w:t xml:space="preserve"> phase of </w:t>
      </w:r>
      <w:r w:rsidR="0081726B">
        <w:t>analysis consisted of conducting various</w:t>
      </w:r>
      <w:r w:rsidR="00F40CA7" w:rsidRPr="00F40CA7">
        <w:t xml:space="preserve"> </w:t>
      </w:r>
      <w:r w:rsidR="00F40CA7">
        <w:t xml:space="preserve">Analysis of Variance (ANOVA) </w:t>
      </w:r>
      <w:r w:rsidR="00FE5A9B">
        <w:t xml:space="preserve">and </w:t>
      </w:r>
      <w:r w:rsidR="001163CF">
        <w:t xml:space="preserve">independent </w:t>
      </w:r>
      <w:r w:rsidR="001163CF" w:rsidRPr="001C2EA3">
        <w:rPr>
          <w:i/>
        </w:rPr>
        <w:t>t</w:t>
      </w:r>
      <w:r w:rsidR="00F40CA7">
        <w:t>-</w:t>
      </w:r>
      <w:r w:rsidR="001163CF">
        <w:t xml:space="preserve">tests </w:t>
      </w:r>
      <w:r w:rsidR="0081726B">
        <w:t>to determine the changes over for the longitudinal data, and the correlations between each of the variables</w:t>
      </w:r>
      <w:r w:rsidR="001163CF">
        <w:t>. To determine the specifics surrounding which groups differ from each other, and based on tests of homogeneity of variances, either Tukey HSD (equal variances) or Games-Howell (unequal variances) post hoc multiple comparisons tests were applied.</w:t>
      </w:r>
      <w:r w:rsidR="00013B41" w:rsidRPr="00013B41">
        <w:t xml:space="preserve"> </w:t>
      </w:r>
      <w:r w:rsidR="00013B41">
        <w:t>The school-based variables were also examined to ascertain their possible mediating or moderating effect</w:t>
      </w:r>
      <w:r w:rsidR="00E232A4">
        <w:t>s</w:t>
      </w:r>
      <w:r w:rsidR="00DD4EBB">
        <w:t xml:space="preserve"> on the outcome variables.</w:t>
      </w:r>
    </w:p>
    <w:p w:rsidR="00013B41" w:rsidRDefault="00013B41" w:rsidP="00013B41">
      <w:pPr>
        <w:spacing w:after="200"/>
      </w:pPr>
      <w:r>
        <w:t xml:space="preserve">Analyses were conducted to identify the </w:t>
      </w:r>
      <w:r w:rsidR="00DD4EBB">
        <w:t xml:space="preserve">constructs </w:t>
      </w:r>
      <w:r>
        <w:t>and sub</w:t>
      </w:r>
      <w:r w:rsidR="00DD4EBB">
        <w:t xml:space="preserve">-constructs </w:t>
      </w:r>
      <w:r>
        <w:t xml:space="preserve">being measured within each the measures. </w:t>
      </w:r>
      <w:r w:rsidR="00DD4EBB">
        <w:t>In particular, e</w:t>
      </w:r>
      <w:r>
        <w:t xml:space="preserve">xploratory factor analysis (EFA) was used to investigate the number of relationships among the interval-level variables represented by the levels of inquiry used in the HPS rubric, and the responses </w:t>
      </w:r>
      <w:r w:rsidR="00F81AAC">
        <w:t xml:space="preserve">to </w:t>
      </w:r>
      <w:r>
        <w:t xml:space="preserve">the </w:t>
      </w:r>
      <w:r w:rsidR="00F81AAC">
        <w:t xml:space="preserve">HPS </w:t>
      </w:r>
      <w:r>
        <w:t>School</w:t>
      </w:r>
      <w:r w:rsidR="00DE2C07">
        <w:t>s</w:t>
      </w:r>
      <w:r>
        <w:t xml:space="preserve"> Survey. </w:t>
      </w:r>
    </w:p>
    <w:p w:rsidR="00072ACA" w:rsidRPr="00DB6226" w:rsidRDefault="00072ACA" w:rsidP="00072ACA">
      <w:pPr>
        <w:pStyle w:val="Heading3"/>
      </w:pPr>
      <w:bookmarkStart w:id="18" w:name="_Toc491757206"/>
      <w:r>
        <w:t>Structural Equation Modelling</w:t>
      </w:r>
      <w:r w:rsidR="004962A6">
        <w:t xml:space="preserve"> (SEM)</w:t>
      </w:r>
      <w:bookmarkEnd w:id="18"/>
    </w:p>
    <w:p w:rsidR="00104222" w:rsidRDefault="00E90AC0" w:rsidP="00492DD5">
      <w:pPr>
        <w:spacing w:after="200"/>
      </w:pPr>
      <w:r>
        <w:t xml:space="preserve">SEM </w:t>
      </w:r>
      <w:r w:rsidR="00A04605">
        <w:t>is a comprehensive approach</w:t>
      </w:r>
      <w:r w:rsidR="00492DD5" w:rsidRPr="00492DD5">
        <w:t xml:space="preserve"> to testing</w:t>
      </w:r>
      <w:r w:rsidR="00492DD5">
        <w:t xml:space="preserve"> </w:t>
      </w:r>
      <w:r w:rsidR="00492DD5" w:rsidRPr="00492DD5">
        <w:t xml:space="preserve">hypotheses about </w:t>
      </w:r>
      <w:r w:rsidR="00492DD5">
        <w:t xml:space="preserve">the predictive </w:t>
      </w:r>
      <w:r w:rsidR="00492DD5" w:rsidRPr="00492DD5">
        <w:t>relations</w:t>
      </w:r>
      <w:r w:rsidR="00FB5922">
        <w:t>hips</w:t>
      </w:r>
      <w:r w:rsidR="00492DD5" w:rsidRPr="00492DD5">
        <w:t xml:space="preserve"> between </w:t>
      </w:r>
      <w:r w:rsidR="00492DD5">
        <w:t>variables</w:t>
      </w:r>
      <w:r w:rsidR="00460FB4">
        <w:t xml:space="preserve"> (see Figure 2</w:t>
      </w:r>
      <w:r w:rsidR="000F1A6A">
        <w:t>)</w:t>
      </w:r>
      <w:r w:rsidR="00492DD5">
        <w:t xml:space="preserve">. </w:t>
      </w:r>
      <w:r w:rsidR="007367D7">
        <w:t>The data in this analysis was tested using the structural equation model-based PLS methodology for two reasons. First, g</w:t>
      </w:r>
      <w:r w:rsidR="00360202">
        <w:t xml:space="preserve">iven the uniqueness </w:t>
      </w:r>
      <w:r w:rsidR="00AD7EB5">
        <w:t>of the New Zealand HPS approach</w:t>
      </w:r>
      <w:r w:rsidR="00BA7DD5">
        <w:t xml:space="preserve">, there is currently not a well-developed research theory to justify a pure linear structural relationship. </w:t>
      </w:r>
      <w:r w:rsidR="007367D7">
        <w:lastRenderedPageBreak/>
        <w:t>Second</w:t>
      </w:r>
      <w:r w:rsidR="00BA7DD5">
        <w:t xml:space="preserve">, PLS is </w:t>
      </w:r>
      <w:r w:rsidR="007367D7">
        <w:t xml:space="preserve">the </w:t>
      </w:r>
      <w:r w:rsidR="00BA7DD5">
        <w:t xml:space="preserve">most appropriate </w:t>
      </w:r>
      <w:r w:rsidR="007367D7">
        <w:t xml:space="preserve">method </w:t>
      </w:r>
      <w:r w:rsidR="00BA7DD5">
        <w:t>where the primary purpose of the analysis is concerned with the prediction of dependent variable</w:t>
      </w:r>
      <w:r w:rsidR="007367D7">
        <w:t>s</w:t>
      </w:r>
      <w:r w:rsidR="00BA7DD5">
        <w:t xml:space="preserve"> </w:t>
      </w:r>
      <w:r w:rsidR="00BA7DD5" w:rsidRPr="00B5568E">
        <w:t>(Fornell &amp; Bookstein, 1982;</w:t>
      </w:r>
      <w:r w:rsidR="00BA7DD5">
        <w:t xml:space="preserve"> </w:t>
      </w:r>
      <w:r w:rsidR="00041A8D">
        <w:t xml:space="preserve">Fornell &amp; Larcker, 1981; </w:t>
      </w:r>
      <w:r w:rsidR="00BA7DD5">
        <w:t xml:space="preserve">Garthwaite, 1994). </w:t>
      </w:r>
    </w:p>
    <w:p w:rsidR="00492DD5" w:rsidRPr="00492DD5" w:rsidRDefault="00492DD5" w:rsidP="00492DD5">
      <w:pPr>
        <w:spacing w:after="200"/>
      </w:pPr>
      <w:r w:rsidRPr="00492DD5">
        <w:t xml:space="preserve">This technique, </w:t>
      </w:r>
      <w:r>
        <w:t xml:space="preserve">measures the statistical ‘fit’ between the empirical data that has been collected from the HPS measures and student outcome data. Pre-specified directional relationships between the key areas from each measure </w:t>
      </w:r>
      <w:r w:rsidR="006205B9">
        <w:t>were</w:t>
      </w:r>
      <w:r w:rsidR="00E90AC0">
        <w:t xml:space="preserve"> examined and tested. The results fro</w:t>
      </w:r>
      <w:r w:rsidR="006205B9">
        <w:t>m this allowed</w:t>
      </w:r>
      <w:r w:rsidR="00E90AC0">
        <w:t xml:space="preserve"> the modelling of directional relationships between the </w:t>
      </w:r>
      <w:r w:rsidR="00A6212F">
        <w:t>model</w:t>
      </w:r>
      <w:r w:rsidR="00E90AC0">
        <w:t xml:space="preserve"> areas</w:t>
      </w:r>
      <w:r w:rsidR="00041A8D">
        <w:t xml:space="preserve"> (Ablers, 2010)</w:t>
      </w:r>
      <w:r w:rsidR="00E90AC0">
        <w:t xml:space="preserve">. </w:t>
      </w:r>
    </w:p>
    <w:p w:rsidR="006205B9" w:rsidRDefault="006205B9">
      <w:pPr>
        <w:rPr>
          <w:rFonts w:asciiTheme="majorHAnsi" w:eastAsiaTheme="majorEastAsia" w:hAnsiTheme="majorHAnsi" w:cstheme="majorBidi"/>
          <w:color w:val="0F6FC6" w:themeColor="accent1"/>
          <w:sz w:val="28"/>
          <w:szCs w:val="32"/>
        </w:rPr>
      </w:pPr>
      <w:r>
        <w:br w:type="page"/>
      </w:r>
    </w:p>
    <w:p w:rsidR="000F1A6A" w:rsidRPr="00DB6226" w:rsidRDefault="000F1A6A" w:rsidP="000F1A6A">
      <w:pPr>
        <w:pStyle w:val="Heading3"/>
      </w:pPr>
      <w:bookmarkStart w:id="19" w:name="_Toc491757207"/>
      <w:r>
        <w:lastRenderedPageBreak/>
        <w:t>Model Estimations</w:t>
      </w:r>
      <w:bookmarkEnd w:id="19"/>
    </w:p>
    <w:p w:rsidR="0018717B" w:rsidRDefault="00D4083F" w:rsidP="001E3232">
      <w:pPr>
        <w:spacing w:after="200"/>
      </w:pPr>
      <w:r>
        <w:t>The Ministry of Education dataset provided the rates of attendance, transience, stand-downs, suspensions, and National Standards achievement data (2013-2016)</w:t>
      </w:r>
      <w:r w:rsidR="00041A8D">
        <w:t xml:space="preserve">. </w:t>
      </w:r>
      <w:r w:rsidR="001E3232">
        <w:t xml:space="preserve">The </w:t>
      </w:r>
      <w:r w:rsidR="001A1F2F">
        <w:t xml:space="preserve">AVE </w:t>
      </w:r>
      <w:r w:rsidR="001E3232">
        <w:t>internal co</w:t>
      </w:r>
      <w:r w:rsidR="00EF3DB1">
        <w:t xml:space="preserve">nsistency measure is </w:t>
      </w:r>
      <w:r w:rsidR="001A1F2F">
        <w:t>like</w:t>
      </w:r>
      <w:r w:rsidR="00EF3DB1">
        <w:t xml:space="preserve"> </w:t>
      </w:r>
      <w:r w:rsidR="001E3232">
        <w:t>Cronbach’s alpha as a measure of internal consiste</w:t>
      </w:r>
      <w:r w:rsidR="00EF3DB1">
        <w:t xml:space="preserve">ncy except </w:t>
      </w:r>
      <w:r w:rsidR="001A1F2F">
        <w:t xml:space="preserve">it </w:t>
      </w:r>
      <w:r w:rsidR="00EF3DB1">
        <w:t xml:space="preserve">presumes, </w:t>
      </w:r>
      <w:r w:rsidR="001E3232">
        <w:t xml:space="preserve">a priori, that each indicator of a construct contributes </w:t>
      </w:r>
      <w:r w:rsidR="00EF3DB1">
        <w:t xml:space="preserve">equally (i.e., the loadings are </w:t>
      </w:r>
      <w:r w:rsidR="00F9179E">
        <w:t>set</w:t>
      </w:r>
      <w:r w:rsidR="00853862">
        <w:t xml:space="preserve"> to be the same</w:t>
      </w:r>
      <w:r w:rsidR="001E3232">
        <w:t xml:space="preserve">). </w:t>
      </w:r>
    </w:p>
    <w:p w:rsidR="00EF3DB1" w:rsidRDefault="001E3232" w:rsidP="0018717B">
      <w:r>
        <w:t xml:space="preserve">Cronbach’s alpha assumes parallel </w:t>
      </w:r>
      <w:r w:rsidR="00EF3DB1">
        <w:t xml:space="preserve">measures and represents a lower </w:t>
      </w:r>
      <w:r>
        <w:t>bound of composite reliability (Chin, 1998; Fornell</w:t>
      </w:r>
      <w:r w:rsidR="00EF3DB1">
        <w:t xml:space="preserve"> &amp; Larcker, 1981). The </w:t>
      </w:r>
      <w:r w:rsidR="001A1F2F">
        <w:t xml:space="preserve">AVE </w:t>
      </w:r>
      <w:r>
        <w:t xml:space="preserve">measure, is unaffected by </w:t>
      </w:r>
      <w:r w:rsidR="001A1F2F">
        <w:t xml:space="preserve">differing </w:t>
      </w:r>
      <w:r>
        <w:t>sca</w:t>
      </w:r>
      <w:r w:rsidR="00EF3DB1">
        <w:t>le length</w:t>
      </w:r>
      <w:r w:rsidR="001A1F2F">
        <w:t>s</w:t>
      </w:r>
      <w:r w:rsidR="00EF3DB1">
        <w:t xml:space="preserve">, is more general than </w:t>
      </w:r>
      <w:r>
        <w:t>Cronbach’s alpha, but the interpretation of the val</w:t>
      </w:r>
      <w:r w:rsidR="00EF3DB1">
        <w:t xml:space="preserve">ues obtained is similar and the </w:t>
      </w:r>
      <w:r>
        <w:t xml:space="preserve">guidelines offered by Nunnally and Bernstein (1994) </w:t>
      </w:r>
      <w:r w:rsidR="00EF3DB1">
        <w:t xml:space="preserve">can be adopted. All reliability </w:t>
      </w:r>
      <w:r>
        <w:t>measures were above the recommended level of</w:t>
      </w:r>
      <w:r w:rsidR="0099284D">
        <w:t xml:space="preserve"> .70,</w:t>
      </w:r>
      <w:r w:rsidR="00EF3DB1">
        <w:t xml:space="preserve"> indicating </w:t>
      </w:r>
      <w:r>
        <w:t>adequate internal consistency (Fornell &amp; Bookste</w:t>
      </w:r>
      <w:r w:rsidR="00EF3DB1">
        <w:t xml:space="preserve">in, 1982; Nunnally &amp; Bernstein, </w:t>
      </w:r>
      <w:r>
        <w:t>1994). The AVE were also above the minimum thres</w:t>
      </w:r>
      <w:r w:rsidR="00EF3DB1">
        <w:t>hold of .5</w:t>
      </w:r>
      <w:r w:rsidR="006205B9">
        <w:t>0</w:t>
      </w:r>
      <w:r w:rsidR="00EF3DB1">
        <w:t xml:space="preserve"> (Chin, 1998; Fornell </w:t>
      </w:r>
      <w:r>
        <w:t>&amp; Lar</w:t>
      </w:r>
      <w:r w:rsidR="006205B9">
        <w:t>cker, 1981) and ranged from .62</w:t>
      </w:r>
      <w:r>
        <w:t xml:space="preserve"> to .78 (se</w:t>
      </w:r>
      <w:r w:rsidR="00EF3DB1">
        <w:t xml:space="preserve">e Table 1). When AVE is greater </w:t>
      </w:r>
      <w:r>
        <w:t xml:space="preserve">than .50, the variance shared with a construct and its </w:t>
      </w:r>
      <w:r w:rsidR="00EF3DB1">
        <w:t>measures is greater than</w:t>
      </w:r>
      <w:r w:rsidR="00E432E4">
        <w:t xml:space="preserve"> the</w:t>
      </w:r>
      <w:r w:rsidR="00EF3DB1">
        <w:t xml:space="preserve"> error. </w:t>
      </w:r>
      <w:r>
        <w:t xml:space="preserve">This level was achieved for all of the </w:t>
      </w:r>
      <w:r w:rsidR="00EF3DB1">
        <w:t xml:space="preserve">model </w:t>
      </w:r>
      <w:r w:rsidR="001A1F2F">
        <w:t>areas</w:t>
      </w:r>
      <w:r w:rsidR="00EF3DB1">
        <w:t xml:space="preserve">. </w:t>
      </w:r>
    </w:p>
    <w:p w:rsidR="00543CDD" w:rsidRDefault="001E3232" w:rsidP="001E3232">
      <w:pPr>
        <w:spacing w:after="200"/>
      </w:pPr>
      <w:r>
        <w:t>Convergent validity is demonstrated when i</w:t>
      </w:r>
      <w:r w:rsidR="00EF3DB1">
        <w:t>tems load highly (loading &gt;.50) on</w:t>
      </w:r>
      <w:r>
        <w:t xml:space="preserve"> their associated factors. Individual reflectiv</w:t>
      </w:r>
      <w:r w:rsidR="00EF3DB1">
        <w:t xml:space="preserve">e measures are considered to be </w:t>
      </w:r>
      <w:r>
        <w:t>reliable if they correlate more than .7</w:t>
      </w:r>
      <w:r w:rsidR="006205B9">
        <w:t>0</w:t>
      </w:r>
      <w:r>
        <w:t xml:space="preserve"> with the construct they intend to measure. </w:t>
      </w:r>
      <w:r w:rsidR="00EF3DB1">
        <w:t xml:space="preserve">In </w:t>
      </w:r>
      <w:r>
        <w:t>the early stages of scale development, loading of .5</w:t>
      </w:r>
      <w:r w:rsidR="006205B9">
        <w:t>0</w:t>
      </w:r>
      <w:r w:rsidR="00EF3DB1">
        <w:t xml:space="preserve"> or .6</w:t>
      </w:r>
      <w:r w:rsidR="006205B9">
        <w:t>0</w:t>
      </w:r>
      <w:r w:rsidR="00EF3DB1">
        <w:t xml:space="preserve"> is considered acceptable </w:t>
      </w:r>
      <w:r>
        <w:t>if there are additional indicators in the block for com</w:t>
      </w:r>
      <w:r w:rsidR="00EF3DB1">
        <w:t xml:space="preserve">parative purposes (Chin, 1998). </w:t>
      </w:r>
      <w:r>
        <w:t>Table 1 shows most of the loadings were abo</w:t>
      </w:r>
      <w:r w:rsidR="00EF3DB1">
        <w:t>ve .7</w:t>
      </w:r>
      <w:r w:rsidR="006205B9">
        <w:t>0</w:t>
      </w:r>
      <w:r w:rsidR="00EF3DB1">
        <w:t xml:space="preserve"> for the eight constructs. </w:t>
      </w:r>
    </w:p>
    <w:p w:rsidR="00EF3DB1" w:rsidRDefault="001E3232" w:rsidP="001E3232">
      <w:pPr>
        <w:spacing w:after="200"/>
      </w:pPr>
      <w:r>
        <w:t>Discriminant validity was assessed using t</w:t>
      </w:r>
      <w:r w:rsidR="00EF3DB1">
        <w:t xml:space="preserve">wo methods. First, by examining </w:t>
      </w:r>
      <w:r>
        <w:t>the cross-loadings of the constructs and the mea</w:t>
      </w:r>
      <w:r w:rsidR="00EF3DB1">
        <w:t xml:space="preserve">sures and, second, by comparing </w:t>
      </w:r>
      <w:r>
        <w:t>the square root of the AVE for each construct w</w:t>
      </w:r>
      <w:r w:rsidR="00EF3DB1">
        <w:t xml:space="preserve">ith the correlation between the </w:t>
      </w:r>
      <w:r>
        <w:t xml:space="preserve">construct and other constructs in the model (Chin, </w:t>
      </w:r>
      <w:r w:rsidR="00EF3DB1">
        <w:t xml:space="preserve">1998; Fornell &amp; Larcker, 1981). </w:t>
      </w:r>
      <w:r>
        <w:t>All constructs in the estimated model fulfilled the con</w:t>
      </w:r>
      <w:r w:rsidR="00EF3DB1">
        <w:t>dition of discriminant validity</w:t>
      </w:r>
      <w:r w:rsidR="0099284D">
        <w:t>.</w:t>
      </w:r>
    </w:p>
    <w:p w:rsidR="000F1A6A" w:rsidRPr="001E3232" w:rsidRDefault="001E3232" w:rsidP="001E3232">
      <w:pPr>
        <w:spacing w:after="200"/>
      </w:pPr>
      <w:r>
        <w:t>Overall, the measurement model r</w:t>
      </w:r>
      <w:r w:rsidR="00EF3DB1">
        <w:t xml:space="preserve">esults provided support for the </w:t>
      </w:r>
      <w:r>
        <w:t>reliability</w:t>
      </w:r>
      <w:r w:rsidR="002B2E05">
        <w:t xml:space="preserve">, convergent, and discriminant validities of the measures used in the study. </w:t>
      </w:r>
    </w:p>
    <w:p w:rsidR="00ED00E0" w:rsidRDefault="00ED00E0" w:rsidP="00966A6E">
      <w:pPr>
        <w:pStyle w:val="Heading3"/>
      </w:pPr>
      <w:bookmarkStart w:id="20" w:name="_Toc491757208"/>
      <w:r>
        <w:t>Missing data</w:t>
      </w:r>
      <w:bookmarkEnd w:id="20"/>
    </w:p>
    <w:p w:rsidR="002C5601" w:rsidRDefault="00966A6E" w:rsidP="00ED00E0">
      <w:pPr>
        <w:spacing w:after="200"/>
      </w:pPr>
      <w:r>
        <w:t>T</w:t>
      </w:r>
      <w:r w:rsidR="00ED00E0">
        <w:t xml:space="preserve">he decision of how to handle missing data lies in establishing the mechanism and data patterns, </w:t>
      </w:r>
      <w:r>
        <w:t xml:space="preserve">and </w:t>
      </w:r>
      <w:r w:rsidR="00ED00E0">
        <w:t xml:space="preserve">missing value </w:t>
      </w:r>
      <w:r w:rsidR="0071524E">
        <w:t>approach</w:t>
      </w:r>
      <w:r w:rsidR="00ED00E0">
        <w:t xml:space="preserve">. As the cases with </w:t>
      </w:r>
      <w:r w:rsidR="0071524E">
        <w:t xml:space="preserve">the </w:t>
      </w:r>
      <w:r w:rsidR="00ED00E0">
        <w:t>mi</w:t>
      </w:r>
      <w:r w:rsidR="0071524E">
        <w:t xml:space="preserve">ssing patterns matrix indicated, </w:t>
      </w:r>
      <w:r w:rsidR="00ED00E0">
        <w:t xml:space="preserve">while there was no </w:t>
      </w:r>
      <w:r w:rsidR="00ED00E0">
        <w:lastRenderedPageBreak/>
        <w:t xml:space="preserve">obvious systematic pattern to the missing data, conditions for complete randomness (i.e., missing completely at random: MCAR) could not be assumed. </w:t>
      </w:r>
      <w:r w:rsidR="00E432E4">
        <w:t>As such</w:t>
      </w:r>
      <w:r w:rsidR="00ED00E0">
        <w:t xml:space="preserve">, Little and Rubin’s (2002) definition of missing at random (MAR), was </w:t>
      </w:r>
      <w:r w:rsidR="0071524E">
        <w:t xml:space="preserve">used as </w:t>
      </w:r>
      <w:r w:rsidR="00ED00E0">
        <w:t>a more appropriate classification for this data. MAR exists when, given two variables, A and B, the probability of the response depends on A</w:t>
      </w:r>
      <w:r w:rsidR="009D4731">
        <w:t>,</w:t>
      </w:r>
      <w:r w:rsidR="00ED00E0">
        <w:t xml:space="preserve"> but not on B (Allison, 2001). For example, </w:t>
      </w:r>
      <w:r w:rsidR="00BC259A">
        <w:t xml:space="preserve">if </w:t>
      </w:r>
      <w:r w:rsidR="009D4731">
        <w:t xml:space="preserve">the </w:t>
      </w:r>
      <w:r w:rsidR="00ED00E0">
        <w:t xml:space="preserve">likelihood that </w:t>
      </w:r>
      <w:r w:rsidR="0071524E">
        <w:t>a school d</w:t>
      </w:r>
      <w:r w:rsidR="00BC259A">
        <w:t xml:space="preserve">oes not provide a full set of HPS rubric data is not related to their other schools-based demographics, such as decile or school type, </w:t>
      </w:r>
      <w:r w:rsidR="00ED00E0">
        <w:t xml:space="preserve">then the missing data is most reasonably classified as MAR. The most common method for handling such data is to adopt an ad hoc listwise deletion approach (Howell, 2007). This approach was used in this study. This meant that </w:t>
      </w:r>
      <w:r w:rsidR="009D4731">
        <w:t xml:space="preserve">if </w:t>
      </w:r>
      <w:r w:rsidR="00ED00E0">
        <w:t xml:space="preserve">missing data existed on any one of the variables used, the entire case was removed from further analysis. </w:t>
      </w:r>
    </w:p>
    <w:p w:rsidR="0079034E" w:rsidRDefault="0079034E">
      <w:pPr>
        <w:rPr>
          <w:rFonts w:asciiTheme="majorHAnsi" w:eastAsiaTheme="majorEastAsia" w:hAnsiTheme="majorHAnsi" w:cstheme="majorBidi"/>
          <w:color w:val="262626" w:themeColor="text1" w:themeTint="D9"/>
          <w:sz w:val="40"/>
          <w:szCs w:val="40"/>
        </w:rPr>
      </w:pPr>
      <w:bookmarkStart w:id="21" w:name="_Toc490565413"/>
      <w:r>
        <w:rPr>
          <w:rFonts w:asciiTheme="majorHAnsi" w:eastAsiaTheme="majorEastAsia" w:hAnsiTheme="majorHAnsi" w:cstheme="majorBidi"/>
          <w:color w:val="262626" w:themeColor="text1" w:themeTint="D9"/>
          <w:sz w:val="40"/>
          <w:szCs w:val="40"/>
        </w:rPr>
        <w:br w:type="page"/>
      </w:r>
    </w:p>
    <w:p w:rsidR="003E64D4" w:rsidRPr="003E64D4" w:rsidRDefault="003E64D4" w:rsidP="003E64D4">
      <w:pPr>
        <w:keepNext/>
        <w:keepLines/>
        <w:pBdr>
          <w:bottom w:val="single" w:sz="4" w:space="2" w:color="009DD9" w:themeColor="accent2"/>
        </w:pBdr>
        <w:spacing w:before="360" w:after="120" w:line="240" w:lineRule="auto"/>
        <w:outlineLvl w:val="0"/>
        <w:rPr>
          <w:rFonts w:asciiTheme="majorHAnsi" w:eastAsiaTheme="majorEastAsia" w:hAnsiTheme="majorHAnsi" w:cstheme="majorBidi"/>
          <w:color w:val="262626" w:themeColor="text1" w:themeTint="D9"/>
          <w:sz w:val="40"/>
          <w:szCs w:val="40"/>
        </w:rPr>
      </w:pPr>
      <w:bookmarkStart w:id="22" w:name="_Toc491757209"/>
      <w:r w:rsidRPr="00B5568E">
        <w:rPr>
          <w:rFonts w:asciiTheme="majorHAnsi" w:eastAsiaTheme="majorEastAsia" w:hAnsiTheme="majorHAnsi" w:cstheme="majorBidi"/>
          <w:color w:val="262626" w:themeColor="text1" w:themeTint="D9"/>
          <w:sz w:val="40"/>
          <w:szCs w:val="40"/>
        </w:rPr>
        <w:lastRenderedPageBreak/>
        <w:t>Results</w:t>
      </w:r>
      <w:bookmarkEnd w:id="21"/>
      <w:bookmarkEnd w:id="22"/>
    </w:p>
    <w:p w:rsidR="003E64D4" w:rsidRPr="00825557" w:rsidRDefault="003E64D4" w:rsidP="003E64D4">
      <w:pPr>
        <w:spacing w:before="240"/>
      </w:pPr>
      <w:r w:rsidRPr="00825557">
        <w:t xml:space="preserve">The following results represent analysis that was conducted to compare HPS schools to the two non-HPS </w:t>
      </w:r>
      <w:r w:rsidR="005C2FF1" w:rsidRPr="00825557">
        <w:t>school samples</w:t>
      </w:r>
      <w:r w:rsidRPr="00825557">
        <w:t xml:space="preserve">. </w:t>
      </w:r>
      <w:r w:rsidR="00F239AB" w:rsidRPr="00825557">
        <w:t>P</w:t>
      </w:r>
      <w:r w:rsidRPr="00825557">
        <w:t xml:space="preserve">reliminary analysis did not show a statistically significant difference in the targeted student outcomes when the two non-HPS school samples were compared individually </w:t>
      </w:r>
      <w:r w:rsidR="00F239AB" w:rsidRPr="00825557">
        <w:t xml:space="preserve">for the ANOVA </w:t>
      </w:r>
      <w:r w:rsidRPr="00825557">
        <w:t xml:space="preserve">analysis presented below. Given this, results are reported here in relation to the findings comparing HPS schools </w:t>
      </w:r>
      <w:r w:rsidR="00F239AB" w:rsidRPr="00825557">
        <w:t xml:space="preserve">sample </w:t>
      </w:r>
      <w:r w:rsidRPr="00825557">
        <w:t>and non-HPS schools</w:t>
      </w:r>
      <w:r w:rsidR="00F239AB" w:rsidRPr="00825557">
        <w:t xml:space="preserve"> sample, where both comparison sample have been aggregated into the one sample</w:t>
      </w:r>
      <w:r w:rsidRPr="00825557">
        <w:t>.</w:t>
      </w:r>
    </w:p>
    <w:p w:rsidR="003E64D4" w:rsidRPr="00825557" w:rsidRDefault="003E64D4" w:rsidP="003E64D4">
      <w:pPr>
        <w:spacing w:before="240"/>
      </w:pPr>
      <w:r w:rsidRPr="00825557">
        <w:t xml:space="preserve">The repeated measures ANOVA with a Greenhouse-Geisser correction was conducted to assess whether there were differences between the average attendance rates of the HPS and non-HPS schools. Results indicated that the attendance rates for HPS schools were higher than those from matched non-HPS schools, </w:t>
      </w:r>
      <w:r w:rsidRPr="00825557">
        <w:rPr>
          <w:i/>
        </w:rPr>
        <w:t xml:space="preserve">F </w:t>
      </w:r>
      <w:r w:rsidRPr="00825557">
        <w:t xml:space="preserve">(1.98, 36.94) = 39.88, </w:t>
      </w:r>
      <w:r w:rsidRPr="00825557">
        <w:rPr>
          <w:i/>
        </w:rPr>
        <w:t>p</w:t>
      </w:r>
      <w:r w:rsidRPr="00825557">
        <w:t xml:space="preserve"> &lt; .005, </w:t>
      </w:r>
      <w:r w:rsidRPr="00825557">
        <w:rPr>
          <w:i/>
        </w:rPr>
        <w:t>R</w:t>
      </w:r>
      <w:r w:rsidRPr="00825557">
        <w:rPr>
          <w:vertAlign w:val="superscript"/>
        </w:rPr>
        <w:t>2</w:t>
      </w:r>
      <w:r w:rsidR="00E432E4" w:rsidRPr="00825557">
        <w:t xml:space="preserve"> = </w:t>
      </w:r>
      <w:r w:rsidRPr="00825557">
        <w:t>.92, eta</w:t>
      </w:r>
      <w:r w:rsidRPr="00825557">
        <w:rPr>
          <w:vertAlign w:val="superscript"/>
        </w:rPr>
        <w:t>2</w:t>
      </w:r>
      <w:r w:rsidRPr="00825557">
        <w:t xml:space="preserve"> = .75. The HPS </w:t>
      </w:r>
      <w:r w:rsidR="00FE6E65" w:rsidRPr="00825557">
        <w:t>approach</w:t>
      </w:r>
      <w:r w:rsidRPr="00825557">
        <w:t xml:space="preserve"> had a positive impact on student rates of attendance. Polynomial contrasts indicated, in support of this, there was a significant linear trend, </w:t>
      </w:r>
      <w:r w:rsidRPr="00825557">
        <w:rPr>
          <w:i/>
        </w:rPr>
        <w:t xml:space="preserve">F </w:t>
      </w:r>
      <w:r w:rsidRPr="00825557">
        <w:t xml:space="preserve">(1, 1598) = 26.53, </w:t>
      </w:r>
      <w:r w:rsidRPr="00825557">
        <w:rPr>
          <w:i/>
        </w:rPr>
        <w:t xml:space="preserve">p </w:t>
      </w:r>
      <w:r w:rsidRPr="00825557">
        <w:t>&lt; 0.001, eta</w:t>
      </w:r>
      <w:r w:rsidRPr="00825557">
        <w:rPr>
          <w:vertAlign w:val="superscript"/>
        </w:rPr>
        <w:t>2</w:t>
      </w:r>
      <w:r w:rsidRPr="00825557">
        <w:t xml:space="preserve"> = .87. A repeated MANOVA was conducted to assess if there were differences between HPS schools with different ERO cycles that performed well on the HPS rubric over the last two years (2015 and 2016), and have had an effective HPS facilitator. A significant difference was found, Wilk’s </w:t>
      </w:r>
      <w:r w:rsidRPr="00825557">
        <w:rPr>
          <w:rFonts w:cs="Times New Roman"/>
        </w:rPr>
        <w:t xml:space="preserve">Λ= .724, </w:t>
      </w:r>
      <w:r w:rsidRPr="00825557">
        <w:rPr>
          <w:rFonts w:cs="Times New Roman"/>
          <w:i/>
        </w:rPr>
        <w:t xml:space="preserve">F </w:t>
      </w:r>
      <w:r w:rsidRPr="00825557">
        <w:rPr>
          <w:rFonts w:cs="Times New Roman"/>
        </w:rPr>
        <w:t xml:space="preserve">(49, 206, 574) = 3.78, </w:t>
      </w:r>
      <w:r w:rsidRPr="00825557">
        <w:rPr>
          <w:rFonts w:cs="Times New Roman"/>
          <w:i/>
        </w:rPr>
        <w:t xml:space="preserve">p </w:t>
      </w:r>
      <w:r w:rsidRPr="00825557">
        <w:rPr>
          <w:rFonts w:cs="Times New Roman"/>
        </w:rPr>
        <w:t xml:space="preserve">= .004, indicating that this linear combination of variables was the most significant. </w:t>
      </w:r>
    </w:p>
    <w:p w:rsidR="003E64D4" w:rsidRPr="00825557" w:rsidRDefault="003E64D4" w:rsidP="003E64D4">
      <w:pPr>
        <w:spacing w:before="240"/>
        <w:rPr>
          <w:rFonts w:cs="Times New Roman"/>
        </w:rPr>
      </w:pPr>
      <w:r w:rsidRPr="00825557">
        <w:t>The same statistical techni</w:t>
      </w:r>
      <w:r w:rsidR="00984C25" w:rsidRPr="00825557">
        <w:t>ques were applied to both stand-</w:t>
      </w:r>
      <w:r w:rsidRPr="00825557">
        <w:t xml:space="preserve">down and suspension rates. Findings from the repeated measures ANOVA showed that there were differences between the two </w:t>
      </w:r>
      <w:r w:rsidR="00B444AB" w:rsidRPr="00825557">
        <w:t>samples</w:t>
      </w:r>
      <w:r w:rsidR="00984C25" w:rsidRPr="00825557">
        <w:t xml:space="preserve"> in relation to rates of stand-</w:t>
      </w:r>
      <w:r w:rsidRPr="00825557">
        <w:t>downs and suspensions. Comparing the two samples, results indicated that HPS s</w:t>
      </w:r>
      <w:r w:rsidR="00984C25" w:rsidRPr="00825557">
        <w:t>chools had lower rates of stand-</w:t>
      </w:r>
      <w:r w:rsidRPr="00825557">
        <w:t xml:space="preserve">downs and suspensions than those from the matched non-HPS schools, </w:t>
      </w:r>
      <w:r w:rsidRPr="00825557">
        <w:rPr>
          <w:i/>
        </w:rPr>
        <w:t xml:space="preserve">F </w:t>
      </w:r>
      <w:r w:rsidRPr="00825557">
        <w:t xml:space="preserve">(6.38, 105.77) = 157.22, </w:t>
      </w:r>
      <w:r w:rsidRPr="00825557">
        <w:rPr>
          <w:i/>
        </w:rPr>
        <w:t>p</w:t>
      </w:r>
      <w:r w:rsidRPr="00825557">
        <w:t xml:space="preserve"> &lt; .005, </w:t>
      </w:r>
      <w:r w:rsidRPr="00825557">
        <w:rPr>
          <w:i/>
        </w:rPr>
        <w:t>R</w:t>
      </w:r>
      <w:r w:rsidRPr="00825557">
        <w:rPr>
          <w:vertAlign w:val="superscript"/>
        </w:rPr>
        <w:t>2</w:t>
      </w:r>
      <w:r w:rsidRPr="00825557">
        <w:t xml:space="preserve"> = 0.92, eta</w:t>
      </w:r>
      <w:r w:rsidRPr="00825557">
        <w:rPr>
          <w:vertAlign w:val="superscript"/>
        </w:rPr>
        <w:t>2</w:t>
      </w:r>
      <w:r w:rsidRPr="00825557">
        <w:t xml:space="preserve"> = .74. Polynomial contrasts indicated, in support of this, there was a significant linear trend, </w:t>
      </w:r>
      <w:r w:rsidRPr="00825557">
        <w:rPr>
          <w:i/>
        </w:rPr>
        <w:t xml:space="preserve">F </w:t>
      </w:r>
      <w:r w:rsidRPr="00825557">
        <w:t xml:space="preserve">(1, 1598) = 64.21, </w:t>
      </w:r>
      <w:r w:rsidRPr="00825557">
        <w:rPr>
          <w:i/>
        </w:rPr>
        <w:t xml:space="preserve">p </w:t>
      </w:r>
      <w:r w:rsidRPr="00825557">
        <w:t>&lt; 0.005, eta</w:t>
      </w:r>
      <w:r w:rsidRPr="00825557">
        <w:rPr>
          <w:vertAlign w:val="superscript"/>
        </w:rPr>
        <w:t>2</w:t>
      </w:r>
      <w:r w:rsidRPr="00825557">
        <w:t xml:space="preserve"> = .47. A repeated MANOVA was conducted to assess if there were differences between HPS schools with different ERO cycles that performed well on the HPS rubric over the last two years (2015 and 2016), and have had an effective HPS facilitator. A significant difference was found, Wilk’s </w:t>
      </w:r>
      <w:r w:rsidRPr="00825557">
        <w:rPr>
          <w:rFonts w:cs="Times New Roman"/>
        </w:rPr>
        <w:t xml:space="preserve">Λ= .967, </w:t>
      </w:r>
      <w:r w:rsidRPr="00825557">
        <w:rPr>
          <w:rFonts w:cs="Times New Roman"/>
          <w:i/>
        </w:rPr>
        <w:t xml:space="preserve">F </w:t>
      </w:r>
      <w:r w:rsidRPr="00825557">
        <w:rPr>
          <w:rFonts w:cs="Times New Roman"/>
        </w:rPr>
        <w:t xml:space="preserve">(64, 245, 696) = 48.43, </w:t>
      </w:r>
      <w:r w:rsidRPr="00825557">
        <w:rPr>
          <w:rFonts w:cs="Times New Roman"/>
          <w:i/>
        </w:rPr>
        <w:t xml:space="preserve">p </w:t>
      </w:r>
      <w:r w:rsidRPr="00825557">
        <w:rPr>
          <w:rFonts w:cs="Times New Roman"/>
        </w:rPr>
        <w:t xml:space="preserve">= .002, indicating that this linear combination of </w:t>
      </w:r>
      <w:r w:rsidR="00894DD6" w:rsidRPr="00825557">
        <w:rPr>
          <w:rFonts w:cs="Times New Roman"/>
        </w:rPr>
        <w:t>approach</w:t>
      </w:r>
      <w:r w:rsidRPr="00825557">
        <w:rPr>
          <w:rFonts w:cs="Times New Roman"/>
        </w:rPr>
        <w:t xml:space="preserve"> variables was the most significant, where ERO school cycles were 3 years and 4 years. </w:t>
      </w:r>
    </w:p>
    <w:p w:rsidR="00EB3E13" w:rsidRPr="00825557" w:rsidRDefault="003E64D4" w:rsidP="003E64D4">
      <w:pPr>
        <w:spacing w:after="120"/>
      </w:pPr>
      <w:r w:rsidRPr="00825557">
        <w:lastRenderedPageBreak/>
        <w:t xml:space="preserve">A doubly multivariate analysis was conducted to assess if there was a difference in the amount of change in average </w:t>
      </w:r>
      <w:r w:rsidR="00E74BB1" w:rsidRPr="00825557">
        <w:t>reading</w:t>
      </w:r>
      <w:r w:rsidR="00A257EE" w:rsidRPr="00825557">
        <w:t xml:space="preserve"> results over 2015</w:t>
      </w:r>
      <w:r w:rsidRPr="00825557">
        <w:t xml:space="preserve">-2016. Significant multivariate effects were found for the main effects group, </w:t>
      </w:r>
      <w:r w:rsidRPr="00825557">
        <w:rPr>
          <w:i/>
        </w:rPr>
        <w:t xml:space="preserve">F </w:t>
      </w:r>
      <w:r w:rsidRPr="00825557">
        <w:t xml:space="preserve">(2, 874) = 1020, </w:t>
      </w:r>
      <w:r w:rsidRPr="00825557">
        <w:rPr>
          <w:i/>
        </w:rPr>
        <w:t xml:space="preserve">p </w:t>
      </w:r>
      <w:r w:rsidRPr="00825557">
        <w:t xml:space="preserve">= .001 and time </w:t>
      </w:r>
      <w:r w:rsidRPr="00825557">
        <w:rPr>
          <w:i/>
        </w:rPr>
        <w:t xml:space="preserve">F </w:t>
      </w:r>
      <w:r w:rsidRPr="00825557">
        <w:t xml:space="preserve">(2, 874) = 914, </w:t>
      </w:r>
      <w:r w:rsidRPr="00825557">
        <w:rPr>
          <w:i/>
        </w:rPr>
        <w:t xml:space="preserve">p </w:t>
      </w:r>
      <w:r w:rsidRPr="00825557">
        <w:t xml:space="preserve">&lt; .001, as well as for the main interactions between group and time, </w:t>
      </w:r>
      <w:r w:rsidRPr="00825557">
        <w:rPr>
          <w:i/>
        </w:rPr>
        <w:t xml:space="preserve">F </w:t>
      </w:r>
      <w:r w:rsidRPr="00825557">
        <w:t xml:space="preserve">(2, 874) = 799, </w:t>
      </w:r>
      <w:r w:rsidRPr="00825557">
        <w:rPr>
          <w:i/>
        </w:rPr>
        <w:t xml:space="preserve">p </w:t>
      </w:r>
      <w:r w:rsidRPr="00825557">
        <w:t xml:space="preserve">&lt; .001. This interaction effect indicates that </w:t>
      </w:r>
      <w:r w:rsidR="00D74DF8" w:rsidRPr="00825557">
        <w:t xml:space="preserve">the </w:t>
      </w:r>
      <w:r w:rsidRPr="00825557">
        <w:t xml:space="preserve">difference between the HPS and non-HPS schools on the linear combination of the assessment changes over </w:t>
      </w:r>
      <w:r w:rsidR="009F5CAF" w:rsidRPr="00825557">
        <w:t>the two year period</w:t>
      </w:r>
      <w:r w:rsidRPr="00825557">
        <w:t xml:space="preserve">. </w:t>
      </w:r>
    </w:p>
    <w:p w:rsidR="00E74BB1" w:rsidRPr="00825557" w:rsidRDefault="00E74BB1">
      <w:r w:rsidRPr="00825557">
        <w:br w:type="page"/>
      </w:r>
    </w:p>
    <w:p w:rsidR="003E64D4" w:rsidRPr="00825557" w:rsidRDefault="003E64D4" w:rsidP="003E64D4">
      <w:pPr>
        <w:spacing w:after="120"/>
      </w:pPr>
      <w:r w:rsidRPr="00825557">
        <w:lastRenderedPageBreak/>
        <w:t xml:space="preserve">Follow-up ANOVAs revealed that the significant change between the groups was only for National Standards in reading, and </w:t>
      </w:r>
      <w:r w:rsidR="00E74BB1" w:rsidRPr="00825557">
        <w:t>across</w:t>
      </w:r>
      <w:r w:rsidRPr="00825557">
        <w:t xml:space="preserve"> the 2015 to 2016 period </w:t>
      </w:r>
      <w:r w:rsidRPr="00825557">
        <w:rPr>
          <w:i/>
        </w:rPr>
        <w:t xml:space="preserve">F </w:t>
      </w:r>
      <w:r w:rsidRPr="00825557">
        <w:t xml:space="preserve">(2, 874) = 464, </w:t>
      </w:r>
      <w:r w:rsidRPr="00825557">
        <w:rPr>
          <w:i/>
        </w:rPr>
        <w:t xml:space="preserve">p </w:t>
      </w:r>
      <w:r w:rsidRPr="00825557">
        <w:t xml:space="preserve">&lt; .001, and that ERO cycles of 3 years and 4 years were most significant. These results showed that HPS schools’ National Standards results in reading were </w:t>
      </w:r>
      <w:r w:rsidR="009A461A" w:rsidRPr="00825557">
        <w:t>statistically</w:t>
      </w:r>
      <w:r w:rsidRPr="00825557">
        <w:t xml:space="preserve"> higher on average than reading performance from non-HPS schools.</w:t>
      </w:r>
      <w:r w:rsidR="00AB4D8F" w:rsidRPr="00825557">
        <w:t xml:space="preserve"> There </w:t>
      </w:r>
      <w:r w:rsidR="00D74DF8" w:rsidRPr="00825557">
        <w:t xml:space="preserve">were no </w:t>
      </w:r>
      <w:r w:rsidR="00AB4D8F" w:rsidRPr="00825557">
        <w:t>significant resu</w:t>
      </w:r>
      <w:r w:rsidR="00CA4D27" w:rsidRPr="00825557">
        <w:t>lts for mathematics or writing.</w:t>
      </w:r>
    </w:p>
    <w:p w:rsidR="00E74BB1" w:rsidRPr="00825557" w:rsidRDefault="00E74BB1" w:rsidP="003E64D4">
      <w:pPr>
        <w:spacing w:after="120"/>
      </w:pPr>
      <w:r w:rsidRPr="00825557">
        <w:t>Across all these results, school decile was not shown to be a statistically significant variable, nor was the whether the school consisted of greater than 35% Maori or Pasifika students.</w:t>
      </w:r>
    </w:p>
    <w:p w:rsidR="003E64D4" w:rsidRPr="003E64D4" w:rsidRDefault="008B41BB" w:rsidP="0031390A">
      <w:pPr>
        <w:spacing w:before="240"/>
        <w:rPr>
          <w:rFonts w:asciiTheme="majorHAnsi" w:eastAsiaTheme="majorEastAsia" w:hAnsiTheme="majorHAnsi" w:cstheme="majorBidi"/>
          <w:color w:val="009DD9" w:themeColor="accent2"/>
          <w:sz w:val="36"/>
          <w:szCs w:val="36"/>
        </w:rPr>
      </w:pPr>
      <w:r>
        <w:rPr>
          <w:rFonts w:asciiTheme="majorHAnsi" w:eastAsiaTheme="majorEastAsia" w:hAnsiTheme="majorHAnsi" w:cstheme="majorBidi"/>
          <w:color w:val="009DD9" w:themeColor="accent2"/>
          <w:sz w:val="36"/>
          <w:szCs w:val="36"/>
        </w:rPr>
        <w:t xml:space="preserve">Results of </w:t>
      </w:r>
      <w:r w:rsidR="003E64D4" w:rsidRPr="003E64D4">
        <w:rPr>
          <w:rFonts w:asciiTheme="majorHAnsi" w:eastAsiaTheme="majorEastAsia" w:hAnsiTheme="majorHAnsi" w:cstheme="majorBidi"/>
          <w:color w:val="009DD9" w:themeColor="accent2"/>
          <w:sz w:val="36"/>
          <w:szCs w:val="36"/>
        </w:rPr>
        <w:t>S</w:t>
      </w:r>
      <w:r w:rsidR="004070DB">
        <w:rPr>
          <w:rFonts w:asciiTheme="majorHAnsi" w:eastAsiaTheme="majorEastAsia" w:hAnsiTheme="majorHAnsi" w:cstheme="majorBidi"/>
          <w:color w:val="009DD9" w:themeColor="accent2"/>
          <w:sz w:val="36"/>
          <w:szCs w:val="36"/>
        </w:rPr>
        <w:t xml:space="preserve">tructural </w:t>
      </w:r>
      <w:r w:rsidR="003E64D4" w:rsidRPr="003E64D4">
        <w:rPr>
          <w:rFonts w:asciiTheme="majorHAnsi" w:eastAsiaTheme="majorEastAsia" w:hAnsiTheme="majorHAnsi" w:cstheme="majorBidi"/>
          <w:color w:val="009DD9" w:themeColor="accent2"/>
          <w:sz w:val="36"/>
          <w:szCs w:val="36"/>
        </w:rPr>
        <w:t>E</w:t>
      </w:r>
      <w:r w:rsidR="004070DB">
        <w:rPr>
          <w:rFonts w:asciiTheme="majorHAnsi" w:eastAsiaTheme="majorEastAsia" w:hAnsiTheme="majorHAnsi" w:cstheme="majorBidi"/>
          <w:color w:val="009DD9" w:themeColor="accent2"/>
          <w:sz w:val="36"/>
          <w:szCs w:val="36"/>
        </w:rPr>
        <w:t xml:space="preserve">quation </w:t>
      </w:r>
      <w:r w:rsidR="003E64D4" w:rsidRPr="003E64D4">
        <w:rPr>
          <w:rFonts w:asciiTheme="majorHAnsi" w:eastAsiaTheme="majorEastAsia" w:hAnsiTheme="majorHAnsi" w:cstheme="majorBidi"/>
          <w:color w:val="009DD9" w:themeColor="accent2"/>
          <w:sz w:val="36"/>
          <w:szCs w:val="36"/>
        </w:rPr>
        <w:t>M</w:t>
      </w:r>
      <w:r w:rsidR="004070DB">
        <w:rPr>
          <w:rFonts w:asciiTheme="majorHAnsi" w:eastAsiaTheme="majorEastAsia" w:hAnsiTheme="majorHAnsi" w:cstheme="majorBidi"/>
          <w:color w:val="009DD9" w:themeColor="accent2"/>
          <w:sz w:val="36"/>
          <w:szCs w:val="36"/>
        </w:rPr>
        <w:t>odelling</w:t>
      </w:r>
    </w:p>
    <w:p w:rsidR="006C1E82" w:rsidRDefault="006C1E82" w:rsidP="00340369">
      <w:r>
        <w:t xml:space="preserve">Based on </w:t>
      </w:r>
      <w:r w:rsidR="00D74DF8">
        <w:t>the</w:t>
      </w:r>
      <w:r>
        <w:t xml:space="preserve"> multivariate results the following modelling was conducted on the data. </w:t>
      </w:r>
    </w:p>
    <w:p w:rsidR="00340369" w:rsidRDefault="00340369" w:rsidP="00340369">
      <w:r>
        <w:t xml:space="preserve">Given that PLS makes no distributional assumptions in its parameter estimation procedure, traditional parameter-based techniques for significance testing and model evaluation are considered to be </w:t>
      </w:r>
      <w:r w:rsidR="001E5AEF">
        <w:t xml:space="preserve">less </w:t>
      </w:r>
      <w:r>
        <w:t xml:space="preserve">appropriate (Chin, 1998). </w:t>
      </w:r>
    </w:p>
    <w:p w:rsidR="00340369" w:rsidRDefault="00340369" w:rsidP="00340369">
      <w:r w:rsidRPr="00340369">
        <w:t xml:space="preserve">PLS has </w:t>
      </w:r>
      <w:r w:rsidR="00D74DF8">
        <w:t xml:space="preserve">as </w:t>
      </w:r>
      <w:r w:rsidRPr="00340369">
        <w:t xml:space="preserve">its primary objective the minimization of error (or equivalently the maximization of variance explained) </w:t>
      </w:r>
      <w:r w:rsidR="00F57736">
        <w:t xml:space="preserve">across all </w:t>
      </w:r>
      <w:r w:rsidRPr="00340369">
        <w:t xml:space="preserve">constructs. One consequence of this difference in objectives is that no proper overall goodness of-fit measures exist for PLS. Consistent with the distribution free, predictive approach of PLS (Wold, 1985), the structural model was evaluated using the </w:t>
      </w:r>
      <w:r w:rsidRPr="00F57736">
        <w:rPr>
          <w:i/>
        </w:rPr>
        <w:t>R</w:t>
      </w:r>
      <w:r w:rsidRPr="00340369">
        <w:t>-squared for the dependent constructs, the Stone-Geisser Q</w:t>
      </w:r>
      <w:r w:rsidRPr="00583230">
        <w:rPr>
          <w:vertAlign w:val="superscript"/>
        </w:rPr>
        <w:t>2</w:t>
      </w:r>
      <w:r w:rsidRPr="00340369">
        <w:t xml:space="preserve"> test (Geisser, 1975; Stone, 1974) for predictive relevance, </w:t>
      </w:r>
      <w:r w:rsidR="00D74DF8">
        <w:t xml:space="preserve">and </w:t>
      </w:r>
      <w:r w:rsidR="00921B5B">
        <w:t>the size,</w:t>
      </w:r>
      <w:r w:rsidRPr="00340369">
        <w:t xml:space="preserve"> </w:t>
      </w:r>
      <w:r w:rsidRPr="00B14203">
        <w:rPr>
          <w:i/>
        </w:rPr>
        <w:t>t</w:t>
      </w:r>
      <w:r w:rsidRPr="00340369">
        <w:t xml:space="preserve"> statistics, and significance level of the structural path coefficients. The </w:t>
      </w:r>
      <w:r w:rsidRPr="00B14203">
        <w:rPr>
          <w:i/>
        </w:rPr>
        <w:t>t</w:t>
      </w:r>
      <w:r w:rsidRPr="00340369">
        <w:t xml:space="preserve"> statistics were estimated using the bootstrap resampling procedure (100 resamples). The results of the structural model are summarized in</w:t>
      </w:r>
      <w:r>
        <w:t xml:space="preserve"> the following table</w:t>
      </w:r>
      <w:r w:rsidR="00191556">
        <w:t>s (see Table 1 and Table 2)</w:t>
      </w:r>
      <w:r>
        <w:t>.</w:t>
      </w:r>
    </w:p>
    <w:p w:rsidR="00E41E84" w:rsidRDefault="00E41E84" w:rsidP="00E41E84">
      <w:r w:rsidRPr="00B14203">
        <w:rPr>
          <w:b/>
        </w:rPr>
        <w:t>Table 1</w:t>
      </w:r>
      <w:r>
        <w:t xml:space="preserve">: Structural model results showing the predictive impact of HPS </w:t>
      </w:r>
      <w:r w:rsidR="00894DD6">
        <w:t>approach</w:t>
      </w:r>
      <w:r>
        <w:t xml:space="preserve"> on </w:t>
      </w:r>
      <w:r w:rsidR="00387ADA">
        <w:t xml:space="preserve">rates </w:t>
      </w:r>
      <w:r>
        <w:t>school attendance.</w:t>
      </w:r>
    </w:p>
    <w:tbl>
      <w:tblPr>
        <w:tblStyle w:val="ReportTable"/>
        <w:tblW w:w="0" w:type="auto"/>
        <w:tblLook w:val="04A0" w:firstRow="1" w:lastRow="0" w:firstColumn="1" w:lastColumn="0" w:noHBand="0" w:noVBand="1"/>
      </w:tblPr>
      <w:tblGrid>
        <w:gridCol w:w="4803"/>
        <w:gridCol w:w="1486"/>
        <w:gridCol w:w="1477"/>
        <w:gridCol w:w="1584"/>
      </w:tblGrid>
      <w:tr w:rsidR="00E41E84" w:rsidRPr="00340369" w:rsidTr="000708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41E84" w:rsidRPr="00340369" w:rsidRDefault="00E41E84" w:rsidP="000708C5">
            <w:pPr>
              <w:rPr>
                <w:sz w:val="22"/>
              </w:rPr>
            </w:pPr>
            <w:r w:rsidRPr="00340369">
              <w:rPr>
                <w:sz w:val="22"/>
              </w:rPr>
              <w:t>Predictive impact</w:t>
            </w:r>
            <w:r>
              <w:rPr>
                <w:sz w:val="22"/>
              </w:rPr>
              <w:t xml:space="preserve"> </w:t>
            </w:r>
          </w:p>
        </w:tc>
        <w:tc>
          <w:tcPr>
            <w:tcW w:w="0" w:type="auto"/>
          </w:tcPr>
          <w:p w:rsidR="00E41E84" w:rsidRPr="00340369" w:rsidRDefault="00E41E84" w:rsidP="000708C5">
            <w:pPr>
              <w:jc w:val="center"/>
              <w:cnfStyle w:val="100000000000" w:firstRow="1" w:lastRow="0" w:firstColumn="0" w:lastColumn="0" w:oddVBand="0" w:evenVBand="0" w:oddHBand="0" w:evenHBand="0" w:firstRowFirstColumn="0" w:firstRowLastColumn="0" w:lastRowFirstColumn="0" w:lastRowLastColumn="0"/>
              <w:rPr>
                <w:sz w:val="22"/>
              </w:rPr>
            </w:pPr>
            <w:r w:rsidRPr="00340369">
              <w:rPr>
                <w:sz w:val="22"/>
              </w:rPr>
              <w:t>Path Coefficient</w:t>
            </w:r>
          </w:p>
        </w:tc>
        <w:tc>
          <w:tcPr>
            <w:tcW w:w="0" w:type="auto"/>
          </w:tcPr>
          <w:p w:rsidR="00E41E84" w:rsidRPr="00340369" w:rsidRDefault="00E41E84" w:rsidP="000708C5">
            <w:pPr>
              <w:jc w:val="center"/>
              <w:cnfStyle w:val="100000000000" w:firstRow="1" w:lastRow="0" w:firstColumn="0" w:lastColumn="0" w:oddVBand="0" w:evenVBand="0" w:oddHBand="0" w:evenHBand="0" w:firstRowFirstColumn="0" w:firstRowLastColumn="0" w:lastRowFirstColumn="0" w:lastRowLastColumn="0"/>
              <w:rPr>
                <w:sz w:val="22"/>
              </w:rPr>
            </w:pPr>
            <w:r w:rsidRPr="00340369">
              <w:rPr>
                <w:sz w:val="22"/>
              </w:rPr>
              <w:t xml:space="preserve">Observed </w:t>
            </w:r>
            <w:r w:rsidRPr="00340369">
              <w:rPr>
                <w:i/>
                <w:sz w:val="22"/>
              </w:rPr>
              <w:t xml:space="preserve">t </w:t>
            </w:r>
            <w:r w:rsidRPr="00340369">
              <w:rPr>
                <w:sz w:val="22"/>
              </w:rPr>
              <w:t>value</w:t>
            </w:r>
          </w:p>
        </w:tc>
        <w:tc>
          <w:tcPr>
            <w:tcW w:w="0" w:type="auto"/>
          </w:tcPr>
          <w:p w:rsidR="00E41E84" w:rsidRPr="00340369" w:rsidRDefault="00E41E84" w:rsidP="000708C5">
            <w:pPr>
              <w:jc w:val="center"/>
              <w:cnfStyle w:val="100000000000" w:firstRow="1" w:lastRow="0" w:firstColumn="0" w:lastColumn="0" w:oddVBand="0" w:evenVBand="0" w:oddHBand="0" w:evenHBand="0" w:firstRowFirstColumn="0" w:firstRowLastColumn="0" w:lastRowFirstColumn="0" w:lastRowLastColumn="0"/>
              <w:rPr>
                <w:sz w:val="22"/>
              </w:rPr>
            </w:pPr>
            <w:r w:rsidRPr="00340369">
              <w:rPr>
                <w:sz w:val="22"/>
              </w:rPr>
              <w:t>Significance level</w:t>
            </w:r>
          </w:p>
        </w:tc>
      </w:tr>
      <w:tr w:rsidR="00E41E84" w:rsidTr="000708C5">
        <w:trPr>
          <w:trHeight w:val="227"/>
        </w:trPr>
        <w:tc>
          <w:tcPr>
            <w:cnfStyle w:val="001000000000" w:firstRow="0" w:lastRow="0" w:firstColumn="1" w:lastColumn="0" w:oddVBand="0" w:evenVBand="0" w:oddHBand="0" w:evenHBand="0" w:firstRowFirstColumn="0" w:firstRowLastColumn="0" w:lastRowFirstColumn="0" w:lastRowLastColumn="0"/>
            <w:tcW w:w="0" w:type="auto"/>
          </w:tcPr>
          <w:p w:rsidR="00E41E84" w:rsidRPr="000108CC" w:rsidRDefault="00041164" w:rsidP="000708C5">
            <w:pPr>
              <w:rPr>
                <w:sz w:val="20"/>
              </w:rPr>
            </w:pPr>
            <w:r>
              <w:rPr>
                <w:sz w:val="20"/>
              </w:rPr>
              <w:t>Effect</w:t>
            </w:r>
            <w:r w:rsidR="00E41E84" w:rsidRPr="000108CC">
              <w:rPr>
                <w:sz w:val="20"/>
              </w:rPr>
              <w:t xml:space="preserve"> on </w:t>
            </w:r>
            <w:r w:rsidR="00387ADA">
              <w:rPr>
                <w:sz w:val="20"/>
              </w:rPr>
              <w:t>rates of school attendance (</w:t>
            </w:r>
            <w:r w:rsidR="00E41E84">
              <w:rPr>
                <w:i/>
                <w:sz w:val="20"/>
              </w:rPr>
              <w:t>R</w:t>
            </w:r>
            <w:r w:rsidR="00E41E84" w:rsidRPr="000108CC">
              <w:rPr>
                <w:sz w:val="20"/>
                <w:vertAlign w:val="superscript"/>
              </w:rPr>
              <w:t>2</w:t>
            </w:r>
            <w:r w:rsidR="00E41E84">
              <w:rPr>
                <w:sz w:val="20"/>
              </w:rPr>
              <w:t xml:space="preserve"> = .</w:t>
            </w:r>
            <w:r w:rsidR="00732703">
              <w:rPr>
                <w:sz w:val="20"/>
              </w:rPr>
              <w:t>79</w:t>
            </w:r>
            <w:r w:rsidR="00E41E84">
              <w:rPr>
                <w:sz w:val="20"/>
              </w:rPr>
              <w:t>)</w:t>
            </w:r>
          </w:p>
        </w:tc>
        <w:tc>
          <w:tcPr>
            <w:tcW w:w="0" w:type="auto"/>
          </w:tcPr>
          <w:p w:rsidR="00E41E84" w:rsidRPr="000108CC" w:rsidRDefault="00E41E84" w:rsidP="000708C5">
            <w:pPr>
              <w:jc w:val="center"/>
              <w:cnfStyle w:val="000000000000" w:firstRow="0" w:lastRow="0" w:firstColumn="0" w:lastColumn="0" w:oddVBand="0" w:evenVBand="0" w:oddHBand="0" w:evenHBand="0" w:firstRowFirstColumn="0" w:firstRowLastColumn="0" w:lastRowFirstColumn="0" w:lastRowLastColumn="0"/>
              <w:rPr>
                <w:sz w:val="20"/>
              </w:rPr>
            </w:pPr>
          </w:p>
        </w:tc>
        <w:tc>
          <w:tcPr>
            <w:tcW w:w="0" w:type="auto"/>
          </w:tcPr>
          <w:p w:rsidR="00E41E84" w:rsidRPr="000108CC" w:rsidRDefault="00E41E84" w:rsidP="000708C5">
            <w:pPr>
              <w:jc w:val="center"/>
              <w:cnfStyle w:val="000000000000" w:firstRow="0" w:lastRow="0" w:firstColumn="0" w:lastColumn="0" w:oddVBand="0" w:evenVBand="0" w:oddHBand="0" w:evenHBand="0" w:firstRowFirstColumn="0" w:firstRowLastColumn="0" w:lastRowFirstColumn="0" w:lastRowLastColumn="0"/>
              <w:rPr>
                <w:sz w:val="20"/>
              </w:rPr>
            </w:pPr>
          </w:p>
        </w:tc>
        <w:tc>
          <w:tcPr>
            <w:tcW w:w="0" w:type="auto"/>
          </w:tcPr>
          <w:p w:rsidR="00E41E84" w:rsidRPr="000108CC" w:rsidRDefault="00E41E84" w:rsidP="000708C5">
            <w:pPr>
              <w:jc w:val="center"/>
              <w:cnfStyle w:val="000000000000" w:firstRow="0" w:lastRow="0" w:firstColumn="0" w:lastColumn="0" w:oddVBand="0" w:evenVBand="0" w:oddHBand="0" w:evenHBand="0" w:firstRowFirstColumn="0" w:firstRowLastColumn="0" w:lastRowFirstColumn="0" w:lastRowLastColumn="0"/>
              <w:rPr>
                <w:sz w:val="20"/>
              </w:rPr>
            </w:pPr>
          </w:p>
        </w:tc>
      </w:tr>
      <w:tr w:rsidR="00E41E84" w:rsidTr="000708C5">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0" w:type="auto"/>
          </w:tcPr>
          <w:p w:rsidR="00E41E84" w:rsidRPr="00DC684B" w:rsidRDefault="00E41E84" w:rsidP="000708C5">
            <w:pPr>
              <w:pStyle w:val="ListParagraph"/>
              <w:numPr>
                <w:ilvl w:val="0"/>
                <w:numId w:val="11"/>
              </w:numPr>
              <w:ind w:left="458"/>
              <w:rPr>
                <w:sz w:val="20"/>
              </w:rPr>
            </w:pPr>
            <w:r w:rsidRPr="00DC684B">
              <w:rPr>
                <w:sz w:val="20"/>
              </w:rPr>
              <w:t>Quality/performance of the HPS facilitator</w:t>
            </w:r>
          </w:p>
        </w:tc>
        <w:tc>
          <w:tcPr>
            <w:tcW w:w="0" w:type="auto"/>
          </w:tcPr>
          <w:p w:rsidR="00E41E84" w:rsidRDefault="00E41E84" w:rsidP="000708C5">
            <w:pPr>
              <w:jc w:val="center"/>
              <w:cnfStyle w:val="000000010000" w:firstRow="0" w:lastRow="0" w:firstColumn="0" w:lastColumn="0" w:oddVBand="0" w:evenVBand="0" w:oddHBand="0" w:evenHBand="1" w:firstRowFirstColumn="0" w:firstRowLastColumn="0" w:lastRowFirstColumn="0" w:lastRowLastColumn="0"/>
            </w:pPr>
            <w:r>
              <w:t xml:space="preserve">+ </w:t>
            </w:r>
            <w:r w:rsidR="00376FA4">
              <w:t>.69</w:t>
            </w:r>
          </w:p>
        </w:tc>
        <w:tc>
          <w:tcPr>
            <w:tcW w:w="0" w:type="auto"/>
          </w:tcPr>
          <w:p w:rsidR="00E41E84" w:rsidRDefault="00E41E84" w:rsidP="000708C5">
            <w:pPr>
              <w:jc w:val="center"/>
              <w:cnfStyle w:val="000000010000" w:firstRow="0" w:lastRow="0" w:firstColumn="0" w:lastColumn="0" w:oddVBand="0" w:evenVBand="0" w:oddHBand="0" w:evenHBand="1" w:firstRowFirstColumn="0" w:firstRowLastColumn="0" w:lastRowFirstColumn="0" w:lastRowLastColumn="0"/>
            </w:pPr>
            <w:r>
              <w:t>+ 7.60</w:t>
            </w:r>
          </w:p>
        </w:tc>
        <w:tc>
          <w:tcPr>
            <w:tcW w:w="0" w:type="auto"/>
          </w:tcPr>
          <w:p w:rsidR="00E41E84" w:rsidRDefault="00E41E84" w:rsidP="000708C5">
            <w:pPr>
              <w:jc w:val="center"/>
              <w:cnfStyle w:val="000000010000" w:firstRow="0" w:lastRow="0" w:firstColumn="0" w:lastColumn="0" w:oddVBand="0" w:evenVBand="0" w:oddHBand="0" w:evenHBand="1" w:firstRowFirstColumn="0" w:firstRowLastColumn="0" w:lastRowFirstColumn="0" w:lastRowLastColumn="0"/>
            </w:pPr>
            <w:r>
              <w:t>***</w:t>
            </w:r>
          </w:p>
        </w:tc>
      </w:tr>
      <w:tr w:rsidR="00E41E84" w:rsidTr="000708C5">
        <w:trPr>
          <w:trHeight w:val="586"/>
        </w:trPr>
        <w:tc>
          <w:tcPr>
            <w:cnfStyle w:val="001000000000" w:firstRow="0" w:lastRow="0" w:firstColumn="1" w:lastColumn="0" w:oddVBand="0" w:evenVBand="0" w:oddHBand="0" w:evenHBand="0" w:firstRowFirstColumn="0" w:firstRowLastColumn="0" w:lastRowFirstColumn="0" w:lastRowLastColumn="0"/>
            <w:tcW w:w="0" w:type="auto"/>
          </w:tcPr>
          <w:p w:rsidR="00E41E84" w:rsidRPr="00DC684B" w:rsidRDefault="00E41E84" w:rsidP="000708C5">
            <w:pPr>
              <w:pStyle w:val="ListParagraph"/>
              <w:numPr>
                <w:ilvl w:val="0"/>
                <w:numId w:val="11"/>
              </w:numPr>
              <w:spacing w:after="200"/>
              <w:ind w:left="458"/>
              <w:rPr>
                <w:sz w:val="20"/>
              </w:rPr>
            </w:pPr>
            <w:r w:rsidRPr="00DC684B">
              <w:rPr>
                <w:sz w:val="20"/>
              </w:rPr>
              <w:t>Performance on (and completion of) the HPS health and wellbeing rubric</w:t>
            </w:r>
          </w:p>
        </w:tc>
        <w:tc>
          <w:tcPr>
            <w:tcW w:w="0" w:type="auto"/>
          </w:tcPr>
          <w:p w:rsidR="00E41E84" w:rsidRDefault="00E41E84" w:rsidP="000708C5">
            <w:pPr>
              <w:jc w:val="center"/>
              <w:cnfStyle w:val="000000000000" w:firstRow="0" w:lastRow="0" w:firstColumn="0" w:lastColumn="0" w:oddVBand="0" w:evenVBand="0" w:oddHBand="0" w:evenHBand="0" w:firstRowFirstColumn="0" w:firstRowLastColumn="0" w:lastRowFirstColumn="0" w:lastRowLastColumn="0"/>
            </w:pPr>
            <w:r>
              <w:t>+ .72</w:t>
            </w:r>
          </w:p>
        </w:tc>
        <w:tc>
          <w:tcPr>
            <w:tcW w:w="0" w:type="auto"/>
          </w:tcPr>
          <w:p w:rsidR="00E41E84" w:rsidRDefault="00E41E84" w:rsidP="000708C5">
            <w:pPr>
              <w:jc w:val="center"/>
              <w:cnfStyle w:val="000000000000" w:firstRow="0" w:lastRow="0" w:firstColumn="0" w:lastColumn="0" w:oddVBand="0" w:evenVBand="0" w:oddHBand="0" w:evenHBand="0" w:firstRowFirstColumn="0" w:firstRowLastColumn="0" w:lastRowFirstColumn="0" w:lastRowLastColumn="0"/>
            </w:pPr>
            <w:r>
              <w:t>+ 4.93</w:t>
            </w:r>
          </w:p>
        </w:tc>
        <w:tc>
          <w:tcPr>
            <w:tcW w:w="0" w:type="auto"/>
          </w:tcPr>
          <w:p w:rsidR="00E41E84" w:rsidRDefault="00E41E84" w:rsidP="000708C5">
            <w:pPr>
              <w:jc w:val="center"/>
              <w:cnfStyle w:val="000000000000" w:firstRow="0" w:lastRow="0" w:firstColumn="0" w:lastColumn="0" w:oddVBand="0" w:evenVBand="0" w:oddHBand="0" w:evenHBand="0" w:firstRowFirstColumn="0" w:firstRowLastColumn="0" w:lastRowFirstColumn="0" w:lastRowLastColumn="0"/>
            </w:pPr>
            <w:r>
              <w:t>***</w:t>
            </w:r>
          </w:p>
        </w:tc>
      </w:tr>
      <w:tr w:rsidR="00E41E84" w:rsidTr="000708C5">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0" w:type="auto"/>
          </w:tcPr>
          <w:p w:rsidR="00E41E84" w:rsidRPr="00DC684B" w:rsidRDefault="00E41E84" w:rsidP="000708C5">
            <w:pPr>
              <w:pStyle w:val="ListParagraph"/>
              <w:numPr>
                <w:ilvl w:val="0"/>
                <w:numId w:val="11"/>
              </w:numPr>
              <w:spacing w:after="200"/>
              <w:ind w:left="458"/>
              <w:rPr>
                <w:sz w:val="20"/>
              </w:rPr>
            </w:pPr>
            <w:r w:rsidRPr="00DC684B">
              <w:rPr>
                <w:sz w:val="20"/>
              </w:rPr>
              <w:t>School decile</w:t>
            </w:r>
          </w:p>
        </w:tc>
        <w:tc>
          <w:tcPr>
            <w:tcW w:w="0" w:type="auto"/>
          </w:tcPr>
          <w:p w:rsidR="00E41E84" w:rsidRDefault="00E41E84" w:rsidP="000708C5">
            <w:pPr>
              <w:jc w:val="center"/>
              <w:cnfStyle w:val="000000010000" w:firstRow="0" w:lastRow="0" w:firstColumn="0" w:lastColumn="0" w:oddVBand="0" w:evenVBand="0" w:oddHBand="0" w:evenHBand="1" w:firstRowFirstColumn="0" w:firstRowLastColumn="0" w:lastRowFirstColumn="0" w:lastRowLastColumn="0"/>
            </w:pPr>
            <w:r>
              <w:t>+ .21</w:t>
            </w:r>
          </w:p>
        </w:tc>
        <w:tc>
          <w:tcPr>
            <w:tcW w:w="0" w:type="auto"/>
          </w:tcPr>
          <w:p w:rsidR="00E41E84" w:rsidRDefault="00E41E84" w:rsidP="000708C5">
            <w:pPr>
              <w:jc w:val="center"/>
              <w:cnfStyle w:val="000000010000" w:firstRow="0" w:lastRow="0" w:firstColumn="0" w:lastColumn="0" w:oddVBand="0" w:evenVBand="0" w:oddHBand="0" w:evenHBand="1" w:firstRowFirstColumn="0" w:firstRowLastColumn="0" w:lastRowFirstColumn="0" w:lastRowLastColumn="0"/>
            </w:pPr>
            <w:r>
              <w:t>+ 4.77</w:t>
            </w:r>
          </w:p>
        </w:tc>
        <w:tc>
          <w:tcPr>
            <w:tcW w:w="0" w:type="auto"/>
          </w:tcPr>
          <w:p w:rsidR="00E41E84" w:rsidRDefault="00E41E84" w:rsidP="000708C5">
            <w:pPr>
              <w:jc w:val="center"/>
              <w:cnfStyle w:val="000000010000" w:firstRow="0" w:lastRow="0" w:firstColumn="0" w:lastColumn="0" w:oddVBand="0" w:evenVBand="0" w:oddHBand="0" w:evenHBand="1" w:firstRowFirstColumn="0" w:firstRowLastColumn="0" w:lastRowFirstColumn="0" w:lastRowLastColumn="0"/>
            </w:pPr>
            <w:r>
              <w:t>**</w:t>
            </w:r>
          </w:p>
        </w:tc>
      </w:tr>
      <w:tr w:rsidR="00E41E84" w:rsidTr="000708C5">
        <w:trPr>
          <w:trHeight w:val="227"/>
        </w:trPr>
        <w:tc>
          <w:tcPr>
            <w:cnfStyle w:val="001000000000" w:firstRow="0" w:lastRow="0" w:firstColumn="1" w:lastColumn="0" w:oddVBand="0" w:evenVBand="0" w:oddHBand="0" w:evenHBand="0" w:firstRowFirstColumn="0" w:firstRowLastColumn="0" w:lastRowFirstColumn="0" w:lastRowLastColumn="0"/>
            <w:tcW w:w="0" w:type="auto"/>
          </w:tcPr>
          <w:p w:rsidR="00E41E84" w:rsidRPr="00DC684B" w:rsidRDefault="00590F16" w:rsidP="000708C5">
            <w:pPr>
              <w:pStyle w:val="ListParagraph"/>
              <w:numPr>
                <w:ilvl w:val="0"/>
                <w:numId w:val="11"/>
              </w:numPr>
              <w:spacing w:after="200"/>
              <w:ind w:left="458"/>
              <w:rPr>
                <w:sz w:val="20"/>
              </w:rPr>
            </w:pPr>
            <w:r w:rsidRPr="00DC684B">
              <w:rPr>
                <w:sz w:val="20"/>
              </w:rPr>
              <w:t xml:space="preserve">HPS level of inquiry </w:t>
            </w:r>
            <w:r>
              <w:rPr>
                <w:sz w:val="20"/>
              </w:rPr>
              <w:t>(2 and 3)</w:t>
            </w:r>
          </w:p>
        </w:tc>
        <w:tc>
          <w:tcPr>
            <w:tcW w:w="0" w:type="auto"/>
          </w:tcPr>
          <w:p w:rsidR="00E41E84" w:rsidRDefault="00E41E84" w:rsidP="000708C5">
            <w:pPr>
              <w:jc w:val="center"/>
              <w:cnfStyle w:val="000000000000" w:firstRow="0" w:lastRow="0" w:firstColumn="0" w:lastColumn="0" w:oddVBand="0" w:evenVBand="0" w:oddHBand="0" w:evenHBand="0" w:firstRowFirstColumn="0" w:firstRowLastColumn="0" w:lastRowFirstColumn="0" w:lastRowLastColumn="0"/>
            </w:pPr>
            <w:r>
              <w:t>+ .63</w:t>
            </w:r>
          </w:p>
        </w:tc>
        <w:tc>
          <w:tcPr>
            <w:tcW w:w="0" w:type="auto"/>
          </w:tcPr>
          <w:p w:rsidR="00E41E84" w:rsidRDefault="00E41E84" w:rsidP="000708C5">
            <w:pPr>
              <w:jc w:val="center"/>
              <w:cnfStyle w:val="000000000000" w:firstRow="0" w:lastRow="0" w:firstColumn="0" w:lastColumn="0" w:oddVBand="0" w:evenVBand="0" w:oddHBand="0" w:evenHBand="0" w:firstRowFirstColumn="0" w:firstRowLastColumn="0" w:lastRowFirstColumn="0" w:lastRowLastColumn="0"/>
            </w:pPr>
            <w:r>
              <w:t xml:space="preserve">+ 6.32 </w:t>
            </w:r>
          </w:p>
        </w:tc>
        <w:tc>
          <w:tcPr>
            <w:tcW w:w="0" w:type="auto"/>
          </w:tcPr>
          <w:p w:rsidR="00E41E84" w:rsidRDefault="00E41E84" w:rsidP="000708C5">
            <w:pPr>
              <w:jc w:val="center"/>
              <w:cnfStyle w:val="000000000000" w:firstRow="0" w:lastRow="0" w:firstColumn="0" w:lastColumn="0" w:oddVBand="0" w:evenVBand="0" w:oddHBand="0" w:evenHBand="0" w:firstRowFirstColumn="0" w:firstRowLastColumn="0" w:lastRowFirstColumn="0" w:lastRowLastColumn="0"/>
            </w:pPr>
            <w:r>
              <w:t>***</w:t>
            </w:r>
          </w:p>
        </w:tc>
      </w:tr>
      <w:tr w:rsidR="00E41E84" w:rsidTr="000708C5">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0" w:type="auto"/>
          </w:tcPr>
          <w:p w:rsidR="00E41E84" w:rsidRPr="00DC684B" w:rsidRDefault="00E41E84" w:rsidP="000708C5">
            <w:pPr>
              <w:pStyle w:val="ListParagraph"/>
              <w:numPr>
                <w:ilvl w:val="0"/>
                <w:numId w:val="11"/>
              </w:numPr>
              <w:ind w:left="458"/>
              <w:rPr>
                <w:sz w:val="20"/>
              </w:rPr>
            </w:pPr>
            <w:r w:rsidRPr="00DC684B">
              <w:rPr>
                <w:sz w:val="20"/>
              </w:rPr>
              <w:lastRenderedPageBreak/>
              <w:t>Whānau engagement with schools</w:t>
            </w:r>
          </w:p>
        </w:tc>
        <w:tc>
          <w:tcPr>
            <w:tcW w:w="0" w:type="auto"/>
          </w:tcPr>
          <w:p w:rsidR="00E41E84" w:rsidRDefault="00E41E84" w:rsidP="000708C5">
            <w:pPr>
              <w:jc w:val="center"/>
              <w:cnfStyle w:val="000000010000" w:firstRow="0" w:lastRow="0" w:firstColumn="0" w:lastColumn="0" w:oddVBand="0" w:evenVBand="0" w:oddHBand="0" w:evenHBand="1" w:firstRowFirstColumn="0" w:firstRowLastColumn="0" w:lastRowFirstColumn="0" w:lastRowLastColumn="0"/>
            </w:pPr>
            <w:r>
              <w:t>+ .81</w:t>
            </w:r>
          </w:p>
        </w:tc>
        <w:tc>
          <w:tcPr>
            <w:tcW w:w="0" w:type="auto"/>
          </w:tcPr>
          <w:p w:rsidR="00E41E84" w:rsidRDefault="00E41E84" w:rsidP="000708C5">
            <w:pPr>
              <w:jc w:val="center"/>
              <w:cnfStyle w:val="000000010000" w:firstRow="0" w:lastRow="0" w:firstColumn="0" w:lastColumn="0" w:oddVBand="0" w:evenVBand="0" w:oddHBand="0" w:evenHBand="1" w:firstRowFirstColumn="0" w:firstRowLastColumn="0" w:lastRowFirstColumn="0" w:lastRowLastColumn="0"/>
            </w:pPr>
            <w:r>
              <w:t>+ 2.03</w:t>
            </w:r>
          </w:p>
        </w:tc>
        <w:tc>
          <w:tcPr>
            <w:tcW w:w="0" w:type="auto"/>
          </w:tcPr>
          <w:p w:rsidR="00E41E84" w:rsidRDefault="00E41E84" w:rsidP="000708C5">
            <w:pPr>
              <w:jc w:val="center"/>
              <w:cnfStyle w:val="000000010000" w:firstRow="0" w:lastRow="0" w:firstColumn="0" w:lastColumn="0" w:oddVBand="0" w:evenVBand="0" w:oddHBand="0" w:evenHBand="1" w:firstRowFirstColumn="0" w:firstRowLastColumn="0" w:lastRowFirstColumn="0" w:lastRowLastColumn="0"/>
            </w:pPr>
            <w:r>
              <w:t>**</w:t>
            </w:r>
          </w:p>
        </w:tc>
      </w:tr>
      <w:tr w:rsidR="00E41E84" w:rsidTr="000708C5">
        <w:trPr>
          <w:trHeight w:val="227"/>
        </w:trPr>
        <w:tc>
          <w:tcPr>
            <w:cnfStyle w:val="001000000000" w:firstRow="0" w:lastRow="0" w:firstColumn="1" w:lastColumn="0" w:oddVBand="0" w:evenVBand="0" w:oddHBand="0" w:evenHBand="0" w:firstRowFirstColumn="0" w:firstRowLastColumn="0" w:lastRowFirstColumn="0" w:lastRowLastColumn="0"/>
            <w:tcW w:w="0" w:type="auto"/>
          </w:tcPr>
          <w:p w:rsidR="00E41E84" w:rsidRPr="00DC684B" w:rsidRDefault="00E41E84" w:rsidP="000708C5">
            <w:pPr>
              <w:pStyle w:val="ListParagraph"/>
              <w:numPr>
                <w:ilvl w:val="0"/>
                <w:numId w:val="11"/>
              </w:numPr>
              <w:ind w:left="458"/>
              <w:rPr>
                <w:sz w:val="20"/>
              </w:rPr>
            </w:pPr>
            <w:r w:rsidRPr="00DC684B">
              <w:rPr>
                <w:sz w:val="20"/>
              </w:rPr>
              <w:t>Educational Review Office (ERO) cycle category</w:t>
            </w:r>
          </w:p>
        </w:tc>
        <w:tc>
          <w:tcPr>
            <w:tcW w:w="0" w:type="auto"/>
          </w:tcPr>
          <w:p w:rsidR="00E41E84" w:rsidRDefault="00E41E84" w:rsidP="000708C5">
            <w:pPr>
              <w:jc w:val="center"/>
              <w:cnfStyle w:val="000000000000" w:firstRow="0" w:lastRow="0" w:firstColumn="0" w:lastColumn="0" w:oddVBand="0" w:evenVBand="0" w:oddHBand="0" w:evenHBand="0" w:firstRowFirstColumn="0" w:firstRowLastColumn="0" w:lastRowFirstColumn="0" w:lastRowLastColumn="0"/>
            </w:pPr>
            <w:r>
              <w:t>+ .52</w:t>
            </w:r>
          </w:p>
        </w:tc>
        <w:tc>
          <w:tcPr>
            <w:tcW w:w="0" w:type="auto"/>
          </w:tcPr>
          <w:p w:rsidR="00E41E84" w:rsidRDefault="00E41E84" w:rsidP="000708C5">
            <w:pPr>
              <w:jc w:val="center"/>
              <w:cnfStyle w:val="000000000000" w:firstRow="0" w:lastRow="0" w:firstColumn="0" w:lastColumn="0" w:oddVBand="0" w:evenVBand="0" w:oddHBand="0" w:evenHBand="0" w:firstRowFirstColumn="0" w:firstRowLastColumn="0" w:lastRowFirstColumn="0" w:lastRowLastColumn="0"/>
            </w:pPr>
            <w:r>
              <w:t>+ 4.55</w:t>
            </w:r>
          </w:p>
        </w:tc>
        <w:tc>
          <w:tcPr>
            <w:tcW w:w="0" w:type="auto"/>
          </w:tcPr>
          <w:p w:rsidR="00E41E84" w:rsidRDefault="00E41E84" w:rsidP="000708C5">
            <w:pPr>
              <w:jc w:val="center"/>
              <w:cnfStyle w:val="000000000000" w:firstRow="0" w:lastRow="0" w:firstColumn="0" w:lastColumn="0" w:oddVBand="0" w:evenVBand="0" w:oddHBand="0" w:evenHBand="0" w:firstRowFirstColumn="0" w:firstRowLastColumn="0" w:lastRowFirstColumn="0" w:lastRowLastColumn="0"/>
            </w:pPr>
            <w:r>
              <w:t>***</w:t>
            </w:r>
          </w:p>
        </w:tc>
      </w:tr>
    </w:tbl>
    <w:p w:rsidR="00E41E84" w:rsidRPr="008801C2" w:rsidRDefault="00E41E84" w:rsidP="00E41E84">
      <w:r>
        <w:t xml:space="preserve">*** </w:t>
      </w:r>
      <w:r>
        <w:rPr>
          <w:i/>
        </w:rPr>
        <w:t xml:space="preserve">p </w:t>
      </w:r>
      <w:r>
        <w:t xml:space="preserve">&lt; .01, ** </w:t>
      </w:r>
      <w:r>
        <w:rPr>
          <w:i/>
        </w:rPr>
        <w:t xml:space="preserve">p </w:t>
      </w:r>
      <w:r>
        <w:t xml:space="preserve">&lt; .05 </w:t>
      </w:r>
    </w:p>
    <w:p w:rsidR="00E41E84" w:rsidRDefault="00E41E84">
      <w:pPr>
        <w:rPr>
          <w:b/>
        </w:rPr>
      </w:pPr>
    </w:p>
    <w:p w:rsidR="00387ADA" w:rsidRDefault="00732703" w:rsidP="00387ADA">
      <w:r>
        <w:rPr>
          <w:b/>
        </w:rPr>
        <w:br w:type="page"/>
      </w:r>
      <w:r w:rsidR="00387ADA">
        <w:rPr>
          <w:b/>
        </w:rPr>
        <w:lastRenderedPageBreak/>
        <w:t>Table 2</w:t>
      </w:r>
      <w:r w:rsidR="00387ADA">
        <w:t xml:space="preserve">: Structural model results showing the predictive impact of HPS </w:t>
      </w:r>
      <w:r w:rsidR="00894DD6">
        <w:t>approach</w:t>
      </w:r>
      <w:r w:rsidR="00387ADA">
        <w:t xml:space="preserve"> </w:t>
      </w:r>
      <w:r w:rsidR="00984C25">
        <w:t>on rates of stand-</w:t>
      </w:r>
      <w:r w:rsidR="001D576B">
        <w:t>downs and suspensions.</w:t>
      </w:r>
    </w:p>
    <w:tbl>
      <w:tblPr>
        <w:tblStyle w:val="ReportTable"/>
        <w:tblW w:w="0" w:type="auto"/>
        <w:tblLook w:val="04A0" w:firstRow="1" w:lastRow="0" w:firstColumn="1" w:lastColumn="0" w:noHBand="0" w:noVBand="1"/>
      </w:tblPr>
      <w:tblGrid>
        <w:gridCol w:w="4803"/>
        <w:gridCol w:w="1486"/>
        <w:gridCol w:w="1477"/>
        <w:gridCol w:w="1584"/>
      </w:tblGrid>
      <w:tr w:rsidR="00BA48E0" w:rsidRPr="00340369" w:rsidTr="00D218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40369" w:rsidRPr="00340369" w:rsidRDefault="00340369" w:rsidP="00340369">
            <w:pPr>
              <w:rPr>
                <w:sz w:val="22"/>
              </w:rPr>
            </w:pPr>
            <w:r w:rsidRPr="00340369">
              <w:rPr>
                <w:sz w:val="22"/>
              </w:rPr>
              <w:t>Predictive impact</w:t>
            </w:r>
            <w:r w:rsidR="0098163B">
              <w:rPr>
                <w:sz w:val="22"/>
              </w:rPr>
              <w:t xml:space="preserve"> </w:t>
            </w:r>
          </w:p>
        </w:tc>
        <w:tc>
          <w:tcPr>
            <w:tcW w:w="0" w:type="auto"/>
          </w:tcPr>
          <w:p w:rsidR="00340369" w:rsidRPr="00340369" w:rsidRDefault="00340369" w:rsidP="00C879B9">
            <w:pPr>
              <w:jc w:val="center"/>
              <w:cnfStyle w:val="100000000000" w:firstRow="1" w:lastRow="0" w:firstColumn="0" w:lastColumn="0" w:oddVBand="0" w:evenVBand="0" w:oddHBand="0" w:evenHBand="0" w:firstRowFirstColumn="0" w:firstRowLastColumn="0" w:lastRowFirstColumn="0" w:lastRowLastColumn="0"/>
              <w:rPr>
                <w:sz w:val="22"/>
              </w:rPr>
            </w:pPr>
            <w:r w:rsidRPr="00340369">
              <w:rPr>
                <w:sz w:val="22"/>
              </w:rPr>
              <w:t>Path Coefficient</w:t>
            </w:r>
          </w:p>
        </w:tc>
        <w:tc>
          <w:tcPr>
            <w:tcW w:w="0" w:type="auto"/>
          </w:tcPr>
          <w:p w:rsidR="00340369" w:rsidRPr="00340369" w:rsidRDefault="00340369" w:rsidP="00C879B9">
            <w:pPr>
              <w:jc w:val="center"/>
              <w:cnfStyle w:val="100000000000" w:firstRow="1" w:lastRow="0" w:firstColumn="0" w:lastColumn="0" w:oddVBand="0" w:evenVBand="0" w:oddHBand="0" w:evenHBand="0" w:firstRowFirstColumn="0" w:firstRowLastColumn="0" w:lastRowFirstColumn="0" w:lastRowLastColumn="0"/>
              <w:rPr>
                <w:sz w:val="22"/>
              </w:rPr>
            </w:pPr>
            <w:r w:rsidRPr="00340369">
              <w:rPr>
                <w:sz w:val="22"/>
              </w:rPr>
              <w:t xml:space="preserve">Observed </w:t>
            </w:r>
            <w:r w:rsidRPr="00340369">
              <w:rPr>
                <w:i/>
                <w:sz w:val="22"/>
              </w:rPr>
              <w:t xml:space="preserve">t </w:t>
            </w:r>
            <w:r w:rsidRPr="00340369">
              <w:rPr>
                <w:sz w:val="22"/>
              </w:rPr>
              <w:t>value</w:t>
            </w:r>
          </w:p>
        </w:tc>
        <w:tc>
          <w:tcPr>
            <w:tcW w:w="0" w:type="auto"/>
          </w:tcPr>
          <w:p w:rsidR="00340369" w:rsidRPr="00340369" w:rsidRDefault="00340369" w:rsidP="00C879B9">
            <w:pPr>
              <w:jc w:val="center"/>
              <w:cnfStyle w:val="100000000000" w:firstRow="1" w:lastRow="0" w:firstColumn="0" w:lastColumn="0" w:oddVBand="0" w:evenVBand="0" w:oddHBand="0" w:evenHBand="0" w:firstRowFirstColumn="0" w:firstRowLastColumn="0" w:lastRowFirstColumn="0" w:lastRowLastColumn="0"/>
              <w:rPr>
                <w:sz w:val="22"/>
              </w:rPr>
            </w:pPr>
            <w:r w:rsidRPr="00340369">
              <w:rPr>
                <w:sz w:val="22"/>
              </w:rPr>
              <w:t>Significance level</w:t>
            </w:r>
          </w:p>
        </w:tc>
      </w:tr>
      <w:tr w:rsidR="00DC684B" w:rsidTr="00BA48E0">
        <w:trPr>
          <w:trHeight w:val="227"/>
        </w:trPr>
        <w:tc>
          <w:tcPr>
            <w:cnfStyle w:val="001000000000" w:firstRow="0" w:lastRow="0" w:firstColumn="1" w:lastColumn="0" w:oddVBand="0" w:evenVBand="0" w:oddHBand="0" w:evenHBand="0" w:firstRowFirstColumn="0" w:firstRowLastColumn="0" w:lastRowFirstColumn="0" w:lastRowLastColumn="0"/>
            <w:tcW w:w="0" w:type="auto"/>
          </w:tcPr>
          <w:p w:rsidR="00340369" w:rsidRPr="000108CC" w:rsidRDefault="00041164" w:rsidP="00340369">
            <w:pPr>
              <w:rPr>
                <w:sz w:val="20"/>
              </w:rPr>
            </w:pPr>
            <w:r>
              <w:rPr>
                <w:sz w:val="20"/>
              </w:rPr>
              <w:t>Effect</w:t>
            </w:r>
            <w:r w:rsidR="00D218C7" w:rsidRPr="000108CC">
              <w:rPr>
                <w:sz w:val="20"/>
              </w:rPr>
              <w:t xml:space="preserve"> on </w:t>
            </w:r>
            <w:r w:rsidR="00984C25">
              <w:rPr>
                <w:sz w:val="20"/>
              </w:rPr>
              <w:t>stand-</w:t>
            </w:r>
            <w:r w:rsidR="00E41E84">
              <w:rPr>
                <w:sz w:val="20"/>
              </w:rPr>
              <w:t xml:space="preserve">downs and suspensions </w:t>
            </w:r>
            <w:r w:rsidR="000108CC">
              <w:rPr>
                <w:sz w:val="20"/>
              </w:rPr>
              <w:t>(</w:t>
            </w:r>
            <w:r w:rsidR="000108CC">
              <w:rPr>
                <w:i/>
                <w:sz w:val="20"/>
              </w:rPr>
              <w:t>R</w:t>
            </w:r>
            <w:r w:rsidR="000108CC" w:rsidRPr="000108CC">
              <w:rPr>
                <w:sz w:val="20"/>
                <w:vertAlign w:val="superscript"/>
              </w:rPr>
              <w:t>2</w:t>
            </w:r>
            <w:r w:rsidR="000108CC">
              <w:rPr>
                <w:sz w:val="20"/>
              </w:rPr>
              <w:t xml:space="preserve"> = .</w:t>
            </w:r>
            <w:r w:rsidR="006C786D">
              <w:rPr>
                <w:sz w:val="20"/>
              </w:rPr>
              <w:t>65</w:t>
            </w:r>
            <w:r w:rsidR="000108CC">
              <w:rPr>
                <w:sz w:val="20"/>
              </w:rPr>
              <w:t>)</w:t>
            </w:r>
          </w:p>
        </w:tc>
        <w:tc>
          <w:tcPr>
            <w:tcW w:w="0" w:type="auto"/>
          </w:tcPr>
          <w:p w:rsidR="00340369" w:rsidRPr="000108CC" w:rsidRDefault="00340369" w:rsidP="00C879B9">
            <w:pPr>
              <w:jc w:val="center"/>
              <w:cnfStyle w:val="000000000000" w:firstRow="0" w:lastRow="0" w:firstColumn="0" w:lastColumn="0" w:oddVBand="0" w:evenVBand="0" w:oddHBand="0" w:evenHBand="0" w:firstRowFirstColumn="0" w:firstRowLastColumn="0" w:lastRowFirstColumn="0" w:lastRowLastColumn="0"/>
              <w:rPr>
                <w:sz w:val="20"/>
              </w:rPr>
            </w:pPr>
          </w:p>
        </w:tc>
        <w:tc>
          <w:tcPr>
            <w:tcW w:w="0" w:type="auto"/>
          </w:tcPr>
          <w:p w:rsidR="00340369" w:rsidRPr="000108CC" w:rsidRDefault="00340369" w:rsidP="00C879B9">
            <w:pPr>
              <w:jc w:val="center"/>
              <w:cnfStyle w:val="000000000000" w:firstRow="0" w:lastRow="0" w:firstColumn="0" w:lastColumn="0" w:oddVBand="0" w:evenVBand="0" w:oddHBand="0" w:evenHBand="0" w:firstRowFirstColumn="0" w:firstRowLastColumn="0" w:lastRowFirstColumn="0" w:lastRowLastColumn="0"/>
              <w:rPr>
                <w:sz w:val="20"/>
              </w:rPr>
            </w:pPr>
          </w:p>
        </w:tc>
        <w:tc>
          <w:tcPr>
            <w:tcW w:w="0" w:type="auto"/>
          </w:tcPr>
          <w:p w:rsidR="00340369" w:rsidRPr="000108CC" w:rsidRDefault="00340369" w:rsidP="00C879B9">
            <w:pPr>
              <w:jc w:val="center"/>
              <w:cnfStyle w:val="000000000000" w:firstRow="0" w:lastRow="0" w:firstColumn="0" w:lastColumn="0" w:oddVBand="0" w:evenVBand="0" w:oddHBand="0" w:evenHBand="0" w:firstRowFirstColumn="0" w:firstRowLastColumn="0" w:lastRowFirstColumn="0" w:lastRowLastColumn="0"/>
              <w:rPr>
                <w:sz w:val="20"/>
              </w:rPr>
            </w:pPr>
          </w:p>
        </w:tc>
      </w:tr>
      <w:tr w:rsidR="00BA48E0" w:rsidTr="00BA48E0">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0" w:type="auto"/>
          </w:tcPr>
          <w:p w:rsidR="00340369" w:rsidRPr="00DC684B" w:rsidRDefault="000108CC" w:rsidP="00DC684B">
            <w:pPr>
              <w:pStyle w:val="ListParagraph"/>
              <w:numPr>
                <w:ilvl w:val="0"/>
                <w:numId w:val="11"/>
              </w:numPr>
              <w:ind w:left="458"/>
              <w:rPr>
                <w:sz w:val="20"/>
              </w:rPr>
            </w:pPr>
            <w:r w:rsidRPr="00DC684B">
              <w:rPr>
                <w:sz w:val="20"/>
              </w:rPr>
              <w:t>Quality/performance of the HPS facilitator</w:t>
            </w:r>
          </w:p>
        </w:tc>
        <w:tc>
          <w:tcPr>
            <w:tcW w:w="0" w:type="auto"/>
          </w:tcPr>
          <w:p w:rsidR="00340369" w:rsidRDefault="005A39A3" w:rsidP="00C879B9">
            <w:pPr>
              <w:jc w:val="center"/>
              <w:cnfStyle w:val="000000010000" w:firstRow="0" w:lastRow="0" w:firstColumn="0" w:lastColumn="0" w:oddVBand="0" w:evenVBand="0" w:oddHBand="0" w:evenHBand="1" w:firstRowFirstColumn="0" w:firstRowLastColumn="0" w:lastRowFirstColumn="0" w:lastRowLastColumn="0"/>
            </w:pPr>
            <w:r>
              <w:t xml:space="preserve">+ </w:t>
            </w:r>
            <w:r w:rsidR="00376FA4">
              <w:t>.61</w:t>
            </w:r>
          </w:p>
        </w:tc>
        <w:tc>
          <w:tcPr>
            <w:tcW w:w="0" w:type="auto"/>
          </w:tcPr>
          <w:p w:rsidR="00340369" w:rsidRDefault="00EF50CB" w:rsidP="00C879B9">
            <w:pPr>
              <w:jc w:val="center"/>
              <w:cnfStyle w:val="000000010000" w:firstRow="0" w:lastRow="0" w:firstColumn="0" w:lastColumn="0" w:oddVBand="0" w:evenVBand="0" w:oddHBand="0" w:evenHBand="1" w:firstRowFirstColumn="0" w:firstRowLastColumn="0" w:lastRowFirstColumn="0" w:lastRowLastColumn="0"/>
            </w:pPr>
            <w:r>
              <w:t>+ 19</w:t>
            </w:r>
            <w:r w:rsidR="002951C2">
              <w:t>.60</w:t>
            </w:r>
          </w:p>
        </w:tc>
        <w:tc>
          <w:tcPr>
            <w:tcW w:w="0" w:type="auto"/>
          </w:tcPr>
          <w:p w:rsidR="00340369" w:rsidRDefault="003B6BDC" w:rsidP="00C879B9">
            <w:pPr>
              <w:jc w:val="center"/>
              <w:cnfStyle w:val="000000010000" w:firstRow="0" w:lastRow="0" w:firstColumn="0" w:lastColumn="0" w:oddVBand="0" w:evenVBand="0" w:oddHBand="0" w:evenHBand="1" w:firstRowFirstColumn="0" w:firstRowLastColumn="0" w:lastRowFirstColumn="0" w:lastRowLastColumn="0"/>
            </w:pPr>
            <w:r>
              <w:t>**</w:t>
            </w:r>
          </w:p>
        </w:tc>
      </w:tr>
      <w:tr w:rsidR="000108CC" w:rsidTr="00BA48E0">
        <w:trPr>
          <w:trHeight w:val="586"/>
        </w:trPr>
        <w:tc>
          <w:tcPr>
            <w:cnfStyle w:val="001000000000" w:firstRow="0" w:lastRow="0" w:firstColumn="1" w:lastColumn="0" w:oddVBand="0" w:evenVBand="0" w:oddHBand="0" w:evenHBand="0" w:firstRowFirstColumn="0" w:firstRowLastColumn="0" w:lastRowFirstColumn="0" w:lastRowLastColumn="0"/>
            <w:tcW w:w="0" w:type="auto"/>
          </w:tcPr>
          <w:p w:rsidR="000108CC" w:rsidRPr="00DC684B" w:rsidRDefault="000108CC" w:rsidP="00DC684B">
            <w:pPr>
              <w:pStyle w:val="ListParagraph"/>
              <w:numPr>
                <w:ilvl w:val="0"/>
                <w:numId w:val="11"/>
              </w:numPr>
              <w:spacing w:after="200"/>
              <w:ind w:left="458"/>
              <w:rPr>
                <w:sz w:val="20"/>
              </w:rPr>
            </w:pPr>
            <w:r w:rsidRPr="00DC684B">
              <w:rPr>
                <w:sz w:val="20"/>
              </w:rPr>
              <w:t>Performance on (and completion of) the HPS health and wellbeing rubric</w:t>
            </w:r>
          </w:p>
        </w:tc>
        <w:tc>
          <w:tcPr>
            <w:tcW w:w="0" w:type="auto"/>
          </w:tcPr>
          <w:p w:rsidR="000108CC" w:rsidRDefault="005A39A3" w:rsidP="00C879B9">
            <w:pPr>
              <w:jc w:val="center"/>
              <w:cnfStyle w:val="000000000000" w:firstRow="0" w:lastRow="0" w:firstColumn="0" w:lastColumn="0" w:oddVBand="0" w:evenVBand="0" w:oddHBand="0" w:evenHBand="0" w:firstRowFirstColumn="0" w:firstRowLastColumn="0" w:lastRowFirstColumn="0" w:lastRowLastColumn="0"/>
            </w:pPr>
            <w:r>
              <w:t>+ .</w:t>
            </w:r>
            <w:r w:rsidR="00B71013">
              <w:t>69</w:t>
            </w:r>
          </w:p>
        </w:tc>
        <w:tc>
          <w:tcPr>
            <w:tcW w:w="0" w:type="auto"/>
          </w:tcPr>
          <w:p w:rsidR="000108CC" w:rsidRDefault="002951C2" w:rsidP="00C879B9">
            <w:pPr>
              <w:jc w:val="center"/>
              <w:cnfStyle w:val="000000000000" w:firstRow="0" w:lastRow="0" w:firstColumn="0" w:lastColumn="0" w:oddVBand="0" w:evenVBand="0" w:oddHBand="0" w:evenHBand="0" w:firstRowFirstColumn="0" w:firstRowLastColumn="0" w:lastRowFirstColumn="0" w:lastRowLastColumn="0"/>
            </w:pPr>
            <w:r>
              <w:t xml:space="preserve">+ </w:t>
            </w:r>
            <w:r w:rsidR="00EF50CB">
              <w:t>9</w:t>
            </w:r>
            <w:r>
              <w:t>.93</w:t>
            </w:r>
          </w:p>
        </w:tc>
        <w:tc>
          <w:tcPr>
            <w:tcW w:w="0" w:type="auto"/>
          </w:tcPr>
          <w:p w:rsidR="000108CC" w:rsidRDefault="004F01EA" w:rsidP="00C879B9">
            <w:pPr>
              <w:jc w:val="center"/>
              <w:cnfStyle w:val="000000000000" w:firstRow="0" w:lastRow="0" w:firstColumn="0" w:lastColumn="0" w:oddVBand="0" w:evenVBand="0" w:oddHBand="0" w:evenHBand="0" w:firstRowFirstColumn="0" w:firstRowLastColumn="0" w:lastRowFirstColumn="0" w:lastRowLastColumn="0"/>
            </w:pPr>
            <w:r>
              <w:t>***</w:t>
            </w:r>
          </w:p>
        </w:tc>
      </w:tr>
      <w:tr w:rsidR="000108CC" w:rsidTr="00BA48E0">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0" w:type="auto"/>
          </w:tcPr>
          <w:p w:rsidR="000108CC" w:rsidRPr="00DC684B" w:rsidRDefault="000108CC" w:rsidP="00DC684B">
            <w:pPr>
              <w:pStyle w:val="ListParagraph"/>
              <w:numPr>
                <w:ilvl w:val="0"/>
                <w:numId w:val="11"/>
              </w:numPr>
              <w:spacing w:after="200"/>
              <w:ind w:left="458"/>
              <w:rPr>
                <w:sz w:val="20"/>
              </w:rPr>
            </w:pPr>
            <w:r w:rsidRPr="00DC684B">
              <w:rPr>
                <w:sz w:val="20"/>
              </w:rPr>
              <w:t>School decile</w:t>
            </w:r>
          </w:p>
        </w:tc>
        <w:tc>
          <w:tcPr>
            <w:tcW w:w="0" w:type="auto"/>
          </w:tcPr>
          <w:p w:rsidR="000108CC" w:rsidRDefault="005A39A3" w:rsidP="00C879B9">
            <w:pPr>
              <w:jc w:val="center"/>
              <w:cnfStyle w:val="000000010000" w:firstRow="0" w:lastRow="0" w:firstColumn="0" w:lastColumn="0" w:oddVBand="0" w:evenVBand="0" w:oddHBand="0" w:evenHBand="1" w:firstRowFirstColumn="0" w:firstRowLastColumn="0" w:lastRowFirstColumn="0" w:lastRowLastColumn="0"/>
            </w:pPr>
            <w:r>
              <w:t>+ .</w:t>
            </w:r>
            <w:r w:rsidR="006B62E1">
              <w:t>18</w:t>
            </w:r>
          </w:p>
        </w:tc>
        <w:tc>
          <w:tcPr>
            <w:tcW w:w="0" w:type="auto"/>
          </w:tcPr>
          <w:p w:rsidR="000108CC" w:rsidRDefault="002951C2" w:rsidP="00C879B9">
            <w:pPr>
              <w:jc w:val="center"/>
              <w:cnfStyle w:val="000000010000" w:firstRow="0" w:lastRow="0" w:firstColumn="0" w:lastColumn="0" w:oddVBand="0" w:evenVBand="0" w:oddHBand="0" w:evenHBand="1" w:firstRowFirstColumn="0" w:firstRowLastColumn="0" w:lastRowFirstColumn="0" w:lastRowLastColumn="0"/>
            </w:pPr>
            <w:r>
              <w:t xml:space="preserve">+ </w:t>
            </w:r>
            <w:r w:rsidR="00EF50CB">
              <w:t>11</w:t>
            </w:r>
            <w:r>
              <w:t>.77</w:t>
            </w:r>
          </w:p>
        </w:tc>
        <w:tc>
          <w:tcPr>
            <w:tcW w:w="0" w:type="auto"/>
          </w:tcPr>
          <w:p w:rsidR="000108CC" w:rsidRDefault="004F01EA" w:rsidP="00C879B9">
            <w:pPr>
              <w:jc w:val="center"/>
              <w:cnfStyle w:val="000000010000" w:firstRow="0" w:lastRow="0" w:firstColumn="0" w:lastColumn="0" w:oddVBand="0" w:evenVBand="0" w:oddHBand="0" w:evenHBand="1" w:firstRowFirstColumn="0" w:firstRowLastColumn="0" w:lastRowFirstColumn="0" w:lastRowLastColumn="0"/>
            </w:pPr>
            <w:r>
              <w:t>**</w:t>
            </w:r>
          </w:p>
        </w:tc>
      </w:tr>
      <w:tr w:rsidR="000108CC" w:rsidTr="00BA48E0">
        <w:trPr>
          <w:trHeight w:val="227"/>
        </w:trPr>
        <w:tc>
          <w:tcPr>
            <w:cnfStyle w:val="001000000000" w:firstRow="0" w:lastRow="0" w:firstColumn="1" w:lastColumn="0" w:oddVBand="0" w:evenVBand="0" w:oddHBand="0" w:evenHBand="0" w:firstRowFirstColumn="0" w:firstRowLastColumn="0" w:lastRowFirstColumn="0" w:lastRowLastColumn="0"/>
            <w:tcW w:w="0" w:type="auto"/>
          </w:tcPr>
          <w:p w:rsidR="000108CC" w:rsidRPr="00DC684B" w:rsidRDefault="000108CC" w:rsidP="00812654">
            <w:pPr>
              <w:pStyle w:val="ListParagraph"/>
              <w:numPr>
                <w:ilvl w:val="0"/>
                <w:numId w:val="11"/>
              </w:numPr>
              <w:spacing w:after="200"/>
              <w:ind w:left="458"/>
              <w:rPr>
                <w:sz w:val="20"/>
              </w:rPr>
            </w:pPr>
            <w:r w:rsidRPr="00DC684B">
              <w:rPr>
                <w:sz w:val="20"/>
              </w:rPr>
              <w:t xml:space="preserve">HPS level of inquiry </w:t>
            </w:r>
            <w:r w:rsidR="00812654">
              <w:rPr>
                <w:sz w:val="20"/>
              </w:rPr>
              <w:t>(</w:t>
            </w:r>
            <w:r w:rsidR="00E12994">
              <w:rPr>
                <w:sz w:val="20"/>
              </w:rPr>
              <w:t>2 and 3</w:t>
            </w:r>
            <w:r w:rsidR="00812654">
              <w:rPr>
                <w:sz w:val="20"/>
              </w:rPr>
              <w:t>)</w:t>
            </w:r>
          </w:p>
        </w:tc>
        <w:tc>
          <w:tcPr>
            <w:tcW w:w="0" w:type="auto"/>
          </w:tcPr>
          <w:p w:rsidR="000108CC" w:rsidRDefault="005A39A3" w:rsidP="00C879B9">
            <w:pPr>
              <w:jc w:val="center"/>
              <w:cnfStyle w:val="000000000000" w:firstRow="0" w:lastRow="0" w:firstColumn="0" w:lastColumn="0" w:oddVBand="0" w:evenVBand="0" w:oddHBand="0" w:evenHBand="0" w:firstRowFirstColumn="0" w:firstRowLastColumn="0" w:lastRowFirstColumn="0" w:lastRowLastColumn="0"/>
            </w:pPr>
            <w:r>
              <w:t xml:space="preserve">+ </w:t>
            </w:r>
            <w:r w:rsidR="00B71013">
              <w:t>.67</w:t>
            </w:r>
          </w:p>
        </w:tc>
        <w:tc>
          <w:tcPr>
            <w:tcW w:w="0" w:type="auto"/>
          </w:tcPr>
          <w:p w:rsidR="000108CC" w:rsidRDefault="00EF50CB" w:rsidP="00C879B9">
            <w:pPr>
              <w:jc w:val="center"/>
              <w:cnfStyle w:val="000000000000" w:firstRow="0" w:lastRow="0" w:firstColumn="0" w:lastColumn="0" w:oddVBand="0" w:evenVBand="0" w:oddHBand="0" w:evenHBand="0" w:firstRowFirstColumn="0" w:firstRowLastColumn="0" w:lastRowFirstColumn="0" w:lastRowLastColumn="0"/>
            </w:pPr>
            <w:r>
              <w:t>+ 8.48</w:t>
            </w:r>
            <w:r w:rsidR="002951C2">
              <w:t xml:space="preserve"> </w:t>
            </w:r>
          </w:p>
        </w:tc>
        <w:tc>
          <w:tcPr>
            <w:tcW w:w="0" w:type="auto"/>
          </w:tcPr>
          <w:p w:rsidR="000108CC" w:rsidRDefault="004F01EA" w:rsidP="00C879B9">
            <w:pPr>
              <w:jc w:val="center"/>
              <w:cnfStyle w:val="000000000000" w:firstRow="0" w:lastRow="0" w:firstColumn="0" w:lastColumn="0" w:oddVBand="0" w:evenVBand="0" w:oddHBand="0" w:evenHBand="0" w:firstRowFirstColumn="0" w:firstRowLastColumn="0" w:lastRowFirstColumn="0" w:lastRowLastColumn="0"/>
            </w:pPr>
            <w:r>
              <w:t>***</w:t>
            </w:r>
          </w:p>
        </w:tc>
      </w:tr>
      <w:tr w:rsidR="000108CC" w:rsidTr="00BA48E0">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0" w:type="auto"/>
          </w:tcPr>
          <w:p w:rsidR="000108CC" w:rsidRPr="00DC684B" w:rsidRDefault="00B14203" w:rsidP="00DC684B">
            <w:pPr>
              <w:pStyle w:val="ListParagraph"/>
              <w:numPr>
                <w:ilvl w:val="0"/>
                <w:numId w:val="11"/>
              </w:numPr>
              <w:ind w:left="458"/>
              <w:rPr>
                <w:sz w:val="20"/>
              </w:rPr>
            </w:pPr>
            <w:r w:rsidRPr="00DC684B">
              <w:rPr>
                <w:sz w:val="20"/>
              </w:rPr>
              <w:t>Whānau engagement with schools</w:t>
            </w:r>
          </w:p>
        </w:tc>
        <w:tc>
          <w:tcPr>
            <w:tcW w:w="0" w:type="auto"/>
          </w:tcPr>
          <w:p w:rsidR="000108CC" w:rsidRDefault="00AB2513" w:rsidP="00C879B9">
            <w:pPr>
              <w:jc w:val="center"/>
              <w:cnfStyle w:val="000000010000" w:firstRow="0" w:lastRow="0" w:firstColumn="0" w:lastColumn="0" w:oddVBand="0" w:evenVBand="0" w:oddHBand="0" w:evenHBand="1" w:firstRowFirstColumn="0" w:firstRowLastColumn="0" w:lastRowFirstColumn="0" w:lastRowLastColumn="0"/>
            </w:pPr>
            <w:r>
              <w:t>+ .81</w:t>
            </w:r>
          </w:p>
        </w:tc>
        <w:tc>
          <w:tcPr>
            <w:tcW w:w="0" w:type="auto"/>
          </w:tcPr>
          <w:p w:rsidR="000108CC" w:rsidRDefault="002951C2" w:rsidP="00C879B9">
            <w:pPr>
              <w:jc w:val="center"/>
              <w:cnfStyle w:val="000000010000" w:firstRow="0" w:lastRow="0" w:firstColumn="0" w:lastColumn="0" w:oddVBand="0" w:evenVBand="0" w:oddHBand="0" w:evenHBand="1" w:firstRowFirstColumn="0" w:firstRowLastColumn="0" w:lastRowFirstColumn="0" w:lastRowLastColumn="0"/>
            </w:pPr>
            <w:r>
              <w:t xml:space="preserve">+ </w:t>
            </w:r>
            <w:r w:rsidR="00EF50CB">
              <w:t>14.52</w:t>
            </w:r>
          </w:p>
        </w:tc>
        <w:tc>
          <w:tcPr>
            <w:tcW w:w="0" w:type="auto"/>
          </w:tcPr>
          <w:p w:rsidR="000108CC" w:rsidRDefault="004F01EA" w:rsidP="00C879B9">
            <w:pPr>
              <w:jc w:val="center"/>
              <w:cnfStyle w:val="000000010000" w:firstRow="0" w:lastRow="0" w:firstColumn="0" w:lastColumn="0" w:oddVBand="0" w:evenVBand="0" w:oddHBand="0" w:evenHBand="1" w:firstRowFirstColumn="0" w:firstRowLastColumn="0" w:lastRowFirstColumn="0" w:lastRowLastColumn="0"/>
            </w:pPr>
            <w:r>
              <w:t>**</w:t>
            </w:r>
          </w:p>
        </w:tc>
      </w:tr>
      <w:tr w:rsidR="000108CC" w:rsidTr="00BA48E0">
        <w:trPr>
          <w:trHeight w:val="227"/>
        </w:trPr>
        <w:tc>
          <w:tcPr>
            <w:cnfStyle w:val="001000000000" w:firstRow="0" w:lastRow="0" w:firstColumn="1" w:lastColumn="0" w:oddVBand="0" w:evenVBand="0" w:oddHBand="0" w:evenHBand="0" w:firstRowFirstColumn="0" w:firstRowLastColumn="0" w:lastRowFirstColumn="0" w:lastRowLastColumn="0"/>
            <w:tcW w:w="0" w:type="auto"/>
          </w:tcPr>
          <w:p w:rsidR="000108CC" w:rsidRPr="00DC684B" w:rsidRDefault="00B14203" w:rsidP="00DC684B">
            <w:pPr>
              <w:pStyle w:val="ListParagraph"/>
              <w:numPr>
                <w:ilvl w:val="0"/>
                <w:numId w:val="11"/>
              </w:numPr>
              <w:ind w:left="458"/>
              <w:rPr>
                <w:sz w:val="20"/>
              </w:rPr>
            </w:pPr>
            <w:r w:rsidRPr="00DC684B">
              <w:rPr>
                <w:sz w:val="20"/>
              </w:rPr>
              <w:t>Educational Review Office (ERO) cycle category</w:t>
            </w:r>
          </w:p>
        </w:tc>
        <w:tc>
          <w:tcPr>
            <w:tcW w:w="0" w:type="auto"/>
          </w:tcPr>
          <w:p w:rsidR="000108CC" w:rsidRDefault="00B71013" w:rsidP="00C879B9">
            <w:pPr>
              <w:jc w:val="center"/>
              <w:cnfStyle w:val="000000000000" w:firstRow="0" w:lastRow="0" w:firstColumn="0" w:lastColumn="0" w:oddVBand="0" w:evenVBand="0" w:oddHBand="0" w:evenHBand="0" w:firstRowFirstColumn="0" w:firstRowLastColumn="0" w:lastRowFirstColumn="0" w:lastRowLastColumn="0"/>
            </w:pPr>
            <w:r>
              <w:t>+ .4</w:t>
            </w:r>
            <w:r w:rsidR="009248E6">
              <w:t>2</w:t>
            </w:r>
          </w:p>
        </w:tc>
        <w:tc>
          <w:tcPr>
            <w:tcW w:w="0" w:type="auto"/>
          </w:tcPr>
          <w:p w:rsidR="000108CC" w:rsidRDefault="00B5368F" w:rsidP="00C879B9">
            <w:pPr>
              <w:jc w:val="center"/>
              <w:cnfStyle w:val="000000000000" w:firstRow="0" w:lastRow="0" w:firstColumn="0" w:lastColumn="0" w:oddVBand="0" w:evenVBand="0" w:oddHBand="0" w:evenHBand="0" w:firstRowFirstColumn="0" w:firstRowLastColumn="0" w:lastRowFirstColumn="0" w:lastRowLastColumn="0"/>
            </w:pPr>
            <w:r>
              <w:t>+ 6.43</w:t>
            </w:r>
          </w:p>
        </w:tc>
        <w:tc>
          <w:tcPr>
            <w:tcW w:w="0" w:type="auto"/>
          </w:tcPr>
          <w:p w:rsidR="000108CC" w:rsidRDefault="004F01EA" w:rsidP="00C879B9">
            <w:pPr>
              <w:jc w:val="center"/>
              <w:cnfStyle w:val="000000000000" w:firstRow="0" w:lastRow="0" w:firstColumn="0" w:lastColumn="0" w:oddVBand="0" w:evenVBand="0" w:oddHBand="0" w:evenHBand="0" w:firstRowFirstColumn="0" w:firstRowLastColumn="0" w:lastRowFirstColumn="0" w:lastRowLastColumn="0"/>
            </w:pPr>
            <w:r>
              <w:t>***</w:t>
            </w:r>
          </w:p>
        </w:tc>
      </w:tr>
    </w:tbl>
    <w:p w:rsidR="006C1E82" w:rsidRDefault="008801C2">
      <w:r>
        <w:t xml:space="preserve">*** </w:t>
      </w:r>
      <w:r>
        <w:rPr>
          <w:i/>
        </w:rPr>
        <w:t xml:space="preserve">p </w:t>
      </w:r>
      <w:r>
        <w:t xml:space="preserve">&lt; .01, ** </w:t>
      </w:r>
      <w:r>
        <w:rPr>
          <w:i/>
        </w:rPr>
        <w:t xml:space="preserve">p </w:t>
      </w:r>
      <w:r>
        <w:t xml:space="preserve">&lt; .05 </w:t>
      </w:r>
    </w:p>
    <w:p w:rsidR="00F9179E" w:rsidRDefault="00F9179E"/>
    <w:p w:rsidR="00F9179E" w:rsidRDefault="00F9179E" w:rsidP="00F9179E">
      <w:r>
        <w:rPr>
          <w:b/>
        </w:rPr>
        <w:t>Table 3</w:t>
      </w:r>
      <w:r>
        <w:t>: Structural model results showing the predictive impact of HPS areas on student academic outcomes in reading.</w:t>
      </w:r>
    </w:p>
    <w:tbl>
      <w:tblPr>
        <w:tblStyle w:val="ReportTable"/>
        <w:tblW w:w="0" w:type="auto"/>
        <w:tblLook w:val="04A0" w:firstRow="1" w:lastRow="0" w:firstColumn="1" w:lastColumn="0" w:noHBand="0" w:noVBand="1"/>
      </w:tblPr>
      <w:tblGrid>
        <w:gridCol w:w="4803"/>
        <w:gridCol w:w="1486"/>
        <w:gridCol w:w="1477"/>
        <w:gridCol w:w="1584"/>
      </w:tblGrid>
      <w:tr w:rsidR="00F9179E" w:rsidRPr="00340369" w:rsidTr="000708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9179E" w:rsidRPr="00340369" w:rsidRDefault="00F9179E" w:rsidP="000708C5">
            <w:pPr>
              <w:rPr>
                <w:sz w:val="22"/>
              </w:rPr>
            </w:pPr>
            <w:r w:rsidRPr="00340369">
              <w:rPr>
                <w:sz w:val="22"/>
              </w:rPr>
              <w:t>Predictive impact</w:t>
            </w:r>
            <w:r>
              <w:rPr>
                <w:sz w:val="22"/>
              </w:rPr>
              <w:t xml:space="preserve"> </w:t>
            </w:r>
          </w:p>
        </w:tc>
        <w:tc>
          <w:tcPr>
            <w:tcW w:w="0" w:type="auto"/>
          </w:tcPr>
          <w:p w:rsidR="00F9179E" w:rsidRPr="00340369" w:rsidRDefault="00F9179E" w:rsidP="000708C5">
            <w:pPr>
              <w:jc w:val="center"/>
              <w:cnfStyle w:val="100000000000" w:firstRow="1" w:lastRow="0" w:firstColumn="0" w:lastColumn="0" w:oddVBand="0" w:evenVBand="0" w:oddHBand="0" w:evenHBand="0" w:firstRowFirstColumn="0" w:firstRowLastColumn="0" w:lastRowFirstColumn="0" w:lastRowLastColumn="0"/>
              <w:rPr>
                <w:sz w:val="22"/>
              </w:rPr>
            </w:pPr>
            <w:r w:rsidRPr="00340369">
              <w:rPr>
                <w:sz w:val="22"/>
              </w:rPr>
              <w:t>Path Coefficient</w:t>
            </w:r>
          </w:p>
        </w:tc>
        <w:tc>
          <w:tcPr>
            <w:tcW w:w="0" w:type="auto"/>
          </w:tcPr>
          <w:p w:rsidR="00F9179E" w:rsidRPr="00340369" w:rsidRDefault="00F9179E" w:rsidP="000708C5">
            <w:pPr>
              <w:jc w:val="center"/>
              <w:cnfStyle w:val="100000000000" w:firstRow="1" w:lastRow="0" w:firstColumn="0" w:lastColumn="0" w:oddVBand="0" w:evenVBand="0" w:oddHBand="0" w:evenHBand="0" w:firstRowFirstColumn="0" w:firstRowLastColumn="0" w:lastRowFirstColumn="0" w:lastRowLastColumn="0"/>
              <w:rPr>
                <w:sz w:val="22"/>
              </w:rPr>
            </w:pPr>
            <w:r w:rsidRPr="00340369">
              <w:rPr>
                <w:sz w:val="22"/>
              </w:rPr>
              <w:t xml:space="preserve">Observed </w:t>
            </w:r>
            <w:r w:rsidRPr="00340369">
              <w:rPr>
                <w:i/>
                <w:sz w:val="22"/>
              </w:rPr>
              <w:t xml:space="preserve">t </w:t>
            </w:r>
            <w:r w:rsidRPr="00340369">
              <w:rPr>
                <w:sz w:val="22"/>
              </w:rPr>
              <w:t>value</w:t>
            </w:r>
          </w:p>
        </w:tc>
        <w:tc>
          <w:tcPr>
            <w:tcW w:w="0" w:type="auto"/>
          </w:tcPr>
          <w:p w:rsidR="00F9179E" w:rsidRPr="00340369" w:rsidRDefault="00F9179E" w:rsidP="000708C5">
            <w:pPr>
              <w:jc w:val="center"/>
              <w:cnfStyle w:val="100000000000" w:firstRow="1" w:lastRow="0" w:firstColumn="0" w:lastColumn="0" w:oddVBand="0" w:evenVBand="0" w:oddHBand="0" w:evenHBand="0" w:firstRowFirstColumn="0" w:firstRowLastColumn="0" w:lastRowFirstColumn="0" w:lastRowLastColumn="0"/>
              <w:rPr>
                <w:sz w:val="22"/>
              </w:rPr>
            </w:pPr>
            <w:r w:rsidRPr="00340369">
              <w:rPr>
                <w:sz w:val="22"/>
              </w:rPr>
              <w:t>Significance level</w:t>
            </w:r>
          </w:p>
        </w:tc>
      </w:tr>
      <w:tr w:rsidR="00F9179E" w:rsidTr="000708C5">
        <w:trPr>
          <w:trHeight w:val="227"/>
        </w:trPr>
        <w:tc>
          <w:tcPr>
            <w:cnfStyle w:val="001000000000" w:firstRow="0" w:lastRow="0" w:firstColumn="1" w:lastColumn="0" w:oddVBand="0" w:evenVBand="0" w:oddHBand="0" w:evenHBand="0" w:firstRowFirstColumn="0" w:firstRowLastColumn="0" w:lastRowFirstColumn="0" w:lastRowLastColumn="0"/>
            <w:tcW w:w="0" w:type="auto"/>
          </w:tcPr>
          <w:p w:rsidR="00F9179E" w:rsidRPr="000108CC" w:rsidRDefault="008E26CD" w:rsidP="000708C5">
            <w:pPr>
              <w:rPr>
                <w:sz w:val="20"/>
              </w:rPr>
            </w:pPr>
            <w:r>
              <w:rPr>
                <w:sz w:val="20"/>
              </w:rPr>
              <w:t>Effect</w:t>
            </w:r>
            <w:r w:rsidR="00F9179E" w:rsidRPr="000108CC">
              <w:rPr>
                <w:sz w:val="20"/>
              </w:rPr>
              <w:t xml:space="preserve"> on </w:t>
            </w:r>
            <w:r>
              <w:rPr>
                <w:sz w:val="20"/>
              </w:rPr>
              <w:t>academic outcomes in reading</w:t>
            </w:r>
            <w:r w:rsidR="00F9179E">
              <w:rPr>
                <w:sz w:val="20"/>
              </w:rPr>
              <w:t xml:space="preserve"> (</w:t>
            </w:r>
            <w:r w:rsidR="00F9179E">
              <w:rPr>
                <w:i/>
                <w:sz w:val="20"/>
              </w:rPr>
              <w:t>R</w:t>
            </w:r>
            <w:r w:rsidR="00F9179E" w:rsidRPr="000108CC">
              <w:rPr>
                <w:sz w:val="20"/>
                <w:vertAlign w:val="superscript"/>
              </w:rPr>
              <w:t>2</w:t>
            </w:r>
            <w:r w:rsidR="00F9179E">
              <w:rPr>
                <w:sz w:val="20"/>
              </w:rPr>
              <w:t xml:space="preserve"> = .</w:t>
            </w:r>
            <w:r>
              <w:rPr>
                <w:sz w:val="20"/>
              </w:rPr>
              <w:t>54</w:t>
            </w:r>
            <w:r w:rsidR="00F9179E">
              <w:rPr>
                <w:sz w:val="20"/>
              </w:rPr>
              <w:t>)</w:t>
            </w:r>
          </w:p>
        </w:tc>
        <w:tc>
          <w:tcPr>
            <w:tcW w:w="0" w:type="auto"/>
          </w:tcPr>
          <w:p w:rsidR="00F9179E" w:rsidRPr="000108CC" w:rsidRDefault="00F9179E" w:rsidP="000708C5">
            <w:pPr>
              <w:jc w:val="center"/>
              <w:cnfStyle w:val="000000000000" w:firstRow="0" w:lastRow="0" w:firstColumn="0" w:lastColumn="0" w:oddVBand="0" w:evenVBand="0" w:oddHBand="0" w:evenHBand="0" w:firstRowFirstColumn="0" w:firstRowLastColumn="0" w:lastRowFirstColumn="0" w:lastRowLastColumn="0"/>
              <w:rPr>
                <w:sz w:val="20"/>
              </w:rPr>
            </w:pPr>
          </w:p>
        </w:tc>
        <w:tc>
          <w:tcPr>
            <w:tcW w:w="0" w:type="auto"/>
          </w:tcPr>
          <w:p w:rsidR="00F9179E" w:rsidRPr="000108CC" w:rsidRDefault="00F9179E" w:rsidP="000708C5">
            <w:pPr>
              <w:jc w:val="center"/>
              <w:cnfStyle w:val="000000000000" w:firstRow="0" w:lastRow="0" w:firstColumn="0" w:lastColumn="0" w:oddVBand="0" w:evenVBand="0" w:oddHBand="0" w:evenHBand="0" w:firstRowFirstColumn="0" w:firstRowLastColumn="0" w:lastRowFirstColumn="0" w:lastRowLastColumn="0"/>
              <w:rPr>
                <w:sz w:val="20"/>
              </w:rPr>
            </w:pPr>
          </w:p>
        </w:tc>
        <w:tc>
          <w:tcPr>
            <w:tcW w:w="0" w:type="auto"/>
          </w:tcPr>
          <w:p w:rsidR="00F9179E" w:rsidRPr="000108CC" w:rsidRDefault="00F9179E" w:rsidP="000708C5">
            <w:pPr>
              <w:jc w:val="center"/>
              <w:cnfStyle w:val="000000000000" w:firstRow="0" w:lastRow="0" w:firstColumn="0" w:lastColumn="0" w:oddVBand="0" w:evenVBand="0" w:oddHBand="0" w:evenHBand="0" w:firstRowFirstColumn="0" w:firstRowLastColumn="0" w:lastRowFirstColumn="0" w:lastRowLastColumn="0"/>
              <w:rPr>
                <w:sz w:val="20"/>
              </w:rPr>
            </w:pPr>
          </w:p>
        </w:tc>
      </w:tr>
      <w:tr w:rsidR="00F9179E" w:rsidTr="000708C5">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0" w:type="auto"/>
          </w:tcPr>
          <w:p w:rsidR="00F9179E" w:rsidRPr="00DC684B" w:rsidRDefault="00F9179E" w:rsidP="000708C5">
            <w:pPr>
              <w:pStyle w:val="ListParagraph"/>
              <w:numPr>
                <w:ilvl w:val="0"/>
                <w:numId w:val="11"/>
              </w:numPr>
              <w:ind w:left="458"/>
              <w:rPr>
                <w:sz w:val="20"/>
              </w:rPr>
            </w:pPr>
            <w:r w:rsidRPr="00DC684B">
              <w:rPr>
                <w:sz w:val="20"/>
              </w:rPr>
              <w:t>Quality/performance of the HPS facilitator</w:t>
            </w:r>
          </w:p>
        </w:tc>
        <w:tc>
          <w:tcPr>
            <w:tcW w:w="0" w:type="auto"/>
          </w:tcPr>
          <w:p w:rsidR="00F9179E" w:rsidRDefault="00F9179E" w:rsidP="000708C5">
            <w:pPr>
              <w:jc w:val="center"/>
              <w:cnfStyle w:val="000000010000" w:firstRow="0" w:lastRow="0" w:firstColumn="0" w:lastColumn="0" w:oddVBand="0" w:evenVBand="0" w:oddHBand="0" w:evenHBand="1" w:firstRowFirstColumn="0" w:firstRowLastColumn="0" w:lastRowFirstColumn="0" w:lastRowLastColumn="0"/>
            </w:pPr>
            <w:r>
              <w:t>+ .45</w:t>
            </w:r>
          </w:p>
        </w:tc>
        <w:tc>
          <w:tcPr>
            <w:tcW w:w="0" w:type="auto"/>
          </w:tcPr>
          <w:p w:rsidR="00F9179E" w:rsidRDefault="00F9179E" w:rsidP="000708C5">
            <w:pPr>
              <w:jc w:val="center"/>
              <w:cnfStyle w:val="000000010000" w:firstRow="0" w:lastRow="0" w:firstColumn="0" w:lastColumn="0" w:oddVBand="0" w:evenVBand="0" w:oddHBand="0" w:evenHBand="1" w:firstRowFirstColumn="0" w:firstRowLastColumn="0" w:lastRowFirstColumn="0" w:lastRowLastColumn="0"/>
            </w:pPr>
            <w:r>
              <w:t>+3.67</w:t>
            </w:r>
          </w:p>
        </w:tc>
        <w:tc>
          <w:tcPr>
            <w:tcW w:w="0" w:type="auto"/>
          </w:tcPr>
          <w:p w:rsidR="00F9179E" w:rsidRDefault="00F9179E" w:rsidP="000708C5">
            <w:pPr>
              <w:jc w:val="center"/>
              <w:cnfStyle w:val="000000010000" w:firstRow="0" w:lastRow="0" w:firstColumn="0" w:lastColumn="0" w:oddVBand="0" w:evenVBand="0" w:oddHBand="0" w:evenHBand="1" w:firstRowFirstColumn="0" w:firstRowLastColumn="0" w:lastRowFirstColumn="0" w:lastRowLastColumn="0"/>
            </w:pPr>
            <w:r>
              <w:t>**</w:t>
            </w:r>
          </w:p>
        </w:tc>
      </w:tr>
      <w:tr w:rsidR="00F9179E" w:rsidTr="000708C5">
        <w:trPr>
          <w:trHeight w:val="586"/>
        </w:trPr>
        <w:tc>
          <w:tcPr>
            <w:cnfStyle w:val="001000000000" w:firstRow="0" w:lastRow="0" w:firstColumn="1" w:lastColumn="0" w:oddVBand="0" w:evenVBand="0" w:oddHBand="0" w:evenHBand="0" w:firstRowFirstColumn="0" w:firstRowLastColumn="0" w:lastRowFirstColumn="0" w:lastRowLastColumn="0"/>
            <w:tcW w:w="0" w:type="auto"/>
          </w:tcPr>
          <w:p w:rsidR="00F9179E" w:rsidRPr="00DC684B" w:rsidRDefault="00F9179E" w:rsidP="000708C5">
            <w:pPr>
              <w:pStyle w:val="ListParagraph"/>
              <w:numPr>
                <w:ilvl w:val="0"/>
                <w:numId w:val="11"/>
              </w:numPr>
              <w:spacing w:after="200"/>
              <w:ind w:left="458"/>
              <w:rPr>
                <w:sz w:val="20"/>
              </w:rPr>
            </w:pPr>
            <w:r w:rsidRPr="00DC684B">
              <w:rPr>
                <w:sz w:val="20"/>
              </w:rPr>
              <w:t>Performance on (and completion of) the HPS health and wellbeing rubric</w:t>
            </w:r>
          </w:p>
        </w:tc>
        <w:tc>
          <w:tcPr>
            <w:tcW w:w="0" w:type="auto"/>
          </w:tcPr>
          <w:p w:rsidR="00F9179E" w:rsidRDefault="00F9179E" w:rsidP="000708C5">
            <w:pPr>
              <w:jc w:val="center"/>
              <w:cnfStyle w:val="000000000000" w:firstRow="0" w:lastRow="0" w:firstColumn="0" w:lastColumn="0" w:oddVBand="0" w:evenVBand="0" w:oddHBand="0" w:evenHBand="0" w:firstRowFirstColumn="0" w:firstRowLastColumn="0" w:lastRowFirstColumn="0" w:lastRowLastColumn="0"/>
            </w:pPr>
            <w:r>
              <w:t>+ .69</w:t>
            </w:r>
          </w:p>
        </w:tc>
        <w:tc>
          <w:tcPr>
            <w:tcW w:w="0" w:type="auto"/>
          </w:tcPr>
          <w:p w:rsidR="00F9179E" w:rsidRDefault="00F9179E" w:rsidP="000708C5">
            <w:pPr>
              <w:jc w:val="center"/>
              <w:cnfStyle w:val="000000000000" w:firstRow="0" w:lastRow="0" w:firstColumn="0" w:lastColumn="0" w:oddVBand="0" w:evenVBand="0" w:oddHBand="0" w:evenHBand="0" w:firstRowFirstColumn="0" w:firstRowLastColumn="0" w:lastRowFirstColumn="0" w:lastRowLastColumn="0"/>
            </w:pPr>
            <w:r>
              <w:t>+ 8.42</w:t>
            </w:r>
          </w:p>
        </w:tc>
        <w:tc>
          <w:tcPr>
            <w:tcW w:w="0" w:type="auto"/>
          </w:tcPr>
          <w:p w:rsidR="00F9179E" w:rsidRDefault="00F9179E" w:rsidP="000708C5">
            <w:pPr>
              <w:jc w:val="center"/>
              <w:cnfStyle w:val="000000000000" w:firstRow="0" w:lastRow="0" w:firstColumn="0" w:lastColumn="0" w:oddVBand="0" w:evenVBand="0" w:oddHBand="0" w:evenHBand="0" w:firstRowFirstColumn="0" w:firstRowLastColumn="0" w:lastRowFirstColumn="0" w:lastRowLastColumn="0"/>
            </w:pPr>
            <w:r>
              <w:t>***</w:t>
            </w:r>
          </w:p>
        </w:tc>
      </w:tr>
      <w:tr w:rsidR="00F9179E" w:rsidTr="000708C5">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0" w:type="auto"/>
          </w:tcPr>
          <w:p w:rsidR="00F9179E" w:rsidRPr="00DC684B" w:rsidRDefault="00F9179E" w:rsidP="000708C5">
            <w:pPr>
              <w:pStyle w:val="ListParagraph"/>
              <w:numPr>
                <w:ilvl w:val="0"/>
                <w:numId w:val="11"/>
              </w:numPr>
              <w:spacing w:after="200"/>
              <w:ind w:left="458"/>
              <w:rPr>
                <w:sz w:val="20"/>
              </w:rPr>
            </w:pPr>
            <w:r w:rsidRPr="00DC684B">
              <w:rPr>
                <w:sz w:val="20"/>
              </w:rPr>
              <w:t>School decile</w:t>
            </w:r>
          </w:p>
        </w:tc>
        <w:tc>
          <w:tcPr>
            <w:tcW w:w="0" w:type="auto"/>
          </w:tcPr>
          <w:p w:rsidR="00F9179E" w:rsidRDefault="00F9179E" w:rsidP="000708C5">
            <w:pPr>
              <w:jc w:val="center"/>
              <w:cnfStyle w:val="000000010000" w:firstRow="0" w:lastRow="0" w:firstColumn="0" w:lastColumn="0" w:oddVBand="0" w:evenVBand="0" w:oddHBand="0" w:evenHBand="1" w:firstRowFirstColumn="0" w:firstRowLastColumn="0" w:lastRowFirstColumn="0" w:lastRowLastColumn="0"/>
            </w:pPr>
            <w:r>
              <w:t>+ .12</w:t>
            </w:r>
          </w:p>
        </w:tc>
        <w:tc>
          <w:tcPr>
            <w:tcW w:w="0" w:type="auto"/>
          </w:tcPr>
          <w:p w:rsidR="00F9179E" w:rsidRDefault="00F9179E" w:rsidP="000708C5">
            <w:pPr>
              <w:jc w:val="center"/>
              <w:cnfStyle w:val="000000010000" w:firstRow="0" w:lastRow="0" w:firstColumn="0" w:lastColumn="0" w:oddVBand="0" w:evenVBand="0" w:oddHBand="0" w:evenHBand="1" w:firstRowFirstColumn="0" w:firstRowLastColumn="0" w:lastRowFirstColumn="0" w:lastRowLastColumn="0"/>
            </w:pPr>
            <w:r>
              <w:t>+ .67</w:t>
            </w:r>
          </w:p>
        </w:tc>
        <w:tc>
          <w:tcPr>
            <w:tcW w:w="0" w:type="auto"/>
          </w:tcPr>
          <w:p w:rsidR="00F9179E" w:rsidRDefault="00A16329" w:rsidP="000708C5">
            <w:pPr>
              <w:jc w:val="center"/>
              <w:cnfStyle w:val="000000010000" w:firstRow="0" w:lastRow="0" w:firstColumn="0" w:lastColumn="0" w:oddVBand="0" w:evenVBand="0" w:oddHBand="0" w:evenHBand="1" w:firstRowFirstColumn="0" w:firstRowLastColumn="0" w:lastRowFirstColumn="0" w:lastRowLastColumn="0"/>
            </w:pPr>
            <w:r>
              <w:t>*</w:t>
            </w:r>
          </w:p>
        </w:tc>
      </w:tr>
      <w:tr w:rsidR="00F9179E" w:rsidTr="000708C5">
        <w:trPr>
          <w:trHeight w:val="227"/>
        </w:trPr>
        <w:tc>
          <w:tcPr>
            <w:cnfStyle w:val="001000000000" w:firstRow="0" w:lastRow="0" w:firstColumn="1" w:lastColumn="0" w:oddVBand="0" w:evenVBand="0" w:oddHBand="0" w:evenHBand="0" w:firstRowFirstColumn="0" w:firstRowLastColumn="0" w:lastRowFirstColumn="0" w:lastRowLastColumn="0"/>
            <w:tcW w:w="0" w:type="auto"/>
          </w:tcPr>
          <w:p w:rsidR="00F9179E" w:rsidRPr="00DC684B" w:rsidRDefault="00F9179E" w:rsidP="000708C5">
            <w:pPr>
              <w:pStyle w:val="ListParagraph"/>
              <w:numPr>
                <w:ilvl w:val="0"/>
                <w:numId w:val="11"/>
              </w:numPr>
              <w:spacing w:after="200"/>
              <w:ind w:left="458"/>
              <w:rPr>
                <w:sz w:val="20"/>
              </w:rPr>
            </w:pPr>
            <w:r w:rsidRPr="00DC684B">
              <w:rPr>
                <w:sz w:val="20"/>
              </w:rPr>
              <w:t xml:space="preserve">HPS level of inquiry </w:t>
            </w:r>
            <w:r>
              <w:rPr>
                <w:sz w:val="20"/>
              </w:rPr>
              <w:t>(2 and 3)</w:t>
            </w:r>
          </w:p>
        </w:tc>
        <w:tc>
          <w:tcPr>
            <w:tcW w:w="0" w:type="auto"/>
          </w:tcPr>
          <w:p w:rsidR="00F9179E" w:rsidRDefault="00F9179E" w:rsidP="000708C5">
            <w:pPr>
              <w:jc w:val="center"/>
              <w:cnfStyle w:val="000000000000" w:firstRow="0" w:lastRow="0" w:firstColumn="0" w:lastColumn="0" w:oddVBand="0" w:evenVBand="0" w:oddHBand="0" w:evenHBand="0" w:firstRowFirstColumn="0" w:firstRowLastColumn="0" w:lastRowFirstColumn="0" w:lastRowLastColumn="0"/>
            </w:pPr>
            <w:r>
              <w:t>+ .54</w:t>
            </w:r>
          </w:p>
        </w:tc>
        <w:tc>
          <w:tcPr>
            <w:tcW w:w="0" w:type="auto"/>
          </w:tcPr>
          <w:p w:rsidR="00F9179E" w:rsidRDefault="00F9179E" w:rsidP="000708C5">
            <w:pPr>
              <w:jc w:val="center"/>
              <w:cnfStyle w:val="000000000000" w:firstRow="0" w:lastRow="0" w:firstColumn="0" w:lastColumn="0" w:oddVBand="0" w:evenVBand="0" w:oddHBand="0" w:evenHBand="0" w:firstRowFirstColumn="0" w:firstRowLastColumn="0" w:lastRowFirstColumn="0" w:lastRowLastColumn="0"/>
            </w:pPr>
            <w:r>
              <w:t>+ 6.22</w:t>
            </w:r>
          </w:p>
        </w:tc>
        <w:tc>
          <w:tcPr>
            <w:tcW w:w="0" w:type="auto"/>
          </w:tcPr>
          <w:p w:rsidR="00F9179E" w:rsidRDefault="00F9179E" w:rsidP="000708C5">
            <w:pPr>
              <w:jc w:val="center"/>
              <w:cnfStyle w:val="000000000000" w:firstRow="0" w:lastRow="0" w:firstColumn="0" w:lastColumn="0" w:oddVBand="0" w:evenVBand="0" w:oddHBand="0" w:evenHBand="0" w:firstRowFirstColumn="0" w:firstRowLastColumn="0" w:lastRowFirstColumn="0" w:lastRowLastColumn="0"/>
            </w:pPr>
            <w:r>
              <w:t>**</w:t>
            </w:r>
          </w:p>
        </w:tc>
      </w:tr>
      <w:tr w:rsidR="00F9179E" w:rsidTr="000708C5">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0" w:type="auto"/>
          </w:tcPr>
          <w:p w:rsidR="00F9179E" w:rsidRPr="00DC684B" w:rsidRDefault="00F9179E" w:rsidP="000708C5">
            <w:pPr>
              <w:pStyle w:val="ListParagraph"/>
              <w:numPr>
                <w:ilvl w:val="0"/>
                <w:numId w:val="11"/>
              </w:numPr>
              <w:ind w:left="458"/>
              <w:rPr>
                <w:sz w:val="20"/>
              </w:rPr>
            </w:pPr>
            <w:r w:rsidRPr="00DC684B">
              <w:rPr>
                <w:sz w:val="20"/>
              </w:rPr>
              <w:t>Whānau engagement with schools</w:t>
            </w:r>
          </w:p>
        </w:tc>
        <w:tc>
          <w:tcPr>
            <w:tcW w:w="0" w:type="auto"/>
          </w:tcPr>
          <w:p w:rsidR="00F9179E" w:rsidRDefault="00F9179E" w:rsidP="000708C5">
            <w:pPr>
              <w:jc w:val="center"/>
              <w:cnfStyle w:val="000000010000" w:firstRow="0" w:lastRow="0" w:firstColumn="0" w:lastColumn="0" w:oddVBand="0" w:evenVBand="0" w:oddHBand="0" w:evenHBand="1" w:firstRowFirstColumn="0" w:firstRowLastColumn="0" w:lastRowFirstColumn="0" w:lastRowLastColumn="0"/>
            </w:pPr>
            <w:r>
              <w:t>+ .91</w:t>
            </w:r>
          </w:p>
        </w:tc>
        <w:tc>
          <w:tcPr>
            <w:tcW w:w="0" w:type="auto"/>
          </w:tcPr>
          <w:p w:rsidR="00F9179E" w:rsidRDefault="00F9179E" w:rsidP="000708C5">
            <w:pPr>
              <w:jc w:val="center"/>
              <w:cnfStyle w:val="000000010000" w:firstRow="0" w:lastRow="0" w:firstColumn="0" w:lastColumn="0" w:oddVBand="0" w:evenVBand="0" w:oddHBand="0" w:evenHBand="1" w:firstRowFirstColumn="0" w:firstRowLastColumn="0" w:lastRowFirstColumn="0" w:lastRowLastColumn="0"/>
            </w:pPr>
            <w:r>
              <w:t>+ 11.79</w:t>
            </w:r>
          </w:p>
        </w:tc>
        <w:tc>
          <w:tcPr>
            <w:tcW w:w="0" w:type="auto"/>
          </w:tcPr>
          <w:p w:rsidR="00F9179E" w:rsidRDefault="00F9179E" w:rsidP="000708C5">
            <w:pPr>
              <w:jc w:val="center"/>
              <w:cnfStyle w:val="000000010000" w:firstRow="0" w:lastRow="0" w:firstColumn="0" w:lastColumn="0" w:oddVBand="0" w:evenVBand="0" w:oddHBand="0" w:evenHBand="1" w:firstRowFirstColumn="0" w:firstRowLastColumn="0" w:lastRowFirstColumn="0" w:lastRowLastColumn="0"/>
            </w:pPr>
            <w:r>
              <w:t>**</w:t>
            </w:r>
          </w:p>
        </w:tc>
      </w:tr>
      <w:tr w:rsidR="00F9179E" w:rsidTr="000708C5">
        <w:trPr>
          <w:trHeight w:val="227"/>
        </w:trPr>
        <w:tc>
          <w:tcPr>
            <w:cnfStyle w:val="001000000000" w:firstRow="0" w:lastRow="0" w:firstColumn="1" w:lastColumn="0" w:oddVBand="0" w:evenVBand="0" w:oddHBand="0" w:evenHBand="0" w:firstRowFirstColumn="0" w:firstRowLastColumn="0" w:lastRowFirstColumn="0" w:lastRowLastColumn="0"/>
            <w:tcW w:w="0" w:type="auto"/>
          </w:tcPr>
          <w:p w:rsidR="00F9179E" w:rsidRPr="00DC684B" w:rsidRDefault="00F9179E" w:rsidP="000708C5">
            <w:pPr>
              <w:pStyle w:val="ListParagraph"/>
              <w:numPr>
                <w:ilvl w:val="0"/>
                <w:numId w:val="11"/>
              </w:numPr>
              <w:ind w:left="458"/>
              <w:rPr>
                <w:sz w:val="20"/>
              </w:rPr>
            </w:pPr>
            <w:r w:rsidRPr="00DC684B">
              <w:rPr>
                <w:sz w:val="20"/>
              </w:rPr>
              <w:t>Educational Review Office (ERO) cycle category</w:t>
            </w:r>
          </w:p>
        </w:tc>
        <w:tc>
          <w:tcPr>
            <w:tcW w:w="0" w:type="auto"/>
          </w:tcPr>
          <w:p w:rsidR="00F9179E" w:rsidRDefault="00F9179E" w:rsidP="000708C5">
            <w:pPr>
              <w:jc w:val="center"/>
              <w:cnfStyle w:val="000000000000" w:firstRow="0" w:lastRow="0" w:firstColumn="0" w:lastColumn="0" w:oddVBand="0" w:evenVBand="0" w:oddHBand="0" w:evenHBand="0" w:firstRowFirstColumn="0" w:firstRowLastColumn="0" w:lastRowFirstColumn="0" w:lastRowLastColumn="0"/>
            </w:pPr>
            <w:r>
              <w:t>+ .70</w:t>
            </w:r>
          </w:p>
        </w:tc>
        <w:tc>
          <w:tcPr>
            <w:tcW w:w="0" w:type="auto"/>
          </w:tcPr>
          <w:p w:rsidR="00F9179E" w:rsidRDefault="00F9179E" w:rsidP="000708C5">
            <w:pPr>
              <w:jc w:val="center"/>
              <w:cnfStyle w:val="000000000000" w:firstRow="0" w:lastRow="0" w:firstColumn="0" w:lastColumn="0" w:oddVBand="0" w:evenVBand="0" w:oddHBand="0" w:evenHBand="0" w:firstRowFirstColumn="0" w:firstRowLastColumn="0" w:lastRowFirstColumn="0" w:lastRowLastColumn="0"/>
            </w:pPr>
            <w:r>
              <w:t>+ 7.44</w:t>
            </w:r>
          </w:p>
        </w:tc>
        <w:tc>
          <w:tcPr>
            <w:tcW w:w="0" w:type="auto"/>
          </w:tcPr>
          <w:p w:rsidR="00F9179E" w:rsidRDefault="00F9179E" w:rsidP="000708C5">
            <w:pPr>
              <w:jc w:val="center"/>
              <w:cnfStyle w:val="000000000000" w:firstRow="0" w:lastRow="0" w:firstColumn="0" w:lastColumn="0" w:oddVBand="0" w:evenVBand="0" w:oddHBand="0" w:evenHBand="0" w:firstRowFirstColumn="0" w:firstRowLastColumn="0" w:lastRowFirstColumn="0" w:lastRowLastColumn="0"/>
            </w:pPr>
            <w:r>
              <w:t>***</w:t>
            </w:r>
          </w:p>
        </w:tc>
      </w:tr>
    </w:tbl>
    <w:p w:rsidR="00F9179E" w:rsidRDefault="00F9179E" w:rsidP="00F9179E">
      <w:r>
        <w:t xml:space="preserve">*** </w:t>
      </w:r>
      <w:r>
        <w:rPr>
          <w:i/>
        </w:rPr>
        <w:t xml:space="preserve">p </w:t>
      </w:r>
      <w:r>
        <w:t xml:space="preserve">&lt; .01, ** </w:t>
      </w:r>
      <w:r>
        <w:rPr>
          <w:i/>
        </w:rPr>
        <w:t xml:space="preserve">p </w:t>
      </w:r>
      <w:r>
        <w:t>&lt; .05</w:t>
      </w:r>
      <w:r w:rsidR="00A16329">
        <w:t xml:space="preserve">, * </w:t>
      </w:r>
      <w:r w:rsidR="00A16329">
        <w:rPr>
          <w:i/>
        </w:rPr>
        <w:t xml:space="preserve">p </w:t>
      </w:r>
      <w:r w:rsidR="00A16329">
        <w:t>&lt; .10</w:t>
      </w:r>
    </w:p>
    <w:p w:rsidR="00F9179E" w:rsidRPr="008801C2" w:rsidRDefault="00F9179E"/>
    <w:p w:rsidR="008801C2" w:rsidRDefault="006C1E82" w:rsidP="00F9179E">
      <w:r>
        <w:rPr>
          <w:b/>
        </w:rPr>
        <w:br w:type="page"/>
      </w:r>
      <w:r w:rsidR="008801C2">
        <w:lastRenderedPageBreak/>
        <w:t xml:space="preserve"> </w:t>
      </w:r>
    </w:p>
    <w:p w:rsidR="009A57B6" w:rsidRPr="00710F29" w:rsidRDefault="009A57B6" w:rsidP="00710F29">
      <w:pPr>
        <w:pStyle w:val="Heading3"/>
      </w:pPr>
      <w:bookmarkStart w:id="23" w:name="_Toc491757210"/>
      <w:r w:rsidRPr="00D15C7A">
        <w:rPr>
          <w:i/>
        </w:rPr>
        <w:t>R</w:t>
      </w:r>
      <w:r w:rsidRPr="00FB18DC">
        <w:rPr>
          <w:vertAlign w:val="superscript"/>
        </w:rPr>
        <w:t>2</w:t>
      </w:r>
      <w:r w:rsidRPr="00710F29">
        <w:t xml:space="preserve"> for Dependent Constructs</w:t>
      </w:r>
      <w:bookmarkEnd w:id="23"/>
    </w:p>
    <w:p w:rsidR="009A57B6" w:rsidRPr="003D5956" w:rsidRDefault="009A57B6" w:rsidP="003D5956">
      <w:r w:rsidRPr="003D5956">
        <w:t>The results show that the structural model explai</w:t>
      </w:r>
      <w:r w:rsidR="00D8027C">
        <w:t xml:space="preserve">ns 60% </w:t>
      </w:r>
      <w:r w:rsidRPr="003D5956">
        <w:t xml:space="preserve">of the variance in the </w:t>
      </w:r>
      <w:r w:rsidR="00D8027C">
        <w:t xml:space="preserve">attendance construct </w:t>
      </w:r>
      <w:r w:rsidRPr="003D5956">
        <w:t xml:space="preserve">and </w:t>
      </w:r>
      <w:r w:rsidR="00D8027C">
        <w:t>42%</w:t>
      </w:r>
      <w:r w:rsidRPr="003D5956">
        <w:t xml:space="preserve"> percent of the variance in the </w:t>
      </w:r>
      <w:r w:rsidR="00984C25">
        <w:t>stand-</w:t>
      </w:r>
      <w:r w:rsidR="00D8027C">
        <w:t xml:space="preserve">downs and suspensions </w:t>
      </w:r>
      <w:r w:rsidRPr="003D5956">
        <w:t>construct</w:t>
      </w:r>
      <w:r w:rsidR="004E00A3">
        <w:t>s</w:t>
      </w:r>
      <w:r w:rsidRPr="003D5956">
        <w:t>. The percentage of variance explained for these primary dependent variables were greater than 10 percent, implying satisfactory and substantive value and predictive power of the PLS model (Falk &amp; Miller, 1992).</w:t>
      </w:r>
    </w:p>
    <w:p w:rsidR="009A57B6" w:rsidRPr="00710F29" w:rsidRDefault="009A57B6" w:rsidP="0031390A">
      <w:pPr>
        <w:pStyle w:val="Heading3"/>
        <w:spacing w:before="200"/>
      </w:pPr>
      <w:bookmarkStart w:id="24" w:name="_Toc491757211"/>
      <w:r w:rsidRPr="00710F29">
        <w:t>The Stone-Geisser Q</w:t>
      </w:r>
      <w:r w:rsidRPr="00B4300A">
        <w:rPr>
          <w:vertAlign w:val="superscript"/>
        </w:rPr>
        <w:t>2</w:t>
      </w:r>
      <w:r w:rsidRPr="00710F29">
        <w:t xml:space="preserve"> Test</w:t>
      </w:r>
      <w:bookmarkEnd w:id="24"/>
    </w:p>
    <w:p w:rsidR="009A57B6" w:rsidRPr="003D5956" w:rsidRDefault="009A57B6" w:rsidP="003D5956">
      <w:r w:rsidRPr="003D5956">
        <w:t>In addition to examining the R</w:t>
      </w:r>
      <w:r w:rsidRPr="00B4300A">
        <w:rPr>
          <w:vertAlign w:val="superscript"/>
        </w:rPr>
        <w:t>2</w:t>
      </w:r>
      <w:r w:rsidRPr="003D5956">
        <w:t>, the PLS model is also evaluated by looking at the Q</w:t>
      </w:r>
      <w:r w:rsidRPr="00B4300A">
        <w:rPr>
          <w:vertAlign w:val="superscript"/>
        </w:rPr>
        <w:t>2</w:t>
      </w:r>
      <w:r w:rsidRPr="003D5956">
        <w:t xml:space="preserve"> for predictive relevance for the model constructs. </w:t>
      </w:r>
      <w:r w:rsidR="00B4300A" w:rsidRPr="003D5956">
        <w:t>Q</w:t>
      </w:r>
      <w:r w:rsidR="00B4300A" w:rsidRPr="00B4300A">
        <w:rPr>
          <w:vertAlign w:val="superscript"/>
        </w:rPr>
        <w:t>2</w:t>
      </w:r>
      <w:r w:rsidRPr="003D5956">
        <w:t xml:space="preserve"> is a measure of how well the observed values are reproduced by the model and its parameter estimates. </w:t>
      </w:r>
      <w:r w:rsidR="00B4300A" w:rsidRPr="003D5956">
        <w:t>Q</w:t>
      </w:r>
      <w:r w:rsidR="00B4300A" w:rsidRPr="00B4300A">
        <w:rPr>
          <w:vertAlign w:val="superscript"/>
        </w:rPr>
        <w:t>2</w:t>
      </w:r>
      <w:r w:rsidRPr="003D5956">
        <w:t xml:space="preserve"> is estimated using a blindfolding procedure that omits a part of the data for a </w:t>
      </w:r>
      <w:r w:rsidR="008B6102" w:rsidRPr="003D5956">
        <w:t>block</w:t>
      </w:r>
      <w:r w:rsidRPr="003D5956">
        <w:t xml:space="preserve"> of indicators during parameter estimation (Chin, 1998). The omitted part is then estimated using the estimated parameters, and the procedure is repeated until every data point has been omitted and estimated. A redundancy </w:t>
      </w:r>
      <w:r w:rsidR="00B4300A" w:rsidRPr="003D5956">
        <w:t>Q</w:t>
      </w:r>
      <w:r w:rsidR="00B4300A" w:rsidRPr="00B4300A">
        <w:rPr>
          <w:vertAlign w:val="superscript"/>
        </w:rPr>
        <w:t>2</w:t>
      </w:r>
      <w:r w:rsidRPr="003D5956">
        <w:t xml:space="preserve"> is obtained if prediction of the omitted data points is made by constructs that are predictors of the blindfolded construct in the PLS model (Veniak, Midgley, &amp; Devinney, 1998). </w:t>
      </w:r>
      <w:r w:rsidR="00B4300A" w:rsidRPr="003D5956">
        <w:t>Q</w:t>
      </w:r>
      <w:r w:rsidR="00B4300A" w:rsidRPr="00B4300A">
        <w:rPr>
          <w:vertAlign w:val="superscript"/>
        </w:rPr>
        <w:t>2</w:t>
      </w:r>
      <w:r w:rsidRPr="003D5956">
        <w:t xml:space="preserve"> greater than </w:t>
      </w:r>
      <w:r w:rsidR="008B6102">
        <w:t xml:space="preserve">zero </w:t>
      </w:r>
      <w:r w:rsidRPr="003D5956">
        <w:t xml:space="preserve">implies that the model has predictive relevance, whereas </w:t>
      </w:r>
      <w:r w:rsidR="00B4300A" w:rsidRPr="003D5956">
        <w:t>Q</w:t>
      </w:r>
      <w:r w:rsidR="00B4300A" w:rsidRPr="00B4300A">
        <w:rPr>
          <w:vertAlign w:val="superscript"/>
        </w:rPr>
        <w:t>2</w:t>
      </w:r>
      <w:r w:rsidRPr="003D5956">
        <w:t xml:space="preserve"> less than </w:t>
      </w:r>
      <w:r w:rsidR="008B6102">
        <w:t>zero</w:t>
      </w:r>
      <w:r w:rsidRPr="003D5956">
        <w:t xml:space="preserve"> suggests that the model lacks predictive relevance. </w:t>
      </w:r>
      <w:r w:rsidR="00172A04">
        <w:t xml:space="preserve">Using </w:t>
      </w:r>
      <w:r w:rsidR="00853862">
        <w:t>omission distances of 9</w:t>
      </w:r>
      <w:r w:rsidRPr="003D5956">
        <w:t xml:space="preserve"> and </w:t>
      </w:r>
      <w:r w:rsidR="00853862">
        <w:t xml:space="preserve">12 </w:t>
      </w:r>
      <w:r w:rsidRPr="003D5956">
        <w:t xml:space="preserve">produced identical results, indicating that the model estimates are </w:t>
      </w:r>
      <w:r w:rsidR="001D0EE3">
        <w:t xml:space="preserve">very </w:t>
      </w:r>
      <w:r w:rsidR="005917D4">
        <w:t>stable. Further, t</w:t>
      </w:r>
      <w:r w:rsidRPr="003D5956">
        <w:t xml:space="preserve">he communality </w:t>
      </w:r>
      <w:r w:rsidR="00B4300A" w:rsidRPr="003D5956">
        <w:t>Q</w:t>
      </w:r>
      <w:r w:rsidR="00B4300A" w:rsidRPr="00B4300A">
        <w:rPr>
          <w:vertAlign w:val="superscript"/>
        </w:rPr>
        <w:t>2</w:t>
      </w:r>
      <w:r w:rsidR="008C3B0C">
        <w:rPr>
          <w:vertAlign w:val="superscript"/>
        </w:rPr>
        <w:t xml:space="preserve"> </w:t>
      </w:r>
      <w:r w:rsidRPr="003D5956">
        <w:t xml:space="preserve">was greater than </w:t>
      </w:r>
      <w:r w:rsidR="005917D4">
        <w:t xml:space="preserve">zero </w:t>
      </w:r>
      <w:r w:rsidRPr="003D5956">
        <w:t>for all constructs.</w:t>
      </w:r>
    </w:p>
    <w:p w:rsidR="001F5A96" w:rsidRDefault="009A57B6" w:rsidP="001F5A96">
      <w:r w:rsidRPr="003D5956">
        <w:t xml:space="preserve">Looking at the redundancy </w:t>
      </w:r>
      <w:r w:rsidR="00B4300A" w:rsidRPr="003D5956">
        <w:t>Q</w:t>
      </w:r>
      <w:r w:rsidR="00B4300A" w:rsidRPr="00B4300A">
        <w:rPr>
          <w:vertAlign w:val="superscript"/>
        </w:rPr>
        <w:t>2</w:t>
      </w:r>
      <w:r w:rsidRPr="003D5956">
        <w:t xml:space="preserve">, both </w:t>
      </w:r>
      <w:r w:rsidR="00640260">
        <w:t>positive student behaviour</w:t>
      </w:r>
      <w:r w:rsidR="00924032">
        <w:t xml:space="preserve">s (i.e., attendance, </w:t>
      </w:r>
      <w:r w:rsidR="004D294C">
        <w:t>stand-</w:t>
      </w:r>
      <w:r w:rsidR="00A67E74">
        <w:t>downs and suspensions)</w:t>
      </w:r>
      <w:r w:rsidR="00640260">
        <w:t xml:space="preserve"> </w:t>
      </w:r>
      <w:r w:rsidR="003D229F" w:rsidRPr="003D5956">
        <w:t xml:space="preserve">and </w:t>
      </w:r>
      <w:r w:rsidR="00640260">
        <w:t xml:space="preserve">academic (reading) </w:t>
      </w:r>
      <w:r w:rsidR="003D229F" w:rsidRPr="003D5956">
        <w:t xml:space="preserve">outcomes have </w:t>
      </w:r>
      <w:r w:rsidRPr="003D5956">
        <w:t>positive redundancy</w:t>
      </w:r>
      <w:r w:rsidR="00B4300A" w:rsidRPr="00B4300A">
        <w:t xml:space="preserve"> </w:t>
      </w:r>
      <w:r w:rsidR="00B4300A" w:rsidRPr="003D5956">
        <w:t>Q</w:t>
      </w:r>
      <w:r w:rsidR="00B4300A" w:rsidRPr="00B4300A">
        <w:rPr>
          <w:vertAlign w:val="superscript"/>
        </w:rPr>
        <w:t>2</w:t>
      </w:r>
      <w:r w:rsidRPr="003D5956">
        <w:t xml:space="preserve"> values</w:t>
      </w:r>
      <w:r w:rsidR="00041A8D">
        <w:t xml:space="preserve"> (Henseler &amp; Sarstedt, 2013)</w:t>
      </w:r>
      <w:r w:rsidRPr="003D5956">
        <w:t>.</w:t>
      </w:r>
      <w:r w:rsidR="003D229F" w:rsidRPr="003D5956">
        <w:t xml:space="preserve"> </w:t>
      </w:r>
      <w:r w:rsidRPr="003D5956">
        <w:t>Overall, the estim</w:t>
      </w:r>
      <w:r w:rsidR="003D229F" w:rsidRPr="003D5956">
        <w:t xml:space="preserve">ated model has good communality </w:t>
      </w:r>
      <w:r w:rsidR="00B4300A" w:rsidRPr="003D5956">
        <w:t>Q</w:t>
      </w:r>
      <w:r w:rsidR="00B4300A" w:rsidRPr="00B4300A">
        <w:rPr>
          <w:vertAlign w:val="superscript"/>
        </w:rPr>
        <w:t>2</w:t>
      </w:r>
      <w:r w:rsidRPr="003D5956">
        <w:t xml:space="preserve"> for the model measures and good predictive relevance</w:t>
      </w:r>
      <w:r w:rsidR="00B4300A">
        <w:t xml:space="preserve"> for the outcome constructs of student behaviours </w:t>
      </w:r>
      <w:r w:rsidR="004D294C">
        <w:t>(i.e., attendance, stand-</w:t>
      </w:r>
      <w:r w:rsidR="001C6F22">
        <w:t xml:space="preserve">downs and suspensions) </w:t>
      </w:r>
      <w:r w:rsidR="00B4300A">
        <w:t>and academic outcomes</w:t>
      </w:r>
      <w:r w:rsidR="001C6F22">
        <w:t xml:space="preserve"> in reading</w:t>
      </w:r>
      <w:r w:rsidR="001F5A96">
        <w:t>.</w:t>
      </w:r>
    </w:p>
    <w:p w:rsidR="003F6B20" w:rsidRPr="001F5A96" w:rsidRDefault="003F6B20" w:rsidP="001F5A96">
      <w:pPr>
        <w:pStyle w:val="Heading3"/>
        <w:spacing w:before="200"/>
      </w:pPr>
      <w:bookmarkStart w:id="25" w:name="_Toc491757212"/>
      <w:r>
        <w:t>Structural Path Coefficients</w:t>
      </w:r>
      <w:bookmarkEnd w:id="25"/>
    </w:p>
    <w:p w:rsidR="002047B0" w:rsidRPr="00825557" w:rsidRDefault="001E6471" w:rsidP="003E64D4">
      <w:pPr>
        <w:rPr>
          <w:rFonts w:cs="Times New Roman"/>
        </w:rPr>
      </w:pPr>
      <w:r w:rsidRPr="00825557">
        <w:t>Coefficients r</w:t>
      </w:r>
      <w:r w:rsidRPr="00825557">
        <w:rPr>
          <w:rFonts w:cs="Times New Roman"/>
        </w:rPr>
        <w:t xml:space="preserve">esults showed that, on average, </w:t>
      </w:r>
      <w:r w:rsidR="003449F1" w:rsidRPr="00825557">
        <w:rPr>
          <w:rFonts w:cs="Times New Roman"/>
        </w:rPr>
        <w:t xml:space="preserve">60% </w:t>
      </w:r>
      <w:r w:rsidR="00102C9F" w:rsidRPr="00825557">
        <w:rPr>
          <w:rFonts w:cs="Times New Roman"/>
        </w:rPr>
        <w:t>(20</w:t>
      </w:r>
      <w:r w:rsidR="00DE2B21" w:rsidRPr="00825557">
        <w:rPr>
          <w:rFonts w:cs="Times New Roman"/>
        </w:rPr>
        <w:t>1</w:t>
      </w:r>
      <w:r w:rsidR="00102C9F" w:rsidRPr="00825557">
        <w:rPr>
          <w:rFonts w:cs="Times New Roman"/>
        </w:rPr>
        <w:t xml:space="preserve">5-2016) </w:t>
      </w:r>
      <w:r w:rsidR="003449F1" w:rsidRPr="00825557">
        <w:rPr>
          <w:rFonts w:cs="Times New Roman"/>
        </w:rPr>
        <w:t>of the gains seen in HPS schools’ attendance rates</w:t>
      </w:r>
      <w:r w:rsidR="00E835F0" w:rsidRPr="00825557">
        <w:rPr>
          <w:rFonts w:cs="Times New Roman"/>
        </w:rPr>
        <w:t>,</w:t>
      </w:r>
      <w:r w:rsidR="003449F1" w:rsidRPr="00825557">
        <w:rPr>
          <w:rFonts w:cs="Times New Roman"/>
        </w:rPr>
        <w:t xml:space="preserve"> </w:t>
      </w:r>
      <w:r w:rsidR="005D16CC" w:rsidRPr="00825557">
        <w:rPr>
          <w:rFonts w:cs="Times New Roman"/>
        </w:rPr>
        <w:t xml:space="preserve">are </w:t>
      </w:r>
      <w:r w:rsidR="003449F1" w:rsidRPr="00825557">
        <w:rPr>
          <w:rFonts w:cs="Times New Roman"/>
        </w:rPr>
        <w:t>attributable</w:t>
      </w:r>
      <w:r w:rsidR="00950880" w:rsidRPr="00825557">
        <w:rPr>
          <w:rFonts w:cs="Times New Roman"/>
        </w:rPr>
        <w:t xml:space="preserve"> </w:t>
      </w:r>
      <w:r w:rsidR="000B7EFD" w:rsidRPr="00825557">
        <w:rPr>
          <w:rFonts w:cs="Times New Roman"/>
        </w:rPr>
        <w:t xml:space="preserve">to (or explained by) </w:t>
      </w:r>
      <w:r w:rsidR="00950880" w:rsidRPr="00825557">
        <w:rPr>
          <w:rFonts w:cs="Times New Roman"/>
        </w:rPr>
        <w:t xml:space="preserve">the impact of the </w:t>
      </w:r>
      <w:r w:rsidR="004D294C" w:rsidRPr="00825557">
        <w:rPr>
          <w:rFonts w:cs="Times New Roman"/>
        </w:rPr>
        <w:t xml:space="preserve">HPS </w:t>
      </w:r>
      <w:r w:rsidR="00894DD6" w:rsidRPr="00825557">
        <w:rPr>
          <w:rFonts w:cs="Times New Roman"/>
        </w:rPr>
        <w:t>approach</w:t>
      </w:r>
      <w:r w:rsidR="00950880" w:rsidRPr="00825557">
        <w:rPr>
          <w:rFonts w:cs="Times New Roman"/>
        </w:rPr>
        <w:t xml:space="preserve">. </w:t>
      </w:r>
      <w:r w:rsidR="00E21F5A" w:rsidRPr="00825557">
        <w:rPr>
          <w:rFonts w:cs="Times New Roman"/>
        </w:rPr>
        <w:t>By</w:t>
      </w:r>
      <w:r w:rsidR="001379E0" w:rsidRPr="00825557">
        <w:rPr>
          <w:rFonts w:cs="Times New Roman"/>
        </w:rPr>
        <w:t xml:space="preserve"> comparison, non-HPS schools</w:t>
      </w:r>
      <w:r w:rsidR="00CF6A95" w:rsidRPr="00825557">
        <w:rPr>
          <w:rFonts w:cs="Times New Roman"/>
        </w:rPr>
        <w:t>,</w:t>
      </w:r>
      <w:r w:rsidR="001379E0" w:rsidRPr="00825557">
        <w:rPr>
          <w:rFonts w:cs="Times New Roman"/>
        </w:rPr>
        <w:t xml:space="preserve"> </w:t>
      </w:r>
      <w:r w:rsidR="00A73BD5" w:rsidRPr="00825557">
        <w:rPr>
          <w:rFonts w:cs="Times New Roman"/>
        </w:rPr>
        <w:t xml:space="preserve">when </w:t>
      </w:r>
      <w:r w:rsidR="001379E0" w:rsidRPr="00825557">
        <w:rPr>
          <w:rFonts w:cs="Times New Roman"/>
        </w:rPr>
        <w:t xml:space="preserve">matched on </w:t>
      </w:r>
      <w:r w:rsidR="00A80B07" w:rsidRPr="00825557">
        <w:rPr>
          <w:rFonts w:cs="Times New Roman"/>
        </w:rPr>
        <w:t>the school-based variables</w:t>
      </w:r>
      <w:r w:rsidR="00A73BD5" w:rsidRPr="00825557">
        <w:rPr>
          <w:rFonts w:cs="Times New Roman"/>
        </w:rPr>
        <w:t>,</w:t>
      </w:r>
      <w:r w:rsidR="00A80B07" w:rsidRPr="00825557">
        <w:rPr>
          <w:rFonts w:cs="Times New Roman"/>
        </w:rPr>
        <w:t xml:space="preserve"> </w:t>
      </w:r>
      <w:r w:rsidR="00845604" w:rsidRPr="00825557">
        <w:rPr>
          <w:rFonts w:cs="Times New Roman"/>
        </w:rPr>
        <w:t>showed</w:t>
      </w:r>
      <w:r w:rsidR="00CF6A95" w:rsidRPr="00825557">
        <w:rPr>
          <w:rFonts w:cs="Times New Roman"/>
        </w:rPr>
        <w:t xml:space="preserve"> </w:t>
      </w:r>
      <w:r w:rsidR="00A73BD5" w:rsidRPr="00825557">
        <w:rPr>
          <w:rFonts w:cs="Times New Roman"/>
        </w:rPr>
        <w:t xml:space="preserve">only </w:t>
      </w:r>
      <w:r w:rsidR="00845604" w:rsidRPr="00825557">
        <w:rPr>
          <w:rFonts w:cs="Times New Roman"/>
        </w:rPr>
        <w:t xml:space="preserve">the ERO cycle accounting for a </w:t>
      </w:r>
      <w:r w:rsidR="00CF6A95" w:rsidRPr="00825557">
        <w:rPr>
          <w:rFonts w:cs="Times New Roman"/>
        </w:rPr>
        <w:t xml:space="preserve">small </w:t>
      </w:r>
      <w:r w:rsidR="00845604" w:rsidRPr="00825557">
        <w:rPr>
          <w:rFonts w:cs="Times New Roman"/>
        </w:rPr>
        <w:t xml:space="preserve">positive gain in </w:t>
      </w:r>
      <w:r w:rsidR="00523341" w:rsidRPr="00825557">
        <w:rPr>
          <w:rFonts w:cs="Times New Roman"/>
        </w:rPr>
        <w:t>attendance.</w:t>
      </w:r>
      <w:r w:rsidR="0068230A" w:rsidRPr="00825557">
        <w:rPr>
          <w:rFonts w:cs="Times New Roman"/>
        </w:rPr>
        <w:t xml:space="preserve"> </w:t>
      </w:r>
    </w:p>
    <w:p w:rsidR="002047B0" w:rsidRPr="00825557" w:rsidRDefault="002047B0" w:rsidP="002047B0">
      <w:pPr>
        <w:rPr>
          <w:rFonts w:cs="Times New Roman"/>
        </w:rPr>
      </w:pPr>
      <w:r w:rsidRPr="00825557">
        <w:rPr>
          <w:rFonts w:cs="Times New Roman"/>
        </w:rPr>
        <w:lastRenderedPageBreak/>
        <w:t xml:space="preserve">Results also showed that on </w:t>
      </w:r>
      <w:r w:rsidR="00AB0D92" w:rsidRPr="00825557">
        <w:rPr>
          <w:rFonts w:cs="Times New Roman"/>
        </w:rPr>
        <w:t xml:space="preserve">average, </w:t>
      </w:r>
      <w:r w:rsidR="000708C5" w:rsidRPr="00825557">
        <w:rPr>
          <w:rFonts w:cs="Times New Roman"/>
        </w:rPr>
        <w:t>42%</w:t>
      </w:r>
      <w:r w:rsidR="00AB0D92" w:rsidRPr="00825557">
        <w:rPr>
          <w:rFonts w:cs="Times New Roman"/>
        </w:rPr>
        <w:t xml:space="preserve"> </w:t>
      </w:r>
      <w:r w:rsidRPr="00825557">
        <w:rPr>
          <w:rFonts w:cs="Times New Roman"/>
        </w:rPr>
        <w:t xml:space="preserve">(2015-2016) of the decreases seen in HPS schools’ </w:t>
      </w:r>
      <w:r w:rsidR="000708C5" w:rsidRPr="00825557">
        <w:rPr>
          <w:rFonts w:cs="Times New Roman"/>
        </w:rPr>
        <w:t xml:space="preserve">stand-down and suspensions </w:t>
      </w:r>
      <w:r w:rsidRPr="00825557">
        <w:rPr>
          <w:rFonts w:cs="Times New Roman"/>
        </w:rPr>
        <w:t>rates</w:t>
      </w:r>
      <w:r w:rsidR="00E835F0" w:rsidRPr="00825557">
        <w:rPr>
          <w:rFonts w:cs="Times New Roman"/>
        </w:rPr>
        <w:t>,</w:t>
      </w:r>
      <w:r w:rsidRPr="00825557">
        <w:rPr>
          <w:rFonts w:cs="Times New Roman"/>
        </w:rPr>
        <w:t xml:space="preserve"> are attributable to (or explained by) the impact of the </w:t>
      </w:r>
      <w:r w:rsidR="004D294C" w:rsidRPr="00825557">
        <w:rPr>
          <w:rFonts w:cs="Times New Roman"/>
        </w:rPr>
        <w:t xml:space="preserve">HPS </w:t>
      </w:r>
      <w:r w:rsidR="00894DD6" w:rsidRPr="00825557">
        <w:rPr>
          <w:rFonts w:cs="Times New Roman"/>
        </w:rPr>
        <w:t>approach</w:t>
      </w:r>
      <w:r w:rsidRPr="00825557">
        <w:rPr>
          <w:rFonts w:cs="Times New Roman"/>
        </w:rPr>
        <w:t xml:space="preserve">. By comparison, non-HPS schools, when matched on the school-based variables, showed only the ERO cycle accounting for a small-moderate positive </w:t>
      </w:r>
      <w:r w:rsidR="00505BA0" w:rsidRPr="00825557">
        <w:rPr>
          <w:rFonts w:cs="Times New Roman"/>
        </w:rPr>
        <w:t>decrease in stand-down and suspension rates</w:t>
      </w:r>
      <w:r w:rsidRPr="00825557">
        <w:rPr>
          <w:rFonts w:cs="Times New Roman"/>
        </w:rPr>
        <w:t xml:space="preserve">. </w:t>
      </w:r>
    </w:p>
    <w:p w:rsidR="002047B0" w:rsidRPr="00825557" w:rsidRDefault="002047B0" w:rsidP="002047B0">
      <w:pPr>
        <w:rPr>
          <w:rFonts w:cs="Times New Roman"/>
        </w:rPr>
      </w:pPr>
      <w:r w:rsidRPr="00825557">
        <w:rPr>
          <w:rFonts w:cs="Times New Roman"/>
        </w:rPr>
        <w:t>The</w:t>
      </w:r>
      <w:r w:rsidR="000708C5" w:rsidRPr="00825557">
        <w:rPr>
          <w:rFonts w:cs="Times New Roman"/>
        </w:rPr>
        <w:t>re</w:t>
      </w:r>
      <w:r w:rsidRPr="00825557">
        <w:rPr>
          <w:rFonts w:cs="Times New Roman"/>
        </w:rPr>
        <w:t xml:space="preserve"> was a moderate-strong direct relationship between HPS schools’ and their achievement in reading performance </w:t>
      </w:r>
      <w:r w:rsidRPr="00825557">
        <w:t>(</w:t>
      </w:r>
      <w:r w:rsidRPr="00825557">
        <w:rPr>
          <w:i/>
        </w:rPr>
        <w:t>R</w:t>
      </w:r>
      <w:r w:rsidRPr="00825557">
        <w:rPr>
          <w:vertAlign w:val="superscript"/>
        </w:rPr>
        <w:t>2</w:t>
      </w:r>
      <w:r w:rsidRPr="00825557">
        <w:t xml:space="preserve"> = .54)</w:t>
      </w:r>
      <w:r w:rsidRPr="00825557">
        <w:rPr>
          <w:rFonts w:cs="Times New Roman"/>
        </w:rPr>
        <w:t xml:space="preserve">. The largest impact of the </w:t>
      </w:r>
      <w:r w:rsidR="004D294C" w:rsidRPr="00825557">
        <w:rPr>
          <w:rFonts w:cs="Times New Roman"/>
        </w:rPr>
        <w:t xml:space="preserve">HPS </w:t>
      </w:r>
      <w:r w:rsidR="00894DD6" w:rsidRPr="00825557">
        <w:rPr>
          <w:rFonts w:cs="Times New Roman"/>
        </w:rPr>
        <w:t>approach</w:t>
      </w:r>
      <w:r w:rsidRPr="00825557">
        <w:rPr>
          <w:rFonts w:cs="Times New Roman"/>
        </w:rPr>
        <w:t xml:space="preserve"> was seen in the degree of whānau engagement with schools (path coefficient = .80), followed by performance on the HPS rubric (path coefficient = .69). Together with the MANOVA results, this indicated that the HPS schools were outperforming non-HPS school in the reading achievement.</w:t>
      </w:r>
    </w:p>
    <w:p w:rsidR="003449F1" w:rsidRPr="00825557" w:rsidRDefault="003449F1" w:rsidP="003E64D4">
      <w:pPr>
        <w:rPr>
          <w:rFonts w:cs="Times New Roman"/>
        </w:rPr>
      </w:pPr>
    </w:p>
    <w:p w:rsidR="00C24AD4" w:rsidRPr="00825557" w:rsidRDefault="00271022" w:rsidP="00C24AD4">
      <w:pPr>
        <w:rPr>
          <w:rFonts w:cs="Times New Roman"/>
        </w:rPr>
      </w:pPr>
      <w:r w:rsidRPr="00825557">
        <w:rPr>
          <w:rFonts w:cs="Times New Roman"/>
        </w:rPr>
        <w:br w:type="page"/>
      </w:r>
      <w:r w:rsidR="00C24AD4" w:rsidRPr="00825557">
        <w:rPr>
          <w:rFonts w:cs="Times New Roman"/>
        </w:rPr>
        <w:lastRenderedPageBreak/>
        <w:t xml:space="preserve"> </w:t>
      </w:r>
    </w:p>
    <w:p w:rsidR="003E64D4" w:rsidRPr="00825557" w:rsidRDefault="00E14845" w:rsidP="003E64D4">
      <w:pPr>
        <w:rPr>
          <w:rFonts w:eastAsia="Times New Roman"/>
        </w:rPr>
      </w:pPr>
      <w:r w:rsidRPr="00825557">
        <w:t xml:space="preserve">Post-hoc modelling showed that two specific rubric areas were predicting the positive student outcomes. </w:t>
      </w:r>
      <w:r w:rsidR="003E64D4" w:rsidRPr="00825557">
        <w:rPr>
          <w:rFonts w:eastAsia="Times New Roman"/>
        </w:rPr>
        <w:t xml:space="preserve">These areas were: </w:t>
      </w:r>
      <w:r w:rsidR="003E64D4" w:rsidRPr="00825557">
        <w:rPr>
          <w:rFonts w:eastAsia="Times New Roman"/>
          <w:i/>
        </w:rPr>
        <w:t>leadership for equity and excellence</w:t>
      </w:r>
      <w:r w:rsidR="001047F5" w:rsidRPr="00825557">
        <w:rPr>
          <w:rFonts w:eastAsia="Times New Roman"/>
          <w:i/>
        </w:rPr>
        <w:t xml:space="preserve"> </w:t>
      </w:r>
      <w:r w:rsidR="001047F5" w:rsidRPr="00825557">
        <w:rPr>
          <w:rFonts w:eastAsia="Times New Roman"/>
        </w:rPr>
        <w:t>(path coefficient = .71)</w:t>
      </w:r>
      <w:r w:rsidR="003E64D4" w:rsidRPr="00825557">
        <w:rPr>
          <w:rFonts w:eastAsia="Times New Roman"/>
        </w:rPr>
        <w:t xml:space="preserve">, and </w:t>
      </w:r>
      <w:r w:rsidR="003E64D4" w:rsidRPr="00825557">
        <w:rPr>
          <w:rFonts w:eastAsia="Times New Roman"/>
          <w:i/>
        </w:rPr>
        <w:t>educationally powerful connections and relationships</w:t>
      </w:r>
      <w:r w:rsidR="001047F5" w:rsidRPr="00825557">
        <w:rPr>
          <w:rFonts w:eastAsia="Times New Roman"/>
        </w:rPr>
        <w:t xml:space="preserve"> (path coefficient = .69).</w:t>
      </w:r>
      <w:r w:rsidR="004D294C" w:rsidRPr="00825557">
        <w:rPr>
          <w:rFonts w:eastAsia="Times New Roman"/>
        </w:rPr>
        <w:t xml:space="preserve"> A</w:t>
      </w:r>
      <w:r w:rsidR="003E64D4" w:rsidRPr="00825557">
        <w:rPr>
          <w:rFonts w:eastAsia="Times New Roman"/>
        </w:rPr>
        <w:t xml:space="preserve">nalysis showed that two specific areas measured </w:t>
      </w:r>
      <w:r w:rsidR="004D294C" w:rsidRPr="00825557">
        <w:rPr>
          <w:rFonts w:eastAsia="Times New Roman"/>
        </w:rPr>
        <w:t>by</w:t>
      </w:r>
      <w:r w:rsidR="003E64D4" w:rsidRPr="00825557">
        <w:rPr>
          <w:rFonts w:eastAsia="Times New Roman"/>
        </w:rPr>
        <w:t xml:space="preserve"> the </w:t>
      </w:r>
      <w:r w:rsidR="004D294C" w:rsidRPr="00825557">
        <w:rPr>
          <w:rFonts w:eastAsia="Times New Roman"/>
        </w:rPr>
        <w:t xml:space="preserve">HPS </w:t>
      </w:r>
      <w:r w:rsidR="003E64D4" w:rsidRPr="00825557">
        <w:rPr>
          <w:rFonts w:eastAsia="Times New Roman"/>
        </w:rPr>
        <w:t>School</w:t>
      </w:r>
      <w:r w:rsidR="00DE2C07" w:rsidRPr="00825557">
        <w:rPr>
          <w:rFonts w:eastAsia="Times New Roman"/>
        </w:rPr>
        <w:t>s</w:t>
      </w:r>
      <w:r w:rsidR="003E64D4" w:rsidRPr="00825557">
        <w:rPr>
          <w:rFonts w:eastAsia="Times New Roman"/>
        </w:rPr>
        <w:t xml:space="preserve"> Survey were </w:t>
      </w:r>
      <w:r w:rsidRPr="00825557">
        <w:rPr>
          <w:rFonts w:eastAsia="Times New Roman"/>
        </w:rPr>
        <w:t xml:space="preserve">the predictors </w:t>
      </w:r>
      <w:r w:rsidR="003E64D4" w:rsidRPr="00825557">
        <w:rPr>
          <w:rFonts w:eastAsia="Times New Roman"/>
        </w:rPr>
        <w:t xml:space="preserve">of positive </w:t>
      </w:r>
      <w:r w:rsidR="00045C2D" w:rsidRPr="00825557">
        <w:rPr>
          <w:rFonts w:eastAsia="Times New Roman"/>
        </w:rPr>
        <w:t xml:space="preserve">student outcomes. </w:t>
      </w:r>
      <w:r w:rsidR="00A23538" w:rsidRPr="00825557">
        <w:rPr>
          <w:rFonts w:eastAsia="Times New Roman"/>
        </w:rPr>
        <w:t xml:space="preserve">First, effective facilitators were reported as having established a relationship of trust with </w:t>
      </w:r>
      <w:r w:rsidR="00A11AA0" w:rsidRPr="00825557">
        <w:rPr>
          <w:rFonts w:eastAsia="Times New Roman"/>
        </w:rPr>
        <w:t xml:space="preserve">the </w:t>
      </w:r>
      <w:r w:rsidR="00A23538" w:rsidRPr="00825557">
        <w:rPr>
          <w:rFonts w:eastAsia="Times New Roman"/>
        </w:rPr>
        <w:t>schools</w:t>
      </w:r>
      <w:r w:rsidR="001047F5" w:rsidRPr="00825557">
        <w:rPr>
          <w:rFonts w:eastAsia="Times New Roman"/>
        </w:rPr>
        <w:t xml:space="preserve"> (path coefficient = .81)</w:t>
      </w:r>
      <w:r w:rsidR="004D294C" w:rsidRPr="00825557">
        <w:rPr>
          <w:rFonts w:eastAsia="Times New Roman"/>
        </w:rPr>
        <w:t>, second</w:t>
      </w:r>
      <w:r w:rsidR="00C70438" w:rsidRPr="00825557">
        <w:rPr>
          <w:rFonts w:eastAsia="Times New Roman"/>
        </w:rPr>
        <w:t xml:space="preserve">, </w:t>
      </w:r>
      <w:r w:rsidR="00A11AA0" w:rsidRPr="00825557">
        <w:rPr>
          <w:rFonts w:eastAsia="Times New Roman"/>
        </w:rPr>
        <w:t>they provided continuous communication and support to school</w:t>
      </w:r>
      <w:r w:rsidR="00C70438" w:rsidRPr="00825557">
        <w:rPr>
          <w:rFonts w:eastAsia="Times New Roman"/>
        </w:rPr>
        <w:t>s (path coefficient = .75).</w:t>
      </w:r>
    </w:p>
    <w:p w:rsidR="002047B0" w:rsidRPr="00825557" w:rsidRDefault="00B364A7" w:rsidP="002047B0">
      <w:r w:rsidRPr="00825557">
        <w:rPr>
          <w:rFonts w:eastAsia="Times New Roman"/>
        </w:rPr>
        <w:t>Based on these results, t</w:t>
      </w:r>
      <w:r w:rsidR="002047B0" w:rsidRPr="00825557">
        <w:t>he following hypothesised measurement model was constructed based on the following combination of HPS areas (see Figure</w:t>
      </w:r>
      <w:r w:rsidR="004F3B9D" w:rsidRPr="00825557">
        <w:t xml:space="preserve"> 2</w:t>
      </w:r>
      <w:r w:rsidR="002047B0" w:rsidRPr="00825557">
        <w:t>)</w:t>
      </w:r>
      <w:r w:rsidR="0034332D" w:rsidRPr="00825557">
        <w:t xml:space="preserve">. Specifically, </w:t>
      </w:r>
      <w:r w:rsidR="002047B0" w:rsidRPr="00825557">
        <w:t>ERO sch</w:t>
      </w:r>
      <w:r w:rsidR="0034332D" w:rsidRPr="00825557">
        <w:t>ool cycles (3 years and</w:t>
      </w:r>
      <w:r w:rsidR="002047B0" w:rsidRPr="00825557">
        <w:t xml:space="preserve"> 4 years) </w:t>
      </w:r>
      <w:r w:rsidR="002047B0" w:rsidRPr="00825557">
        <w:rPr>
          <w:i/>
        </w:rPr>
        <w:t>and</w:t>
      </w:r>
      <w:r w:rsidR="002047B0" w:rsidRPr="00825557">
        <w:t xml:space="preserve"> HPS Rubric (indicators and inquiry levels), </w:t>
      </w:r>
      <w:r w:rsidR="0034332D" w:rsidRPr="00825557">
        <w:rPr>
          <w:i/>
        </w:rPr>
        <w:t xml:space="preserve">and </w:t>
      </w:r>
      <w:r w:rsidR="002047B0" w:rsidRPr="00825557">
        <w:t xml:space="preserve">HPS Schools Survey (focus on </w:t>
      </w:r>
      <w:r w:rsidR="0034332D" w:rsidRPr="00825557">
        <w:t xml:space="preserve">strong </w:t>
      </w:r>
      <w:r w:rsidR="002047B0" w:rsidRPr="00825557">
        <w:t>facilitator performance</w:t>
      </w:r>
      <w:r w:rsidR="002047B0" w:rsidRPr="00825557">
        <w:rPr>
          <w:vertAlign w:val="superscript"/>
        </w:rPr>
        <w:footnoteReference w:id="4"/>
      </w:r>
      <w:r w:rsidR="002047B0" w:rsidRPr="00825557">
        <w:t>) were predictive of improvements in</w:t>
      </w:r>
      <w:r w:rsidR="00984C25" w:rsidRPr="00825557">
        <w:t xml:space="preserve"> the rates of attendance, stand-</w:t>
      </w:r>
      <w:r w:rsidR="002047B0" w:rsidRPr="00825557">
        <w:t>downs, suspensions and reading achievement data (</w:t>
      </w:r>
      <w:r w:rsidR="00685E61" w:rsidRPr="00825557">
        <w:t xml:space="preserve">path coefficient = .74, </w:t>
      </w:r>
      <w:r w:rsidR="002047B0" w:rsidRPr="00825557">
        <w:rPr>
          <w:i/>
        </w:rPr>
        <w:t xml:space="preserve">p </w:t>
      </w:r>
      <w:r w:rsidR="002047B0" w:rsidRPr="00825557">
        <w:t>&lt; .05).</w:t>
      </w:r>
      <w:r w:rsidR="00C75D3A" w:rsidRPr="00825557">
        <w:t xml:space="preserve"> </w:t>
      </w:r>
    </w:p>
    <w:p w:rsidR="007119A4" w:rsidRDefault="007119A4" w:rsidP="003E64D4">
      <w:pPr>
        <w:rPr>
          <w:rFonts w:eastAsia="Times New Roman"/>
        </w:rPr>
      </w:pPr>
    </w:p>
    <w:p w:rsidR="007119A4" w:rsidRDefault="007119A4" w:rsidP="003E64D4">
      <w:pPr>
        <w:rPr>
          <w:rFonts w:eastAsia="Times New Roman"/>
        </w:rPr>
      </w:pPr>
    </w:p>
    <w:p w:rsidR="007119A4" w:rsidRPr="00A11AA0" w:rsidRDefault="007119A4" w:rsidP="003E64D4">
      <w:pPr>
        <w:rPr>
          <w:rFonts w:eastAsia="Times New Roman"/>
        </w:rPr>
        <w:sectPr w:rsidR="007119A4" w:rsidRPr="00A11AA0" w:rsidSect="00840190">
          <w:footerReference w:type="first" r:id="rId12"/>
          <w:pgSz w:w="12240" w:h="15840" w:code="1"/>
          <w:pgMar w:top="1077" w:right="1440" w:bottom="1077" w:left="1440" w:header="720" w:footer="720" w:gutter="0"/>
          <w:cols w:space="567"/>
          <w:titlePg/>
          <w:docGrid w:linePitch="360"/>
        </w:sectPr>
      </w:pPr>
    </w:p>
    <w:p w:rsidR="001F75C2" w:rsidRPr="001F75C2" w:rsidRDefault="001F75C2" w:rsidP="001F75C2">
      <w:pPr>
        <w:rPr>
          <w:i/>
          <w:sz w:val="23"/>
          <w:szCs w:val="23"/>
        </w:rPr>
      </w:pPr>
      <w:r w:rsidRPr="001F75C2">
        <w:rPr>
          <w:b/>
          <w:sz w:val="23"/>
          <w:szCs w:val="23"/>
        </w:rPr>
        <w:lastRenderedPageBreak/>
        <w:t xml:space="preserve">Figure </w:t>
      </w:r>
      <w:r w:rsidR="00460FB4">
        <w:rPr>
          <w:b/>
          <w:sz w:val="23"/>
          <w:szCs w:val="23"/>
        </w:rPr>
        <w:t>2</w:t>
      </w:r>
      <w:r w:rsidRPr="001F75C2">
        <w:rPr>
          <w:b/>
          <w:sz w:val="23"/>
          <w:szCs w:val="23"/>
        </w:rPr>
        <w:t>.</w:t>
      </w:r>
      <w:r w:rsidRPr="001F75C2">
        <w:rPr>
          <w:b/>
          <w:i/>
          <w:sz w:val="23"/>
          <w:szCs w:val="23"/>
        </w:rPr>
        <w:t xml:space="preserve"> </w:t>
      </w:r>
      <w:r w:rsidRPr="001F75C2">
        <w:rPr>
          <w:i/>
          <w:sz w:val="23"/>
          <w:szCs w:val="23"/>
        </w:rPr>
        <w:t xml:space="preserve">The </w:t>
      </w:r>
      <w:r w:rsidR="00A806A0">
        <w:rPr>
          <w:i/>
          <w:sz w:val="23"/>
          <w:szCs w:val="23"/>
        </w:rPr>
        <w:t xml:space="preserve">PLS </w:t>
      </w:r>
      <w:r w:rsidRPr="001F75C2">
        <w:rPr>
          <w:i/>
          <w:sz w:val="23"/>
          <w:szCs w:val="23"/>
        </w:rPr>
        <w:t xml:space="preserve">SEM model showing the </w:t>
      </w:r>
      <w:r w:rsidR="003378C6">
        <w:rPr>
          <w:i/>
          <w:sz w:val="23"/>
          <w:szCs w:val="23"/>
        </w:rPr>
        <w:t xml:space="preserve">areas that were most predictive of </w:t>
      </w:r>
      <w:r w:rsidRPr="001F75C2">
        <w:rPr>
          <w:i/>
          <w:sz w:val="23"/>
          <w:szCs w:val="23"/>
        </w:rPr>
        <w:t>positive student outcomes in a</w:t>
      </w:r>
      <w:r w:rsidR="004F3B9D">
        <w:rPr>
          <w:i/>
          <w:sz w:val="23"/>
          <w:szCs w:val="23"/>
        </w:rPr>
        <w:t>n</w:t>
      </w:r>
      <w:r w:rsidRPr="001F75C2">
        <w:rPr>
          <w:i/>
          <w:sz w:val="23"/>
          <w:szCs w:val="23"/>
        </w:rPr>
        <w:t xml:space="preserve"> HPS school.</w:t>
      </w:r>
    </w:p>
    <w:p w:rsidR="001F75C2" w:rsidRPr="001F75C2" w:rsidRDefault="000E7237" w:rsidP="001F75C2">
      <w:pPr>
        <w:rPr>
          <w:sz w:val="23"/>
          <w:szCs w:val="23"/>
        </w:rPr>
      </w:pPr>
      <w:r>
        <w:rPr>
          <w:noProof/>
          <w:sz w:val="23"/>
          <w:szCs w:val="23"/>
          <w:lang w:eastAsia="en-NZ"/>
        </w:rPr>
        <w:drawing>
          <wp:inline distT="0" distB="0" distL="0" distR="0" wp14:anchorId="47F29FD6" wp14:editId="41EAB686">
            <wp:extent cx="8535600" cy="5295600"/>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35600" cy="5295600"/>
                    </a:xfrm>
                    <a:prstGeom prst="rect">
                      <a:avLst/>
                    </a:prstGeom>
                    <a:noFill/>
                  </pic:spPr>
                </pic:pic>
              </a:graphicData>
            </a:graphic>
          </wp:inline>
        </w:drawing>
      </w:r>
    </w:p>
    <w:p w:rsidR="001F75C2" w:rsidRPr="001F75C2" w:rsidRDefault="001F75C2" w:rsidP="001F75C2">
      <w:pPr>
        <w:rPr>
          <w:noProof/>
          <w:sz w:val="23"/>
          <w:szCs w:val="23"/>
          <w:lang w:eastAsia="en-NZ"/>
        </w:rPr>
        <w:sectPr w:rsidR="001F75C2" w:rsidRPr="001F75C2" w:rsidSect="00F40CA7">
          <w:pgSz w:w="15840" w:h="12240" w:orient="landscape" w:code="1"/>
          <w:pgMar w:top="1440" w:right="1077" w:bottom="1440" w:left="1077" w:header="720" w:footer="720" w:gutter="0"/>
          <w:cols w:space="567"/>
          <w:titlePg/>
          <w:docGrid w:linePitch="360"/>
        </w:sectPr>
      </w:pPr>
    </w:p>
    <w:p w:rsidR="001F75C2" w:rsidRPr="001F75C2" w:rsidRDefault="001F75C2" w:rsidP="001F75C2">
      <w:pPr>
        <w:keepNext/>
        <w:keepLines/>
        <w:pBdr>
          <w:bottom w:val="single" w:sz="4" w:space="2" w:color="009DD9" w:themeColor="accent2"/>
        </w:pBdr>
        <w:spacing w:before="360" w:after="120" w:line="240" w:lineRule="auto"/>
        <w:outlineLvl w:val="0"/>
        <w:rPr>
          <w:rFonts w:asciiTheme="majorHAnsi" w:eastAsiaTheme="majorEastAsia" w:hAnsiTheme="majorHAnsi" w:cstheme="majorBidi"/>
          <w:color w:val="262626" w:themeColor="text1" w:themeTint="D9"/>
          <w:sz w:val="40"/>
          <w:szCs w:val="40"/>
        </w:rPr>
      </w:pPr>
      <w:bookmarkStart w:id="26" w:name="_Toc490565414"/>
      <w:bookmarkStart w:id="27" w:name="_Toc491757213"/>
      <w:r w:rsidRPr="001F75C2">
        <w:rPr>
          <w:rFonts w:asciiTheme="majorHAnsi" w:eastAsiaTheme="majorEastAsia" w:hAnsiTheme="majorHAnsi" w:cstheme="majorBidi"/>
          <w:color w:val="262626" w:themeColor="text1" w:themeTint="D9"/>
          <w:sz w:val="40"/>
          <w:szCs w:val="40"/>
        </w:rPr>
        <w:lastRenderedPageBreak/>
        <w:t>Recommendations</w:t>
      </w:r>
      <w:bookmarkEnd w:id="26"/>
      <w:bookmarkEnd w:id="27"/>
    </w:p>
    <w:p w:rsidR="001F75C2" w:rsidRPr="001F75C2" w:rsidRDefault="001F75C2" w:rsidP="001F75C2">
      <w:pPr>
        <w:spacing w:before="240"/>
      </w:pPr>
      <w:r w:rsidRPr="001F75C2">
        <w:t>Given the predictive power of the HPS rubric tool it is recommended that the rubric is used as a self-evaluative tool by schools at least one a year. Missing data analysis did show that some schools had only completed the rubric once over the past few years. The rubric’s strength as both a diag</w:t>
      </w:r>
      <w:r w:rsidR="002051C0">
        <w:t>nostic tool for health and well</w:t>
      </w:r>
      <w:r w:rsidRPr="001F75C2">
        <w:t xml:space="preserve">being assessment and an ongoing self-evaluative tool should be fully utilised by the </w:t>
      </w:r>
      <w:r w:rsidR="00894DD6">
        <w:t>approach</w:t>
      </w:r>
      <w:r w:rsidRPr="001F75C2">
        <w:t xml:space="preserve"> and schools. </w:t>
      </w:r>
    </w:p>
    <w:p w:rsidR="001F75C2" w:rsidRPr="00EA3B49" w:rsidRDefault="001F75C2" w:rsidP="001F75C2">
      <w:pPr>
        <w:spacing w:before="240"/>
      </w:pPr>
      <w:r w:rsidRPr="001F75C2">
        <w:t>Full psychometric analysis should be conducted on the HPS rubric to ensure strong construct validity and reliability is associated with this tool. This analysis would allow for the identification of any cross-validation of factors, and potentially redundant rubric areas. For example, given the strong correlation between leadership for equity and excellence and educationally powerful connections and relationships, there may be reasonable justification for additional areas in the rubric to expand on these prevalent areas.</w:t>
      </w:r>
    </w:p>
    <w:p w:rsidR="001F75C2" w:rsidRPr="001F75C2" w:rsidRDefault="001F75C2" w:rsidP="001F75C2">
      <w:pPr>
        <w:spacing w:before="240"/>
      </w:pPr>
      <w:r w:rsidRPr="00EA3B49">
        <w:t xml:space="preserve">Similarly, psychometric analysis of the </w:t>
      </w:r>
      <w:r w:rsidR="004F3B9D">
        <w:t xml:space="preserve">HPS </w:t>
      </w:r>
      <w:r w:rsidRPr="00EA3B49">
        <w:t>School</w:t>
      </w:r>
      <w:r w:rsidR="00DE2C07" w:rsidRPr="00EA3B49">
        <w:t>s</w:t>
      </w:r>
      <w:r w:rsidRPr="00EA3B49">
        <w:t xml:space="preserve"> Survey would be </w:t>
      </w:r>
      <w:r w:rsidR="000708C5" w:rsidRPr="00EA3B49">
        <w:t xml:space="preserve">of </w:t>
      </w:r>
      <w:r w:rsidRPr="00EA3B49">
        <w:t>benefit given the findings of this evalu</w:t>
      </w:r>
      <w:r w:rsidR="004F3B9D">
        <w:t>ation. The significant predictive</w:t>
      </w:r>
      <w:r w:rsidRPr="00EA3B49">
        <w:t xml:space="preserve"> relationship between the quality and performance of the HPS facilitator suggests additional items would be useful in gathering more </w:t>
      </w:r>
      <w:r w:rsidRPr="001F75C2">
        <w:t xml:space="preserve">specific information. </w:t>
      </w:r>
    </w:p>
    <w:p w:rsidR="001F75C2" w:rsidRPr="001F75C2" w:rsidRDefault="001F75C2" w:rsidP="001F75C2">
      <w:pPr>
        <w:spacing w:before="240"/>
      </w:pPr>
      <w:r w:rsidRPr="001F75C2">
        <w:t xml:space="preserve">There is the need to ascertain why only reading performance </w:t>
      </w:r>
      <w:r w:rsidRPr="00685E61">
        <w:t>appear</w:t>
      </w:r>
      <w:r w:rsidR="000708C5" w:rsidRPr="00685E61">
        <w:t>s</w:t>
      </w:r>
      <w:r w:rsidRPr="00685E61">
        <w:t xml:space="preserve"> to be improved by involvement in the HPS </w:t>
      </w:r>
      <w:r w:rsidR="00894DD6" w:rsidRPr="00685E61">
        <w:t>approach</w:t>
      </w:r>
      <w:r w:rsidRPr="00685E61">
        <w:t xml:space="preserve">, with writing and mathematics showing no significant differences </w:t>
      </w:r>
      <w:r w:rsidR="009E49AD">
        <w:t xml:space="preserve">when compared with </w:t>
      </w:r>
      <w:r w:rsidRPr="00685E61">
        <w:t xml:space="preserve">non-HPS schools. This result should prompt further investigation as it is not clear why there were not </w:t>
      </w:r>
      <w:r w:rsidR="009E49AD">
        <w:t xml:space="preserve">comparative </w:t>
      </w:r>
      <w:r w:rsidRPr="00685E61">
        <w:t>gains made against the National Standards in these other two curriculum areas.</w:t>
      </w:r>
    </w:p>
    <w:p w:rsidR="00B13134" w:rsidRDefault="001F75C2" w:rsidP="001F75C2">
      <w:pPr>
        <w:spacing w:before="240"/>
      </w:pPr>
      <w:r w:rsidRPr="001F75C2">
        <w:t xml:space="preserve">The comparative results showed that non-HPS schools who were participating in health promotion initiatives did not have the impact on student outcomes as defined in this analysis. In fact, findings showed that there were little, if any, differences in student outcomes between these schools and non-HPS schools. </w:t>
      </w:r>
      <w:r w:rsidR="009E49AD">
        <w:t>Therefore, i</w:t>
      </w:r>
      <w:r w:rsidRPr="001F75C2">
        <w:t xml:space="preserve">t is recommended that the HPS approach should be adopted as an over-arching framework to support the </w:t>
      </w:r>
      <w:r w:rsidR="009E49AD">
        <w:t>implementation</w:t>
      </w:r>
      <w:r w:rsidRPr="001F75C2">
        <w:t xml:space="preserve"> of the health promotion initiatives. </w:t>
      </w:r>
    </w:p>
    <w:p w:rsidR="001F75C2" w:rsidRPr="001F75C2" w:rsidRDefault="001F75C2" w:rsidP="001F75C2">
      <w:pPr>
        <w:spacing w:before="240"/>
      </w:pPr>
      <w:r w:rsidRPr="001F75C2">
        <w:lastRenderedPageBreak/>
        <w:t xml:space="preserve">Further, the results from this analysis have strongly indicated the positive impact that the HPS </w:t>
      </w:r>
      <w:r w:rsidR="00894DD6">
        <w:t>approach</w:t>
      </w:r>
      <w:r w:rsidRPr="001F75C2">
        <w:t xml:space="preserve"> has on student learning behaviours and academic performance in reading. Given </w:t>
      </w:r>
      <w:r w:rsidR="002051C0">
        <w:t>the significant health and well</w:t>
      </w:r>
      <w:r w:rsidRPr="001F75C2">
        <w:t xml:space="preserve">being issues of teenagers, it is strongly recommended that the uptake of the HPS service is actively targeted towards secondary schools. </w:t>
      </w:r>
    </w:p>
    <w:p w:rsidR="00382DDB" w:rsidRPr="00943955" w:rsidRDefault="00382DDB">
      <w:pPr>
        <w:rPr>
          <w:rFonts w:asciiTheme="majorHAnsi" w:eastAsiaTheme="majorEastAsia" w:hAnsiTheme="majorHAnsi" w:cstheme="majorBidi"/>
          <w:color w:val="000000" w:themeColor="text1"/>
          <w:sz w:val="28"/>
          <w:szCs w:val="32"/>
        </w:rPr>
      </w:pPr>
      <w:r w:rsidRPr="00943955">
        <w:rPr>
          <w:color w:val="000000" w:themeColor="text1"/>
        </w:rPr>
        <w:br w:type="page"/>
      </w:r>
    </w:p>
    <w:p w:rsidR="00C51500" w:rsidRPr="00C51500" w:rsidRDefault="00C51500" w:rsidP="00C51500">
      <w:pPr>
        <w:keepNext/>
        <w:keepLines/>
        <w:pBdr>
          <w:bottom w:val="single" w:sz="4" w:space="2" w:color="009DD9" w:themeColor="accent2"/>
        </w:pBdr>
        <w:spacing w:before="360" w:after="120" w:line="240" w:lineRule="auto"/>
        <w:outlineLvl w:val="0"/>
        <w:rPr>
          <w:rFonts w:asciiTheme="majorHAnsi" w:eastAsiaTheme="majorEastAsia" w:hAnsiTheme="majorHAnsi" w:cstheme="majorBidi"/>
          <w:color w:val="262626" w:themeColor="text1" w:themeTint="D9"/>
          <w:sz w:val="40"/>
          <w:szCs w:val="40"/>
        </w:rPr>
      </w:pPr>
      <w:bookmarkStart w:id="28" w:name="_Toc491757214"/>
      <w:r w:rsidRPr="00C51500">
        <w:rPr>
          <w:rFonts w:asciiTheme="majorHAnsi" w:eastAsiaTheme="majorEastAsia" w:hAnsiTheme="majorHAnsi" w:cstheme="majorBidi"/>
          <w:color w:val="262626" w:themeColor="text1" w:themeTint="D9"/>
          <w:sz w:val="40"/>
          <w:szCs w:val="40"/>
        </w:rPr>
        <w:lastRenderedPageBreak/>
        <w:t>Conclusions</w:t>
      </w:r>
      <w:bookmarkEnd w:id="28"/>
    </w:p>
    <w:p w:rsidR="00B13134" w:rsidRPr="00825557" w:rsidRDefault="00C51500" w:rsidP="00C51500">
      <w:pPr>
        <w:spacing w:before="240"/>
      </w:pPr>
      <w:r w:rsidRPr="00825557">
        <w:t xml:space="preserve">Schools that are participating in the HPS service have seen increased positive outcomes for students when compared to schools not participating in the HPS </w:t>
      </w:r>
      <w:r w:rsidR="00B13134" w:rsidRPr="00825557">
        <w:t>service</w:t>
      </w:r>
      <w:r w:rsidRPr="00825557">
        <w:t xml:space="preserve">. </w:t>
      </w:r>
    </w:p>
    <w:p w:rsidR="006E56EA" w:rsidRPr="00825557" w:rsidRDefault="006E56EA" w:rsidP="00C51500">
      <w:pPr>
        <w:spacing w:before="240"/>
      </w:pPr>
      <w:r w:rsidRPr="00825557">
        <w:t xml:space="preserve">HPS schools with 3 years or more between ERO cycles, that had performed well on the HPS rubric over the last two years (2015-2016) and had an effective HPS facilitator were found to have had improved student attendance rates. Analysis showed on average, when these factors were combined, 60% of the gains seen in HPS school attendance rates </w:t>
      </w:r>
      <w:r w:rsidR="00A96AF4" w:rsidRPr="00825557">
        <w:t>could be predicted</w:t>
      </w:r>
      <w:r w:rsidRPr="00825557">
        <w:t xml:space="preserve"> by the impact of the HPS approach. By comparison, non HPS schools, when matched on the same variables, showed only the ERO cycle accounting for a small positive gain in attendance. </w:t>
      </w:r>
    </w:p>
    <w:p w:rsidR="006E56EA" w:rsidRPr="00825557" w:rsidRDefault="006E56EA" w:rsidP="00C51500">
      <w:pPr>
        <w:spacing w:before="240"/>
      </w:pPr>
      <w:r w:rsidRPr="00825557">
        <w:t>Similarly, the HPS approach was shown to help schools reduce the number of students being stood-down or suspended from school. HPS schools that performed well on the HPS rubric over the last two years (2015-2016) and had at least 3 y</w:t>
      </w:r>
      <w:r w:rsidR="002F07E4" w:rsidRPr="00825557">
        <w:t>ears between ERO cycles showed on average, that</w:t>
      </w:r>
      <w:r w:rsidRPr="00825557">
        <w:t xml:space="preserve"> 42% </w:t>
      </w:r>
      <w:r w:rsidR="002F07E4" w:rsidRPr="00825557">
        <w:t>of the decreases in stand-downs and suspensions</w:t>
      </w:r>
      <w:r w:rsidRPr="00825557">
        <w:t xml:space="preserve"> </w:t>
      </w:r>
      <w:r w:rsidR="00A96AF4" w:rsidRPr="00825557">
        <w:t>could be predicted by the</w:t>
      </w:r>
      <w:r w:rsidRPr="00825557">
        <w:t xml:space="preserve"> impact of the HPS approach. In comparison, non HPS schools, when matched on the same variables, showed only the ERO cycle accounting</w:t>
      </w:r>
      <w:r w:rsidR="00A96AF4" w:rsidRPr="00825557">
        <w:t xml:space="preserve"> for a small reduction in stand-</w:t>
      </w:r>
      <w:r w:rsidRPr="00825557">
        <w:t>downs and suspensions.</w:t>
      </w:r>
    </w:p>
    <w:p w:rsidR="009A461A" w:rsidRPr="00825557" w:rsidRDefault="00C51500" w:rsidP="00CC0082">
      <w:pPr>
        <w:spacing w:before="240"/>
      </w:pPr>
      <w:r w:rsidRPr="00825557">
        <w:t>Results strongly indicated that students who attended schools that had at least 3 years between ERO cycles and were receiving the HPS service, showed significant improvements in their learning and performance in reading over</w:t>
      </w:r>
      <w:r w:rsidR="00685E61" w:rsidRPr="00825557">
        <w:t xml:space="preserve"> the previous two years (2015-</w:t>
      </w:r>
      <w:r w:rsidRPr="00825557">
        <w:t xml:space="preserve">2016). </w:t>
      </w:r>
      <w:r w:rsidR="00CC0082" w:rsidRPr="00825557">
        <w:t xml:space="preserve">On average, </w:t>
      </w:r>
      <w:r w:rsidR="00CC0082" w:rsidRPr="00825557">
        <w:rPr>
          <w:rFonts w:cs="Calibri"/>
          <w:bCs/>
        </w:rPr>
        <w:t>29% of the improvements seen in reading</w:t>
      </w:r>
      <w:r w:rsidR="00CC0082" w:rsidRPr="00825557">
        <w:t xml:space="preserve"> performance at Health Promoting Schools </w:t>
      </w:r>
      <w:r w:rsidR="009A461A" w:rsidRPr="00825557">
        <w:t xml:space="preserve">could be predicted by the impact of the HPS approach. </w:t>
      </w:r>
    </w:p>
    <w:p w:rsidR="00C51500" w:rsidRPr="00825557" w:rsidRDefault="00C51500" w:rsidP="00C51500">
      <w:pPr>
        <w:spacing w:after="120"/>
      </w:pPr>
      <w:r w:rsidRPr="00825557">
        <w:t xml:space="preserve">The </w:t>
      </w:r>
      <w:r w:rsidR="00D95CA4" w:rsidRPr="00825557">
        <w:t xml:space="preserve">PLS </w:t>
      </w:r>
      <w:r w:rsidRPr="00825557">
        <w:t xml:space="preserve">structural modelling showed that when, school effectiveness, leadership effectiveness, whānau engagement, and HPS facilitator effectiveness are combined, schools see positive student outcomes in attendance, stand-downs and suspensions, and achievement in reading. School effectiveness was strongest where ERO cycles were occurring at least 3 years apart. </w:t>
      </w:r>
    </w:p>
    <w:p w:rsidR="00C51500" w:rsidRPr="00825557" w:rsidRDefault="00C51500" w:rsidP="00C51500">
      <w:pPr>
        <w:spacing w:after="120"/>
      </w:pPr>
      <w:r w:rsidRPr="00825557">
        <w:t xml:space="preserve">There was a strong relationship between successful student outcomes and </w:t>
      </w:r>
      <w:r w:rsidR="00995756" w:rsidRPr="00825557">
        <w:t xml:space="preserve">effective </w:t>
      </w:r>
      <w:r w:rsidRPr="00825557">
        <w:t xml:space="preserve">school leadership. School leaders who had created an environment where </w:t>
      </w:r>
      <w:r w:rsidR="000F52E9" w:rsidRPr="00825557">
        <w:t>there was a strong emphasis on e</w:t>
      </w:r>
      <w:r w:rsidRPr="00825557">
        <w:t xml:space="preserve">quity </w:t>
      </w:r>
      <w:r w:rsidRPr="00825557">
        <w:lastRenderedPageBreak/>
        <w:t xml:space="preserve">and excellence </w:t>
      </w:r>
      <w:r w:rsidR="000F52E9" w:rsidRPr="00825557">
        <w:t xml:space="preserve">across their school, </w:t>
      </w:r>
      <w:r w:rsidRPr="00825557">
        <w:t>and had developed educationally powerful connections and relationships with student</w:t>
      </w:r>
      <w:r w:rsidR="000F52E9" w:rsidRPr="00825557">
        <w:t>s</w:t>
      </w:r>
      <w:r w:rsidRPr="00825557">
        <w:t xml:space="preserve">, parents and whānau had a large positive impact on positive student outcomes. </w:t>
      </w:r>
    </w:p>
    <w:p w:rsidR="00C51500" w:rsidRPr="00825557" w:rsidRDefault="00C51500" w:rsidP="00C51500">
      <w:pPr>
        <w:spacing w:after="120"/>
      </w:pPr>
      <w:r w:rsidRPr="00825557">
        <w:t xml:space="preserve">Essential to the findings outlined here was the </w:t>
      </w:r>
      <w:r w:rsidR="000F52E9" w:rsidRPr="00825557">
        <w:t>need</w:t>
      </w:r>
      <w:r w:rsidRPr="00825557">
        <w:t xml:space="preserve"> of an effective HPS facilitator, as measured by the </w:t>
      </w:r>
      <w:r w:rsidR="000F52E9" w:rsidRPr="00825557">
        <w:t xml:space="preserve">HPS </w:t>
      </w:r>
      <w:r w:rsidRPr="00825557">
        <w:t>School</w:t>
      </w:r>
      <w:r w:rsidR="00DE2C07" w:rsidRPr="00825557">
        <w:t>s</w:t>
      </w:r>
      <w:r w:rsidRPr="00825557">
        <w:t xml:space="preserve"> Survey. The survey results found that the degree of support and communication given</w:t>
      </w:r>
      <w:r w:rsidR="000F52E9" w:rsidRPr="00825557">
        <w:t xml:space="preserve"> by the HPS facilitator</w:t>
      </w:r>
      <w:r w:rsidRPr="00825557">
        <w:t xml:space="preserve"> to schools strongly predicted the overall successful</w:t>
      </w:r>
      <w:r w:rsidR="000F52E9" w:rsidRPr="00825557">
        <w:t>ness of an HPS s</w:t>
      </w:r>
      <w:r w:rsidRPr="00825557">
        <w:t>chool. Facilitators had the greatest impact where the</w:t>
      </w:r>
      <w:r w:rsidR="00106422" w:rsidRPr="00825557">
        <w:t>y supported schools to collect</w:t>
      </w:r>
      <w:r w:rsidRPr="00825557">
        <w:t xml:space="preserve"> staff, student and parent/whānau voices, </w:t>
      </w:r>
      <w:r w:rsidR="00106422" w:rsidRPr="00825557">
        <w:t xml:space="preserve">and </w:t>
      </w:r>
      <w:r w:rsidRPr="00825557">
        <w:t>explained findings and identified desirable outcomes. Further, effective facilitators linked schools to specific resources that were appropriate to meet their school community requirements. High performing facilitators were found to be effective at supporting schools to implement the action</w:t>
      </w:r>
      <w:r w:rsidR="00106422" w:rsidRPr="00825557">
        <w:t>s</w:t>
      </w:r>
      <w:r w:rsidRPr="00825557">
        <w:t xml:space="preserve"> required, and measure and monitor their progress. </w:t>
      </w:r>
    </w:p>
    <w:p w:rsidR="00527F45" w:rsidRPr="00825557" w:rsidRDefault="00C51500" w:rsidP="007E2A86">
      <w:pPr>
        <w:spacing w:after="120"/>
      </w:pPr>
      <w:r w:rsidRPr="00825557">
        <w:t xml:space="preserve">In conclusion, </w:t>
      </w:r>
      <w:r w:rsidR="0079034E" w:rsidRPr="00825557">
        <w:t xml:space="preserve">this </w:t>
      </w:r>
      <w:r w:rsidRPr="00825557">
        <w:t xml:space="preserve">analysis </w:t>
      </w:r>
      <w:r w:rsidR="0079034E" w:rsidRPr="00825557">
        <w:t xml:space="preserve">showed that the </w:t>
      </w:r>
      <w:r w:rsidR="002051C0" w:rsidRPr="00825557">
        <w:t>HPS approach to health and well</w:t>
      </w:r>
      <w:r w:rsidR="0079034E" w:rsidRPr="00825557">
        <w:t xml:space="preserve">being significantly contributed to the </w:t>
      </w:r>
      <w:r w:rsidRPr="00825557">
        <w:t xml:space="preserve">positive student outcomes </w:t>
      </w:r>
      <w:r w:rsidR="0079034E" w:rsidRPr="00825557">
        <w:t>experienced by schools</w:t>
      </w:r>
      <w:r w:rsidR="00230461" w:rsidRPr="00825557">
        <w:t>.</w:t>
      </w:r>
    </w:p>
    <w:p w:rsidR="00527F45" w:rsidRDefault="00527F45">
      <w:r>
        <w:br w:type="page"/>
      </w:r>
    </w:p>
    <w:p w:rsidR="00527F45" w:rsidRPr="00C51500" w:rsidRDefault="00527F45" w:rsidP="00527F45">
      <w:pPr>
        <w:keepNext/>
        <w:keepLines/>
        <w:pBdr>
          <w:bottom w:val="single" w:sz="4" w:space="2" w:color="009DD9" w:themeColor="accent2"/>
        </w:pBdr>
        <w:spacing w:before="360" w:after="120" w:line="240" w:lineRule="auto"/>
        <w:outlineLvl w:val="0"/>
        <w:rPr>
          <w:rFonts w:asciiTheme="majorHAnsi" w:eastAsiaTheme="majorEastAsia" w:hAnsiTheme="majorHAnsi" w:cstheme="majorBidi"/>
          <w:color w:val="262626" w:themeColor="text1" w:themeTint="D9"/>
          <w:sz w:val="40"/>
          <w:szCs w:val="40"/>
        </w:rPr>
      </w:pPr>
      <w:bookmarkStart w:id="29" w:name="_Toc491757215"/>
      <w:r>
        <w:rPr>
          <w:rFonts w:asciiTheme="majorHAnsi" w:eastAsiaTheme="majorEastAsia" w:hAnsiTheme="majorHAnsi" w:cstheme="majorBidi"/>
          <w:color w:val="262626" w:themeColor="text1" w:themeTint="D9"/>
          <w:sz w:val="40"/>
          <w:szCs w:val="40"/>
        </w:rPr>
        <w:lastRenderedPageBreak/>
        <w:t>References</w:t>
      </w:r>
      <w:bookmarkEnd w:id="2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527F45" w:rsidRPr="00681CF9" w:rsidTr="00527F45">
        <w:tc>
          <w:tcPr>
            <w:tcW w:w="9242" w:type="dxa"/>
          </w:tcPr>
          <w:p w:rsidR="00527F45" w:rsidRPr="00475A90" w:rsidRDefault="00527F45" w:rsidP="00527F45">
            <w:pPr>
              <w:spacing w:before="120" w:after="120"/>
              <w:rPr>
                <w:rFonts w:ascii="Candara" w:hAnsi="Candara"/>
              </w:rPr>
            </w:pPr>
            <w:r w:rsidRPr="00475A90">
              <w:rPr>
                <w:rStyle w:val="nlmstring-name"/>
                <w:rFonts w:ascii="Candara" w:hAnsi="Candara" w:cs="Arial"/>
                <w:spacing w:val="5"/>
                <w:shd w:val="clear" w:color="auto" w:fill="FFFFFF"/>
              </w:rPr>
              <w:t>Albers, S.</w:t>
            </w:r>
            <w:r w:rsidRPr="00475A90">
              <w:rPr>
                <w:rFonts w:ascii="Candara" w:hAnsi="Candara" w:cs="Arial"/>
                <w:spacing w:val="5"/>
                <w:shd w:val="clear" w:color="auto" w:fill="FFFFFF"/>
              </w:rPr>
              <w:t> (</w:t>
            </w:r>
            <w:r w:rsidRPr="00475A90">
              <w:rPr>
                <w:rStyle w:val="nlmyear"/>
                <w:rFonts w:ascii="Candara" w:hAnsi="Candara" w:cs="Arial"/>
                <w:spacing w:val="5"/>
                <w:shd w:val="clear" w:color="auto" w:fill="FFFFFF"/>
              </w:rPr>
              <w:t>2010</w:t>
            </w:r>
            <w:r w:rsidRPr="00475A90">
              <w:rPr>
                <w:rFonts w:ascii="Candara" w:hAnsi="Candara" w:cs="Arial"/>
                <w:spacing w:val="5"/>
                <w:shd w:val="clear" w:color="auto" w:fill="FFFFFF"/>
              </w:rPr>
              <w:t xml:space="preserve">). </w:t>
            </w:r>
            <w:r w:rsidRPr="00475A90">
              <w:rPr>
                <w:rStyle w:val="nlmarticle-title"/>
                <w:rFonts w:ascii="Candara" w:hAnsi="Candara" w:cs="Arial"/>
                <w:spacing w:val="5"/>
                <w:shd w:val="clear" w:color="auto" w:fill="FFFFFF"/>
              </w:rPr>
              <w:t>PLS and success factor studies in marketing</w:t>
            </w:r>
            <w:r w:rsidRPr="00475A90">
              <w:rPr>
                <w:rFonts w:ascii="Candara" w:hAnsi="Candara" w:cs="Arial"/>
                <w:spacing w:val="5"/>
                <w:shd w:val="clear" w:color="auto" w:fill="FFFFFF"/>
              </w:rPr>
              <w:t xml:space="preserve">. In V. V. </w:t>
            </w:r>
            <w:r w:rsidRPr="00475A90">
              <w:rPr>
                <w:rStyle w:val="nlmstring-name"/>
                <w:rFonts w:ascii="Candara" w:hAnsi="Candara" w:cs="Arial"/>
                <w:spacing w:val="5"/>
                <w:shd w:val="clear" w:color="auto" w:fill="FFFFFF"/>
              </w:rPr>
              <w:t>Esposito</w:t>
            </w:r>
            <w:r w:rsidRPr="00475A90">
              <w:rPr>
                <w:rFonts w:ascii="Candara" w:hAnsi="Candara" w:cs="Arial"/>
                <w:spacing w:val="5"/>
                <w:shd w:val="clear" w:color="auto" w:fill="FFFFFF"/>
              </w:rPr>
              <w:t xml:space="preserve">, W. W. </w:t>
            </w:r>
            <w:r w:rsidRPr="00475A90">
              <w:rPr>
                <w:rStyle w:val="nlmstring-name"/>
                <w:rFonts w:ascii="Candara" w:hAnsi="Candara" w:cs="Arial"/>
                <w:spacing w:val="5"/>
                <w:shd w:val="clear" w:color="auto" w:fill="FFFFFF"/>
              </w:rPr>
              <w:t>Chin</w:t>
            </w:r>
            <w:r w:rsidRPr="00475A90">
              <w:rPr>
                <w:rFonts w:ascii="Candara" w:hAnsi="Candara" w:cs="Arial"/>
                <w:spacing w:val="5"/>
                <w:shd w:val="clear" w:color="auto" w:fill="FFFFFF"/>
              </w:rPr>
              <w:t xml:space="preserve">, J. </w:t>
            </w:r>
            <w:r w:rsidRPr="00475A90">
              <w:rPr>
                <w:rStyle w:val="nlmstring-name"/>
                <w:rFonts w:ascii="Candara" w:hAnsi="Candara" w:cs="Arial"/>
                <w:spacing w:val="5"/>
                <w:shd w:val="clear" w:color="auto" w:fill="FFFFFF"/>
              </w:rPr>
              <w:t>Henseler,</w:t>
            </w:r>
            <w:r w:rsidRPr="00475A90">
              <w:rPr>
                <w:rFonts w:ascii="Candara" w:hAnsi="Candara" w:cs="Arial"/>
                <w:spacing w:val="5"/>
                <w:shd w:val="clear" w:color="auto" w:fill="FFFFFF"/>
              </w:rPr>
              <w:t xml:space="preserve"> &amp; </w:t>
            </w:r>
            <w:r>
              <w:rPr>
                <w:rFonts w:ascii="Candara" w:hAnsi="Candara" w:cs="Arial"/>
                <w:spacing w:val="5"/>
                <w:shd w:val="clear" w:color="auto" w:fill="FFFFFF"/>
              </w:rPr>
              <w:t xml:space="preserve">H. </w:t>
            </w:r>
            <w:r>
              <w:rPr>
                <w:rStyle w:val="nlmstring-name"/>
                <w:rFonts w:ascii="Candara" w:hAnsi="Candara" w:cs="Arial"/>
                <w:spacing w:val="5"/>
                <w:shd w:val="clear" w:color="auto" w:fill="FFFFFF"/>
              </w:rPr>
              <w:t>Wang</w:t>
            </w:r>
            <w:r w:rsidRPr="00475A90">
              <w:rPr>
                <w:rFonts w:ascii="Candara" w:hAnsi="Candara" w:cs="Arial"/>
                <w:spacing w:val="5"/>
                <w:shd w:val="clear" w:color="auto" w:fill="FFFFFF"/>
              </w:rPr>
              <w:t> (Eds.), </w:t>
            </w:r>
            <w:r w:rsidRPr="00475A90">
              <w:rPr>
                <w:rFonts w:ascii="Candara" w:hAnsi="Candara" w:cs="Arial"/>
                <w:i/>
                <w:iCs/>
                <w:spacing w:val="5"/>
                <w:shd w:val="clear" w:color="auto" w:fill="FFFFFF"/>
              </w:rPr>
              <w:t xml:space="preserve">Handbook of Partial Least Squares </w:t>
            </w:r>
            <w:r w:rsidRPr="00475A90">
              <w:rPr>
                <w:rFonts w:ascii="Candara" w:hAnsi="Candara" w:cs="Arial"/>
                <w:iCs/>
                <w:spacing w:val="5"/>
                <w:shd w:val="clear" w:color="auto" w:fill="FFFFFF"/>
              </w:rPr>
              <w:t>(</w:t>
            </w:r>
            <w:r w:rsidRPr="00475A90">
              <w:rPr>
                <w:rFonts w:ascii="Candara" w:hAnsi="Candara" w:cs="Arial"/>
                <w:spacing w:val="5"/>
                <w:shd w:val="clear" w:color="auto" w:fill="FFFFFF"/>
              </w:rPr>
              <w:t>pp. </w:t>
            </w:r>
            <w:r w:rsidRPr="00475A90">
              <w:rPr>
                <w:rStyle w:val="nlmfpage"/>
                <w:rFonts w:ascii="Candara" w:hAnsi="Candara" w:cs="Arial"/>
                <w:spacing w:val="5"/>
                <w:shd w:val="clear" w:color="auto" w:fill="FFFFFF"/>
              </w:rPr>
              <w:t>409</w:t>
            </w:r>
            <w:r w:rsidRPr="00475A90">
              <w:rPr>
                <w:rFonts w:ascii="Candara" w:hAnsi="Candara" w:cs="Arial"/>
                <w:spacing w:val="5"/>
                <w:shd w:val="clear" w:color="auto" w:fill="FFFFFF"/>
              </w:rPr>
              <w:t>-</w:t>
            </w:r>
            <w:r w:rsidRPr="00475A90">
              <w:rPr>
                <w:rStyle w:val="nlmlpage"/>
                <w:rFonts w:ascii="Candara" w:hAnsi="Candara" w:cs="Arial"/>
                <w:spacing w:val="5"/>
                <w:shd w:val="clear" w:color="auto" w:fill="FFFFFF"/>
              </w:rPr>
              <w:t>425)</w:t>
            </w:r>
            <w:r w:rsidRPr="00475A90">
              <w:rPr>
                <w:rFonts w:ascii="Candara" w:hAnsi="Candara" w:cs="Arial"/>
                <w:spacing w:val="5"/>
                <w:shd w:val="clear" w:color="auto" w:fill="FFFFFF"/>
              </w:rPr>
              <w:t xml:space="preserve">. </w:t>
            </w:r>
            <w:r w:rsidRPr="00475A90">
              <w:rPr>
                <w:rStyle w:val="nlmpublisher-loc"/>
                <w:rFonts w:ascii="Candara" w:hAnsi="Candara" w:cs="Arial"/>
                <w:spacing w:val="5"/>
                <w:shd w:val="clear" w:color="auto" w:fill="FFFFFF"/>
              </w:rPr>
              <w:t>Berlin</w:t>
            </w:r>
            <w:r w:rsidRPr="00475A90">
              <w:rPr>
                <w:rStyle w:val="nlmpublisher-name"/>
                <w:rFonts w:ascii="Candara" w:hAnsi="Candara" w:cs="Arial"/>
                <w:spacing w:val="5"/>
                <w:shd w:val="clear" w:color="auto" w:fill="FFFFFF"/>
              </w:rPr>
              <w:t>: Springer</w:t>
            </w:r>
            <w:r w:rsidRPr="00475A90">
              <w:rPr>
                <w:rFonts w:ascii="Candara" w:hAnsi="Candara" w:cs="Arial"/>
                <w:spacing w:val="5"/>
                <w:shd w:val="clear" w:color="auto" w:fill="FFFFFF"/>
              </w:rPr>
              <w:t>.</w:t>
            </w:r>
          </w:p>
        </w:tc>
      </w:tr>
      <w:tr w:rsidR="00527F45" w:rsidRPr="00681CF9" w:rsidTr="00527F45">
        <w:tc>
          <w:tcPr>
            <w:tcW w:w="9242" w:type="dxa"/>
          </w:tcPr>
          <w:p w:rsidR="00527F45" w:rsidRPr="0049144D" w:rsidRDefault="00527F45" w:rsidP="00527F45">
            <w:pPr>
              <w:autoSpaceDE w:val="0"/>
              <w:autoSpaceDN w:val="0"/>
              <w:adjustRightInd w:val="0"/>
              <w:spacing w:before="120" w:after="120"/>
              <w:rPr>
                <w:rFonts w:ascii="Candara" w:hAnsi="Candara" w:cs="Times-Roman"/>
              </w:rPr>
            </w:pPr>
            <w:r>
              <w:rPr>
                <w:rFonts w:ascii="Candara" w:hAnsi="Candara" w:cs="Times-Roman"/>
              </w:rPr>
              <w:t xml:space="preserve">Allison, P. D. (2002). </w:t>
            </w:r>
            <w:r w:rsidRPr="0019468E">
              <w:rPr>
                <w:rFonts w:ascii="Candara" w:hAnsi="Candara" w:cs="Times-Roman"/>
                <w:i/>
              </w:rPr>
              <w:t>Missing data – Quantitative applications in the social sciences</w:t>
            </w:r>
            <w:r>
              <w:rPr>
                <w:rFonts w:ascii="Candara" w:hAnsi="Candara" w:cs="Times-Roman"/>
              </w:rPr>
              <w:t>. Thousand Oaks, CA: Sage Publishing.</w:t>
            </w:r>
          </w:p>
        </w:tc>
      </w:tr>
      <w:tr w:rsidR="00527F45" w:rsidRPr="00681CF9" w:rsidTr="00527F45">
        <w:tc>
          <w:tcPr>
            <w:tcW w:w="9242" w:type="dxa"/>
          </w:tcPr>
          <w:p w:rsidR="00527F45" w:rsidRPr="0049144D" w:rsidRDefault="00527F45" w:rsidP="0032435C">
            <w:pPr>
              <w:autoSpaceDE w:val="0"/>
              <w:autoSpaceDN w:val="0"/>
              <w:adjustRightInd w:val="0"/>
              <w:spacing w:before="120"/>
              <w:rPr>
                <w:rFonts w:ascii="Candara" w:hAnsi="Candara" w:cs="Times-Roman"/>
              </w:rPr>
            </w:pPr>
            <w:r>
              <w:rPr>
                <w:rFonts w:ascii="Candara" w:hAnsi="Candara" w:cs="Times-Roman"/>
              </w:rPr>
              <w:t xml:space="preserve">Chin, W. W. (1998). </w:t>
            </w:r>
            <w:r w:rsidRPr="008C4677">
              <w:rPr>
                <w:rFonts w:ascii="Candara" w:hAnsi="Candara" w:cs="Times-Roman"/>
              </w:rPr>
              <w:t>The Partial Least Squares Approach for Structural Equation Modeling.</w:t>
            </w:r>
            <w:r w:rsidR="0032435C">
              <w:rPr>
                <w:rFonts w:ascii="Candara" w:hAnsi="Candara" w:cs="Times-Roman"/>
              </w:rPr>
              <w:t xml:space="preserve"> </w:t>
            </w:r>
            <w:r w:rsidRPr="008C4677">
              <w:rPr>
                <w:rFonts w:ascii="Candara" w:hAnsi="Candara" w:cs="Times-Roman"/>
              </w:rPr>
              <w:t>In G</w:t>
            </w:r>
            <w:r>
              <w:rPr>
                <w:rFonts w:ascii="Candara" w:hAnsi="Candara" w:cs="Times-Roman"/>
              </w:rPr>
              <w:t xml:space="preserve">. </w:t>
            </w:r>
            <w:r w:rsidRPr="008C4677">
              <w:rPr>
                <w:rFonts w:ascii="Candara" w:hAnsi="Candara" w:cs="Times-Roman"/>
              </w:rPr>
              <w:t>A</w:t>
            </w:r>
            <w:r>
              <w:rPr>
                <w:rFonts w:ascii="Candara" w:hAnsi="Candara" w:cs="Times-Roman"/>
              </w:rPr>
              <w:t>. Marcoulides (E</w:t>
            </w:r>
            <w:r w:rsidRPr="008C4677">
              <w:rPr>
                <w:rFonts w:ascii="Candara" w:hAnsi="Candara" w:cs="Times-Roman"/>
              </w:rPr>
              <w:t xml:space="preserve">d.), </w:t>
            </w:r>
            <w:r w:rsidRPr="008C4677">
              <w:rPr>
                <w:rFonts w:ascii="Candara" w:hAnsi="Candara" w:cs="Times-Roman"/>
                <w:i/>
              </w:rPr>
              <w:t>Modern Methods for Business Research</w:t>
            </w:r>
            <w:r w:rsidRPr="008C4677">
              <w:rPr>
                <w:rFonts w:ascii="Candara" w:hAnsi="Candara" w:cs="Times-Roman"/>
              </w:rPr>
              <w:t xml:space="preserve"> </w:t>
            </w:r>
            <w:r>
              <w:rPr>
                <w:rFonts w:ascii="Candara" w:hAnsi="Candara" w:cs="Times-Roman"/>
              </w:rPr>
              <w:t>(pp. 295-</w:t>
            </w:r>
            <w:r w:rsidRPr="008C4677">
              <w:rPr>
                <w:rFonts w:ascii="Candara" w:hAnsi="Candara" w:cs="Times-Roman"/>
              </w:rPr>
              <w:t>336</w:t>
            </w:r>
            <w:r>
              <w:rPr>
                <w:rFonts w:ascii="Candara" w:hAnsi="Candara" w:cs="Times-Roman"/>
              </w:rPr>
              <w:t>)</w:t>
            </w:r>
            <w:r w:rsidRPr="008C4677">
              <w:rPr>
                <w:rFonts w:ascii="Candara" w:hAnsi="Candara" w:cs="Times-Roman"/>
              </w:rPr>
              <w:t xml:space="preserve">. </w:t>
            </w:r>
            <w:r>
              <w:rPr>
                <w:rFonts w:ascii="Candara" w:hAnsi="Candara" w:cs="Times-Roman"/>
              </w:rPr>
              <w:t xml:space="preserve">London: </w:t>
            </w:r>
            <w:r w:rsidR="0032435C">
              <w:rPr>
                <w:rFonts w:ascii="Candara" w:hAnsi="Candara" w:cs="Times-Roman"/>
              </w:rPr>
              <w:t xml:space="preserve">Lawrence </w:t>
            </w:r>
            <w:r w:rsidRPr="008C4677">
              <w:rPr>
                <w:rFonts w:ascii="Candara" w:hAnsi="Candara" w:cs="Times-Roman"/>
              </w:rPr>
              <w:t>Erlbaum Associates</w:t>
            </w:r>
            <w:r>
              <w:rPr>
                <w:rFonts w:ascii="Candara" w:hAnsi="Candara" w:cs="Times-Roman"/>
              </w:rPr>
              <w:t>.</w:t>
            </w:r>
          </w:p>
        </w:tc>
      </w:tr>
      <w:tr w:rsidR="00527F45" w:rsidRPr="00681CF9" w:rsidTr="00527F45">
        <w:tc>
          <w:tcPr>
            <w:tcW w:w="9242" w:type="dxa"/>
          </w:tcPr>
          <w:p w:rsidR="00527F45" w:rsidRPr="0049144D" w:rsidRDefault="00527F45" w:rsidP="00527F45">
            <w:pPr>
              <w:spacing w:before="120" w:after="120"/>
              <w:rPr>
                <w:rFonts w:ascii="Candara" w:hAnsi="Candara"/>
              </w:rPr>
            </w:pPr>
            <w:r w:rsidRPr="0049144D">
              <w:rPr>
                <w:rFonts w:ascii="Candara" w:hAnsi="Candara"/>
              </w:rPr>
              <w:t xml:space="preserve">Education Review Office. (2011). </w:t>
            </w:r>
            <w:r w:rsidRPr="0049144D">
              <w:rPr>
                <w:rFonts w:ascii="Candara" w:hAnsi="Candara"/>
                <w:i/>
              </w:rPr>
              <w:t>Evaluation Indicators for School Reviews</w:t>
            </w:r>
            <w:r w:rsidRPr="0049144D">
              <w:rPr>
                <w:rFonts w:ascii="Candara" w:hAnsi="Candara"/>
              </w:rPr>
              <w:t>. Wellington: Author.</w:t>
            </w:r>
          </w:p>
        </w:tc>
      </w:tr>
      <w:tr w:rsidR="00527F45" w:rsidRPr="00681CF9" w:rsidTr="00527F45">
        <w:tc>
          <w:tcPr>
            <w:tcW w:w="9242" w:type="dxa"/>
          </w:tcPr>
          <w:p w:rsidR="00527F45" w:rsidRPr="00156D27" w:rsidRDefault="00527F45" w:rsidP="00527F45">
            <w:pPr>
              <w:autoSpaceDE w:val="0"/>
              <w:autoSpaceDN w:val="0"/>
              <w:adjustRightInd w:val="0"/>
              <w:spacing w:before="120" w:after="120"/>
              <w:rPr>
                <w:rFonts w:ascii="Candara" w:hAnsi="Candara" w:cs="Times-Roman"/>
              </w:rPr>
            </w:pPr>
            <w:r>
              <w:rPr>
                <w:rFonts w:ascii="Candara" w:hAnsi="Candara" w:cs="Times-Roman"/>
              </w:rPr>
              <w:t xml:space="preserve">Falk, R. F. &amp; Millar, N. B. (1982). </w:t>
            </w:r>
            <w:r>
              <w:rPr>
                <w:rFonts w:ascii="Candara" w:hAnsi="Candara" w:cs="Times-Roman"/>
                <w:i/>
              </w:rPr>
              <w:t xml:space="preserve">A primer for Soft Modeling. </w:t>
            </w:r>
            <w:r>
              <w:rPr>
                <w:rFonts w:ascii="Candara" w:hAnsi="Candara" w:cs="Times-Roman"/>
              </w:rPr>
              <w:t>Akron: University of Akron Press.</w:t>
            </w:r>
          </w:p>
        </w:tc>
      </w:tr>
      <w:tr w:rsidR="00527F45" w:rsidRPr="00681CF9" w:rsidTr="00527F45">
        <w:tc>
          <w:tcPr>
            <w:tcW w:w="9242" w:type="dxa"/>
          </w:tcPr>
          <w:p w:rsidR="00527F45" w:rsidRPr="00475A90" w:rsidRDefault="00527F45" w:rsidP="00527F45">
            <w:pPr>
              <w:spacing w:before="120" w:after="120"/>
              <w:rPr>
                <w:rFonts w:ascii="Candara" w:hAnsi="Candara"/>
              </w:rPr>
            </w:pPr>
            <w:r w:rsidRPr="00475A90">
              <w:rPr>
                <w:rStyle w:val="nlmstring-name"/>
                <w:rFonts w:ascii="Candara" w:hAnsi="Candara" w:cs="Arial"/>
                <w:spacing w:val="5"/>
                <w:shd w:val="clear" w:color="auto" w:fill="FFFFFF"/>
              </w:rPr>
              <w:t>Fornell, C.</w:t>
            </w:r>
            <w:r w:rsidRPr="00475A90">
              <w:rPr>
                <w:rFonts w:ascii="Candara" w:hAnsi="Candara" w:cs="Arial"/>
                <w:spacing w:val="5"/>
                <w:shd w:val="clear" w:color="auto" w:fill="FFFFFF"/>
              </w:rPr>
              <w:t> &amp; </w:t>
            </w:r>
            <w:r w:rsidRPr="00475A90">
              <w:rPr>
                <w:rStyle w:val="nlmstring-name"/>
                <w:rFonts w:ascii="Candara" w:hAnsi="Candara" w:cs="Arial"/>
                <w:spacing w:val="5"/>
                <w:shd w:val="clear" w:color="auto" w:fill="FFFFFF"/>
              </w:rPr>
              <w:t>Larcker, D.F.</w:t>
            </w:r>
            <w:r w:rsidRPr="00475A90">
              <w:rPr>
                <w:rFonts w:ascii="Candara" w:hAnsi="Candara" w:cs="Arial"/>
                <w:spacing w:val="5"/>
                <w:shd w:val="clear" w:color="auto" w:fill="FFFFFF"/>
              </w:rPr>
              <w:t> (</w:t>
            </w:r>
            <w:r w:rsidRPr="00475A90">
              <w:rPr>
                <w:rStyle w:val="nlmyear"/>
                <w:rFonts w:ascii="Candara" w:hAnsi="Candara" w:cs="Arial"/>
                <w:spacing w:val="5"/>
                <w:shd w:val="clear" w:color="auto" w:fill="FFFFFF"/>
              </w:rPr>
              <w:t>1981</w:t>
            </w:r>
            <w:r w:rsidRPr="00475A90">
              <w:rPr>
                <w:rFonts w:ascii="Candara" w:hAnsi="Candara" w:cs="Arial"/>
                <w:spacing w:val="5"/>
                <w:shd w:val="clear" w:color="auto" w:fill="FFFFFF"/>
              </w:rPr>
              <w:t xml:space="preserve">). </w:t>
            </w:r>
            <w:r w:rsidRPr="00475A90">
              <w:rPr>
                <w:rStyle w:val="nlmarticle-title"/>
                <w:rFonts w:ascii="Candara" w:hAnsi="Candara" w:cs="Arial"/>
                <w:spacing w:val="5"/>
                <w:shd w:val="clear" w:color="auto" w:fill="FFFFFF"/>
              </w:rPr>
              <w:t>Evaluating structural equation models with unobservable variables and measurement error</w:t>
            </w:r>
            <w:r w:rsidRPr="00475A90">
              <w:rPr>
                <w:rFonts w:ascii="Candara" w:hAnsi="Candara" w:cs="Arial"/>
                <w:spacing w:val="5"/>
                <w:shd w:val="clear" w:color="auto" w:fill="FFFFFF"/>
              </w:rPr>
              <w:t xml:space="preserve">. </w:t>
            </w:r>
            <w:r w:rsidRPr="00475A90">
              <w:rPr>
                <w:rFonts w:ascii="Candara" w:hAnsi="Candara" w:cs="Arial"/>
                <w:i/>
                <w:iCs/>
                <w:spacing w:val="5"/>
                <w:shd w:val="clear" w:color="auto" w:fill="FFFFFF"/>
              </w:rPr>
              <w:t>Journal of Marketing Research,</w:t>
            </w:r>
            <w:r w:rsidRPr="00475A90">
              <w:rPr>
                <w:rFonts w:ascii="Candara" w:hAnsi="Candara" w:cs="Arial"/>
                <w:spacing w:val="5"/>
                <w:shd w:val="clear" w:color="auto" w:fill="FFFFFF"/>
              </w:rPr>
              <w:t xml:space="preserve"> </w:t>
            </w:r>
            <w:r w:rsidRPr="00475A90">
              <w:rPr>
                <w:rFonts w:ascii="Candara" w:hAnsi="Candara" w:cs="Arial"/>
                <w:i/>
                <w:spacing w:val="5"/>
                <w:shd w:val="clear" w:color="auto" w:fill="FFFFFF"/>
              </w:rPr>
              <w:t>18</w:t>
            </w:r>
            <w:r w:rsidRPr="00475A90">
              <w:rPr>
                <w:rFonts w:ascii="Candara" w:hAnsi="Candara" w:cs="Arial"/>
                <w:spacing w:val="5"/>
                <w:shd w:val="clear" w:color="auto" w:fill="FFFFFF"/>
              </w:rPr>
              <w:t xml:space="preserve">(1), </w:t>
            </w:r>
            <w:r w:rsidRPr="00475A90">
              <w:rPr>
                <w:rStyle w:val="nlmfpage"/>
                <w:rFonts w:ascii="Candara" w:hAnsi="Candara" w:cs="Arial"/>
                <w:spacing w:val="5"/>
                <w:shd w:val="clear" w:color="auto" w:fill="FFFFFF"/>
              </w:rPr>
              <w:t>39</w:t>
            </w:r>
            <w:r w:rsidRPr="00475A90">
              <w:rPr>
                <w:rFonts w:ascii="Candara" w:hAnsi="Candara" w:cs="Arial"/>
                <w:spacing w:val="5"/>
                <w:shd w:val="clear" w:color="auto" w:fill="FFFFFF"/>
              </w:rPr>
              <w:t>-</w:t>
            </w:r>
            <w:r w:rsidRPr="00475A90">
              <w:rPr>
                <w:rStyle w:val="nlmlpage"/>
                <w:rFonts w:ascii="Candara" w:hAnsi="Candara" w:cs="Arial"/>
                <w:spacing w:val="5"/>
                <w:shd w:val="clear" w:color="auto" w:fill="FFFFFF"/>
              </w:rPr>
              <w:t>50</w:t>
            </w:r>
            <w:r w:rsidRPr="00475A90">
              <w:rPr>
                <w:rFonts w:ascii="Candara" w:hAnsi="Candara" w:cs="Arial"/>
                <w:spacing w:val="5"/>
                <w:shd w:val="clear" w:color="auto" w:fill="FFFFFF"/>
              </w:rPr>
              <w:t>. </w:t>
            </w:r>
            <w:r w:rsidRPr="00475A90">
              <w:rPr>
                <w:rFonts w:ascii="Candara" w:hAnsi="Candara"/>
              </w:rPr>
              <w:t xml:space="preserve"> </w:t>
            </w:r>
          </w:p>
        </w:tc>
      </w:tr>
      <w:tr w:rsidR="00527F45" w:rsidRPr="00681CF9" w:rsidTr="00527F45">
        <w:tc>
          <w:tcPr>
            <w:tcW w:w="9242" w:type="dxa"/>
          </w:tcPr>
          <w:p w:rsidR="00527F45" w:rsidRPr="0049144D" w:rsidRDefault="00527F45" w:rsidP="00527F45">
            <w:pPr>
              <w:autoSpaceDE w:val="0"/>
              <w:autoSpaceDN w:val="0"/>
              <w:adjustRightInd w:val="0"/>
              <w:spacing w:before="120" w:after="120"/>
              <w:rPr>
                <w:rFonts w:ascii="Candara" w:hAnsi="Candara" w:cs="Times-Roman"/>
              </w:rPr>
            </w:pPr>
            <w:r w:rsidRPr="0049144D">
              <w:rPr>
                <w:rFonts w:ascii="Candara" w:hAnsi="Candara" w:cs="Times-Roman"/>
              </w:rPr>
              <w:t xml:space="preserve">Fornell, C., &amp; Bookstein, F. L. (1982). Two structural equation models: LISREL and PLS applied to consumer exit-voice theory. </w:t>
            </w:r>
            <w:r w:rsidRPr="0049144D">
              <w:rPr>
                <w:rFonts w:ascii="Candara" w:hAnsi="Candara" w:cs="Times-Italic"/>
                <w:i/>
                <w:iCs/>
              </w:rPr>
              <w:t>Journal of Marketing Research, 19</w:t>
            </w:r>
            <w:r w:rsidRPr="0049144D">
              <w:rPr>
                <w:rFonts w:ascii="Candara" w:hAnsi="Candara" w:cs="Times-Roman"/>
              </w:rPr>
              <w:t>(4) 440-452.</w:t>
            </w:r>
          </w:p>
        </w:tc>
      </w:tr>
      <w:tr w:rsidR="00527F45" w:rsidRPr="00681CF9" w:rsidTr="00527F45">
        <w:tc>
          <w:tcPr>
            <w:tcW w:w="9242" w:type="dxa"/>
          </w:tcPr>
          <w:p w:rsidR="00527F45" w:rsidRPr="00813A38" w:rsidRDefault="00527F45" w:rsidP="00527F45">
            <w:pPr>
              <w:autoSpaceDE w:val="0"/>
              <w:autoSpaceDN w:val="0"/>
              <w:adjustRightInd w:val="0"/>
              <w:spacing w:before="120" w:after="120"/>
              <w:rPr>
                <w:rFonts w:ascii="Candara" w:hAnsi="Candara" w:cs="Times-Roman"/>
              </w:rPr>
            </w:pPr>
            <w:r w:rsidRPr="00813A38">
              <w:rPr>
                <w:rFonts w:ascii="Candara" w:hAnsi="Candara" w:cs="Times-Roman"/>
              </w:rPr>
              <w:t xml:space="preserve">Garthwaite, </w:t>
            </w:r>
            <w:r>
              <w:rPr>
                <w:rFonts w:ascii="Candara" w:hAnsi="Candara" w:cs="Times-Roman"/>
              </w:rPr>
              <w:t>P. H. (</w:t>
            </w:r>
            <w:r w:rsidRPr="00813A38">
              <w:rPr>
                <w:rFonts w:ascii="Candara" w:hAnsi="Candara" w:cs="Times-Roman"/>
              </w:rPr>
              <w:t>1994</w:t>
            </w:r>
            <w:r>
              <w:rPr>
                <w:rFonts w:ascii="Candara" w:hAnsi="Candara" w:cs="Times-Roman"/>
              </w:rPr>
              <w:t xml:space="preserve">). An interpretation of partial least squares. </w:t>
            </w:r>
            <w:r>
              <w:rPr>
                <w:rFonts w:ascii="Candara" w:hAnsi="Candara" w:cs="Times-Roman"/>
                <w:i/>
              </w:rPr>
              <w:t>Theory and Method, 89</w:t>
            </w:r>
            <w:r>
              <w:rPr>
                <w:rFonts w:ascii="Candara" w:hAnsi="Candara" w:cs="Times-Roman"/>
              </w:rPr>
              <w:t>(425), 122-127.</w:t>
            </w:r>
          </w:p>
        </w:tc>
      </w:tr>
      <w:tr w:rsidR="00527F45" w:rsidRPr="00681CF9" w:rsidTr="00527F45">
        <w:tc>
          <w:tcPr>
            <w:tcW w:w="9242" w:type="dxa"/>
          </w:tcPr>
          <w:p w:rsidR="00527F45" w:rsidRPr="00737CBE" w:rsidRDefault="00527F45" w:rsidP="00527F45">
            <w:pPr>
              <w:autoSpaceDE w:val="0"/>
              <w:autoSpaceDN w:val="0"/>
              <w:adjustRightInd w:val="0"/>
              <w:spacing w:before="120" w:after="120"/>
              <w:rPr>
                <w:rFonts w:ascii="Candara" w:hAnsi="Candara" w:cs="Times-Roman"/>
              </w:rPr>
            </w:pPr>
            <w:r w:rsidRPr="001557FD">
              <w:rPr>
                <w:rFonts w:ascii="Candara" w:hAnsi="Candara" w:cs="Times-Roman"/>
              </w:rPr>
              <w:t xml:space="preserve">Geisser, S. (1975). The predictive sample reuse method with applications. </w:t>
            </w:r>
            <w:r w:rsidRPr="001557FD">
              <w:rPr>
                <w:rFonts w:ascii="Candara" w:hAnsi="Candara" w:cs="Times-Roman"/>
                <w:i/>
              </w:rPr>
              <w:t>Journal of the American Statistical</w:t>
            </w:r>
            <w:r>
              <w:rPr>
                <w:rFonts w:ascii="Candara" w:hAnsi="Candara" w:cs="Times-Roman"/>
              </w:rPr>
              <w:t xml:space="preserve"> </w:t>
            </w:r>
            <w:r w:rsidRPr="001557FD">
              <w:rPr>
                <w:rFonts w:ascii="Candara" w:hAnsi="Candara" w:cs="Times-Roman"/>
                <w:i/>
              </w:rPr>
              <w:t>Association</w:t>
            </w:r>
            <w:r w:rsidRPr="001557FD">
              <w:rPr>
                <w:rFonts w:ascii="Candara" w:hAnsi="Candara" w:cs="Times-Roman"/>
              </w:rPr>
              <w:t xml:space="preserve">, </w:t>
            </w:r>
            <w:r w:rsidRPr="001557FD">
              <w:rPr>
                <w:rFonts w:ascii="Candara" w:hAnsi="Candara" w:cs="Times-Roman"/>
                <w:i/>
              </w:rPr>
              <w:t>70</w:t>
            </w:r>
            <w:r>
              <w:rPr>
                <w:rFonts w:ascii="Candara" w:hAnsi="Candara" w:cs="Times-Roman"/>
              </w:rPr>
              <w:t>(</w:t>
            </w:r>
            <w:r w:rsidRPr="001557FD">
              <w:rPr>
                <w:rFonts w:ascii="Candara" w:hAnsi="Candara" w:cs="Times-Roman"/>
              </w:rPr>
              <w:t>350</w:t>
            </w:r>
            <w:r>
              <w:rPr>
                <w:rFonts w:ascii="Candara" w:hAnsi="Candara" w:cs="Times-Roman"/>
              </w:rPr>
              <w:t>)</w:t>
            </w:r>
            <w:r w:rsidRPr="001557FD">
              <w:rPr>
                <w:rFonts w:ascii="Candara" w:hAnsi="Candara" w:cs="Times-Roman"/>
              </w:rPr>
              <w:t>, 320-328.</w:t>
            </w:r>
          </w:p>
        </w:tc>
      </w:tr>
      <w:tr w:rsidR="00527F45" w:rsidRPr="00681CF9" w:rsidTr="00527F45">
        <w:tc>
          <w:tcPr>
            <w:tcW w:w="9242" w:type="dxa"/>
          </w:tcPr>
          <w:p w:rsidR="00527F45" w:rsidRPr="00475A90" w:rsidRDefault="00527F45" w:rsidP="00527F45">
            <w:pPr>
              <w:spacing w:before="120" w:after="120"/>
              <w:rPr>
                <w:rFonts w:ascii="Candara" w:hAnsi="Candara"/>
              </w:rPr>
            </w:pPr>
            <w:r w:rsidRPr="00475A90">
              <w:rPr>
                <w:rStyle w:val="nlmstring-name"/>
                <w:rFonts w:ascii="Candara" w:hAnsi="Candara" w:cs="Arial"/>
                <w:spacing w:val="5"/>
                <w:shd w:val="clear" w:color="auto" w:fill="FFFFFF"/>
              </w:rPr>
              <w:t>Henseler, J.</w:t>
            </w:r>
            <w:r w:rsidRPr="00475A90">
              <w:rPr>
                <w:rFonts w:ascii="Candara" w:hAnsi="Candara" w:cs="Arial"/>
                <w:spacing w:val="5"/>
                <w:shd w:val="clear" w:color="auto" w:fill="FFFFFF"/>
              </w:rPr>
              <w:t> &amp; </w:t>
            </w:r>
            <w:r w:rsidRPr="00475A90">
              <w:rPr>
                <w:rStyle w:val="nlmstring-name"/>
                <w:rFonts w:ascii="Candara" w:hAnsi="Candara" w:cs="Arial"/>
                <w:spacing w:val="5"/>
                <w:shd w:val="clear" w:color="auto" w:fill="FFFFFF"/>
              </w:rPr>
              <w:t>Sarstedt, M.</w:t>
            </w:r>
            <w:r w:rsidRPr="00475A90">
              <w:rPr>
                <w:rFonts w:ascii="Candara" w:hAnsi="Candara" w:cs="Arial"/>
                <w:spacing w:val="5"/>
                <w:shd w:val="clear" w:color="auto" w:fill="FFFFFF"/>
              </w:rPr>
              <w:t> (</w:t>
            </w:r>
            <w:r w:rsidRPr="00475A90">
              <w:rPr>
                <w:rStyle w:val="nlmyear"/>
                <w:rFonts w:ascii="Candara" w:hAnsi="Candara" w:cs="Arial"/>
                <w:spacing w:val="5"/>
                <w:shd w:val="clear" w:color="auto" w:fill="FFFFFF"/>
              </w:rPr>
              <w:t>2013</w:t>
            </w:r>
            <w:r w:rsidRPr="00475A90">
              <w:rPr>
                <w:rFonts w:ascii="Candara" w:hAnsi="Candara" w:cs="Arial"/>
                <w:spacing w:val="5"/>
                <w:shd w:val="clear" w:color="auto" w:fill="FFFFFF"/>
              </w:rPr>
              <w:t xml:space="preserve">). </w:t>
            </w:r>
            <w:r w:rsidRPr="00475A90">
              <w:rPr>
                <w:rStyle w:val="nlmarticle-title"/>
                <w:rFonts w:ascii="Candara" w:hAnsi="Candara" w:cs="Arial"/>
                <w:spacing w:val="5"/>
                <w:shd w:val="clear" w:color="auto" w:fill="FFFFFF"/>
              </w:rPr>
              <w:t>Goodness-of-fit indices for partial least squares path modeling</w:t>
            </w:r>
            <w:r w:rsidRPr="00475A90">
              <w:rPr>
                <w:rFonts w:ascii="Candara" w:hAnsi="Candara" w:cs="Arial"/>
                <w:spacing w:val="5"/>
                <w:shd w:val="clear" w:color="auto" w:fill="FFFFFF"/>
              </w:rPr>
              <w:t>. </w:t>
            </w:r>
            <w:r w:rsidRPr="00475A90">
              <w:rPr>
                <w:rFonts w:ascii="Candara" w:hAnsi="Candara" w:cs="Arial"/>
                <w:i/>
                <w:iCs/>
                <w:spacing w:val="5"/>
                <w:shd w:val="clear" w:color="auto" w:fill="FFFFFF"/>
              </w:rPr>
              <w:t>Computational Statistics</w:t>
            </w:r>
            <w:r w:rsidRPr="00475A90">
              <w:rPr>
                <w:rFonts w:ascii="Candara" w:hAnsi="Candara" w:cs="Arial"/>
                <w:spacing w:val="5"/>
                <w:shd w:val="clear" w:color="auto" w:fill="FFFFFF"/>
              </w:rPr>
              <w:t xml:space="preserve">, </w:t>
            </w:r>
            <w:r w:rsidRPr="00475A90">
              <w:rPr>
                <w:rFonts w:ascii="Candara" w:hAnsi="Candara" w:cs="Arial"/>
                <w:i/>
                <w:spacing w:val="5"/>
                <w:shd w:val="clear" w:color="auto" w:fill="FFFFFF"/>
              </w:rPr>
              <w:t>28</w:t>
            </w:r>
            <w:r w:rsidRPr="00475A90">
              <w:rPr>
                <w:rFonts w:ascii="Candara" w:hAnsi="Candara" w:cs="Arial"/>
                <w:spacing w:val="5"/>
                <w:shd w:val="clear" w:color="auto" w:fill="FFFFFF"/>
              </w:rPr>
              <w:t xml:space="preserve">(2), </w:t>
            </w:r>
            <w:r w:rsidRPr="00475A90">
              <w:rPr>
                <w:rStyle w:val="nlmfpage"/>
                <w:rFonts w:ascii="Candara" w:hAnsi="Candara" w:cs="Arial"/>
                <w:spacing w:val="5"/>
                <w:shd w:val="clear" w:color="auto" w:fill="FFFFFF"/>
              </w:rPr>
              <w:t>565</w:t>
            </w:r>
            <w:r w:rsidRPr="00475A90">
              <w:rPr>
                <w:rFonts w:ascii="Candara" w:hAnsi="Candara" w:cs="Arial"/>
                <w:spacing w:val="5"/>
                <w:shd w:val="clear" w:color="auto" w:fill="FFFFFF"/>
              </w:rPr>
              <w:t>-</w:t>
            </w:r>
            <w:r w:rsidRPr="00475A90">
              <w:rPr>
                <w:rStyle w:val="nlmlpage"/>
                <w:rFonts w:ascii="Candara" w:hAnsi="Candara" w:cs="Arial"/>
                <w:spacing w:val="5"/>
                <w:shd w:val="clear" w:color="auto" w:fill="FFFFFF"/>
              </w:rPr>
              <w:t>580</w:t>
            </w:r>
            <w:r w:rsidRPr="00475A90">
              <w:rPr>
                <w:rFonts w:ascii="Candara" w:hAnsi="Candara" w:cs="Arial"/>
                <w:spacing w:val="5"/>
                <w:shd w:val="clear" w:color="auto" w:fill="FFFFFF"/>
              </w:rPr>
              <w:t>.</w:t>
            </w:r>
            <w:r w:rsidRPr="00475A90">
              <w:rPr>
                <w:rFonts w:ascii="Candara" w:hAnsi="Candara"/>
              </w:rPr>
              <w:t xml:space="preserve"> </w:t>
            </w:r>
          </w:p>
        </w:tc>
      </w:tr>
      <w:tr w:rsidR="00527F45" w:rsidRPr="00681CF9" w:rsidTr="00527F45">
        <w:tc>
          <w:tcPr>
            <w:tcW w:w="9242" w:type="dxa"/>
          </w:tcPr>
          <w:p w:rsidR="00527F45" w:rsidRPr="00475A90" w:rsidRDefault="00527F45" w:rsidP="00527F45">
            <w:pPr>
              <w:spacing w:before="120" w:after="120"/>
              <w:rPr>
                <w:rFonts w:ascii="Candara" w:hAnsi="Candara"/>
              </w:rPr>
            </w:pPr>
            <w:r w:rsidRPr="00475A90">
              <w:rPr>
                <w:rFonts w:ascii="Candara" w:hAnsi="Candara"/>
              </w:rPr>
              <w:t xml:space="preserve">Henseler, J., Ringle, C.M. &amp; Sarstedt, M. (2015). A new criterion for assessing discriminant validity in variance-based structural equation modeling. </w:t>
            </w:r>
            <w:r w:rsidRPr="00475A90">
              <w:rPr>
                <w:rFonts w:ascii="Candara" w:hAnsi="Candara"/>
                <w:i/>
              </w:rPr>
              <w:t>Journal of the Academy of Marketing Science</w:t>
            </w:r>
            <w:r w:rsidRPr="00475A90">
              <w:rPr>
                <w:rFonts w:ascii="Candara" w:hAnsi="Candara"/>
              </w:rPr>
              <w:t xml:space="preserve">, </w:t>
            </w:r>
            <w:r w:rsidRPr="00475A90">
              <w:rPr>
                <w:rFonts w:ascii="Candara" w:hAnsi="Candara"/>
                <w:i/>
              </w:rPr>
              <w:t xml:space="preserve">43 </w:t>
            </w:r>
            <w:r>
              <w:rPr>
                <w:rFonts w:ascii="Candara" w:hAnsi="Candara"/>
              </w:rPr>
              <w:t>(1)</w:t>
            </w:r>
            <w:r w:rsidRPr="00475A90">
              <w:rPr>
                <w:rFonts w:ascii="Candara" w:hAnsi="Candara"/>
              </w:rPr>
              <w:t>, 115-</w:t>
            </w:r>
            <w:r>
              <w:rPr>
                <w:rFonts w:ascii="Candara" w:hAnsi="Candara"/>
              </w:rPr>
              <w:t>135.</w:t>
            </w:r>
          </w:p>
        </w:tc>
      </w:tr>
      <w:tr w:rsidR="00527F45" w:rsidRPr="00681CF9" w:rsidTr="00527F45">
        <w:tc>
          <w:tcPr>
            <w:tcW w:w="9242" w:type="dxa"/>
          </w:tcPr>
          <w:p w:rsidR="00527F45" w:rsidRPr="00737CBE" w:rsidRDefault="00527F45" w:rsidP="00527F45">
            <w:pPr>
              <w:autoSpaceDE w:val="0"/>
              <w:autoSpaceDN w:val="0"/>
              <w:adjustRightInd w:val="0"/>
              <w:spacing w:before="120" w:after="120"/>
              <w:rPr>
                <w:rFonts w:ascii="Candara" w:hAnsi="Candara" w:cs="Times-Roman"/>
              </w:rPr>
            </w:pPr>
            <w:r w:rsidRPr="00737CBE">
              <w:rPr>
                <w:rFonts w:ascii="Candara" w:hAnsi="Candara" w:cs="Times-Roman"/>
              </w:rPr>
              <w:t>Howell,</w:t>
            </w:r>
            <w:r>
              <w:rPr>
                <w:rFonts w:ascii="Candara" w:hAnsi="Candara" w:cs="Times-Roman"/>
              </w:rPr>
              <w:t xml:space="preserve"> D. C.</w:t>
            </w:r>
            <w:r w:rsidRPr="00737CBE">
              <w:rPr>
                <w:rFonts w:ascii="Candara" w:hAnsi="Candara" w:cs="Times-Roman"/>
              </w:rPr>
              <w:t xml:space="preserve"> </w:t>
            </w:r>
            <w:r>
              <w:rPr>
                <w:rFonts w:ascii="Candara" w:hAnsi="Candara" w:cs="Times-Roman"/>
              </w:rPr>
              <w:t>(</w:t>
            </w:r>
            <w:r w:rsidRPr="00737CBE">
              <w:rPr>
                <w:rFonts w:ascii="Candara" w:hAnsi="Candara" w:cs="Times-Roman"/>
              </w:rPr>
              <w:t>2007</w:t>
            </w:r>
            <w:r>
              <w:rPr>
                <w:rFonts w:ascii="Candara" w:hAnsi="Candara" w:cs="Times-Roman"/>
              </w:rPr>
              <w:t xml:space="preserve">). </w:t>
            </w:r>
            <w:r>
              <w:rPr>
                <w:rFonts w:ascii="Candara" w:hAnsi="Candara" w:cs="Times-Roman"/>
                <w:i/>
              </w:rPr>
              <w:t xml:space="preserve">Statistical Methods for Psychology. </w:t>
            </w:r>
            <w:r>
              <w:rPr>
                <w:rFonts w:ascii="Candara" w:hAnsi="Candara" w:cs="Times-Roman"/>
              </w:rPr>
              <w:t>Belmont, CA: Wadsworth.</w:t>
            </w:r>
          </w:p>
        </w:tc>
      </w:tr>
      <w:tr w:rsidR="00527F45" w:rsidRPr="00681CF9" w:rsidTr="00527F45">
        <w:tc>
          <w:tcPr>
            <w:tcW w:w="9242" w:type="dxa"/>
          </w:tcPr>
          <w:p w:rsidR="00527F45" w:rsidRPr="005E32AE" w:rsidRDefault="00527F45" w:rsidP="00527F45">
            <w:pPr>
              <w:autoSpaceDE w:val="0"/>
              <w:autoSpaceDN w:val="0"/>
              <w:adjustRightInd w:val="0"/>
              <w:spacing w:before="120" w:after="120"/>
              <w:rPr>
                <w:rFonts w:ascii="Candara" w:hAnsi="Candara" w:cs="Times-Roman"/>
              </w:rPr>
            </w:pPr>
            <w:r>
              <w:rPr>
                <w:rFonts w:ascii="Candara" w:hAnsi="Candara" w:cs="Times-Roman"/>
              </w:rPr>
              <w:t xml:space="preserve">Little, R. J. A &amp; Rubin, D. B. (2002). </w:t>
            </w:r>
            <w:r>
              <w:rPr>
                <w:rFonts w:ascii="Candara" w:hAnsi="Candara" w:cs="Times-Roman"/>
                <w:i/>
              </w:rPr>
              <w:t xml:space="preserve">Statistical analysis with missing data. </w:t>
            </w:r>
            <w:r>
              <w:rPr>
                <w:rFonts w:ascii="Candara" w:hAnsi="Candara" w:cs="Times-Roman"/>
              </w:rPr>
              <w:t>(2</w:t>
            </w:r>
            <w:r w:rsidRPr="005E32AE">
              <w:rPr>
                <w:rFonts w:ascii="Candara" w:hAnsi="Candara" w:cs="Times-Roman"/>
                <w:vertAlign w:val="superscript"/>
              </w:rPr>
              <w:t>nd</w:t>
            </w:r>
            <w:r>
              <w:rPr>
                <w:rFonts w:ascii="Candara" w:hAnsi="Candara" w:cs="Times-Roman"/>
              </w:rPr>
              <w:t xml:space="preserve"> Ed). New York: John Wiley &amp; Sons.</w:t>
            </w:r>
          </w:p>
        </w:tc>
      </w:tr>
      <w:tr w:rsidR="00527F45" w:rsidRPr="00681CF9" w:rsidTr="00527F45">
        <w:tc>
          <w:tcPr>
            <w:tcW w:w="9242" w:type="dxa"/>
          </w:tcPr>
          <w:p w:rsidR="00527F45" w:rsidRPr="00475A90" w:rsidRDefault="00527F45" w:rsidP="00527F45">
            <w:pPr>
              <w:spacing w:before="120" w:after="120"/>
              <w:rPr>
                <w:rFonts w:ascii="Candara" w:hAnsi="Candara"/>
              </w:rPr>
            </w:pPr>
            <w:r w:rsidRPr="00475A90">
              <w:rPr>
                <w:rFonts w:ascii="Candara" w:hAnsi="Candara"/>
                <w:lang w:val="en-US" w:eastAsia="en-NZ"/>
              </w:rPr>
              <w:t xml:space="preserve">Mintzberg, H. (2004). </w:t>
            </w:r>
            <w:r w:rsidRPr="00475A90">
              <w:rPr>
                <w:rFonts w:ascii="Candara" w:hAnsi="Candara"/>
                <w:i/>
                <w:iCs/>
                <w:lang w:val="en-US" w:eastAsia="en-NZ"/>
              </w:rPr>
              <w:t xml:space="preserve">Managers not MBAs. </w:t>
            </w:r>
            <w:r w:rsidRPr="00475A90">
              <w:rPr>
                <w:rFonts w:ascii="Candara" w:hAnsi="Candara"/>
                <w:lang w:val="en-US" w:eastAsia="en-NZ"/>
              </w:rPr>
              <w:t>San Francisco: Berret-Koehler Publishers.</w:t>
            </w:r>
          </w:p>
        </w:tc>
      </w:tr>
      <w:tr w:rsidR="00527F45" w:rsidRPr="00681CF9" w:rsidTr="00527F45">
        <w:trPr>
          <w:trHeight w:val="869"/>
        </w:trPr>
        <w:tc>
          <w:tcPr>
            <w:tcW w:w="9242" w:type="dxa"/>
          </w:tcPr>
          <w:p w:rsidR="00527F45" w:rsidRPr="00475A90" w:rsidRDefault="00527F45" w:rsidP="00527F45">
            <w:pPr>
              <w:spacing w:before="120" w:after="120"/>
              <w:rPr>
                <w:rFonts w:ascii="Candara" w:hAnsi="Candara" w:cs="Arial"/>
                <w:shd w:val="clear" w:color="auto" w:fill="FFFFFF"/>
              </w:rPr>
            </w:pPr>
            <w:r w:rsidRPr="00475A90">
              <w:rPr>
                <w:rStyle w:val="nlmstring-name"/>
                <w:rFonts w:ascii="Candara" w:hAnsi="Candara" w:cs="Arial"/>
                <w:shd w:val="clear" w:color="auto" w:fill="FFFFFF"/>
              </w:rPr>
              <w:t>St Leger, L.H.</w:t>
            </w:r>
            <w:r w:rsidRPr="00475A90">
              <w:rPr>
                <w:rFonts w:ascii="Candara" w:hAnsi="Candara" w:cs="Arial"/>
                <w:shd w:val="clear" w:color="auto" w:fill="FFFFFF"/>
              </w:rPr>
              <w:t> (</w:t>
            </w:r>
            <w:r w:rsidRPr="00475A90">
              <w:rPr>
                <w:rStyle w:val="nlmyear"/>
                <w:rFonts w:ascii="Candara" w:hAnsi="Candara" w:cs="Arial"/>
                <w:shd w:val="clear" w:color="auto" w:fill="FFFFFF"/>
              </w:rPr>
              <w:t>1999</w:t>
            </w:r>
            <w:r w:rsidRPr="00475A90">
              <w:rPr>
                <w:rFonts w:ascii="Candara" w:hAnsi="Candara" w:cs="Arial"/>
                <w:shd w:val="clear" w:color="auto" w:fill="FFFFFF"/>
              </w:rPr>
              <w:t>). </w:t>
            </w:r>
            <w:r w:rsidRPr="00475A90">
              <w:rPr>
                <w:rStyle w:val="nlmarticle-title"/>
                <w:rFonts w:ascii="Candara" w:hAnsi="Candara" w:cs="Arial"/>
                <w:shd w:val="clear" w:color="auto" w:fill="FFFFFF"/>
              </w:rPr>
              <w:t>The opportunities and effectiveness of the health promoting primary school in improving child health – A review of the claims and evidence</w:t>
            </w:r>
            <w:r w:rsidRPr="00475A90">
              <w:rPr>
                <w:rFonts w:ascii="Candara" w:hAnsi="Candara" w:cs="Arial"/>
                <w:shd w:val="clear" w:color="auto" w:fill="FFFFFF"/>
              </w:rPr>
              <w:t xml:space="preserve">. </w:t>
            </w:r>
            <w:r w:rsidRPr="00475A90">
              <w:rPr>
                <w:rFonts w:ascii="Candara" w:hAnsi="Candara" w:cs="Arial"/>
                <w:i/>
                <w:shd w:val="clear" w:color="auto" w:fill="FFFFFF"/>
              </w:rPr>
              <w:t>Health Education Research 14</w:t>
            </w:r>
            <w:r w:rsidRPr="00475A90">
              <w:rPr>
                <w:rFonts w:ascii="Candara" w:hAnsi="Candara" w:cs="Arial"/>
                <w:shd w:val="clear" w:color="auto" w:fill="FFFFFF"/>
              </w:rPr>
              <w:t xml:space="preserve">(1), </w:t>
            </w:r>
            <w:r w:rsidRPr="00475A90">
              <w:rPr>
                <w:rStyle w:val="nlmfpage"/>
                <w:rFonts w:ascii="Candara" w:hAnsi="Candara" w:cs="Arial"/>
                <w:shd w:val="clear" w:color="auto" w:fill="FFFFFF"/>
              </w:rPr>
              <w:t>51</w:t>
            </w:r>
            <w:r w:rsidRPr="00475A90">
              <w:rPr>
                <w:rFonts w:ascii="Candara" w:hAnsi="Candara" w:cs="Arial"/>
                <w:shd w:val="clear" w:color="auto" w:fill="FFFFFF"/>
              </w:rPr>
              <w:t>–</w:t>
            </w:r>
            <w:r w:rsidRPr="00475A90">
              <w:rPr>
                <w:rStyle w:val="nlmlpage"/>
                <w:rFonts w:ascii="Candara" w:hAnsi="Candara" w:cs="Arial"/>
                <w:shd w:val="clear" w:color="auto" w:fill="FFFFFF"/>
              </w:rPr>
              <w:t>69</w:t>
            </w:r>
            <w:r w:rsidRPr="00475A90">
              <w:rPr>
                <w:rFonts w:ascii="Candara" w:hAnsi="Candara" w:cs="Arial"/>
                <w:shd w:val="clear" w:color="auto" w:fill="FFFFFF"/>
              </w:rPr>
              <w:t>. </w:t>
            </w:r>
          </w:p>
        </w:tc>
      </w:tr>
      <w:tr w:rsidR="00527F45" w:rsidRPr="00681CF9" w:rsidTr="00527F45">
        <w:tc>
          <w:tcPr>
            <w:tcW w:w="9242" w:type="dxa"/>
          </w:tcPr>
          <w:p w:rsidR="00527F45" w:rsidRPr="00737CBE" w:rsidRDefault="00527F45" w:rsidP="00527F45">
            <w:pPr>
              <w:autoSpaceDE w:val="0"/>
              <w:autoSpaceDN w:val="0"/>
              <w:adjustRightInd w:val="0"/>
              <w:spacing w:before="120" w:after="120"/>
              <w:rPr>
                <w:rFonts w:ascii="Candara" w:hAnsi="Candara" w:cs="Times-Roman"/>
              </w:rPr>
            </w:pPr>
            <w:r w:rsidRPr="004F7B33">
              <w:rPr>
                <w:rFonts w:ascii="Candara" w:hAnsi="Candara" w:cs="Times-Roman"/>
              </w:rPr>
              <w:t xml:space="preserve">Stone, M. (1974). Cross validatory choice and assessment of statistical predictions, </w:t>
            </w:r>
            <w:r w:rsidRPr="004F7B33">
              <w:rPr>
                <w:rFonts w:ascii="Candara" w:hAnsi="Candara" w:cs="Times-Roman"/>
                <w:i/>
              </w:rPr>
              <w:t>Journal of the Royal Statistical Society, 36</w:t>
            </w:r>
            <w:r>
              <w:rPr>
                <w:rFonts w:ascii="Candara" w:hAnsi="Candara" w:cs="Times-Roman"/>
              </w:rPr>
              <w:t>(2),</w:t>
            </w:r>
            <w:r w:rsidRPr="004F7B33">
              <w:rPr>
                <w:rFonts w:ascii="Candara" w:hAnsi="Candara" w:cs="Times-Roman"/>
              </w:rPr>
              <w:t xml:space="preserve"> 111-147</w:t>
            </w:r>
            <w:r>
              <w:rPr>
                <w:rFonts w:ascii="Candara" w:hAnsi="Candara" w:cs="Times-Roman"/>
              </w:rPr>
              <w:t>.</w:t>
            </w:r>
          </w:p>
        </w:tc>
      </w:tr>
      <w:tr w:rsidR="00527F45" w:rsidRPr="00681CF9" w:rsidTr="00527F45">
        <w:tc>
          <w:tcPr>
            <w:tcW w:w="9242" w:type="dxa"/>
          </w:tcPr>
          <w:p w:rsidR="00527F45" w:rsidRPr="00737CBE" w:rsidRDefault="00527F45" w:rsidP="00527F45">
            <w:pPr>
              <w:autoSpaceDE w:val="0"/>
              <w:autoSpaceDN w:val="0"/>
              <w:adjustRightInd w:val="0"/>
              <w:spacing w:before="120" w:after="120"/>
              <w:rPr>
                <w:rFonts w:ascii="Candara" w:hAnsi="Candara" w:cs="Times-Roman"/>
              </w:rPr>
            </w:pPr>
            <w:r w:rsidRPr="00231468">
              <w:rPr>
                <w:rFonts w:ascii="Candara" w:hAnsi="Candara" w:cs="Times-Roman"/>
              </w:rPr>
              <w:t>Venaik, S.,</w:t>
            </w:r>
            <w:r>
              <w:rPr>
                <w:rFonts w:ascii="Candara" w:hAnsi="Candara" w:cs="Times-Roman"/>
              </w:rPr>
              <w:t xml:space="preserve"> </w:t>
            </w:r>
            <w:r w:rsidRPr="00231468">
              <w:rPr>
                <w:rFonts w:ascii="Candara" w:hAnsi="Candara" w:cs="Times-Roman"/>
              </w:rPr>
              <w:t>Midgley,</w:t>
            </w:r>
            <w:r>
              <w:rPr>
                <w:rFonts w:ascii="Candara" w:hAnsi="Candara" w:cs="Times-Roman"/>
              </w:rPr>
              <w:t xml:space="preserve"> </w:t>
            </w:r>
            <w:r w:rsidRPr="00231468">
              <w:rPr>
                <w:rFonts w:ascii="Candara" w:hAnsi="Candara" w:cs="Times-Roman"/>
              </w:rPr>
              <w:t>D., &amp; Devinney,</w:t>
            </w:r>
            <w:r>
              <w:rPr>
                <w:rFonts w:ascii="Candara" w:hAnsi="Candara" w:cs="Times-Roman"/>
              </w:rPr>
              <w:t xml:space="preserve"> </w:t>
            </w:r>
            <w:r w:rsidRPr="00231468">
              <w:rPr>
                <w:rFonts w:ascii="Candara" w:hAnsi="Candara" w:cs="Times-Roman"/>
              </w:rPr>
              <w:t>T. (2005). Dual Paths to Perfo</w:t>
            </w:r>
            <w:r w:rsidR="00B17DFB">
              <w:rPr>
                <w:rFonts w:ascii="Candara" w:hAnsi="Candara" w:cs="Times-Roman"/>
              </w:rPr>
              <w:t xml:space="preserve">rmance: The Impact of </w:t>
            </w:r>
            <w:r w:rsidRPr="00231468">
              <w:rPr>
                <w:rFonts w:ascii="Candara" w:hAnsi="Candara" w:cs="Times-Roman"/>
              </w:rPr>
              <w:t xml:space="preserve">Global Pressures on MNC Subsidiary Conduct and Performance. </w:t>
            </w:r>
            <w:r w:rsidRPr="00231468">
              <w:rPr>
                <w:rFonts w:ascii="Candara" w:hAnsi="Candara" w:cs="Times-Roman"/>
                <w:i/>
              </w:rPr>
              <w:t>Journal of International</w:t>
            </w:r>
            <w:r w:rsidR="00B17DFB">
              <w:rPr>
                <w:rFonts w:ascii="Candara" w:hAnsi="Candara" w:cs="Times-Roman"/>
              </w:rPr>
              <w:t xml:space="preserve"> </w:t>
            </w:r>
            <w:r w:rsidRPr="00231468">
              <w:rPr>
                <w:rFonts w:ascii="Candara" w:hAnsi="Candara" w:cs="Times-Roman"/>
                <w:i/>
              </w:rPr>
              <w:t>Business Studies, 36</w:t>
            </w:r>
            <w:r w:rsidRPr="00231468">
              <w:rPr>
                <w:rFonts w:ascii="Candara" w:hAnsi="Candara" w:cs="Times-Roman"/>
              </w:rPr>
              <w:t>(6), 655–675</w:t>
            </w:r>
            <w:r>
              <w:rPr>
                <w:rFonts w:ascii="Candara" w:hAnsi="Candara" w:cs="Times-Roman"/>
              </w:rPr>
              <w:t>.</w:t>
            </w:r>
          </w:p>
        </w:tc>
      </w:tr>
      <w:tr w:rsidR="00527F45" w:rsidRPr="00681CF9" w:rsidTr="00527F45">
        <w:tc>
          <w:tcPr>
            <w:tcW w:w="9242" w:type="dxa"/>
          </w:tcPr>
          <w:p w:rsidR="00527F45" w:rsidRPr="00B17DFB" w:rsidRDefault="00527F45" w:rsidP="00527F45">
            <w:pPr>
              <w:autoSpaceDE w:val="0"/>
              <w:autoSpaceDN w:val="0"/>
              <w:adjustRightInd w:val="0"/>
              <w:spacing w:before="120" w:after="120"/>
              <w:rPr>
                <w:rFonts w:ascii="Candara" w:hAnsi="Candara" w:cs="Times-Roman"/>
                <w:i/>
              </w:rPr>
            </w:pPr>
            <w:r w:rsidRPr="00925BEE">
              <w:rPr>
                <w:rFonts w:ascii="Candara" w:hAnsi="Candara" w:cs="Times-Roman"/>
              </w:rPr>
              <w:lastRenderedPageBreak/>
              <w:t xml:space="preserve">Wold, H. (1985). Partial least squares. In S. Kotz, </w:t>
            </w:r>
            <w:r>
              <w:rPr>
                <w:rFonts w:ascii="Candara" w:hAnsi="Candara" w:cs="Times-Roman"/>
              </w:rPr>
              <w:t>&amp; N. L. Johnson</w:t>
            </w:r>
            <w:r w:rsidRPr="00925BEE">
              <w:rPr>
                <w:rFonts w:ascii="Candara" w:hAnsi="Candara" w:cs="Times-Roman"/>
              </w:rPr>
              <w:t xml:space="preserve"> (Eds.), </w:t>
            </w:r>
            <w:r w:rsidR="00B17DFB">
              <w:rPr>
                <w:rFonts w:ascii="Candara" w:hAnsi="Candara" w:cs="Times-Roman"/>
                <w:i/>
              </w:rPr>
              <w:t xml:space="preserve">Encyclopedia of </w:t>
            </w:r>
            <w:r w:rsidRPr="00925BEE">
              <w:rPr>
                <w:rFonts w:ascii="Candara" w:hAnsi="Candara" w:cs="Times-Roman"/>
                <w:i/>
              </w:rPr>
              <w:t>Statistical Sciences</w:t>
            </w:r>
            <w:r>
              <w:rPr>
                <w:rFonts w:ascii="Candara" w:hAnsi="Candara" w:cs="Times-Roman"/>
              </w:rPr>
              <w:t>, Vol. 6 (pp. 581-</w:t>
            </w:r>
            <w:r w:rsidRPr="00925BEE">
              <w:rPr>
                <w:rFonts w:ascii="Candara" w:hAnsi="Candara" w:cs="Times-Roman"/>
              </w:rPr>
              <w:t>591). New York: Wiley.</w:t>
            </w:r>
          </w:p>
        </w:tc>
      </w:tr>
      <w:tr w:rsidR="00527F45" w:rsidRPr="00681CF9" w:rsidTr="00527F45">
        <w:tc>
          <w:tcPr>
            <w:tcW w:w="9242" w:type="dxa"/>
          </w:tcPr>
          <w:p w:rsidR="00527F45" w:rsidRPr="004A27F0" w:rsidRDefault="00527F45" w:rsidP="00527F45">
            <w:pPr>
              <w:spacing w:before="120" w:after="120"/>
              <w:rPr>
                <w:rFonts w:ascii="Candara" w:hAnsi="Candara"/>
              </w:rPr>
            </w:pPr>
            <w:r w:rsidRPr="004A27F0">
              <w:rPr>
                <w:rFonts w:ascii="Candara" w:hAnsi="Candara"/>
              </w:rPr>
              <w:t xml:space="preserve">World Health Organization. (1986). </w:t>
            </w:r>
            <w:r w:rsidRPr="004A27F0">
              <w:rPr>
                <w:rFonts w:ascii="Candara" w:hAnsi="Candara"/>
                <w:i/>
              </w:rPr>
              <w:t>Ottawa Charter for Health Promotion</w:t>
            </w:r>
            <w:r w:rsidRPr="004A27F0">
              <w:rPr>
                <w:rFonts w:ascii="Candara" w:hAnsi="Candara"/>
              </w:rPr>
              <w:t>. WHO, Copenhagen.</w:t>
            </w:r>
          </w:p>
        </w:tc>
      </w:tr>
    </w:tbl>
    <w:p w:rsidR="00527F45" w:rsidRDefault="00527F45">
      <w:pPr>
        <w:rPr>
          <w:rFonts w:asciiTheme="majorHAnsi" w:eastAsiaTheme="majorEastAsia" w:hAnsiTheme="majorHAnsi" w:cstheme="majorBidi"/>
          <w:color w:val="262626" w:themeColor="text1" w:themeTint="D9"/>
          <w:sz w:val="40"/>
          <w:szCs w:val="40"/>
        </w:rPr>
      </w:pPr>
      <w:r>
        <w:br w:type="page"/>
      </w:r>
    </w:p>
    <w:p w:rsidR="00B17C31" w:rsidRDefault="00B17C31" w:rsidP="00B17C31">
      <w:pPr>
        <w:pStyle w:val="Heading1"/>
      </w:pPr>
      <w:bookmarkStart w:id="30" w:name="_Toc491757216"/>
      <w:r>
        <w:lastRenderedPageBreak/>
        <w:t>Appendix 1</w:t>
      </w:r>
      <w:bookmarkEnd w:id="30"/>
    </w:p>
    <w:p w:rsidR="00B17C31" w:rsidRPr="004F01B2" w:rsidRDefault="00B17C31" w:rsidP="004F01B2">
      <w:pPr>
        <w:spacing w:before="300" w:after="120"/>
        <w:rPr>
          <w:rFonts w:asciiTheme="majorHAnsi" w:eastAsiaTheme="majorEastAsia" w:hAnsiTheme="majorHAnsi" w:cstheme="majorBidi"/>
          <w:color w:val="0F6FC6" w:themeColor="accent1"/>
          <w:sz w:val="28"/>
          <w:szCs w:val="32"/>
        </w:rPr>
      </w:pPr>
      <w:r w:rsidRPr="004F01B2">
        <w:rPr>
          <w:rFonts w:asciiTheme="majorHAnsi" w:eastAsiaTheme="majorEastAsia" w:hAnsiTheme="majorHAnsi" w:cstheme="majorBidi"/>
          <w:color w:val="0F6FC6" w:themeColor="accent1"/>
          <w:sz w:val="28"/>
          <w:szCs w:val="32"/>
        </w:rPr>
        <w:t>HPS schools as at November 2016</w:t>
      </w:r>
    </w:p>
    <w:tbl>
      <w:tblPr>
        <w:tblStyle w:val="TableGrid"/>
        <w:tblW w:w="0" w:type="auto"/>
        <w:tblLook w:val="04A0" w:firstRow="1" w:lastRow="0" w:firstColumn="1" w:lastColumn="0" w:noHBand="0" w:noVBand="1"/>
      </w:tblPr>
      <w:tblGrid>
        <w:gridCol w:w="6799"/>
        <w:gridCol w:w="2551"/>
      </w:tblGrid>
      <w:tr w:rsidR="00B17C31" w:rsidTr="009B0941">
        <w:tc>
          <w:tcPr>
            <w:tcW w:w="6799" w:type="dxa"/>
          </w:tcPr>
          <w:p w:rsidR="00B17C31" w:rsidRPr="00F01914" w:rsidRDefault="00B17C31" w:rsidP="009B0941">
            <w:pPr>
              <w:spacing w:after="120"/>
              <w:rPr>
                <w:rFonts w:ascii="Calibri" w:hAnsi="Calibri" w:cs="Calibri"/>
                <w:b/>
                <w:sz w:val="20"/>
                <w:szCs w:val="20"/>
              </w:rPr>
            </w:pPr>
            <w:r w:rsidRPr="00F01914">
              <w:rPr>
                <w:rFonts w:ascii="Calibri" w:hAnsi="Calibri" w:cs="Calibri"/>
                <w:b/>
                <w:sz w:val="20"/>
                <w:szCs w:val="20"/>
              </w:rPr>
              <w:t>HPS status detail</w:t>
            </w:r>
          </w:p>
        </w:tc>
        <w:tc>
          <w:tcPr>
            <w:tcW w:w="2551" w:type="dxa"/>
          </w:tcPr>
          <w:p w:rsidR="00B17C31" w:rsidRPr="00F01914" w:rsidRDefault="00B17C31" w:rsidP="009B0941">
            <w:pPr>
              <w:spacing w:after="120"/>
              <w:rPr>
                <w:rFonts w:ascii="Calibri" w:hAnsi="Calibri" w:cs="Calibri"/>
                <w:sz w:val="20"/>
                <w:szCs w:val="20"/>
              </w:rPr>
            </w:pPr>
            <w:r w:rsidRPr="00F01914">
              <w:rPr>
                <w:rFonts w:ascii="Calibri" w:hAnsi="Calibri" w:cs="Calibri"/>
                <w:b/>
                <w:sz w:val="20"/>
                <w:szCs w:val="20"/>
              </w:rPr>
              <w:t>Total schools</w:t>
            </w:r>
          </w:p>
        </w:tc>
      </w:tr>
      <w:tr w:rsidR="00B17C31" w:rsidTr="009B0941">
        <w:tc>
          <w:tcPr>
            <w:tcW w:w="6799" w:type="dxa"/>
          </w:tcPr>
          <w:p w:rsidR="00B17C31" w:rsidRPr="00F01914" w:rsidRDefault="00B17C31" w:rsidP="009B0941">
            <w:pPr>
              <w:spacing w:after="120"/>
              <w:rPr>
                <w:rFonts w:ascii="Calibri" w:hAnsi="Calibri" w:cs="Calibri"/>
                <w:sz w:val="20"/>
                <w:szCs w:val="20"/>
              </w:rPr>
            </w:pPr>
            <w:r w:rsidRPr="00F01914">
              <w:rPr>
                <w:rFonts w:ascii="Calibri" w:hAnsi="Calibri" w:cs="Calibri"/>
                <w:sz w:val="20"/>
                <w:szCs w:val="20"/>
              </w:rPr>
              <w:t>0: Emergent – HPS prompt to notice</w:t>
            </w:r>
          </w:p>
        </w:tc>
        <w:tc>
          <w:tcPr>
            <w:tcW w:w="2551" w:type="dxa"/>
          </w:tcPr>
          <w:p w:rsidR="00B17C31" w:rsidRPr="00F01914" w:rsidRDefault="00B17C31" w:rsidP="009B0941">
            <w:pPr>
              <w:spacing w:after="120"/>
              <w:rPr>
                <w:rFonts w:ascii="Calibri" w:hAnsi="Calibri" w:cs="Calibri"/>
                <w:sz w:val="20"/>
                <w:szCs w:val="20"/>
              </w:rPr>
            </w:pPr>
            <w:r w:rsidRPr="00F01914">
              <w:rPr>
                <w:rFonts w:ascii="Calibri" w:hAnsi="Calibri" w:cs="Calibri"/>
                <w:sz w:val="20"/>
                <w:szCs w:val="20"/>
              </w:rPr>
              <w:t>214</w:t>
            </w:r>
          </w:p>
        </w:tc>
      </w:tr>
      <w:tr w:rsidR="00B17C31" w:rsidTr="009B0941">
        <w:tc>
          <w:tcPr>
            <w:tcW w:w="6799" w:type="dxa"/>
          </w:tcPr>
          <w:p w:rsidR="00B17C31" w:rsidRPr="00F01914" w:rsidRDefault="00B17C31" w:rsidP="009B0941">
            <w:pPr>
              <w:spacing w:after="120"/>
              <w:rPr>
                <w:rFonts w:ascii="Calibri" w:hAnsi="Calibri" w:cs="Calibri"/>
                <w:sz w:val="20"/>
                <w:szCs w:val="20"/>
              </w:rPr>
            </w:pPr>
            <w:r w:rsidRPr="00F01914">
              <w:rPr>
                <w:rFonts w:ascii="Calibri" w:hAnsi="Calibri" w:cs="Calibri"/>
                <w:sz w:val="20"/>
                <w:szCs w:val="20"/>
              </w:rPr>
              <w:t>1: Noticing and investigating</w:t>
            </w:r>
          </w:p>
        </w:tc>
        <w:tc>
          <w:tcPr>
            <w:tcW w:w="2551" w:type="dxa"/>
          </w:tcPr>
          <w:p w:rsidR="00B17C31" w:rsidRPr="00F01914" w:rsidRDefault="00B17C31" w:rsidP="009B0941">
            <w:pPr>
              <w:spacing w:after="120"/>
              <w:rPr>
                <w:rFonts w:ascii="Calibri" w:hAnsi="Calibri" w:cs="Calibri"/>
                <w:sz w:val="20"/>
                <w:szCs w:val="20"/>
              </w:rPr>
            </w:pPr>
            <w:r w:rsidRPr="00F01914">
              <w:rPr>
                <w:rFonts w:ascii="Calibri" w:hAnsi="Calibri" w:cs="Calibri"/>
                <w:sz w:val="20"/>
                <w:szCs w:val="20"/>
              </w:rPr>
              <w:t>82</w:t>
            </w:r>
          </w:p>
        </w:tc>
      </w:tr>
      <w:tr w:rsidR="00B17C31" w:rsidTr="009B0941">
        <w:tc>
          <w:tcPr>
            <w:tcW w:w="6799" w:type="dxa"/>
          </w:tcPr>
          <w:p w:rsidR="00B17C31" w:rsidRPr="00F01914" w:rsidRDefault="00B17C31" w:rsidP="009B0941">
            <w:pPr>
              <w:spacing w:after="120"/>
              <w:rPr>
                <w:rFonts w:ascii="Calibri" w:hAnsi="Calibri" w:cs="Calibri"/>
                <w:sz w:val="20"/>
                <w:szCs w:val="20"/>
              </w:rPr>
            </w:pPr>
            <w:r w:rsidRPr="00F01914">
              <w:rPr>
                <w:rFonts w:ascii="Calibri" w:hAnsi="Calibri" w:cs="Calibri"/>
                <w:sz w:val="20"/>
                <w:szCs w:val="20"/>
              </w:rPr>
              <w:t>2: Collaborative sense-making and action</w:t>
            </w:r>
          </w:p>
        </w:tc>
        <w:tc>
          <w:tcPr>
            <w:tcW w:w="2551" w:type="dxa"/>
          </w:tcPr>
          <w:p w:rsidR="00B17C31" w:rsidRPr="00F01914" w:rsidRDefault="00B17C31" w:rsidP="009B0941">
            <w:pPr>
              <w:spacing w:after="120"/>
              <w:rPr>
                <w:rFonts w:ascii="Calibri" w:hAnsi="Calibri" w:cs="Calibri"/>
                <w:sz w:val="20"/>
                <w:szCs w:val="20"/>
              </w:rPr>
            </w:pPr>
            <w:r w:rsidRPr="00F01914">
              <w:rPr>
                <w:rFonts w:ascii="Calibri" w:hAnsi="Calibri" w:cs="Calibri"/>
                <w:sz w:val="20"/>
                <w:szCs w:val="20"/>
              </w:rPr>
              <w:t>589</w:t>
            </w:r>
          </w:p>
        </w:tc>
      </w:tr>
      <w:tr w:rsidR="00B17C31" w:rsidTr="009B0941">
        <w:tc>
          <w:tcPr>
            <w:tcW w:w="6799" w:type="dxa"/>
          </w:tcPr>
          <w:p w:rsidR="00B17C31" w:rsidRPr="00F01914" w:rsidRDefault="00B17C31" w:rsidP="009B0941">
            <w:pPr>
              <w:spacing w:after="120"/>
              <w:rPr>
                <w:rFonts w:ascii="Calibri" w:hAnsi="Calibri" w:cs="Calibri"/>
                <w:sz w:val="20"/>
                <w:szCs w:val="20"/>
              </w:rPr>
            </w:pPr>
            <w:r w:rsidRPr="00F01914">
              <w:rPr>
                <w:rFonts w:ascii="Calibri" w:hAnsi="Calibri" w:cs="Calibri"/>
                <w:sz w:val="20"/>
                <w:szCs w:val="20"/>
              </w:rPr>
              <w:t>3: Whanau agency, monitoring and evaluating</w:t>
            </w:r>
          </w:p>
        </w:tc>
        <w:tc>
          <w:tcPr>
            <w:tcW w:w="2551" w:type="dxa"/>
          </w:tcPr>
          <w:p w:rsidR="00B17C31" w:rsidRPr="00F01914" w:rsidRDefault="00B17C31" w:rsidP="009B0941">
            <w:pPr>
              <w:spacing w:after="120"/>
              <w:rPr>
                <w:rFonts w:ascii="Calibri" w:hAnsi="Calibri" w:cs="Calibri"/>
                <w:sz w:val="20"/>
                <w:szCs w:val="20"/>
              </w:rPr>
            </w:pPr>
            <w:r w:rsidRPr="00F01914">
              <w:rPr>
                <w:rFonts w:ascii="Calibri" w:hAnsi="Calibri" w:cs="Calibri"/>
                <w:sz w:val="20"/>
                <w:szCs w:val="20"/>
              </w:rPr>
              <w:t>339</w:t>
            </w:r>
          </w:p>
        </w:tc>
      </w:tr>
      <w:tr w:rsidR="00B17C31" w:rsidTr="009B0941">
        <w:tc>
          <w:tcPr>
            <w:tcW w:w="6799" w:type="dxa"/>
          </w:tcPr>
          <w:p w:rsidR="00B17C31" w:rsidRPr="00F01914" w:rsidRDefault="00B17C31" w:rsidP="009B0941">
            <w:pPr>
              <w:spacing w:after="120"/>
              <w:rPr>
                <w:rFonts w:ascii="Calibri" w:hAnsi="Calibri" w:cs="Calibri"/>
                <w:sz w:val="20"/>
                <w:szCs w:val="20"/>
              </w:rPr>
            </w:pPr>
            <w:r w:rsidRPr="00F01914">
              <w:rPr>
                <w:rFonts w:ascii="Calibri" w:hAnsi="Calibri" w:cs="Calibri"/>
                <w:sz w:val="20"/>
                <w:szCs w:val="20"/>
              </w:rPr>
              <w:t>Communication</w:t>
            </w:r>
          </w:p>
        </w:tc>
        <w:tc>
          <w:tcPr>
            <w:tcW w:w="2551" w:type="dxa"/>
          </w:tcPr>
          <w:p w:rsidR="00B17C31" w:rsidRPr="00F01914" w:rsidRDefault="00B17C31" w:rsidP="009B0941">
            <w:pPr>
              <w:spacing w:after="120"/>
              <w:rPr>
                <w:rFonts w:ascii="Calibri" w:hAnsi="Calibri" w:cs="Calibri"/>
                <w:sz w:val="20"/>
                <w:szCs w:val="20"/>
              </w:rPr>
            </w:pPr>
            <w:r w:rsidRPr="00F01914">
              <w:rPr>
                <w:rFonts w:ascii="Calibri" w:hAnsi="Calibri" w:cs="Calibri"/>
                <w:sz w:val="20"/>
                <w:szCs w:val="20"/>
              </w:rPr>
              <w:t>294</w:t>
            </w:r>
          </w:p>
        </w:tc>
      </w:tr>
      <w:tr w:rsidR="00B17C31" w:rsidTr="009B0941">
        <w:tc>
          <w:tcPr>
            <w:tcW w:w="6799" w:type="dxa"/>
          </w:tcPr>
          <w:p w:rsidR="00B17C31" w:rsidRPr="00F01914" w:rsidRDefault="00B17C31" w:rsidP="009B0941">
            <w:pPr>
              <w:spacing w:after="120"/>
              <w:rPr>
                <w:rFonts w:ascii="Calibri" w:hAnsi="Calibri" w:cs="Calibri"/>
                <w:sz w:val="20"/>
                <w:szCs w:val="20"/>
              </w:rPr>
            </w:pPr>
            <w:r w:rsidRPr="00F01914">
              <w:rPr>
                <w:rFonts w:ascii="Calibri" w:hAnsi="Calibri" w:cs="Calibri"/>
                <w:sz w:val="20"/>
                <w:szCs w:val="20"/>
              </w:rPr>
              <w:t>TOTAL</w:t>
            </w:r>
            <w:r>
              <w:rPr>
                <w:rFonts w:ascii="Calibri" w:hAnsi="Calibri" w:cs="Calibri"/>
                <w:sz w:val="20"/>
                <w:szCs w:val="20"/>
              </w:rPr>
              <w:t xml:space="preserve"> HPS schools</w:t>
            </w:r>
          </w:p>
        </w:tc>
        <w:tc>
          <w:tcPr>
            <w:tcW w:w="2551" w:type="dxa"/>
          </w:tcPr>
          <w:p w:rsidR="00B17C31" w:rsidRPr="00F01914" w:rsidRDefault="00B17C31" w:rsidP="009B0941">
            <w:pPr>
              <w:spacing w:after="120"/>
              <w:rPr>
                <w:rFonts w:ascii="Calibri" w:hAnsi="Calibri" w:cs="Calibri"/>
                <w:sz w:val="20"/>
                <w:szCs w:val="20"/>
              </w:rPr>
            </w:pPr>
            <w:r>
              <w:rPr>
                <w:rFonts w:ascii="Calibri" w:hAnsi="Calibri" w:cs="Calibri"/>
                <w:sz w:val="20"/>
                <w:szCs w:val="20"/>
              </w:rPr>
              <w:t>1,518</w:t>
            </w:r>
          </w:p>
        </w:tc>
      </w:tr>
      <w:tr w:rsidR="00B17C31" w:rsidTr="009B0941">
        <w:tc>
          <w:tcPr>
            <w:tcW w:w="6799" w:type="dxa"/>
          </w:tcPr>
          <w:p w:rsidR="00B17C31" w:rsidRPr="00F01914" w:rsidRDefault="00B17C31" w:rsidP="009B0941">
            <w:pPr>
              <w:spacing w:after="120"/>
              <w:rPr>
                <w:rFonts w:ascii="Calibri" w:hAnsi="Calibri" w:cs="Calibri"/>
                <w:sz w:val="20"/>
                <w:szCs w:val="20"/>
              </w:rPr>
            </w:pPr>
            <w:r w:rsidRPr="00F01914">
              <w:rPr>
                <w:rFonts w:ascii="Calibri" w:hAnsi="Calibri" w:cs="Calibri"/>
                <w:sz w:val="20"/>
                <w:szCs w:val="20"/>
              </w:rPr>
              <w:t xml:space="preserve">Percent of </w:t>
            </w:r>
            <w:r>
              <w:rPr>
                <w:rFonts w:ascii="Calibri" w:hAnsi="Calibri" w:cs="Calibri"/>
                <w:sz w:val="20"/>
                <w:szCs w:val="20"/>
              </w:rPr>
              <w:t xml:space="preserve">New Zealand </w:t>
            </w:r>
            <w:r w:rsidRPr="00F01914">
              <w:rPr>
                <w:rFonts w:ascii="Calibri" w:hAnsi="Calibri" w:cs="Calibri"/>
                <w:sz w:val="20"/>
                <w:szCs w:val="20"/>
              </w:rPr>
              <w:t xml:space="preserve">schools </w:t>
            </w:r>
            <w:r>
              <w:rPr>
                <w:rFonts w:ascii="Calibri" w:hAnsi="Calibri" w:cs="Calibri"/>
                <w:sz w:val="20"/>
                <w:szCs w:val="20"/>
              </w:rPr>
              <w:t>receiving</w:t>
            </w:r>
            <w:r w:rsidRPr="00F01914">
              <w:rPr>
                <w:rFonts w:ascii="Calibri" w:hAnsi="Calibri" w:cs="Calibri"/>
                <w:sz w:val="20"/>
                <w:szCs w:val="20"/>
              </w:rPr>
              <w:t xml:space="preserve"> HPS</w:t>
            </w:r>
            <w:r>
              <w:rPr>
                <w:rFonts w:ascii="Calibri" w:hAnsi="Calibri" w:cs="Calibri"/>
                <w:sz w:val="20"/>
                <w:szCs w:val="20"/>
              </w:rPr>
              <w:t xml:space="preserve"> service</w:t>
            </w:r>
          </w:p>
        </w:tc>
        <w:tc>
          <w:tcPr>
            <w:tcW w:w="2551" w:type="dxa"/>
          </w:tcPr>
          <w:p w:rsidR="00B17C31" w:rsidRPr="00F01914" w:rsidRDefault="00B17C31" w:rsidP="009B0941">
            <w:pPr>
              <w:spacing w:after="120"/>
              <w:rPr>
                <w:rFonts w:ascii="Calibri" w:hAnsi="Calibri" w:cs="Calibri"/>
                <w:sz w:val="20"/>
                <w:szCs w:val="20"/>
              </w:rPr>
            </w:pPr>
            <w:r w:rsidRPr="00F01914">
              <w:rPr>
                <w:rFonts w:ascii="Calibri" w:hAnsi="Calibri" w:cs="Calibri"/>
                <w:sz w:val="20"/>
                <w:szCs w:val="20"/>
              </w:rPr>
              <w:t>60%</w:t>
            </w:r>
          </w:p>
        </w:tc>
      </w:tr>
    </w:tbl>
    <w:p w:rsidR="00B17C31" w:rsidRDefault="00B17C31" w:rsidP="0077327F">
      <w:pPr>
        <w:pStyle w:val="Heading1"/>
        <w:pBdr>
          <w:bottom w:val="single" w:sz="4" w:space="8" w:color="009DD9" w:themeColor="accent2"/>
        </w:pBdr>
      </w:pPr>
    </w:p>
    <w:p w:rsidR="00B17C31" w:rsidRDefault="00B17C31">
      <w:pPr>
        <w:sectPr w:rsidR="00B17C31" w:rsidSect="00B17C31">
          <w:pgSz w:w="12240" w:h="15840" w:code="1"/>
          <w:pgMar w:top="1077" w:right="1440" w:bottom="1077" w:left="1440" w:header="720" w:footer="6" w:gutter="0"/>
          <w:cols w:space="567"/>
          <w:titlePg/>
          <w:docGrid w:linePitch="360"/>
        </w:sectPr>
      </w:pPr>
    </w:p>
    <w:p w:rsidR="0077327F" w:rsidRDefault="0077327F" w:rsidP="0077327F">
      <w:pPr>
        <w:pStyle w:val="Heading1"/>
        <w:pBdr>
          <w:bottom w:val="single" w:sz="4" w:space="8" w:color="009DD9" w:themeColor="accent2"/>
        </w:pBdr>
      </w:pPr>
      <w:bookmarkStart w:id="31" w:name="_Toc491757217"/>
      <w:r>
        <w:lastRenderedPageBreak/>
        <w:t xml:space="preserve">Appendix </w:t>
      </w:r>
      <w:r w:rsidR="009919F8">
        <w:t>2</w:t>
      </w:r>
      <w:bookmarkEnd w:id="31"/>
    </w:p>
    <w:p w:rsidR="004F01B2" w:rsidRDefault="004F01B2" w:rsidP="004F01B2">
      <w:pPr>
        <w:spacing w:before="300" w:after="120"/>
        <w:rPr>
          <w:rFonts w:asciiTheme="majorHAnsi" w:eastAsiaTheme="majorEastAsia" w:hAnsiTheme="majorHAnsi" w:cstheme="majorBidi"/>
          <w:color w:val="0F6FC6" w:themeColor="accent1"/>
          <w:sz w:val="28"/>
          <w:szCs w:val="32"/>
        </w:rPr>
      </w:pPr>
      <w:r w:rsidRPr="004F01B2">
        <w:rPr>
          <w:rFonts w:asciiTheme="majorHAnsi" w:eastAsiaTheme="majorEastAsia" w:hAnsiTheme="majorHAnsi" w:cstheme="majorBidi"/>
          <w:color w:val="0F6FC6" w:themeColor="accent1"/>
          <w:sz w:val="28"/>
          <w:szCs w:val="32"/>
        </w:rPr>
        <w:t>Literature Review Summary</w:t>
      </w:r>
    </w:p>
    <w:p w:rsidR="008C1FB3" w:rsidRPr="008C1FB3" w:rsidRDefault="008C1FB3" w:rsidP="008C1FB3">
      <w:pPr>
        <w:spacing w:before="20" w:after="20"/>
        <w:rPr>
          <w:rFonts w:asciiTheme="majorHAnsi" w:eastAsiaTheme="majorEastAsia" w:hAnsiTheme="majorHAnsi" w:cstheme="majorBidi"/>
          <w:color w:val="0F6FC6" w:themeColor="accent1"/>
          <w:sz w:val="10"/>
          <w:szCs w:val="10"/>
        </w:rPr>
      </w:pPr>
    </w:p>
    <w:tbl>
      <w:tblPr>
        <w:tblW w:w="14546" w:type="dxa"/>
        <w:tblInd w:w="-289" w:type="dxa"/>
        <w:tblCellMar>
          <w:top w:w="15" w:type="dxa"/>
          <w:bottom w:w="15" w:type="dxa"/>
        </w:tblCellMar>
        <w:tblLook w:val="04A0" w:firstRow="1" w:lastRow="0" w:firstColumn="1" w:lastColumn="0" w:noHBand="0" w:noVBand="1"/>
      </w:tblPr>
      <w:tblGrid>
        <w:gridCol w:w="666"/>
        <w:gridCol w:w="2980"/>
        <w:gridCol w:w="2110"/>
        <w:gridCol w:w="4320"/>
        <w:gridCol w:w="4470"/>
      </w:tblGrid>
      <w:tr w:rsidR="0077327F" w:rsidRPr="00CE5B34" w:rsidTr="002E08D2">
        <w:trPr>
          <w:trHeight w:val="435"/>
        </w:trPr>
        <w:tc>
          <w:tcPr>
            <w:tcW w:w="14546" w:type="dxa"/>
            <w:gridSpan w:val="5"/>
            <w:tcBorders>
              <w:top w:val="single" w:sz="4" w:space="0" w:color="auto"/>
              <w:left w:val="single" w:sz="4" w:space="0" w:color="auto"/>
              <w:bottom w:val="single" w:sz="4" w:space="0" w:color="auto"/>
              <w:right w:val="single" w:sz="4" w:space="0" w:color="auto"/>
            </w:tcBorders>
            <w:shd w:val="clear" w:color="auto" w:fill="C0D7F1" w:themeFill="text2" w:themeFillTint="33"/>
            <w:noWrap/>
            <w:vAlign w:val="bottom"/>
            <w:hideMark/>
          </w:tcPr>
          <w:p w:rsidR="0077327F" w:rsidRPr="00CE5B34" w:rsidRDefault="0077327F" w:rsidP="0081553D">
            <w:pPr>
              <w:spacing w:after="0" w:line="240" w:lineRule="auto"/>
              <w:jc w:val="center"/>
              <w:rPr>
                <w:rFonts w:ascii="Calibri" w:eastAsia="Times New Roman" w:hAnsi="Calibri" w:cs="Calibri"/>
                <w:b/>
                <w:bCs/>
                <w:color w:val="000000"/>
                <w:sz w:val="20"/>
                <w:szCs w:val="20"/>
                <w:lang w:eastAsia="en-NZ"/>
              </w:rPr>
            </w:pPr>
            <w:r w:rsidRPr="00CE5B34">
              <w:rPr>
                <w:rFonts w:ascii="Calibri" w:eastAsia="Times New Roman" w:hAnsi="Calibri" w:cs="Calibri"/>
                <w:b/>
                <w:bCs/>
                <w:color w:val="000000"/>
                <w:sz w:val="20"/>
                <w:szCs w:val="20"/>
                <w:lang w:eastAsia="en-NZ"/>
              </w:rPr>
              <w:t>Relationship between learning behaviours and student achi</w:t>
            </w:r>
            <w:r>
              <w:rPr>
                <w:rFonts w:ascii="Calibri" w:eastAsia="Times New Roman" w:hAnsi="Calibri" w:cs="Calibri"/>
                <w:b/>
                <w:bCs/>
                <w:color w:val="000000"/>
                <w:sz w:val="20"/>
                <w:szCs w:val="20"/>
                <w:lang w:eastAsia="en-NZ"/>
              </w:rPr>
              <w:t>e</w:t>
            </w:r>
            <w:r w:rsidRPr="00CE5B34">
              <w:rPr>
                <w:rFonts w:ascii="Calibri" w:eastAsia="Times New Roman" w:hAnsi="Calibri" w:cs="Calibri"/>
                <w:b/>
                <w:bCs/>
                <w:color w:val="000000"/>
                <w:sz w:val="20"/>
                <w:szCs w:val="20"/>
                <w:lang w:eastAsia="en-NZ"/>
              </w:rPr>
              <w:t>vement</w:t>
            </w:r>
          </w:p>
        </w:tc>
      </w:tr>
      <w:tr w:rsidR="0077327F" w:rsidRPr="00CE5B34" w:rsidTr="002E08D2">
        <w:trPr>
          <w:trHeight w:val="540"/>
        </w:trPr>
        <w:tc>
          <w:tcPr>
            <w:tcW w:w="666" w:type="dxa"/>
            <w:tcBorders>
              <w:top w:val="single" w:sz="4" w:space="0" w:color="auto"/>
              <w:left w:val="single" w:sz="4" w:space="0" w:color="auto"/>
              <w:bottom w:val="single" w:sz="4" w:space="0" w:color="auto"/>
              <w:right w:val="single" w:sz="4" w:space="0" w:color="auto"/>
            </w:tcBorders>
            <w:shd w:val="clear" w:color="auto" w:fill="C0D7F1" w:themeFill="text2" w:themeFillTint="33"/>
            <w:noWrap/>
            <w:vAlign w:val="bottom"/>
            <w:hideMark/>
          </w:tcPr>
          <w:p w:rsidR="0077327F" w:rsidRPr="00CE5B34" w:rsidRDefault="0077327F" w:rsidP="0081553D">
            <w:pPr>
              <w:spacing w:after="0" w:line="240" w:lineRule="auto"/>
              <w:rPr>
                <w:rFonts w:ascii="Calibri" w:eastAsia="Times New Roman" w:hAnsi="Calibri" w:cs="Calibri"/>
                <w:b/>
                <w:bCs/>
                <w:color w:val="000000"/>
                <w:sz w:val="20"/>
                <w:szCs w:val="20"/>
                <w:lang w:eastAsia="en-NZ"/>
              </w:rPr>
            </w:pPr>
            <w:r w:rsidRPr="00CE5B34">
              <w:rPr>
                <w:rFonts w:ascii="Calibri" w:eastAsia="Times New Roman" w:hAnsi="Calibri" w:cs="Calibri"/>
                <w:b/>
                <w:bCs/>
                <w:color w:val="000000"/>
                <w:sz w:val="20"/>
                <w:szCs w:val="20"/>
                <w:lang w:eastAsia="en-NZ"/>
              </w:rPr>
              <w:t>Year</w:t>
            </w:r>
          </w:p>
        </w:tc>
        <w:tc>
          <w:tcPr>
            <w:tcW w:w="2980" w:type="dxa"/>
            <w:tcBorders>
              <w:top w:val="single" w:sz="4" w:space="0" w:color="auto"/>
              <w:left w:val="single" w:sz="4" w:space="0" w:color="auto"/>
              <w:bottom w:val="single" w:sz="4" w:space="0" w:color="auto"/>
              <w:right w:val="single" w:sz="4" w:space="0" w:color="auto"/>
            </w:tcBorders>
            <w:shd w:val="clear" w:color="auto" w:fill="C0D7F1" w:themeFill="text2" w:themeFillTint="33"/>
            <w:noWrap/>
            <w:vAlign w:val="bottom"/>
            <w:hideMark/>
          </w:tcPr>
          <w:p w:rsidR="0077327F" w:rsidRPr="00CE5B34" w:rsidRDefault="0077327F" w:rsidP="0081553D">
            <w:pPr>
              <w:spacing w:after="0" w:line="240" w:lineRule="auto"/>
              <w:rPr>
                <w:rFonts w:ascii="Calibri" w:eastAsia="Times New Roman" w:hAnsi="Calibri" w:cs="Calibri"/>
                <w:b/>
                <w:bCs/>
                <w:color w:val="000000"/>
                <w:sz w:val="20"/>
                <w:szCs w:val="20"/>
                <w:lang w:eastAsia="en-NZ"/>
              </w:rPr>
            </w:pPr>
            <w:r w:rsidRPr="00CE5B34">
              <w:rPr>
                <w:rFonts w:ascii="Calibri" w:eastAsia="Times New Roman" w:hAnsi="Calibri" w:cs="Calibri"/>
                <w:b/>
                <w:bCs/>
                <w:color w:val="000000"/>
                <w:sz w:val="20"/>
                <w:szCs w:val="20"/>
                <w:lang w:eastAsia="en-NZ"/>
              </w:rPr>
              <w:t>Name and other details</w:t>
            </w:r>
          </w:p>
        </w:tc>
        <w:tc>
          <w:tcPr>
            <w:tcW w:w="2110" w:type="dxa"/>
            <w:tcBorders>
              <w:top w:val="single" w:sz="4" w:space="0" w:color="auto"/>
              <w:left w:val="single" w:sz="4" w:space="0" w:color="auto"/>
              <w:bottom w:val="single" w:sz="4" w:space="0" w:color="auto"/>
              <w:right w:val="single" w:sz="4" w:space="0" w:color="auto"/>
            </w:tcBorders>
            <w:shd w:val="clear" w:color="auto" w:fill="C0D7F1" w:themeFill="text2" w:themeFillTint="33"/>
            <w:noWrap/>
            <w:vAlign w:val="bottom"/>
            <w:hideMark/>
          </w:tcPr>
          <w:p w:rsidR="0077327F" w:rsidRPr="00CE5B34" w:rsidRDefault="0077327F" w:rsidP="0081553D">
            <w:pPr>
              <w:spacing w:after="0" w:line="240" w:lineRule="auto"/>
              <w:rPr>
                <w:rFonts w:ascii="Calibri" w:eastAsia="Times New Roman" w:hAnsi="Calibri" w:cs="Calibri"/>
                <w:b/>
                <w:bCs/>
                <w:color w:val="000000"/>
                <w:sz w:val="20"/>
                <w:szCs w:val="20"/>
                <w:lang w:eastAsia="en-NZ"/>
              </w:rPr>
            </w:pPr>
            <w:r w:rsidRPr="00CE5B34">
              <w:rPr>
                <w:rFonts w:ascii="Calibri" w:eastAsia="Times New Roman" w:hAnsi="Calibri" w:cs="Calibri"/>
                <w:b/>
                <w:bCs/>
                <w:color w:val="000000"/>
                <w:sz w:val="20"/>
                <w:szCs w:val="20"/>
                <w:lang w:eastAsia="en-NZ"/>
              </w:rPr>
              <w:t>Variables considered</w:t>
            </w:r>
          </w:p>
        </w:tc>
        <w:tc>
          <w:tcPr>
            <w:tcW w:w="4320" w:type="dxa"/>
            <w:tcBorders>
              <w:top w:val="single" w:sz="4" w:space="0" w:color="auto"/>
              <w:left w:val="single" w:sz="4" w:space="0" w:color="auto"/>
              <w:bottom w:val="single" w:sz="4" w:space="0" w:color="auto"/>
              <w:right w:val="single" w:sz="4" w:space="0" w:color="auto"/>
            </w:tcBorders>
            <w:shd w:val="clear" w:color="auto" w:fill="C0D7F1" w:themeFill="text2" w:themeFillTint="33"/>
            <w:noWrap/>
            <w:vAlign w:val="bottom"/>
            <w:hideMark/>
          </w:tcPr>
          <w:p w:rsidR="0077327F" w:rsidRPr="00CE5B34" w:rsidRDefault="0077327F" w:rsidP="0081553D">
            <w:pPr>
              <w:spacing w:after="0" w:line="240" w:lineRule="auto"/>
              <w:rPr>
                <w:rFonts w:ascii="Calibri" w:eastAsia="Times New Roman" w:hAnsi="Calibri" w:cs="Calibri"/>
                <w:b/>
                <w:bCs/>
                <w:color w:val="000000"/>
                <w:sz w:val="20"/>
                <w:szCs w:val="20"/>
                <w:lang w:eastAsia="en-NZ"/>
              </w:rPr>
            </w:pPr>
            <w:r w:rsidRPr="00CE5B34">
              <w:rPr>
                <w:rFonts w:ascii="Calibri" w:eastAsia="Times New Roman" w:hAnsi="Calibri" w:cs="Calibri"/>
                <w:b/>
                <w:bCs/>
                <w:color w:val="000000"/>
                <w:sz w:val="20"/>
                <w:szCs w:val="20"/>
                <w:lang w:eastAsia="en-NZ"/>
              </w:rPr>
              <w:t>Methodology incl</w:t>
            </w:r>
            <w:r w:rsidR="00B24635">
              <w:rPr>
                <w:rFonts w:ascii="Calibri" w:eastAsia="Times New Roman" w:hAnsi="Calibri" w:cs="Calibri"/>
                <w:b/>
                <w:bCs/>
                <w:color w:val="000000"/>
                <w:sz w:val="20"/>
                <w:szCs w:val="20"/>
                <w:lang w:eastAsia="en-NZ"/>
              </w:rPr>
              <w:t>.</w:t>
            </w:r>
            <w:r w:rsidRPr="00CE5B34">
              <w:rPr>
                <w:rFonts w:ascii="Calibri" w:eastAsia="Times New Roman" w:hAnsi="Calibri" w:cs="Calibri"/>
                <w:b/>
                <w:bCs/>
                <w:color w:val="000000"/>
                <w:sz w:val="20"/>
                <w:szCs w:val="20"/>
                <w:lang w:eastAsia="en-NZ"/>
              </w:rPr>
              <w:t xml:space="preserve"> sample size and duration</w:t>
            </w:r>
          </w:p>
        </w:tc>
        <w:tc>
          <w:tcPr>
            <w:tcW w:w="4470" w:type="dxa"/>
            <w:tcBorders>
              <w:top w:val="single" w:sz="4" w:space="0" w:color="auto"/>
              <w:left w:val="single" w:sz="4" w:space="0" w:color="auto"/>
              <w:bottom w:val="single" w:sz="4" w:space="0" w:color="auto"/>
              <w:right w:val="single" w:sz="4" w:space="0" w:color="auto"/>
            </w:tcBorders>
            <w:shd w:val="clear" w:color="auto" w:fill="C0D7F1" w:themeFill="text2" w:themeFillTint="33"/>
            <w:vAlign w:val="bottom"/>
            <w:hideMark/>
          </w:tcPr>
          <w:p w:rsidR="0077327F" w:rsidRPr="00CE5B34" w:rsidRDefault="0077327F" w:rsidP="0081553D">
            <w:pPr>
              <w:spacing w:after="0" w:line="240" w:lineRule="auto"/>
              <w:jc w:val="center"/>
              <w:rPr>
                <w:rFonts w:ascii="Calibri" w:eastAsia="Times New Roman" w:hAnsi="Calibri" w:cs="Calibri"/>
                <w:b/>
                <w:bCs/>
                <w:color w:val="000000"/>
                <w:sz w:val="20"/>
                <w:szCs w:val="20"/>
                <w:lang w:eastAsia="en-NZ"/>
              </w:rPr>
            </w:pPr>
            <w:r w:rsidRPr="00CE5B34">
              <w:rPr>
                <w:rFonts w:ascii="Calibri" w:eastAsia="Times New Roman" w:hAnsi="Calibri" w:cs="Calibri"/>
                <w:b/>
                <w:bCs/>
                <w:color w:val="000000"/>
                <w:sz w:val="20"/>
                <w:szCs w:val="20"/>
                <w:lang w:eastAsia="en-NZ"/>
              </w:rPr>
              <w:t>Correlation and/or predictor/ Results</w:t>
            </w:r>
          </w:p>
        </w:tc>
      </w:tr>
      <w:tr w:rsidR="0077327F" w:rsidRPr="00CE5B34" w:rsidTr="0081553D">
        <w:trPr>
          <w:trHeight w:val="5235"/>
        </w:trPr>
        <w:tc>
          <w:tcPr>
            <w:tcW w:w="666" w:type="dxa"/>
            <w:tcBorders>
              <w:top w:val="single" w:sz="4" w:space="0" w:color="auto"/>
              <w:left w:val="single" w:sz="4" w:space="0" w:color="auto"/>
              <w:bottom w:val="single" w:sz="4" w:space="0" w:color="auto"/>
              <w:right w:val="single" w:sz="4" w:space="0" w:color="auto"/>
            </w:tcBorders>
            <w:noWrap/>
            <w:hideMark/>
          </w:tcPr>
          <w:p w:rsidR="0077327F" w:rsidRPr="00CE5B34" w:rsidRDefault="0077327F" w:rsidP="0081553D">
            <w:pPr>
              <w:spacing w:after="0" w:line="240" w:lineRule="auto"/>
              <w:jc w:val="right"/>
              <w:rPr>
                <w:rFonts w:ascii="Calibri" w:eastAsia="Times New Roman" w:hAnsi="Calibri" w:cs="Calibri"/>
                <w:b/>
                <w:bCs/>
                <w:color w:val="000000"/>
                <w:sz w:val="20"/>
                <w:szCs w:val="20"/>
                <w:lang w:eastAsia="en-NZ"/>
              </w:rPr>
            </w:pPr>
            <w:r w:rsidRPr="00CE5B34">
              <w:rPr>
                <w:rFonts w:ascii="Calibri" w:eastAsia="Times New Roman" w:hAnsi="Calibri" w:cs="Calibri"/>
                <w:b/>
                <w:bCs/>
                <w:color w:val="000000"/>
                <w:sz w:val="20"/>
                <w:szCs w:val="20"/>
                <w:lang w:eastAsia="en-NZ"/>
              </w:rPr>
              <w:t>2010</w:t>
            </w:r>
          </w:p>
        </w:tc>
        <w:tc>
          <w:tcPr>
            <w:tcW w:w="2980" w:type="dxa"/>
            <w:tcBorders>
              <w:top w:val="single" w:sz="4" w:space="0" w:color="auto"/>
              <w:left w:val="single" w:sz="4" w:space="0" w:color="auto"/>
              <w:bottom w:val="single" w:sz="4" w:space="0" w:color="auto"/>
              <w:right w:val="single" w:sz="4" w:space="0" w:color="auto"/>
            </w:tcBorders>
            <w:hideMark/>
          </w:tcPr>
          <w:p w:rsidR="0077327F" w:rsidRDefault="0077327F" w:rsidP="0081553D">
            <w:pPr>
              <w:spacing w:after="0" w:line="240" w:lineRule="auto"/>
              <w:rPr>
                <w:rFonts w:ascii="Calibri" w:eastAsia="Times New Roman" w:hAnsi="Calibri" w:cs="Calibri"/>
                <w:color w:val="000000"/>
                <w:sz w:val="20"/>
                <w:szCs w:val="20"/>
                <w:lang w:eastAsia="en-NZ"/>
              </w:rPr>
            </w:pPr>
            <w:r w:rsidRPr="00CE5B34">
              <w:rPr>
                <w:rFonts w:ascii="Calibri" w:eastAsia="Times New Roman" w:hAnsi="Calibri" w:cs="Calibri"/>
                <w:color w:val="000000"/>
                <w:sz w:val="20"/>
                <w:szCs w:val="20"/>
                <w:lang w:eastAsia="en-NZ"/>
              </w:rPr>
              <w:t>Michael A. Gottfried, Wharton Business School</w:t>
            </w:r>
            <w:r w:rsidR="00553512">
              <w:rPr>
                <w:rFonts w:ascii="Calibri" w:eastAsia="Times New Roman" w:hAnsi="Calibri" w:cs="Calibri"/>
                <w:color w:val="000000"/>
                <w:sz w:val="20"/>
                <w:szCs w:val="20"/>
                <w:lang w:eastAsia="en-NZ"/>
              </w:rPr>
              <w:t>.</w:t>
            </w:r>
          </w:p>
          <w:p w:rsidR="0077327F" w:rsidRPr="00CE5B34" w:rsidRDefault="00A43D35" w:rsidP="0081553D">
            <w:pPr>
              <w:spacing w:after="0" w:line="240" w:lineRule="auto"/>
              <w:rPr>
                <w:rFonts w:ascii="Calibri" w:eastAsia="Times New Roman" w:hAnsi="Calibri" w:cs="Calibri"/>
                <w:color w:val="000000"/>
                <w:sz w:val="20"/>
                <w:szCs w:val="20"/>
                <w:lang w:eastAsia="en-NZ"/>
              </w:rPr>
            </w:pPr>
            <w:hyperlink r:id="rId14" w:history="1">
              <w:r w:rsidR="0077327F" w:rsidRPr="00CE5B34">
                <w:rPr>
                  <w:rFonts w:ascii="Calibri" w:eastAsia="Times New Roman" w:hAnsi="Calibri" w:cs="Calibri"/>
                  <w:color w:val="0563C1"/>
                  <w:sz w:val="20"/>
                  <w:szCs w:val="20"/>
                  <w:u w:val="single"/>
                  <w:lang w:eastAsia="en-NZ"/>
                </w:rPr>
                <w:t>Available here</w:t>
              </w:r>
            </w:hyperlink>
          </w:p>
        </w:tc>
        <w:tc>
          <w:tcPr>
            <w:tcW w:w="2110" w:type="dxa"/>
            <w:tcBorders>
              <w:top w:val="single" w:sz="4" w:space="0" w:color="auto"/>
              <w:left w:val="single" w:sz="4" w:space="0" w:color="auto"/>
              <w:bottom w:val="single" w:sz="4" w:space="0" w:color="auto"/>
              <w:right w:val="single" w:sz="4" w:space="0" w:color="auto"/>
            </w:tcBorders>
            <w:hideMark/>
          </w:tcPr>
          <w:p w:rsidR="0077327F" w:rsidRPr="00CE5B34" w:rsidRDefault="0077327F" w:rsidP="0081553D">
            <w:pPr>
              <w:spacing w:after="0" w:line="240" w:lineRule="auto"/>
              <w:rPr>
                <w:rFonts w:ascii="Calibri" w:eastAsia="Times New Roman" w:hAnsi="Calibri" w:cs="Calibri"/>
                <w:color w:val="000000"/>
                <w:sz w:val="20"/>
                <w:szCs w:val="20"/>
                <w:lang w:eastAsia="en-NZ"/>
              </w:rPr>
            </w:pPr>
            <w:r w:rsidRPr="00CE5B34">
              <w:rPr>
                <w:rFonts w:ascii="Calibri" w:eastAsia="Times New Roman" w:hAnsi="Calibri" w:cs="Calibri"/>
                <w:color w:val="000000"/>
                <w:sz w:val="20"/>
                <w:szCs w:val="20"/>
                <w:lang w:eastAsia="en-NZ"/>
              </w:rPr>
              <w:t>Student attendance and relationship to student achievement.</w:t>
            </w:r>
          </w:p>
        </w:tc>
        <w:tc>
          <w:tcPr>
            <w:tcW w:w="4320" w:type="dxa"/>
            <w:tcBorders>
              <w:top w:val="single" w:sz="4" w:space="0" w:color="auto"/>
              <w:left w:val="single" w:sz="4" w:space="0" w:color="auto"/>
              <w:bottom w:val="single" w:sz="4" w:space="0" w:color="auto"/>
              <w:right w:val="single" w:sz="4" w:space="0" w:color="auto"/>
            </w:tcBorders>
            <w:hideMark/>
          </w:tcPr>
          <w:p w:rsidR="0077327F" w:rsidRPr="00CE5B34" w:rsidRDefault="00553512" w:rsidP="0081553D">
            <w:pPr>
              <w:spacing w:after="0" w:line="240" w:lineRule="auto"/>
              <w:rPr>
                <w:rFonts w:ascii="Calibri" w:eastAsia="Times New Roman" w:hAnsi="Calibri" w:cs="Calibri"/>
                <w:color w:val="000000"/>
                <w:sz w:val="20"/>
                <w:szCs w:val="20"/>
                <w:lang w:eastAsia="en-NZ"/>
              </w:rPr>
            </w:pPr>
            <w:r w:rsidRPr="00CE5B34">
              <w:rPr>
                <w:rFonts w:ascii="Calibri" w:eastAsia="Times New Roman" w:hAnsi="Calibri" w:cs="Calibri"/>
                <w:color w:val="000000"/>
                <w:sz w:val="20"/>
                <w:szCs w:val="20"/>
                <w:lang w:eastAsia="en-NZ"/>
              </w:rPr>
              <w:t>Philadelphia</w:t>
            </w:r>
            <w:r w:rsidR="0077327F" w:rsidRPr="00CE5B34">
              <w:rPr>
                <w:rFonts w:ascii="Calibri" w:eastAsia="Times New Roman" w:hAnsi="Calibri" w:cs="Calibri"/>
                <w:color w:val="000000"/>
                <w:sz w:val="20"/>
                <w:szCs w:val="20"/>
                <w:lang w:eastAsia="en-NZ"/>
              </w:rPr>
              <w:t>, USA. Longitudinal (1996-2001) individual level, n=86,000 students in kindergarten through grade 8. An instrumental variables strategy is utilised. This uses a two-stage least squares format, in which there are two separate regression equations for each stage. Stage one is necessary is because unobserved, time-variant influences are affecting both independent and dependent variables. The results would yield biased estimates. Here a one-year lagged GPA score serves as a proxy for individual student fixed effects. However, there may also be unobservable factors that are time-variant, and the use of implementing fixed effects would not necessarily remedy this problem. Stage two employed an instrum</w:t>
            </w:r>
            <w:r w:rsidR="0077327F">
              <w:rPr>
                <w:rFonts w:ascii="Calibri" w:eastAsia="Times New Roman" w:hAnsi="Calibri" w:cs="Calibri"/>
                <w:color w:val="000000"/>
                <w:sz w:val="20"/>
                <w:szCs w:val="20"/>
                <w:lang w:eastAsia="en-NZ"/>
              </w:rPr>
              <w:t>en</w:t>
            </w:r>
            <w:r w:rsidR="0077327F" w:rsidRPr="00CE5B34">
              <w:rPr>
                <w:rFonts w:ascii="Calibri" w:eastAsia="Times New Roman" w:hAnsi="Calibri" w:cs="Calibri"/>
                <w:color w:val="000000"/>
                <w:sz w:val="20"/>
                <w:szCs w:val="20"/>
                <w:lang w:eastAsia="en-NZ"/>
              </w:rPr>
              <w:t xml:space="preserve">tal variable - in this case geographic distance from school - as the exogenous independent variable, as this is not directly correlated to student achievement, except through its relationship with student attendance. </w:t>
            </w:r>
          </w:p>
        </w:tc>
        <w:tc>
          <w:tcPr>
            <w:tcW w:w="4470" w:type="dxa"/>
            <w:tcBorders>
              <w:top w:val="single" w:sz="4" w:space="0" w:color="auto"/>
              <w:left w:val="nil"/>
              <w:bottom w:val="single" w:sz="4" w:space="0" w:color="auto"/>
              <w:right w:val="single" w:sz="4" w:space="0" w:color="auto"/>
            </w:tcBorders>
            <w:hideMark/>
          </w:tcPr>
          <w:p w:rsidR="0077327F" w:rsidRPr="00CE5B34" w:rsidRDefault="0077327F" w:rsidP="0081553D">
            <w:pPr>
              <w:spacing w:after="0" w:line="240" w:lineRule="auto"/>
              <w:rPr>
                <w:rFonts w:ascii="Calibri" w:eastAsia="Times New Roman" w:hAnsi="Calibri" w:cs="Calibri"/>
                <w:color w:val="000000"/>
                <w:sz w:val="20"/>
                <w:szCs w:val="20"/>
                <w:lang w:eastAsia="en-NZ"/>
              </w:rPr>
            </w:pPr>
            <w:r w:rsidRPr="00CE5B34">
              <w:rPr>
                <w:rFonts w:ascii="Calibri" w:eastAsia="Times New Roman" w:hAnsi="Calibri" w:cs="Calibri"/>
                <w:color w:val="000000"/>
                <w:sz w:val="20"/>
                <w:szCs w:val="20"/>
                <w:lang w:eastAsia="en-NZ"/>
              </w:rPr>
              <w:t xml:space="preserve">This study evaluates the hypothesis that the number of days a student is present in school positively affects learning outcomes. This paper confirms that student performance can be influenced by higher levels of attendance. </w:t>
            </w:r>
          </w:p>
        </w:tc>
      </w:tr>
      <w:tr w:rsidR="0077327F" w:rsidRPr="00CE5B34" w:rsidTr="0081553D">
        <w:trPr>
          <w:trHeight w:val="4830"/>
        </w:trPr>
        <w:tc>
          <w:tcPr>
            <w:tcW w:w="666" w:type="dxa"/>
            <w:tcBorders>
              <w:top w:val="single" w:sz="4" w:space="0" w:color="auto"/>
              <w:left w:val="single" w:sz="4" w:space="0" w:color="auto"/>
              <w:bottom w:val="nil"/>
              <w:right w:val="single" w:sz="4" w:space="0" w:color="auto"/>
            </w:tcBorders>
            <w:noWrap/>
            <w:hideMark/>
          </w:tcPr>
          <w:p w:rsidR="0077327F" w:rsidRPr="00CE5B34" w:rsidRDefault="0077327F" w:rsidP="0081553D">
            <w:pPr>
              <w:spacing w:after="0" w:line="240" w:lineRule="auto"/>
              <w:jc w:val="right"/>
              <w:rPr>
                <w:rFonts w:ascii="Calibri" w:eastAsia="Times New Roman" w:hAnsi="Calibri" w:cs="Calibri"/>
                <w:b/>
                <w:bCs/>
                <w:color w:val="000000"/>
                <w:sz w:val="20"/>
                <w:szCs w:val="20"/>
                <w:lang w:eastAsia="en-NZ"/>
              </w:rPr>
            </w:pPr>
            <w:r w:rsidRPr="00CE5B34">
              <w:rPr>
                <w:rFonts w:ascii="Calibri" w:eastAsia="Times New Roman" w:hAnsi="Calibri" w:cs="Calibri"/>
                <w:b/>
                <w:bCs/>
                <w:color w:val="000000"/>
                <w:sz w:val="20"/>
                <w:szCs w:val="20"/>
                <w:lang w:eastAsia="en-NZ"/>
              </w:rPr>
              <w:t>2010</w:t>
            </w:r>
          </w:p>
        </w:tc>
        <w:tc>
          <w:tcPr>
            <w:tcW w:w="2980" w:type="dxa"/>
            <w:tcBorders>
              <w:top w:val="single" w:sz="4" w:space="0" w:color="auto"/>
              <w:left w:val="single" w:sz="4" w:space="0" w:color="auto"/>
              <w:bottom w:val="nil"/>
              <w:right w:val="single" w:sz="4" w:space="0" w:color="auto"/>
            </w:tcBorders>
            <w:hideMark/>
          </w:tcPr>
          <w:p w:rsidR="0077327F" w:rsidRDefault="0077327F" w:rsidP="0081553D">
            <w:pPr>
              <w:spacing w:after="0" w:line="240" w:lineRule="auto"/>
              <w:rPr>
                <w:rFonts w:ascii="Calibri" w:eastAsia="Times New Roman" w:hAnsi="Calibri" w:cs="Calibri"/>
                <w:color w:val="000000"/>
                <w:sz w:val="20"/>
                <w:szCs w:val="20"/>
                <w:lang w:eastAsia="en-NZ"/>
              </w:rPr>
            </w:pPr>
            <w:r w:rsidRPr="00CE5B34">
              <w:rPr>
                <w:rFonts w:ascii="Calibri" w:eastAsia="Times New Roman" w:hAnsi="Calibri" w:cs="Calibri"/>
                <w:color w:val="000000"/>
                <w:sz w:val="20"/>
                <w:szCs w:val="20"/>
                <w:lang w:eastAsia="en-NZ"/>
              </w:rPr>
              <w:t>School attendance and retention of Indigenous Australian students</w:t>
            </w:r>
          </w:p>
          <w:p w:rsidR="0077327F" w:rsidRDefault="0077327F" w:rsidP="0081553D">
            <w:pPr>
              <w:spacing w:after="0" w:line="240" w:lineRule="auto"/>
              <w:rPr>
                <w:rFonts w:ascii="Calibri" w:eastAsia="Times New Roman" w:hAnsi="Calibri" w:cs="Calibri"/>
                <w:color w:val="000000"/>
                <w:sz w:val="20"/>
                <w:szCs w:val="20"/>
                <w:lang w:eastAsia="en-NZ"/>
              </w:rPr>
            </w:pPr>
            <w:r w:rsidRPr="00CE5B34">
              <w:rPr>
                <w:rFonts w:ascii="Calibri" w:eastAsia="Times New Roman" w:hAnsi="Calibri" w:cs="Calibri"/>
                <w:color w:val="000000"/>
                <w:sz w:val="20"/>
                <w:szCs w:val="20"/>
                <w:lang w:eastAsia="en-NZ"/>
              </w:rPr>
              <w:t>Nola Purdie and Sarah Buckley</w:t>
            </w:r>
            <w:r w:rsidR="00553512">
              <w:rPr>
                <w:rFonts w:ascii="Calibri" w:eastAsia="Times New Roman" w:hAnsi="Calibri" w:cs="Calibri"/>
                <w:color w:val="000000"/>
                <w:sz w:val="20"/>
                <w:szCs w:val="20"/>
                <w:lang w:eastAsia="en-NZ"/>
              </w:rPr>
              <w:t>.</w:t>
            </w:r>
          </w:p>
          <w:p w:rsidR="0077327F" w:rsidRPr="00CE5B34" w:rsidRDefault="00A43D35" w:rsidP="0081553D">
            <w:pPr>
              <w:spacing w:after="0" w:line="240" w:lineRule="auto"/>
              <w:rPr>
                <w:rFonts w:ascii="Calibri" w:eastAsia="Times New Roman" w:hAnsi="Calibri" w:cs="Calibri"/>
                <w:color w:val="000000"/>
                <w:sz w:val="20"/>
                <w:szCs w:val="20"/>
                <w:lang w:eastAsia="en-NZ"/>
              </w:rPr>
            </w:pPr>
            <w:hyperlink r:id="rId15" w:history="1">
              <w:r w:rsidR="0077327F" w:rsidRPr="00666761">
                <w:rPr>
                  <w:rStyle w:val="Hyperlink"/>
                  <w:rFonts w:ascii="Calibri" w:eastAsia="Times New Roman" w:hAnsi="Calibri" w:cs="Calibri"/>
                  <w:color w:val="2191C9" w:themeColor="background2" w:themeShade="80"/>
                  <w:sz w:val="20"/>
                  <w:szCs w:val="20"/>
                  <w:lang w:eastAsia="en-NZ"/>
                </w:rPr>
                <w:t>Available here</w:t>
              </w:r>
            </w:hyperlink>
          </w:p>
        </w:tc>
        <w:tc>
          <w:tcPr>
            <w:tcW w:w="2110" w:type="dxa"/>
            <w:tcBorders>
              <w:top w:val="single" w:sz="4" w:space="0" w:color="auto"/>
              <w:left w:val="single" w:sz="4" w:space="0" w:color="auto"/>
              <w:bottom w:val="nil"/>
              <w:right w:val="single" w:sz="4" w:space="0" w:color="auto"/>
            </w:tcBorders>
            <w:hideMark/>
          </w:tcPr>
          <w:p w:rsidR="0077327F" w:rsidRPr="00CE5B34" w:rsidRDefault="0077327F" w:rsidP="0081553D">
            <w:pPr>
              <w:spacing w:after="0" w:line="240" w:lineRule="auto"/>
              <w:rPr>
                <w:rFonts w:ascii="Calibri" w:eastAsia="Times New Roman" w:hAnsi="Calibri" w:cs="Calibri"/>
                <w:color w:val="000000"/>
                <w:sz w:val="20"/>
                <w:szCs w:val="20"/>
                <w:lang w:eastAsia="en-NZ"/>
              </w:rPr>
            </w:pPr>
            <w:r w:rsidRPr="00CE5B34">
              <w:rPr>
                <w:rFonts w:ascii="Calibri" w:eastAsia="Times New Roman" w:hAnsi="Calibri" w:cs="Calibri"/>
                <w:color w:val="000000"/>
                <w:sz w:val="20"/>
                <w:szCs w:val="20"/>
                <w:lang w:eastAsia="en-NZ"/>
              </w:rPr>
              <w:t>Assumes attendance affects student educational achievement. Paper provides information on the different</w:t>
            </w:r>
            <w:r w:rsidRPr="00CE5B34">
              <w:rPr>
                <w:rFonts w:ascii="Calibri" w:eastAsia="Times New Roman" w:hAnsi="Calibri" w:cs="Calibri"/>
                <w:color w:val="000000"/>
                <w:sz w:val="20"/>
                <w:szCs w:val="20"/>
                <w:lang w:eastAsia="en-NZ"/>
              </w:rPr>
              <w:br/>
              <w:t xml:space="preserve">approaches that have been used to improve attendance and/or retention. </w:t>
            </w:r>
          </w:p>
        </w:tc>
        <w:tc>
          <w:tcPr>
            <w:tcW w:w="4320" w:type="dxa"/>
            <w:tcBorders>
              <w:top w:val="single" w:sz="4" w:space="0" w:color="auto"/>
              <w:left w:val="single" w:sz="4" w:space="0" w:color="auto"/>
              <w:bottom w:val="nil"/>
              <w:right w:val="single" w:sz="4" w:space="0" w:color="auto"/>
            </w:tcBorders>
            <w:hideMark/>
          </w:tcPr>
          <w:p w:rsidR="0077327F" w:rsidRPr="00CE5B34" w:rsidRDefault="0077327F" w:rsidP="0081553D">
            <w:pPr>
              <w:spacing w:after="0" w:line="240" w:lineRule="auto"/>
              <w:rPr>
                <w:rFonts w:ascii="Calibri" w:eastAsia="Times New Roman" w:hAnsi="Calibri" w:cs="Calibri"/>
                <w:color w:val="000000"/>
                <w:sz w:val="20"/>
                <w:szCs w:val="20"/>
                <w:lang w:eastAsia="en-NZ"/>
              </w:rPr>
            </w:pPr>
            <w:r w:rsidRPr="00CE5B34">
              <w:rPr>
                <w:rFonts w:ascii="Calibri" w:eastAsia="Times New Roman" w:hAnsi="Calibri" w:cs="Calibri"/>
                <w:color w:val="000000"/>
                <w:sz w:val="20"/>
                <w:szCs w:val="20"/>
                <w:lang w:eastAsia="en-NZ"/>
              </w:rPr>
              <w:t xml:space="preserve">Australia.  Report notes that attendance data is not consistently measured between schools or across states and territories.   </w:t>
            </w:r>
          </w:p>
        </w:tc>
        <w:tc>
          <w:tcPr>
            <w:tcW w:w="4470" w:type="dxa"/>
            <w:vMerge w:val="restart"/>
            <w:tcBorders>
              <w:top w:val="single" w:sz="4" w:space="0" w:color="auto"/>
              <w:left w:val="single" w:sz="4" w:space="0" w:color="auto"/>
              <w:bottom w:val="single" w:sz="4" w:space="0" w:color="auto"/>
              <w:right w:val="single" w:sz="4" w:space="0" w:color="auto"/>
            </w:tcBorders>
            <w:hideMark/>
          </w:tcPr>
          <w:p w:rsidR="0077327F" w:rsidRPr="00CE5B34" w:rsidRDefault="0077327F" w:rsidP="0081553D">
            <w:pPr>
              <w:spacing w:after="0" w:line="240" w:lineRule="auto"/>
              <w:rPr>
                <w:rFonts w:ascii="Calibri" w:eastAsia="Times New Roman" w:hAnsi="Calibri" w:cs="Calibri"/>
                <w:color w:val="000000"/>
                <w:sz w:val="20"/>
                <w:szCs w:val="20"/>
                <w:lang w:eastAsia="en-NZ"/>
              </w:rPr>
            </w:pPr>
            <w:r w:rsidRPr="00CE5B34">
              <w:rPr>
                <w:rFonts w:ascii="Calibri" w:eastAsia="Times New Roman" w:hAnsi="Calibri" w:cs="Calibri"/>
                <w:color w:val="000000"/>
                <w:sz w:val="20"/>
                <w:szCs w:val="20"/>
                <w:lang w:eastAsia="en-NZ"/>
              </w:rPr>
              <w:t>Divides programmes into: Scholarships, financial support and support structures; Sanctions (also used in NZ), ‘Hooks’, incentives and rewards, Cultural relevance, Systems-based initiatives and School-based initiatives. Interestingly, most programmes had not been monitored and evaluated (Some such as 'Sanctions' were noted as having evaluation ongoing). "</w:t>
            </w:r>
            <w:r w:rsidRPr="00CE5B34">
              <w:rPr>
                <w:rFonts w:ascii="Calibri" w:eastAsia="Times New Roman" w:hAnsi="Calibri" w:cs="Calibri"/>
                <w:i/>
                <w:iCs/>
                <w:color w:val="000000"/>
                <w:sz w:val="20"/>
                <w:szCs w:val="20"/>
                <w:lang w:eastAsia="en-NZ"/>
              </w:rPr>
              <w:t>In our exploration of the attendance and retention literature, one fact was overwhelmingly evident—there is very little high-quality evaluation literature</w:t>
            </w:r>
            <w:r w:rsidRPr="00CE5B34">
              <w:rPr>
                <w:rFonts w:ascii="Calibri" w:eastAsia="Times New Roman" w:hAnsi="Calibri" w:cs="Calibri"/>
                <w:color w:val="000000"/>
                <w:sz w:val="20"/>
                <w:szCs w:val="20"/>
                <w:lang w:eastAsia="en-NZ"/>
              </w:rPr>
              <w:t xml:space="preserve">." It is unfortunate that the literature cannot provide clearer guidance about what works in promoting better attendance and retention for Indigenous Australian students. In the absence of rigorous evaluation literature, the strategies that Bourke et al. (2000) and Boulden (2006) suggested provide a sound starting point. They are in accord with what educational </w:t>
            </w:r>
            <w:r w:rsidRPr="00CE5B34">
              <w:rPr>
                <w:rFonts w:ascii="Calibri" w:eastAsia="Times New Roman" w:hAnsi="Calibri" w:cs="Calibri"/>
                <w:color w:val="000000"/>
                <w:sz w:val="20"/>
                <w:szCs w:val="20"/>
                <w:lang w:eastAsia="en-NZ"/>
              </w:rPr>
              <w:lastRenderedPageBreak/>
              <w:t xml:space="preserve">research does tell us about highly effective practices for continuous improvement in learning for all students, including highly effective teaching practices, supported and driven by aligned school and system policies and practices (Barber &amp; Mourshed 2007; Hattie 2003); and deep knowledge, targeted teaching, and continuous monitoring (Masters 2009). </w:t>
            </w:r>
            <w:r w:rsidRPr="00CE5B34">
              <w:rPr>
                <w:rFonts w:ascii="Calibri" w:eastAsia="Times New Roman" w:hAnsi="Calibri" w:cs="Calibri"/>
                <w:b/>
                <w:bCs/>
                <w:color w:val="000000"/>
                <w:sz w:val="20"/>
                <w:szCs w:val="20"/>
                <w:lang w:eastAsia="en-NZ"/>
              </w:rPr>
              <w:t xml:space="preserve">Also of note: "A common feature of successful educational programs, however, was that of a creative collaboration, which builds bridges between public agencies and the community, often by engaging parents or community-based organisations.".   </w:t>
            </w:r>
          </w:p>
        </w:tc>
      </w:tr>
      <w:tr w:rsidR="0077327F" w:rsidRPr="00CE5B34" w:rsidTr="0081553D">
        <w:trPr>
          <w:trHeight w:val="600"/>
        </w:trPr>
        <w:tc>
          <w:tcPr>
            <w:tcW w:w="666" w:type="dxa"/>
            <w:tcBorders>
              <w:top w:val="nil"/>
              <w:left w:val="single" w:sz="4" w:space="0" w:color="auto"/>
              <w:bottom w:val="nil"/>
              <w:right w:val="single" w:sz="4" w:space="0" w:color="auto"/>
            </w:tcBorders>
            <w:noWrap/>
            <w:vAlign w:val="bottom"/>
            <w:hideMark/>
          </w:tcPr>
          <w:p w:rsidR="0077327F" w:rsidRPr="00CE5B34" w:rsidRDefault="0077327F" w:rsidP="0081553D">
            <w:pPr>
              <w:spacing w:after="0" w:line="240" w:lineRule="auto"/>
              <w:rPr>
                <w:rFonts w:ascii="Calibri" w:eastAsia="Times New Roman" w:hAnsi="Calibri" w:cs="Calibri"/>
                <w:color w:val="000000"/>
                <w:sz w:val="20"/>
                <w:szCs w:val="20"/>
                <w:lang w:eastAsia="en-NZ"/>
              </w:rPr>
            </w:pPr>
          </w:p>
        </w:tc>
        <w:tc>
          <w:tcPr>
            <w:tcW w:w="2980" w:type="dxa"/>
            <w:tcBorders>
              <w:top w:val="nil"/>
              <w:left w:val="single" w:sz="4" w:space="0" w:color="auto"/>
              <w:bottom w:val="nil"/>
              <w:right w:val="single" w:sz="4" w:space="0" w:color="auto"/>
            </w:tcBorders>
            <w:vAlign w:val="bottom"/>
            <w:hideMark/>
          </w:tcPr>
          <w:p w:rsidR="0077327F" w:rsidRPr="00CE5B34" w:rsidRDefault="0077327F" w:rsidP="0081553D">
            <w:pPr>
              <w:spacing w:after="0" w:line="240" w:lineRule="auto"/>
              <w:rPr>
                <w:rFonts w:ascii="Calibri" w:eastAsia="Times New Roman" w:hAnsi="Calibri" w:cs="Calibri"/>
                <w:color w:val="000000"/>
                <w:sz w:val="20"/>
                <w:szCs w:val="20"/>
                <w:lang w:eastAsia="en-NZ"/>
              </w:rPr>
            </w:pPr>
          </w:p>
        </w:tc>
        <w:tc>
          <w:tcPr>
            <w:tcW w:w="2110" w:type="dxa"/>
            <w:tcBorders>
              <w:top w:val="nil"/>
              <w:left w:val="single" w:sz="4" w:space="0" w:color="auto"/>
              <w:bottom w:val="nil"/>
              <w:right w:val="single" w:sz="4" w:space="0" w:color="auto"/>
            </w:tcBorders>
            <w:noWrap/>
            <w:vAlign w:val="bottom"/>
            <w:hideMark/>
          </w:tcPr>
          <w:p w:rsidR="0077327F" w:rsidRPr="00CE5B34" w:rsidRDefault="0077327F" w:rsidP="0081553D">
            <w:pPr>
              <w:spacing w:after="0" w:line="240" w:lineRule="auto"/>
              <w:rPr>
                <w:rFonts w:ascii="Calibri" w:eastAsia="Times New Roman" w:hAnsi="Calibri" w:cs="Calibri"/>
                <w:color w:val="000000"/>
                <w:sz w:val="20"/>
                <w:szCs w:val="20"/>
                <w:lang w:eastAsia="en-NZ"/>
              </w:rPr>
            </w:pPr>
          </w:p>
        </w:tc>
        <w:tc>
          <w:tcPr>
            <w:tcW w:w="4320" w:type="dxa"/>
            <w:tcBorders>
              <w:top w:val="nil"/>
              <w:left w:val="single" w:sz="4" w:space="0" w:color="auto"/>
              <w:bottom w:val="nil"/>
              <w:right w:val="single" w:sz="4" w:space="0" w:color="auto"/>
            </w:tcBorders>
            <w:noWrap/>
            <w:vAlign w:val="bottom"/>
            <w:hideMark/>
          </w:tcPr>
          <w:p w:rsidR="0077327F" w:rsidRPr="00CE5B34" w:rsidRDefault="0077327F" w:rsidP="0081553D">
            <w:pPr>
              <w:spacing w:after="0" w:line="240" w:lineRule="auto"/>
              <w:rPr>
                <w:rFonts w:ascii="Calibri" w:eastAsia="Times New Roman" w:hAnsi="Calibri" w:cs="Calibri"/>
                <w:sz w:val="20"/>
                <w:szCs w:val="20"/>
                <w:lang w:eastAsia="en-NZ"/>
              </w:rPr>
            </w:pPr>
          </w:p>
        </w:tc>
        <w:tc>
          <w:tcPr>
            <w:tcW w:w="4470" w:type="dxa"/>
            <w:vMerge/>
            <w:tcBorders>
              <w:top w:val="single" w:sz="4" w:space="0" w:color="auto"/>
              <w:left w:val="single" w:sz="4" w:space="0" w:color="auto"/>
              <w:bottom w:val="single" w:sz="4" w:space="0" w:color="auto"/>
              <w:right w:val="single" w:sz="4" w:space="0" w:color="auto"/>
            </w:tcBorders>
            <w:vAlign w:val="center"/>
            <w:hideMark/>
          </w:tcPr>
          <w:p w:rsidR="0077327F" w:rsidRPr="00CE5B34" w:rsidRDefault="0077327F" w:rsidP="0081553D">
            <w:pPr>
              <w:spacing w:after="0" w:line="240" w:lineRule="auto"/>
              <w:rPr>
                <w:rFonts w:ascii="Calibri" w:eastAsia="Times New Roman" w:hAnsi="Calibri" w:cs="Calibri"/>
                <w:color w:val="000000"/>
                <w:sz w:val="20"/>
                <w:szCs w:val="20"/>
                <w:lang w:eastAsia="en-NZ"/>
              </w:rPr>
            </w:pPr>
          </w:p>
        </w:tc>
      </w:tr>
      <w:tr w:rsidR="0077327F" w:rsidRPr="00CE5B34" w:rsidTr="0081553D">
        <w:trPr>
          <w:trHeight w:val="300"/>
        </w:trPr>
        <w:tc>
          <w:tcPr>
            <w:tcW w:w="666" w:type="dxa"/>
            <w:tcBorders>
              <w:top w:val="nil"/>
              <w:left w:val="single" w:sz="4" w:space="0" w:color="auto"/>
              <w:bottom w:val="single" w:sz="4" w:space="0" w:color="auto"/>
              <w:right w:val="single" w:sz="4" w:space="0" w:color="auto"/>
            </w:tcBorders>
            <w:noWrap/>
            <w:vAlign w:val="bottom"/>
            <w:hideMark/>
          </w:tcPr>
          <w:p w:rsidR="0077327F" w:rsidRPr="00CE5B34" w:rsidRDefault="0077327F" w:rsidP="0081553D">
            <w:pPr>
              <w:spacing w:after="0" w:line="240" w:lineRule="auto"/>
              <w:rPr>
                <w:rFonts w:ascii="Calibri" w:eastAsia="Times New Roman" w:hAnsi="Calibri" w:cs="Calibri"/>
                <w:sz w:val="20"/>
                <w:szCs w:val="20"/>
                <w:lang w:eastAsia="en-NZ"/>
              </w:rPr>
            </w:pPr>
          </w:p>
        </w:tc>
        <w:tc>
          <w:tcPr>
            <w:tcW w:w="2980" w:type="dxa"/>
            <w:tcBorders>
              <w:top w:val="nil"/>
              <w:left w:val="single" w:sz="4" w:space="0" w:color="auto"/>
              <w:bottom w:val="single" w:sz="4" w:space="0" w:color="auto"/>
              <w:right w:val="single" w:sz="4" w:space="0" w:color="auto"/>
            </w:tcBorders>
            <w:noWrap/>
            <w:vAlign w:val="bottom"/>
            <w:hideMark/>
          </w:tcPr>
          <w:p w:rsidR="0077327F" w:rsidRPr="00CE5B34" w:rsidRDefault="0077327F" w:rsidP="0081553D">
            <w:pPr>
              <w:spacing w:after="0" w:line="240" w:lineRule="auto"/>
              <w:rPr>
                <w:rFonts w:ascii="Calibri" w:eastAsia="Times New Roman" w:hAnsi="Calibri" w:cs="Calibri"/>
                <w:color w:val="0563C1"/>
                <w:sz w:val="20"/>
                <w:szCs w:val="20"/>
                <w:u w:val="single"/>
                <w:lang w:eastAsia="en-NZ"/>
              </w:rPr>
            </w:pPr>
          </w:p>
        </w:tc>
        <w:tc>
          <w:tcPr>
            <w:tcW w:w="2110" w:type="dxa"/>
            <w:tcBorders>
              <w:top w:val="nil"/>
              <w:left w:val="single" w:sz="4" w:space="0" w:color="auto"/>
              <w:bottom w:val="single" w:sz="4" w:space="0" w:color="auto"/>
              <w:right w:val="single" w:sz="4" w:space="0" w:color="auto"/>
            </w:tcBorders>
            <w:noWrap/>
            <w:vAlign w:val="bottom"/>
            <w:hideMark/>
          </w:tcPr>
          <w:p w:rsidR="0077327F" w:rsidRPr="00CE5B34" w:rsidRDefault="0077327F" w:rsidP="0081553D">
            <w:pPr>
              <w:spacing w:after="0" w:line="240" w:lineRule="auto"/>
              <w:rPr>
                <w:rFonts w:ascii="Calibri" w:eastAsia="Times New Roman" w:hAnsi="Calibri" w:cs="Calibri"/>
                <w:color w:val="0563C1"/>
                <w:sz w:val="20"/>
                <w:szCs w:val="20"/>
                <w:u w:val="single"/>
                <w:lang w:eastAsia="en-NZ"/>
              </w:rPr>
            </w:pPr>
          </w:p>
        </w:tc>
        <w:tc>
          <w:tcPr>
            <w:tcW w:w="4320" w:type="dxa"/>
            <w:tcBorders>
              <w:top w:val="nil"/>
              <w:left w:val="single" w:sz="4" w:space="0" w:color="auto"/>
              <w:bottom w:val="single" w:sz="4" w:space="0" w:color="auto"/>
              <w:right w:val="single" w:sz="4" w:space="0" w:color="auto"/>
            </w:tcBorders>
            <w:noWrap/>
            <w:vAlign w:val="bottom"/>
            <w:hideMark/>
          </w:tcPr>
          <w:p w:rsidR="0077327F" w:rsidRPr="00CE5B34" w:rsidRDefault="0077327F" w:rsidP="0081553D">
            <w:pPr>
              <w:spacing w:after="0" w:line="240" w:lineRule="auto"/>
              <w:rPr>
                <w:rFonts w:ascii="Calibri" w:eastAsia="Times New Roman" w:hAnsi="Calibri" w:cs="Calibri"/>
                <w:sz w:val="20"/>
                <w:szCs w:val="20"/>
                <w:lang w:eastAsia="en-NZ"/>
              </w:rPr>
            </w:pPr>
          </w:p>
        </w:tc>
        <w:tc>
          <w:tcPr>
            <w:tcW w:w="4470" w:type="dxa"/>
            <w:vMerge/>
            <w:tcBorders>
              <w:top w:val="single" w:sz="4" w:space="0" w:color="auto"/>
              <w:left w:val="single" w:sz="4" w:space="0" w:color="auto"/>
              <w:bottom w:val="single" w:sz="4" w:space="0" w:color="auto"/>
              <w:right w:val="single" w:sz="4" w:space="0" w:color="auto"/>
            </w:tcBorders>
            <w:vAlign w:val="center"/>
            <w:hideMark/>
          </w:tcPr>
          <w:p w:rsidR="0077327F" w:rsidRPr="00CE5B34" w:rsidRDefault="0077327F" w:rsidP="0081553D">
            <w:pPr>
              <w:spacing w:after="0" w:line="240" w:lineRule="auto"/>
              <w:rPr>
                <w:rFonts w:ascii="Calibri" w:eastAsia="Times New Roman" w:hAnsi="Calibri" w:cs="Calibri"/>
                <w:color w:val="000000"/>
                <w:sz w:val="20"/>
                <w:szCs w:val="20"/>
                <w:lang w:eastAsia="en-NZ"/>
              </w:rPr>
            </w:pPr>
          </w:p>
        </w:tc>
      </w:tr>
      <w:tr w:rsidR="0077327F" w:rsidRPr="00CE5B34" w:rsidTr="0081553D">
        <w:trPr>
          <w:trHeight w:val="3180"/>
        </w:trPr>
        <w:tc>
          <w:tcPr>
            <w:tcW w:w="666" w:type="dxa"/>
            <w:tcBorders>
              <w:top w:val="single" w:sz="4" w:space="0" w:color="auto"/>
              <w:left w:val="single" w:sz="4" w:space="0" w:color="auto"/>
              <w:bottom w:val="single" w:sz="4" w:space="0" w:color="auto"/>
              <w:right w:val="single" w:sz="4" w:space="0" w:color="auto"/>
            </w:tcBorders>
            <w:noWrap/>
            <w:hideMark/>
          </w:tcPr>
          <w:p w:rsidR="0077327F" w:rsidRPr="00CE5B34" w:rsidRDefault="0077327F" w:rsidP="0081553D">
            <w:pPr>
              <w:spacing w:after="0" w:line="240" w:lineRule="auto"/>
              <w:jc w:val="right"/>
              <w:rPr>
                <w:rFonts w:ascii="Calibri" w:eastAsia="Times New Roman" w:hAnsi="Calibri" w:cs="Calibri"/>
                <w:b/>
                <w:bCs/>
                <w:color w:val="000000"/>
                <w:sz w:val="20"/>
                <w:szCs w:val="20"/>
                <w:lang w:eastAsia="en-NZ"/>
              </w:rPr>
            </w:pPr>
            <w:r w:rsidRPr="00CE5B34">
              <w:rPr>
                <w:rFonts w:ascii="Calibri" w:eastAsia="Times New Roman" w:hAnsi="Calibri" w:cs="Calibri"/>
                <w:b/>
                <w:bCs/>
                <w:color w:val="000000"/>
                <w:sz w:val="20"/>
                <w:szCs w:val="20"/>
                <w:lang w:eastAsia="en-NZ"/>
              </w:rPr>
              <w:lastRenderedPageBreak/>
              <w:t>2013</w:t>
            </w:r>
          </w:p>
        </w:tc>
        <w:tc>
          <w:tcPr>
            <w:tcW w:w="2980" w:type="dxa"/>
            <w:tcBorders>
              <w:top w:val="single" w:sz="4" w:space="0" w:color="auto"/>
              <w:left w:val="single" w:sz="4" w:space="0" w:color="auto"/>
              <w:bottom w:val="single" w:sz="4" w:space="0" w:color="auto"/>
              <w:right w:val="single" w:sz="4" w:space="0" w:color="auto"/>
            </w:tcBorders>
            <w:hideMark/>
          </w:tcPr>
          <w:p w:rsidR="0077327F" w:rsidRDefault="0077327F" w:rsidP="0081553D">
            <w:pPr>
              <w:spacing w:after="0" w:line="240" w:lineRule="auto"/>
              <w:rPr>
                <w:rFonts w:ascii="Calibri" w:eastAsia="Times New Roman" w:hAnsi="Calibri" w:cs="Calibri"/>
                <w:color w:val="000000"/>
                <w:sz w:val="20"/>
                <w:szCs w:val="20"/>
                <w:lang w:eastAsia="en-NZ"/>
              </w:rPr>
            </w:pPr>
            <w:r w:rsidRPr="00CE5B34">
              <w:rPr>
                <w:rFonts w:ascii="Calibri" w:eastAsia="Times New Roman" w:hAnsi="Calibri" w:cs="Calibri"/>
                <w:color w:val="000000"/>
                <w:sz w:val="20"/>
                <w:szCs w:val="20"/>
                <w:lang w:eastAsia="en-NZ"/>
              </w:rPr>
              <w:t xml:space="preserve">Student attendance and educational outcomes: Every day counts. </w:t>
            </w:r>
          </w:p>
          <w:p w:rsidR="0077327F" w:rsidRDefault="0077327F" w:rsidP="0081553D">
            <w:pPr>
              <w:spacing w:after="0" w:line="240" w:lineRule="auto"/>
              <w:rPr>
                <w:rFonts w:ascii="Calibri" w:eastAsia="Times New Roman" w:hAnsi="Calibri" w:cs="Calibri"/>
                <w:color w:val="000000"/>
                <w:sz w:val="20"/>
                <w:szCs w:val="20"/>
                <w:lang w:eastAsia="en-NZ"/>
              </w:rPr>
            </w:pPr>
            <w:r w:rsidRPr="00CE5B34">
              <w:rPr>
                <w:rFonts w:ascii="Calibri" w:eastAsia="Times New Roman" w:hAnsi="Calibri" w:cs="Calibri"/>
                <w:color w:val="000000"/>
                <w:sz w:val="20"/>
                <w:szCs w:val="20"/>
                <w:lang w:eastAsia="en-NZ"/>
              </w:rPr>
              <w:t>Kirsten Hancock et al</w:t>
            </w:r>
            <w:r w:rsidR="00553512">
              <w:rPr>
                <w:rFonts w:ascii="Calibri" w:eastAsia="Times New Roman" w:hAnsi="Calibri" w:cs="Calibri"/>
                <w:color w:val="000000"/>
                <w:sz w:val="20"/>
                <w:szCs w:val="20"/>
                <w:lang w:eastAsia="en-NZ"/>
              </w:rPr>
              <w:t>.</w:t>
            </w:r>
          </w:p>
          <w:p w:rsidR="0077327F" w:rsidRPr="00CE5B34" w:rsidRDefault="00A43D35" w:rsidP="0081553D">
            <w:pPr>
              <w:spacing w:after="0" w:line="240" w:lineRule="auto"/>
              <w:rPr>
                <w:rFonts w:ascii="Calibri" w:eastAsia="Times New Roman" w:hAnsi="Calibri" w:cs="Calibri"/>
                <w:color w:val="000000"/>
                <w:sz w:val="20"/>
                <w:szCs w:val="20"/>
                <w:lang w:eastAsia="en-NZ"/>
              </w:rPr>
            </w:pPr>
            <w:hyperlink r:id="rId16" w:history="1">
              <w:r w:rsidR="0077327F" w:rsidRPr="00CE5B34">
                <w:rPr>
                  <w:rFonts w:ascii="Calibri" w:eastAsia="Times New Roman" w:hAnsi="Calibri" w:cs="Calibri"/>
                  <w:color w:val="0563C1"/>
                  <w:sz w:val="20"/>
                  <w:szCs w:val="20"/>
                  <w:u w:val="single"/>
                  <w:lang w:eastAsia="en-NZ"/>
                </w:rPr>
                <w:t>Available here</w:t>
              </w:r>
            </w:hyperlink>
          </w:p>
        </w:tc>
        <w:tc>
          <w:tcPr>
            <w:tcW w:w="2110" w:type="dxa"/>
            <w:tcBorders>
              <w:top w:val="single" w:sz="4" w:space="0" w:color="auto"/>
              <w:left w:val="single" w:sz="4" w:space="0" w:color="auto"/>
              <w:bottom w:val="single" w:sz="4" w:space="0" w:color="auto"/>
              <w:right w:val="single" w:sz="4" w:space="0" w:color="auto"/>
            </w:tcBorders>
            <w:hideMark/>
          </w:tcPr>
          <w:p w:rsidR="0077327F" w:rsidRPr="00CE5B34" w:rsidRDefault="0077327F" w:rsidP="0081553D">
            <w:pPr>
              <w:spacing w:after="0" w:line="240" w:lineRule="auto"/>
              <w:rPr>
                <w:rFonts w:ascii="Calibri" w:eastAsia="Times New Roman" w:hAnsi="Calibri" w:cs="Calibri"/>
                <w:color w:val="000000"/>
                <w:sz w:val="20"/>
                <w:szCs w:val="20"/>
                <w:lang w:eastAsia="en-NZ"/>
              </w:rPr>
            </w:pPr>
            <w:r w:rsidRPr="00CE5B34">
              <w:rPr>
                <w:rFonts w:ascii="Calibri" w:eastAsia="Times New Roman" w:hAnsi="Calibri" w:cs="Calibri"/>
                <w:color w:val="000000"/>
                <w:sz w:val="20"/>
                <w:szCs w:val="20"/>
                <w:lang w:eastAsia="en-NZ"/>
              </w:rPr>
              <w:t>Attendance and educational outcomes</w:t>
            </w:r>
          </w:p>
        </w:tc>
        <w:tc>
          <w:tcPr>
            <w:tcW w:w="4320" w:type="dxa"/>
            <w:tcBorders>
              <w:top w:val="single" w:sz="4" w:space="0" w:color="auto"/>
              <w:left w:val="single" w:sz="4" w:space="0" w:color="auto"/>
              <w:bottom w:val="single" w:sz="4" w:space="0" w:color="auto"/>
            </w:tcBorders>
            <w:hideMark/>
          </w:tcPr>
          <w:p w:rsidR="0077327F" w:rsidRPr="00CE5B34" w:rsidRDefault="0077327F" w:rsidP="0081553D">
            <w:pPr>
              <w:spacing w:after="0" w:line="240" w:lineRule="auto"/>
              <w:rPr>
                <w:rFonts w:ascii="Calibri" w:eastAsia="Times New Roman" w:hAnsi="Calibri" w:cs="Calibri"/>
                <w:color w:val="000000"/>
                <w:sz w:val="20"/>
                <w:szCs w:val="20"/>
                <w:lang w:eastAsia="en-NZ"/>
              </w:rPr>
            </w:pPr>
            <w:r w:rsidRPr="00CE5B34">
              <w:rPr>
                <w:rFonts w:ascii="Calibri" w:eastAsia="Times New Roman" w:hAnsi="Calibri" w:cs="Calibri"/>
                <w:color w:val="000000"/>
                <w:sz w:val="20"/>
                <w:szCs w:val="20"/>
                <w:lang w:eastAsia="en-NZ"/>
              </w:rPr>
              <w:t xml:space="preserve">Western Australia </w:t>
            </w:r>
            <w:r w:rsidR="00553512">
              <w:rPr>
                <w:rFonts w:ascii="Calibri" w:eastAsia="Times New Roman" w:hAnsi="Calibri" w:cs="Calibri"/>
                <w:color w:val="000000"/>
                <w:sz w:val="20"/>
                <w:szCs w:val="20"/>
                <w:lang w:eastAsia="en-NZ"/>
              </w:rPr>
              <w:t>Department</w:t>
            </w:r>
            <w:r w:rsidRPr="00CE5B34">
              <w:rPr>
                <w:rFonts w:ascii="Calibri" w:eastAsia="Times New Roman" w:hAnsi="Calibri" w:cs="Calibri"/>
                <w:color w:val="000000"/>
                <w:sz w:val="20"/>
                <w:szCs w:val="20"/>
                <w:lang w:eastAsia="en-NZ"/>
              </w:rPr>
              <w:t xml:space="preserve"> of Education administrative data (2.4 million records for over 415,000 individual students), 2008-12 Analysed a set of key characteristics that describe schools and students and examined attendance and absence using three main measures: attendance rate; authorised absence rate; and unauthorised absence rate. Used NAPLAN scores in the numeracy, reading and writing domains to assess student achievement. NAPLAN tests are administered every year throughout Australia to students in Years 3, 5, 7 and 9. </w:t>
            </w:r>
          </w:p>
        </w:tc>
        <w:tc>
          <w:tcPr>
            <w:tcW w:w="4470" w:type="dxa"/>
            <w:tcBorders>
              <w:top w:val="single" w:sz="4" w:space="0" w:color="auto"/>
              <w:bottom w:val="single" w:sz="4" w:space="0" w:color="auto"/>
              <w:right w:val="single" w:sz="4" w:space="0" w:color="auto"/>
            </w:tcBorders>
            <w:hideMark/>
          </w:tcPr>
          <w:p w:rsidR="0077327F" w:rsidRPr="00F9763E" w:rsidRDefault="0077327F" w:rsidP="0077327F">
            <w:pPr>
              <w:pStyle w:val="ListParagraph"/>
              <w:numPr>
                <w:ilvl w:val="0"/>
                <w:numId w:val="16"/>
              </w:num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000000"/>
                <w:sz w:val="20"/>
                <w:szCs w:val="20"/>
                <w:lang w:eastAsia="en-NZ"/>
              </w:rPr>
            </w:pPr>
            <w:r w:rsidRPr="00F9763E">
              <w:rPr>
                <w:rFonts w:ascii="Calibri" w:eastAsia="Times New Roman" w:hAnsi="Calibri" w:cs="Calibri"/>
                <w:color w:val="000000"/>
                <w:sz w:val="20"/>
                <w:szCs w:val="20"/>
                <w:lang w:eastAsia="en-NZ"/>
              </w:rPr>
              <w:t>In all analyses, average academic achievement on NAPLAN tests declined with any absence from school and continued to decline as absence rates increased. The nature of the relationship between absence from school and achievement, across all sub-groups of students strongly suggests that every day of attendance in school contributes towards a child’s learning, and that academic outcomes are enhanced by maximising attendance in school. There is no “safe” threshold.</w:t>
            </w:r>
            <w:r w:rsidRPr="00F9763E">
              <w:rPr>
                <w:rFonts w:ascii="Calibri" w:eastAsia="Times New Roman" w:hAnsi="Calibri" w:cs="Calibri"/>
                <w:color w:val="000000"/>
                <w:sz w:val="20"/>
                <w:szCs w:val="20"/>
                <w:lang w:eastAsia="en-NZ"/>
              </w:rPr>
              <w:br/>
              <w:t>The effects of absence also accumulate over time. Absence from school is related to academic achievement in numeracy, reading and writing not only in the current year, but in future years as well.</w:t>
            </w:r>
          </w:p>
          <w:p w:rsidR="0077327F" w:rsidRPr="00F9763E" w:rsidRDefault="0077327F" w:rsidP="0077327F">
            <w:pPr>
              <w:pStyle w:val="ListParagraph"/>
              <w:numPr>
                <w:ilvl w:val="0"/>
                <w:numId w:val="16"/>
              </w:num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000000"/>
                <w:sz w:val="20"/>
                <w:szCs w:val="20"/>
                <w:lang w:eastAsia="en-NZ"/>
              </w:rPr>
            </w:pPr>
            <w:r w:rsidRPr="00CE5B34">
              <w:rPr>
                <w:rFonts w:ascii="Calibri" w:eastAsia="Times New Roman" w:hAnsi="Calibri" w:cs="Calibri"/>
                <w:color w:val="000000"/>
                <w:sz w:val="20"/>
                <w:szCs w:val="20"/>
                <w:lang w:eastAsia="en-NZ"/>
              </w:rPr>
              <w:t xml:space="preserve">Unequivocal finding that relative disadvantage was associated with poorer attendance, from the very beginning of formal schooling. Students in schools with a lower Socio-Economic Index (SEI), Aboriginal students, students who were highly mobile and those whose parents had lower levels of education and occupational status, all had lower levels of attendance, on average. These attendance gaps were established early (by </w:t>
            </w:r>
            <w:r w:rsidRPr="00CE5B34">
              <w:rPr>
                <w:rFonts w:ascii="Calibri" w:eastAsia="Times New Roman" w:hAnsi="Calibri" w:cs="Calibri"/>
                <w:color w:val="000000"/>
                <w:sz w:val="20"/>
                <w:szCs w:val="20"/>
                <w:lang w:eastAsia="en-NZ"/>
              </w:rPr>
              <w:lastRenderedPageBreak/>
              <w:t>at least Year 1), and are influenced by factors and events prior to school entry. These patterns were observed repeatedly, across all indicators of disadvantage and using different types of analysis (e.g. both cross-sectional and longitudinal).</w:t>
            </w:r>
          </w:p>
        </w:tc>
      </w:tr>
      <w:tr w:rsidR="0077327F" w:rsidRPr="00CE5B34" w:rsidTr="0081553D">
        <w:trPr>
          <w:trHeight w:val="2775"/>
        </w:trPr>
        <w:tc>
          <w:tcPr>
            <w:tcW w:w="666" w:type="dxa"/>
            <w:tcBorders>
              <w:top w:val="single" w:sz="4" w:space="0" w:color="auto"/>
              <w:left w:val="single" w:sz="4" w:space="0" w:color="auto"/>
              <w:bottom w:val="nil"/>
              <w:right w:val="single" w:sz="4" w:space="0" w:color="auto"/>
            </w:tcBorders>
            <w:noWrap/>
            <w:hideMark/>
          </w:tcPr>
          <w:p w:rsidR="0077327F" w:rsidRPr="00CE5B34" w:rsidRDefault="0077327F" w:rsidP="0081553D">
            <w:pPr>
              <w:spacing w:after="0" w:line="240" w:lineRule="auto"/>
              <w:jc w:val="right"/>
              <w:rPr>
                <w:rFonts w:ascii="Calibri" w:eastAsia="Times New Roman" w:hAnsi="Calibri" w:cs="Calibri"/>
                <w:b/>
                <w:bCs/>
                <w:color w:val="000000"/>
                <w:sz w:val="20"/>
                <w:szCs w:val="20"/>
                <w:lang w:eastAsia="en-NZ"/>
              </w:rPr>
            </w:pPr>
            <w:r w:rsidRPr="00CE5B34">
              <w:rPr>
                <w:rFonts w:ascii="Calibri" w:eastAsia="Times New Roman" w:hAnsi="Calibri" w:cs="Calibri"/>
                <w:b/>
                <w:bCs/>
                <w:color w:val="000000"/>
                <w:sz w:val="20"/>
                <w:szCs w:val="20"/>
                <w:lang w:eastAsia="en-NZ"/>
              </w:rPr>
              <w:lastRenderedPageBreak/>
              <w:t>2013</w:t>
            </w:r>
          </w:p>
        </w:tc>
        <w:tc>
          <w:tcPr>
            <w:tcW w:w="2980" w:type="dxa"/>
            <w:tcBorders>
              <w:top w:val="single" w:sz="4" w:space="0" w:color="auto"/>
              <w:left w:val="single" w:sz="4" w:space="0" w:color="auto"/>
              <w:bottom w:val="nil"/>
              <w:right w:val="single" w:sz="4" w:space="0" w:color="auto"/>
            </w:tcBorders>
            <w:hideMark/>
          </w:tcPr>
          <w:p w:rsidR="0077327F" w:rsidRDefault="0077327F" w:rsidP="0081553D">
            <w:pPr>
              <w:spacing w:after="0" w:line="240" w:lineRule="auto"/>
              <w:rPr>
                <w:rFonts w:ascii="Calibri" w:eastAsia="Times New Roman" w:hAnsi="Calibri" w:cs="Calibri"/>
                <w:color w:val="000000"/>
                <w:sz w:val="20"/>
                <w:szCs w:val="20"/>
                <w:lang w:eastAsia="en-NZ"/>
              </w:rPr>
            </w:pPr>
            <w:r w:rsidRPr="00CE5B34">
              <w:rPr>
                <w:rFonts w:ascii="Calibri" w:eastAsia="Times New Roman" w:hAnsi="Calibri" w:cs="Calibri"/>
                <w:color w:val="000000"/>
                <w:sz w:val="20"/>
                <w:szCs w:val="20"/>
                <w:lang w:eastAsia="en-NZ"/>
              </w:rPr>
              <w:t xml:space="preserve">The Correlation Between School Attendance and Student Achievement </w:t>
            </w:r>
          </w:p>
          <w:p w:rsidR="0077327F" w:rsidRDefault="0077327F" w:rsidP="0081553D">
            <w:pPr>
              <w:spacing w:after="0" w:line="240" w:lineRule="auto"/>
              <w:rPr>
                <w:rFonts w:ascii="Calibri" w:eastAsia="Times New Roman" w:hAnsi="Calibri" w:cs="Calibri"/>
                <w:color w:val="000000"/>
                <w:sz w:val="20"/>
                <w:szCs w:val="20"/>
                <w:lang w:eastAsia="en-NZ"/>
              </w:rPr>
            </w:pPr>
            <w:r w:rsidRPr="00CE5B34">
              <w:rPr>
                <w:rFonts w:ascii="Calibri" w:eastAsia="Times New Roman" w:hAnsi="Calibri" w:cs="Calibri"/>
                <w:color w:val="000000"/>
                <w:sz w:val="20"/>
                <w:szCs w:val="20"/>
                <w:lang w:eastAsia="en-NZ"/>
              </w:rPr>
              <w:t>Bruce Laws</w:t>
            </w:r>
            <w:r w:rsidR="00553512">
              <w:rPr>
                <w:rFonts w:ascii="Calibri" w:eastAsia="Times New Roman" w:hAnsi="Calibri" w:cs="Calibri"/>
                <w:color w:val="000000"/>
                <w:sz w:val="20"/>
                <w:szCs w:val="20"/>
                <w:lang w:eastAsia="en-NZ"/>
              </w:rPr>
              <w:t>.</w:t>
            </w:r>
          </w:p>
          <w:p w:rsidR="0077327F" w:rsidRPr="00CE5B34" w:rsidRDefault="00A43D35" w:rsidP="0081553D">
            <w:pPr>
              <w:spacing w:after="0" w:line="240" w:lineRule="auto"/>
              <w:rPr>
                <w:rFonts w:ascii="Calibri" w:eastAsia="Times New Roman" w:hAnsi="Calibri" w:cs="Calibri"/>
                <w:color w:val="000000"/>
                <w:sz w:val="20"/>
                <w:szCs w:val="20"/>
                <w:lang w:eastAsia="en-NZ"/>
              </w:rPr>
            </w:pPr>
            <w:hyperlink r:id="rId17" w:history="1">
              <w:r w:rsidR="0077327F" w:rsidRPr="00CE5B34">
                <w:rPr>
                  <w:rFonts w:ascii="Calibri" w:eastAsia="Times New Roman" w:hAnsi="Calibri" w:cs="Calibri"/>
                  <w:color w:val="0563C1"/>
                  <w:sz w:val="20"/>
                  <w:szCs w:val="20"/>
                  <w:u w:val="single"/>
                  <w:lang w:eastAsia="en-NZ"/>
                </w:rPr>
                <w:t>Available here</w:t>
              </w:r>
            </w:hyperlink>
          </w:p>
        </w:tc>
        <w:tc>
          <w:tcPr>
            <w:tcW w:w="2110" w:type="dxa"/>
            <w:tcBorders>
              <w:top w:val="single" w:sz="4" w:space="0" w:color="auto"/>
              <w:left w:val="single" w:sz="4" w:space="0" w:color="auto"/>
              <w:bottom w:val="nil"/>
              <w:right w:val="single" w:sz="4" w:space="0" w:color="auto"/>
            </w:tcBorders>
            <w:hideMark/>
          </w:tcPr>
          <w:p w:rsidR="0077327F" w:rsidRPr="00CE5B34" w:rsidRDefault="0077327F" w:rsidP="0081553D">
            <w:pPr>
              <w:spacing w:after="0" w:line="240" w:lineRule="auto"/>
              <w:rPr>
                <w:rFonts w:ascii="Calibri" w:eastAsia="Times New Roman" w:hAnsi="Calibri" w:cs="Calibri"/>
                <w:color w:val="000000"/>
                <w:sz w:val="20"/>
                <w:szCs w:val="20"/>
                <w:lang w:eastAsia="en-NZ"/>
              </w:rPr>
            </w:pPr>
            <w:r w:rsidRPr="00CE5B34">
              <w:rPr>
                <w:rFonts w:ascii="Calibri" w:eastAsia="Times New Roman" w:hAnsi="Calibri" w:cs="Calibri"/>
                <w:color w:val="000000"/>
                <w:sz w:val="20"/>
                <w:szCs w:val="20"/>
                <w:lang w:eastAsia="en-NZ"/>
              </w:rPr>
              <w:t>Attendance and educational outcomes</w:t>
            </w:r>
          </w:p>
        </w:tc>
        <w:tc>
          <w:tcPr>
            <w:tcW w:w="4320" w:type="dxa"/>
            <w:vMerge w:val="restart"/>
            <w:tcBorders>
              <w:top w:val="single" w:sz="4" w:space="0" w:color="auto"/>
              <w:left w:val="single" w:sz="4" w:space="0" w:color="auto"/>
              <w:bottom w:val="nil"/>
              <w:right w:val="single" w:sz="4" w:space="0" w:color="auto"/>
            </w:tcBorders>
            <w:hideMark/>
          </w:tcPr>
          <w:p w:rsidR="0077327F" w:rsidRPr="00CE5B34" w:rsidRDefault="0077327F" w:rsidP="0081553D">
            <w:pPr>
              <w:spacing w:after="0" w:line="240" w:lineRule="auto"/>
              <w:rPr>
                <w:rFonts w:ascii="Calibri" w:eastAsia="Times New Roman" w:hAnsi="Calibri" w:cs="Calibri"/>
                <w:color w:val="000000"/>
                <w:sz w:val="20"/>
                <w:szCs w:val="20"/>
                <w:lang w:eastAsia="en-NZ"/>
              </w:rPr>
            </w:pPr>
            <w:r w:rsidRPr="00CE5B34">
              <w:rPr>
                <w:rFonts w:ascii="Calibri" w:eastAsia="Times New Roman" w:hAnsi="Calibri" w:cs="Calibri"/>
                <w:color w:val="000000"/>
                <w:sz w:val="20"/>
                <w:szCs w:val="20"/>
                <w:lang w:eastAsia="en-NZ"/>
              </w:rPr>
              <w:t>Review of articles pertaining to correlation between attendance and achievement, and procedures used in NZ schools to improve attendance. Author also uses data from his own and other schools (3 schools in total over two years so very small) that show a correlation between attendance rates and the number of students who are involved in school support programmes that are put in place to help support and raise student achievement.</w:t>
            </w:r>
          </w:p>
        </w:tc>
        <w:tc>
          <w:tcPr>
            <w:tcW w:w="4470" w:type="dxa"/>
            <w:vMerge w:val="restart"/>
            <w:tcBorders>
              <w:top w:val="single" w:sz="4" w:space="0" w:color="auto"/>
              <w:left w:val="nil"/>
              <w:bottom w:val="nil"/>
              <w:right w:val="single" w:sz="4" w:space="0" w:color="auto"/>
            </w:tcBorders>
            <w:hideMark/>
          </w:tcPr>
          <w:p w:rsidR="0077327F" w:rsidRPr="00CE5B34" w:rsidRDefault="0077327F" w:rsidP="0081553D">
            <w:pPr>
              <w:spacing w:after="0" w:line="240" w:lineRule="auto"/>
              <w:rPr>
                <w:rFonts w:ascii="Calibri" w:eastAsia="Times New Roman" w:hAnsi="Calibri" w:cs="Calibri"/>
                <w:color w:val="000000"/>
                <w:sz w:val="20"/>
                <w:szCs w:val="20"/>
                <w:lang w:eastAsia="en-NZ"/>
              </w:rPr>
            </w:pPr>
            <w:r w:rsidRPr="00CE5B34">
              <w:rPr>
                <w:rFonts w:ascii="Calibri" w:eastAsia="Times New Roman" w:hAnsi="Calibri" w:cs="Calibri"/>
                <w:color w:val="000000"/>
                <w:sz w:val="20"/>
                <w:szCs w:val="20"/>
                <w:lang w:eastAsia="en-NZ"/>
              </w:rPr>
              <w:t xml:space="preserve">Considers two overseas studies that indicate school absence undermines student achievement. This gap gets larger over time, and it is also suggested that "even a child with good attendance suffers a small loss academically when the school has a high absentee rate, suggesting that excessive absences across the board can undermine the quality of instruction for all students." There is no indication what other factors might be at work here. It confirms that student attendance is a statistically significant predictor of performance. The second study showed that at all levels there was a correlation between the attendance rate and the performance rate of students. The 9th Grade results showed the greatest variance indicating that poor attendance can widen the achievement gap as student’s progress through the school. </w:t>
            </w:r>
          </w:p>
        </w:tc>
      </w:tr>
      <w:tr w:rsidR="0077327F" w:rsidRPr="00CE5B34" w:rsidTr="0081553D">
        <w:trPr>
          <w:trHeight w:val="300"/>
        </w:trPr>
        <w:tc>
          <w:tcPr>
            <w:tcW w:w="666" w:type="dxa"/>
            <w:tcBorders>
              <w:top w:val="nil"/>
              <w:left w:val="single" w:sz="4" w:space="0" w:color="auto"/>
              <w:bottom w:val="nil"/>
              <w:right w:val="single" w:sz="4" w:space="0" w:color="auto"/>
            </w:tcBorders>
            <w:noWrap/>
            <w:vAlign w:val="bottom"/>
            <w:hideMark/>
          </w:tcPr>
          <w:p w:rsidR="0077327F" w:rsidRPr="00CE5B34" w:rsidRDefault="0077327F" w:rsidP="0081553D">
            <w:pPr>
              <w:spacing w:after="0" w:line="240" w:lineRule="auto"/>
              <w:rPr>
                <w:rFonts w:ascii="Calibri" w:eastAsia="Times New Roman" w:hAnsi="Calibri" w:cs="Calibri"/>
                <w:color w:val="000000"/>
                <w:sz w:val="20"/>
                <w:szCs w:val="20"/>
                <w:lang w:eastAsia="en-NZ"/>
              </w:rPr>
            </w:pPr>
          </w:p>
        </w:tc>
        <w:tc>
          <w:tcPr>
            <w:tcW w:w="2980" w:type="dxa"/>
            <w:tcBorders>
              <w:top w:val="nil"/>
              <w:left w:val="single" w:sz="4" w:space="0" w:color="auto"/>
              <w:bottom w:val="nil"/>
              <w:right w:val="single" w:sz="4" w:space="0" w:color="auto"/>
            </w:tcBorders>
            <w:noWrap/>
            <w:vAlign w:val="bottom"/>
            <w:hideMark/>
          </w:tcPr>
          <w:p w:rsidR="0077327F" w:rsidRPr="00CE5B34" w:rsidRDefault="0077327F" w:rsidP="0081553D">
            <w:pPr>
              <w:spacing w:after="0" w:line="240" w:lineRule="auto"/>
              <w:rPr>
                <w:rFonts w:ascii="Calibri" w:eastAsia="Times New Roman" w:hAnsi="Calibri" w:cs="Calibri"/>
                <w:color w:val="000000"/>
                <w:sz w:val="20"/>
                <w:szCs w:val="20"/>
                <w:lang w:eastAsia="en-NZ"/>
              </w:rPr>
            </w:pPr>
          </w:p>
        </w:tc>
        <w:tc>
          <w:tcPr>
            <w:tcW w:w="2110" w:type="dxa"/>
            <w:tcBorders>
              <w:top w:val="nil"/>
              <w:left w:val="single" w:sz="4" w:space="0" w:color="auto"/>
              <w:bottom w:val="nil"/>
              <w:right w:val="single" w:sz="4" w:space="0" w:color="auto"/>
            </w:tcBorders>
            <w:noWrap/>
            <w:vAlign w:val="bottom"/>
            <w:hideMark/>
          </w:tcPr>
          <w:p w:rsidR="0077327F" w:rsidRPr="00CE5B34" w:rsidRDefault="0077327F" w:rsidP="0081553D">
            <w:pPr>
              <w:spacing w:after="0" w:line="240" w:lineRule="auto"/>
              <w:rPr>
                <w:rFonts w:ascii="Calibri" w:eastAsia="Times New Roman" w:hAnsi="Calibri" w:cs="Calibri"/>
                <w:color w:val="000000"/>
                <w:sz w:val="20"/>
                <w:szCs w:val="20"/>
                <w:lang w:eastAsia="en-NZ"/>
              </w:rPr>
            </w:pPr>
          </w:p>
        </w:tc>
        <w:tc>
          <w:tcPr>
            <w:tcW w:w="4320" w:type="dxa"/>
            <w:vMerge/>
            <w:tcBorders>
              <w:top w:val="single" w:sz="4" w:space="0" w:color="auto"/>
              <w:left w:val="single" w:sz="4" w:space="0" w:color="auto"/>
              <w:bottom w:val="nil"/>
              <w:right w:val="single" w:sz="4" w:space="0" w:color="auto"/>
            </w:tcBorders>
            <w:vAlign w:val="center"/>
            <w:hideMark/>
          </w:tcPr>
          <w:p w:rsidR="0077327F" w:rsidRPr="00CE5B34" w:rsidRDefault="0077327F" w:rsidP="0081553D">
            <w:pPr>
              <w:spacing w:after="0" w:line="240" w:lineRule="auto"/>
              <w:rPr>
                <w:rFonts w:ascii="Calibri" w:eastAsia="Times New Roman" w:hAnsi="Calibri" w:cs="Calibri"/>
                <w:color w:val="000000"/>
                <w:sz w:val="20"/>
                <w:szCs w:val="20"/>
                <w:lang w:eastAsia="en-NZ"/>
              </w:rPr>
            </w:pPr>
          </w:p>
        </w:tc>
        <w:tc>
          <w:tcPr>
            <w:tcW w:w="4470" w:type="dxa"/>
            <w:vMerge/>
            <w:tcBorders>
              <w:top w:val="single" w:sz="4" w:space="0" w:color="auto"/>
              <w:left w:val="nil"/>
              <w:bottom w:val="nil"/>
              <w:right w:val="single" w:sz="4" w:space="0" w:color="auto"/>
            </w:tcBorders>
            <w:vAlign w:val="center"/>
            <w:hideMark/>
          </w:tcPr>
          <w:p w:rsidR="0077327F" w:rsidRPr="00CE5B34" w:rsidRDefault="0077327F" w:rsidP="0081553D">
            <w:pPr>
              <w:spacing w:after="0" w:line="240" w:lineRule="auto"/>
              <w:rPr>
                <w:rFonts w:ascii="Calibri" w:eastAsia="Times New Roman" w:hAnsi="Calibri" w:cs="Calibri"/>
                <w:color w:val="000000"/>
                <w:sz w:val="20"/>
                <w:szCs w:val="20"/>
                <w:lang w:eastAsia="en-NZ"/>
              </w:rPr>
            </w:pPr>
          </w:p>
        </w:tc>
      </w:tr>
      <w:tr w:rsidR="0077327F" w:rsidRPr="00CE5B34" w:rsidTr="0081553D">
        <w:trPr>
          <w:trHeight w:val="300"/>
        </w:trPr>
        <w:tc>
          <w:tcPr>
            <w:tcW w:w="666" w:type="dxa"/>
            <w:tcBorders>
              <w:top w:val="nil"/>
              <w:left w:val="single" w:sz="4" w:space="0" w:color="auto"/>
              <w:bottom w:val="single" w:sz="4" w:space="0" w:color="auto"/>
              <w:right w:val="single" w:sz="4" w:space="0" w:color="auto"/>
            </w:tcBorders>
            <w:noWrap/>
            <w:vAlign w:val="bottom"/>
            <w:hideMark/>
          </w:tcPr>
          <w:p w:rsidR="0077327F" w:rsidRPr="00CE5B34" w:rsidRDefault="0077327F" w:rsidP="0081553D">
            <w:pPr>
              <w:spacing w:after="0" w:line="240" w:lineRule="auto"/>
              <w:rPr>
                <w:rFonts w:ascii="Calibri" w:eastAsia="Times New Roman" w:hAnsi="Calibri" w:cs="Calibri"/>
                <w:sz w:val="20"/>
                <w:szCs w:val="20"/>
                <w:lang w:eastAsia="en-NZ"/>
              </w:rPr>
            </w:pPr>
          </w:p>
        </w:tc>
        <w:tc>
          <w:tcPr>
            <w:tcW w:w="2980" w:type="dxa"/>
            <w:tcBorders>
              <w:top w:val="nil"/>
              <w:left w:val="single" w:sz="4" w:space="0" w:color="auto"/>
              <w:bottom w:val="single" w:sz="4" w:space="0" w:color="auto"/>
              <w:right w:val="single" w:sz="4" w:space="0" w:color="auto"/>
            </w:tcBorders>
            <w:noWrap/>
            <w:vAlign w:val="bottom"/>
            <w:hideMark/>
          </w:tcPr>
          <w:p w:rsidR="0077327F" w:rsidRPr="00CE5B34" w:rsidRDefault="0077327F" w:rsidP="0081553D">
            <w:pPr>
              <w:spacing w:after="0" w:line="240" w:lineRule="auto"/>
              <w:rPr>
                <w:rFonts w:ascii="Calibri" w:eastAsia="Times New Roman" w:hAnsi="Calibri" w:cs="Calibri"/>
                <w:color w:val="0563C1"/>
                <w:sz w:val="20"/>
                <w:szCs w:val="20"/>
                <w:u w:val="single"/>
                <w:lang w:eastAsia="en-NZ"/>
              </w:rPr>
            </w:pPr>
          </w:p>
        </w:tc>
        <w:tc>
          <w:tcPr>
            <w:tcW w:w="2110" w:type="dxa"/>
            <w:tcBorders>
              <w:top w:val="nil"/>
              <w:left w:val="single" w:sz="4" w:space="0" w:color="auto"/>
              <w:bottom w:val="single" w:sz="4" w:space="0" w:color="auto"/>
              <w:right w:val="single" w:sz="4" w:space="0" w:color="auto"/>
            </w:tcBorders>
            <w:noWrap/>
            <w:vAlign w:val="bottom"/>
            <w:hideMark/>
          </w:tcPr>
          <w:p w:rsidR="0077327F" w:rsidRPr="00CE5B34" w:rsidRDefault="0077327F" w:rsidP="0081553D">
            <w:pPr>
              <w:spacing w:after="0" w:line="240" w:lineRule="auto"/>
              <w:rPr>
                <w:rFonts w:ascii="Calibri" w:eastAsia="Times New Roman" w:hAnsi="Calibri" w:cs="Calibri"/>
                <w:color w:val="0563C1"/>
                <w:sz w:val="20"/>
                <w:szCs w:val="20"/>
                <w:u w:val="single"/>
                <w:lang w:eastAsia="en-NZ"/>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77327F" w:rsidRPr="00CE5B34" w:rsidRDefault="0077327F" w:rsidP="0081553D">
            <w:pPr>
              <w:spacing w:after="0" w:line="240" w:lineRule="auto"/>
              <w:rPr>
                <w:rFonts w:ascii="Calibri" w:eastAsia="Times New Roman" w:hAnsi="Calibri" w:cs="Calibri"/>
                <w:color w:val="000000"/>
                <w:sz w:val="20"/>
                <w:szCs w:val="20"/>
                <w:lang w:eastAsia="en-NZ"/>
              </w:rPr>
            </w:pPr>
          </w:p>
        </w:tc>
        <w:tc>
          <w:tcPr>
            <w:tcW w:w="4470" w:type="dxa"/>
            <w:vMerge/>
            <w:tcBorders>
              <w:top w:val="single" w:sz="4" w:space="0" w:color="auto"/>
              <w:left w:val="nil"/>
              <w:bottom w:val="single" w:sz="4" w:space="0" w:color="auto"/>
              <w:right w:val="single" w:sz="4" w:space="0" w:color="auto"/>
            </w:tcBorders>
            <w:vAlign w:val="center"/>
            <w:hideMark/>
          </w:tcPr>
          <w:p w:rsidR="0077327F" w:rsidRPr="00CE5B34" w:rsidRDefault="0077327F" w:rsidP="0081553D">
            <w:pPr>
              <w:spacing w:after="0" w:line="240" w:lineRule="auto"/>
              <w:rPr>
                <w:rFonts w:ascii="Calibri" w:eastAsia="Times New Roman" w:hAnsi="Calibri" w:cs="Calibri"/>
                <w:color w:val="000000"/>
                <w:sz w:val="20"/>
                <w:szCs w:val="20"/>
                <w:lang w:eastAsia="en-NZ"/>
              </w:rPr>
            </w:pPr>
          </w:p>
        </w:tc>
      </w:tr>
      <w:tr w:rsidR="0077327F" w:rsidRPr="00CE5B34" w:rsidTr="0081553D">
        <w:trPr>
          <w:trHeight w:val="3420"/>
        </w:trPr>
        <w:tc>
          <w:tcPr>
            <w:tcW w:w="666" w:type="dxa"/>
            <w:tcBorders>
              <w:top w:val="single" w:sz="4" w:space="0" w:color="auto"/>
              <w:left w:val="single" w:sz="4" w:space="0" w:color="auto"/>
              <w:bottom w:val="single" w:sz="4" w:space="0" w:color="auto"/>
              <w:right w:val="single" w:sz="4" w:space="0" w:color="auto"/>
            </w:tcBorders>
            <w:noWrap/>
            <w:hideMark/>
          </w:tcPr>
          <w:p w:rsidR="0077327F" w:rsidRPr="00CE5B34" w:rsidRDefault="0077327F" w:rsidP="0081553D">
            <w:pPr>
              <w:spacing w:after="0" w:line="240" w:lineRule="auto"/>
              <w:jc w:val="right"/>
              <w:rPr>
                <w:rFonts w:ascii="Calibri" w:eastAsia="Times New Roman" w:hAnsi="Calibri" w:cs="Calibri"/>
                <w:b/>
                <w:bCs/>
                <w:color w:val="000000"/>
                <w:sz w:val="20"/>
                <w:szCs w:val="20"/>
                <w:lang w:eastAsia="en-NZ"/>
              </w:rPr>
            </w:pPr>
            <w:r w:rsidRPr="00CE5B34">
              <w:rPr>
                <w:rFonts w:ascii="Calibri" w:eastAsia="Times New Roman" w:hAnsi="Calibri" w:cs="Calibri"/>
                <w:b/>
                <w:bCs/>
                <w:color w:val="000000"/>
                <w:sz w:val="20"/>
                <w:szCs w:val="20"/>
                <w:lang w:eastAsia="en-NZ"/>
              </w:rPr>
              <w:t>2013</w:t>
            </w:r>
          </w:p>
        </w:tc>
        <w:tc>
          <w:tcPr>
            <w:tcW w:w="2980" w:type="dxa"/>
            <w:tcBorders>
              <w:top w:val="single" w:sz="4" w:space="0" w:color="auto"/>
              <w:left w:val="single" w:sz="4" w:space="0" w:color="auto"/>
              <w:bottom w:val="single" w:sz="4" w:space="0" w:color="auto"/>
              <w:right w:val="single" w:sz="4" w:space="0" w:color="auto"/>
            </w:tcBorders>
            <w:hideMark/>
          </w:tcPr>
          <w:p w:rsidR="0077327F" w:rsidRDefault="0077327F" w:rsidP="0081553D">
            <w:pPr>
              <w:spacing w:after="0" w:line="240" w:lineRule="auto"/>
              <w:rPr>
                <w:rFonts w:ascii="Calibri" w:eastAsia="Times New Roman" w:hAnsi="Calibri" w:cs="Calibri"/>
                <w:color w:val="000000"/>
                <w:sz w:val="20"/>
                <w:szCs w:val="20"/>
                <w:lang w:eastAsia="en-NZ"/>
              </w:rPr>
            </w:pPr>
            <w:r w:rsidRPr="00CE5B34">
              <w:rPr>
                <w:rFonts w:ascii="Calibri" w:eastAsia="Times New Roman" w:hAnsi="Calibri" w:cs="Calibri"/>
                <w:color w:val="000000"/>
                <w:sz w:val="20"/>
                <w:szCs w:val="20"/>
                <w:lang w:eastAsia="en-NZ"/>
              </w:rPr>
              <w:t xml:space="preserve">The Negative Effects of Student Mobility: Mobility as a Predictor, Mobility as a Mediator </w:t>
            </w:r>
          </w:p>
          <w:p w:rsidR="0077327F" w:rsidRDefault="0077327F" w:rsidP="0081553D">
            <w:pPr>
              <w:spacing w:after="0" w:line="240" w:lineRule="auto"/>
              <w:rPr>
                <w:rFonts w:ascii="Calibri" w:eastAsia="Times New Roman" w:hAnsi="Calibri" w:cs="Calibri"/>
                <w:color w:val="000000"/>
                <w:sz w:val="20"/>
                <w:szCs w:val="20"/>
                <w:lang w:eastAsia="en-NZ"/>
              </w:rPr>
            </w:pPr>
            <w:r w:rsidRPr="00CE5B34">
              <w:rPr>
                <w:rFonts w:ascii="Calibri" w:eastAsia="Times New Roman" w:hAnsi="Calibri" w:cs="Calibri"/>
                <w:color w:val="000000"/>
                <w:sz w:val="20"/>
                <w:szCs w:val="20"/>
                <w:lang w:eastAsia="en-NZ"/>
              </w:rPr>
              <w:t>Jimmy Scherrer</w:t>
            </w:r>
            <w:r w:rsidR="00553512">
              <w:rPr>
                <w:rFonts w:ascii="Calibri" w:eastAsia="Times New Roman" w:hAnsi="Calibri" w:cs="Calibri"/>
                <w:color w:val="000000"/>
                <w:sz w:val="20"/>
                <w:szCs w:val="20"/>
                <w:lang w:eastAsia="en-NZ"/>
              </w:rPr>
              <w:t>.</w:t>
            </w:r>
          </w:p>
          <w:p w:rsidR="0077327F" w:rsidRPr="00CE5B34" w:rsidRDefault="00A43D35" w:rsidP="0081553D">
            <w:pPr>
              <w:spacing w:after="0" w:line="240" w:lineRule="auto"/>
              <w:rPr>
                <w:rFonts w:ascii="Calibri" w:eastAsia="Times New Roman" w:hAnsi="Calibri" w:cs="Calibri"/>
                <w:color w:val="000000"/>
                <w:sz w:val="20"/>
                <w:szCs w:val="20"/>
                <w:lang w:eastAsia="en-NZ"/>
              </w:rPr>
            </w:pPr>
            <w:hyperlink r:id="rId18" w:history="1">
              <w:r w:rsidR="0077327F" w:rsidRPr="00CE5B34">
                <w:rPr>
                  <w:rFonts w:ascii="Calibri" w:eastAsia="Times New Roman" w:hAnsi="Calibri" w:cs="Calibri"/>
                  <w:color w:val="0563C1"/>
                  <w:sz w:val="20"/>
                  <w:szCs w:val="20"/>
                  <w:u w:val="single"/>
                  <w:lang w:eastAsia="en-NZ"/>
                </w:rPr>
                <w:t xml:space="preserve">Available here </w:t>
              </w:r>
            </w:hyperlink>
          </w:p>
        </w:tc>
        <w:tc>
          <w:tcPr>
            <w:tcW w:w="2110" w:type="dxa"/>
            <w:tcBorders>
              <w:top w:val="single" w:sz="4" w:space="0" w:color="auto"/>
              <w:left w:val="single" w:sz="4" w:space="0" w:color="auto"/>
              <w:bottom w:val="single" w:sz="4" w:space="0" w:color="auto"/>
              <w:right w:val="single" w:sz="4" w:space="0" w:color="auto"/>
            </w:tcBorders>
            <w:hideMark/>
          </w:tcPr>
          <w:p w:rsidR="0077327F" w:rsidRPr="00CE5B34" w:rsidRDefault="0077327F" w:rsidP="0081553D">
            <w:pPr>
              <w:spacing w:after="0" w:line="240" w:lineRule="auto"/>
              <w:rPr>
                <w:rFonts w:ascii="Calibri" w:eastAsia="Times New Roman" w:hAnsi="Calibri" w:cs="Calibri"/>
                <w:color w:val="000000"/>
                <w:sz w:val="20"/>
                <w:szCs w:val="20"/>
                <w:lang w:eastAsia="en-NZ"/>
              </w:rPr>
            </w:pPr>
            <w:r w:rsidRPr="00CE5B34">
              <w:rPr>
                <w:rFonts w:ascii="Calibri" w:eastAsia="Times New Roman" w:hAnsi="Calibri" w:cs="Calibri"/>
                <w:color w:val="000000"/>
                <w:sz w:val="20"/>
                <w:szCs w:val="20"/>
                <w:lang w:eastAsia="en-NZ"/>
              </w:rPr>
              <w:t>This study is driven by four concerns pertaining to student mobility: school connectedness, social capital, unintended consequences of accountability systems (ie By not including mobile students in accountability measures, teachers have the perverse incentive to give a disproportionate amount of energy to</w:t>
            </w:r>
            <w:r w:rsidRPr="00CE5B34">
              <w:rPr>
                <w:rFonts w:ascii="Calibri" w:eastAsia="Times New Roman" w:hAnsi="Calibri" w:cs="Calibri"/>
                <w:color w:val="000000"/>
                <w:sz w:val="20"/>
                <w:szCs w:val="20"/>
                <w:lang w:eastAsia="en-NZ"/>
              </w:rPr>
              <w:br/>
              <w:t>the students who will "count"), and peer group externalities.</w:t>
            </w:r>
          </w:p>
        </w:tc>
        <w:tc>
          <w:tcPr>
            <w:tcW w:w="4320" w:type="dxa"/>
            <w:tcBorders>
              <w:top w:val="single" w:sz="4" w:space="0" w:color="auto"/>
              <w:left w:val="single" w:sz="4" w:space="0" w:color="auto"/>
              <w:bottom w:val="single" w:sz="4" w:space="0" w:color="auto"/>
              <w:right w:val="single" w:sz="4" w:space="0" w:color="auto"/>
            </w:tcBorders>
            <w:hideMark/>
          </w:tcPr>
          <w:p w:rsidR="0077327F" w:rsidRPr="00CE5B34" w:rsidRDefault="0077327F" w:rsidP="0081553D">
            <w:pPr>
              <w:spacing w:after="0" w:line="240" w:lineRule="auto"/>
              <w:rPr>
                <w:rFonts w:ascii="Calibri" w:eastAsia="Times New Roman" w:hAnsi="Calibri" w:cs="Calibri"/>
                <w:color w:val="000000"/>
                <w:sz w:val="20"/>
                <w:szCs w:val="20"/>
                <w:lang w:eastAsia="en-NZ"/>
              </w:rPr>
            </w:pPr>
            <w:r w:rsidRPr="00CE5B34">
              <w:rPr>
                <w:rFonts w:ascii="Calibri" w:eastAsia="Times New Roman" w:hAnsi="Calibri" w:cs="Calibri"/>
                <w:color w:val="000000"/>
                <w:sz w:val="20"/>
                <w:szCs w:val="20"/>
                <w:lang w:eastAsia="en-NZ"/>
              </w:rPr>
              <w:t>Two analyses are discussed. The first (n=7,600 students) uses a multi-level analysis to investigate the relationship between student mobility and reading achievement of students. The second (aggregated data on 21 elementary schools from a medium-sized urban district located in the northeast of the United States) analysis uses aggregate school-level data to investigate if student mobility mediates the relationship between a school's socioeconomic status and its academic achievement levels.</w:t>
            </w:r>
          </w:p>
        </w:tc>
        <w:tc>
          <w:tcPr>
            <w:tcW w:w="4470" w:type="dxa"/>
            <w:tcBorders>
              <w:top w:val="single" w:sz="4" w:space="0" w:color="auto"/>
              <w:left w:val="nil"/>
              <w:bottom w:val="single" w:sz="4" w:space="0" w:color="auto"/>
              <w:right w:val="single" w:sz="4" w:space="0" w:color="auto"/>
            </w:tcBorders>
            <w:hideMark/>
          </w:tcPr>
          <w:p w:rsidR="0077327F" w:rsidRPr="00553512" w:rsidRDefault="0077327F" w:rsidP="0081553D">
            <w:pPr>
              <w:spacing w:after="0" w:line="240" w:lineRule="auto"/>
              <w:rPr>
                <w:rFonts w:ascii="Calibri" w:eastAsia="Times New Roman" w:hAnsi="Calibri" w:cs="Calibri"/>
                <w:color w:val="000000"/>
                <w:sz w:val="20"/>
                <w:szCs w:val="20"/>
                <w:lang w:eastAsia="en-NZ"/>
              </w:rPr>
            </w:pPr>
            <w:r w:rsidRPr="00553512">
              <w:rPr>
                <w:rFonts w:ascii="Calibri" w:eastAsia="Times New Roman" w:hAnsi="Calibri" w:cs="Calibri"/>
                <w:color w:val="000000"/>
                <w:sz w:val="20"/>
                <w:szCs w:val="20"/>
                <w:lang w:eastAsia="en-NZ"/>
              </w:rPr>
              <w:t>Study 1: 75 percent of the true between-school variance in reading achievement is accounted for by Mean SES. In addition, mobility is negatively and statistically related to school reading achievement. We can expect, on average, mobile students' reading achievement to be 2–3 points lower than that of their stable peers. The negative effect of mobility persists even as a school's mean SES increases. Study 2: Indicated that SES indeed acts as a mediator in the relationship between a school's SES and its academic achievement. These results suggest that certain circumstances associated with being of low-SES might cause a school's students to be mobile, and that a school's achievement is dependent upon the percentage of its students who are stable.</w:t>
            </w:r>
            <w:r w:rsidRPr="00553512">
              <w:rPr>
                <w:rFonts w:ascii="Calibri" w:eastAsia="Times New Roman" w:hAnsi="Calibri" w:cs="Calibri"/>
                <w:color w:val="000000"/>
                <w:sz w:val="20"/>
                <w:szCs w:val="20"/>
                <w:lang w:eastAsia="en-NZ"/>
              </w:rPr>
              <w:br/>
            </w:r>
            <w:r w:rsidRPr="00553512">
              <w:rPr>
                <w:rFonts w:ascii="Calibri" w:eastAsia="Times New Roman" w:hAnsi="Calibri" w:cs="Calibri"/>
                <w:bCs/>
                <w:color w:val="000000"/>
                <w:sz w:val="20"/>
                <w:szCs w:val="20"/>
                <w:lang w:eastAsia="en-NZ"/>
              </w:rPr>
              <w:t xml:space="preserve">The finding that the negative effect of mobility persists despite </w:t>
            </w:r>
            <w:r w:rsidRPr="00553512">
              <w:rPr>
                <w:rFonts w:ascii="Calibri" w:eastAsia="Times New Roman" w:hAnsi="Calibri" w:cs="Calibri"/>
                <w:bCs/>
                <w:color w:val="000000"/>
                <w:sz w:val="20"/>
                <w:szCs w:val="20"/>
                <w:lang w:eastAsia="en-NZ"/>
              </w:rPr>
              <w:lastRenderedPageBreak/>
              <w:t>increased SES is consistent with Hancock et al, 2017 (below).</w:t>
            </w:r>
          </w:p>
        </w:tc>
      </w:tr>
      <w:tr w:rsidR="0077327F" w:rsidRPr="00CE5B34" w:rsidTr="0081553D">
        <w:trPr>
          <w:trHeight w:val="2430"/>
        </w:trPr>
        <w:tc>
          <w:tcPr>
            <w:tcW w:w="666" w:type="dxa"/>
            <w:tcBorders>
              <w:top w:val="single" w:sz="4" w:space="0" w:color="auto"/>
              <w:left w:val="single" w:sz="4" w:space="0" w:color="auto"/>
              <w:bottom w:val="single" w:sz="4" w:space="0" w:color="auto"/>
              <w:right w:val="single" w:sz="4" w:space="0" w:color="auto"/>
            </w:tcBorders>
            <w:noWrap/>
            <w:hideMark/>
          </w:tcPr>
          <w:p w:rsidR="0077327F" w:rsidRPr="00CE5B34" w:rsidRDefault="0077327F" w:rsidP="0081553D">
            <w:pPr>
              <w:spacing w:after="0" w:line="240" w:lineRule="auto"/>
              <w:jc w:val="right"/>
              <w:rPr>
                <w:rFonts w:ascii="Calibri" w:eastAsia="Times New Roman" w:hAnsi="Calibri" w:cs="Calibri"/>
                <w:b/>
                <w:bCs/>
                <w:color w:val="000000"/>
                <w:sz w:val="20"/>
                <w:szCs w:val="20"/>
                <w:lang w:eastAsia="en-NZ"/>
              </w:rPr>
            </w:pPr>
            <w:r w:rsidRPr="00CE5B34">
              <w:rPr>
                <w:rFonts w:ascii="Calibri" w:eastAsia="Times New Roman" w:hAnsi="Calibri" w:cs="Calibri"/>
                <w:b/>
                <w:bCs/>
                <w:color w:val="000000"/>
                <w:sz w:val="20"/>
                <w:szCs w:val="20"/>
                <w:lang w:eastAsia="en-NZ"/>
              </w:rPr>
              <w:lastRenderedPageBreak/>
              <w:t>2013</w:t>
            </w:r>
          </w:p>
        </w:tc>
        <w:tc>
          <w:tcPr>
            <w:tcW w:w="2980" w:type="dxa"/>
            <w:tcBorders>
              <w:top w:val="single" w:sz="4" w:space="0" w:color="auto"/>
              <w:left w:val="single" w:sz="4" w:space="0" w:color="auto"/>
              <w:bottom w:val="single" w:sz="4" w:space="0" w:color="auto"/>
              <w:right w:val="single" w:sz="4" w:space="0" w:color="auto"/>
            </w:tcBorders>
            <w:hideMark/>
          </w:tcPr>
          <w:p w:rsidR="0077327F" w:rsidRDefault="0077327F" w:rsidP="0081553D">
            <w:pPr>
              <w:spacing w:after="0" w:line="240" w:lineRule="auto"/>
              <w:rPr>
                <w:rFonts w:ascii="Calibri" w:eastAsia="Times New Roman" w:hAnsi="Calibri" w:cs="Calibri"/>
                <w:color w:val="000000"/>
                <w:sz w:val="20"/>
                <w:szCs w:val="20"/>
                <w:lang w:eastAsia="en-NZ"/>
              </w:rPr>
            </w:pPr>
            <w:r w:rsidRPr="00CE5B34">
              <w:rPr>
                <w:rFonts w:ascii="Calibri" w:eastAsia="Times New Roman" w:hAnsi="Calibri" w:cs="Calibri"/>
                <w:color w:val="000000"/>
                <w:sz w:val="20"/>
                <w:szCs w:val="20"/>
                <w:lang w:eastAsia="en-NZ"/>
              </w:rPr>
              <w:t>Do Children Who Move Home and School Frequently Have Poorer Educational Outcomes in Their Early Years at School? An Anonymised Cohort Study Hutchings et al</w:t>
            </w:r>
            <w:r w:rsidR="00553512">
              <w:rPr>
                <w:rFonts w:ascii="Calibri" w:eastAsia="Times New Roman" w:hAnsi="Calibri" w:cs="Calibri"/>
                <w:color w:val="000000"/>
                <w:sz w:val="20"/>
                <w:szCs w:val="20"/>
                <w:lang w:eastAsia="en-NZ"/>
              </w:rPr>
              <w:t>.</w:t>
            </w:r>
          </w:p>
          <w:p w:rsidR="0077327F" w:rsidRPr="00CE5B34" w:rsidRDefault="00A43D35" w:rsidP="0081553D">
            <w:pPr>
              <w:spacing w:after="0" w:line="240" w:lineRule="auto"/>
              <w:rPr>
                <w:rFonts w:ascii="Calibri" w:eastAsia="Times New Roman" w:hAnsi="Calibri" w:cs="Calibri"/>
                <w:color w:val="000000"/>
                <w:sz w:val="20"/>
                <w:szCs w:val="20"/>
                <w:lang w:eastAsia="en-NZ"/>
              </w:rPr>
            </w:pPr>
            <w:hyperlink r:id="rId19" w:history="1">
              <w:r w:rsidR="0077327F" w:rsidRPr="00CE5B34">
                <w:rPr>
                  <w:rFonts w:ascii="Calibri" w:eastAsia="Times New Roman" w:hAnsi="Calibri" w:cs="Calibri"/>
                  <w:color w:val="0563C1"/>
                  <w:sz w:val="20"/>
                  <w:szCs w:val="20"/>
                  <w:u w:val="single"/>
                  <w:lang w:eastAsia="en-NZ"/>
                </w:rPr>
                <w:t>Available here</w:t>
              </w:r>
            </w:hyperlink>
          </w:p>
        </w:tc>
        <w:tc>
          <w:tcPr>
            <w:tcW w:w="2110" w:type="dxa"/>
            <w:tcBorders>
              <w:top w:val="single" w:sz="4" w:space="0" w:color="auto"/>
              <w:left w:val="single" w:sz="4" w:space="0" w:color="auto"/>
              <w:bottom w:val="single" w:sz="4" w:space="0" w:color="auto"/>
              <w:right w:val="single" w:sz="4" w:space="0" w:color="auto"/>
            </w:tcBorders>
            <w:hideMark/>
          </w:tcPr>
          <w:p w:rsidR="0077327F" w:rsidRPr="00CE5B34" w:rsidRDefault="0077327F" w:rsidP="0081553D">
            <w:pPr>
              <w:spacing w:after="0" w:line="240" w:lineRule="auto"/>
              <w:rPr>
                <w:rFonts w:ascii="Calibri" w:eastAsia="Times New Roman" w:hAnsi="Calibri" w:cs="Calibri"/>
                <w:color w:val="000000"/>
                <w:sz w:val="20"/>
                <w:szCs w:val="20"/>
                <w:lang w:eastAsia="en-NZ"/>
              </w:rPr>
            </w:pPr>
            <w:r w:rsidRPr="00CE5B34">
              <w:rPr>
                <w:rFonts w:ascii="Calibri" w:eastAsia="Times New Roman" w:hAnsi="Calibri" w:cs="Calibri"/>
                <w:color w:val="000000"/>
                <w:sz w:val="20"/>
                <w:szCs w:val="20"/>
                <w:lang w:eastAsia="en-NZ"/>
              </w:rPr>
              <w:t>Frequent mobility and link to poor educational attainment</w:t>
            </w:r>
            <w:r w:rsidR="00553512">
              <w:rPr>
                <w:rFonts w:ascii="Calibri" w:eastAsia="Times New Roman" w:hAnsi="Calibri" w:cs="Calibri"/>
                <w:color w:val="000000"/>
                <w:sz w:val="20"/>
                <w:szCs w:val="20"/>
                <w:lang w:eastAsia="en-NZ"/>
              </w:rPr>
              <w:t>.</w:t>
            </w:r>
          </w:p>
        </w:tc>
        <w:tc>
          <w:tcPr>
            <w:tcW w:w="4320" w:type="dxa"/>
            <w:tcBorders>
              <w:top w:val="single" w:sz="4" w:space="0" w:color="auto"/>
              <w:left w:val="single" w:sz="4" w:space="0" w:color="auto"/>
              <w:bottom w:val="single" w:sz="4" w:space="0" w:color="auto"/>
              <w:right w:val="single" w:sz="4" w:space="0" w:color="auto"/>
            </w:tcBorders>
            <w:hideMark/>
          </w:tcPr>
          <w:p w:rsidR="0077327F" w:rsidRPr="00CE5B34" w:rsidRDefault="0077327F" w:rsidP="0081553D">
            <w:pPr>
              <w:spacing w:after="0" w:line="240" w:lineRule="auto"/>
              <w:rPr>
                <w:rFonts w:ascii="Calibri" w:eastAsia="Times New Roman" w:hAnsi="Calibri" w:cs="Calibri"/>
                <w:color w:val="000000"/>
                <w:sz w:val="20"/>
                <w:szCs w:val="20"/>
                <w:lang w:eastAsia="en-NZ"/>
              </w:rPr>
            </w:pPr>
            <w:r w:rsidRPr="00CE5B34">
              <w:rPr>
                <w:rFonts w:ascii="Calibri" w:eastAsia="Times New Roman" w:hAnsi="Calibri" w:cs="Calibri"/>
                <w:color w:val="000000"/>
                <w:sz w:val="20"/>
                <w:szCs w:val="20"/>
                <w:lang w:eastAsia="en-NZ"/>
              </w:rPr>
              <w:t>Cohort analysis of 121,422 children. Cohort was children who were born within Wales between 1 September 1995 and 31 August 2001 (6 academic school years) for whom</w:t>
            </w:r>
            <w:r w:rsidRPr="00CE5B34">
              <w:rPr>
                <w:rFonts w:ascii="Calibri" w:eastAsia="Times New Roman" w:hAnsi="Calibri" w:cs="Calibri"/>
                <w:color w:val="000000"/>
                <w:sz w:val="20"/>
                <w:szCs w:val="20"/>
                <w:lang w:eastAsia="en-NZ"/>
              </w:rPr>
              <w:br/>
              <w:t>educational data were available at age 6–7. Binary regression modeling was used to examine residential moves within the three time periods: 0 – ,1 year; 1 – ,4 years and 4 – ,6 years. School moves were examined from age 4 to age 6.</w:t>
            </w:r>
          </w:p>
        </w:tc>
        <w:tc>
          <w:tcPr>
            <w:tcW w:w="4470" w:type="dxa"/>
            <w:tcBorders>
              <w:top w:val="single" w:sz="4" w:space="0" w:color="auto"/>
              <w:left w:val="single" w:sz="4" w:space="0" w:color="auto"/>
              <w:bottom w:val="single" w:sz="4" w:space="0" w:color="auto"/>
              <w:right w:val="single" w:sz="4" w:space="0" w:color="auto"/>
            </w:tcBorders>
            <w:hideMark/>
          </w:tcPr>
          <w:p w:rsidR="0077327F" w:rsidRPr="00CE5B34" w:rsidRDefault="0077327F" w:rsidP="0081553D">
            <w:pPr>
              <w:spacing w:after="0" w:line="240" w:lineRule="auto"/>
              <w:rPr>
                <w:rFonts w:ascii="Calibri" w:eastAsia="Times New Roman" w:hAnsi="Calibri" w:cs="Calibri"/>
                <w:color w:val="000000"/>
                <w:sz w:val="20"/>
                <w:szCs w:val="20"/>
                <w:lang w:eastAsia="en-NZ"/>
              </w:rPr>
            </w:pPr>
            <w:r w:rsidRPr="00CE5B34">
              <w:rPr>
                <w:rFonts w:ascii="Calibri" w:eastAsia="Times New Roman" w:hAnsi="Calibri" w:cs="Calibri"/>
                <w:color w:val="000000"/>
                <w:sz w:val="20"/>
                <w:szCs w:val="20"/>
                <w:lang w:eastAsia="en-NZ"/>
              </w:rPr>
              <w:t>Children who moved home frequently were more likely not to achieve in formal assessments compared with children not moving. Adjusted odds ratios were significant for 3 or more moves within the time period 1–4 years and for any number of residential moves within the time period 4–6 years. There was a dose response relationship, with increased odds ratios with increased frequency of residential moves (2 or more moves at 4–,6 years, adjusted odds ratio 1.16 (1.03, 1.29). The most marked effect was seen with frequent school moves where 2 or more moves resulted in an adjusted odds ratio of 2.33 (1.82, 2.98).</w:t>
            </w:r>
          </w:p>
        </w:tc>
      </w:tr>
      <w:tr w:rsidR="0077327F" w:rsidRPr="00CE5B34" w:rsidTr="0081553D">
        <w:trPr>
          <w:trHeight w:val="3615"/>
        </w:trPr>
        <w:tc>
          <w:tcPr>
            <w:tcW w:w="666" w:type="dxa"/>
            <w:tcBorders>
              <w:top w:val="single" w:sz="4" w:space="0" w:color="auto"/>
              <w:left w:val="single" w:sz="4" w:space="0" w:color="auto"/>
              <w:bottom w:val="single" w:sz="4" w:space="0" w:color="auto"/>
              <w:right w:val="single" w:sz="4" w:space="0" w:color="auto"/>
            </w:tcBorders>
            <w:noWrap/>
            <w:hideMark/>
          </w:tcPr>
          <w:p w:rsidR="0077327F" w:rsidRPr="00CE5B34" w:rsidRDefault="0077327F" w:rsidP="0081553D">
            <w:pPr>
              <w:spacing w:after="0" w:line="240" w:lineRule="auto"/>
              <w:jc w:val="right"/>
              <w:rPr>
                <w:rFonts w:ascii="Calibri" w:eastAsia="Times New Roman" w:hAnsi="Calibri" w:cs="Calibri"/>
                <w:b/>
                <w:bCs/>
                <w:color w:val="000000"/>
                <w:sz w:val="20"/>
                <w:szCs w:val="20"/>
                <w:lang w:eastAsia="en-NZ"/>
              </w:rPr>
            </w:pPr>
            <w:r w:rsidRPr="00CE5B34">
              <w:rPr>
                <w:rFonts w:ascii="Calibri" w:eastAsia="Times New Roman" w:hAnsi="Calibri" w:cs="Calibri"/>
                <w:b/>
                <w:bCs/>
                <w:color w:val="000000"/>
                <w:sz w:val="20"/>
                <w:szCs w:val="20"/>
                <w:lang w:eastAsia="en-NZ"/>
              </w:rPr>
              <w:t>2014</w:t>
            </w:r>
          </w:p>
        </w:tc>
        <w:tc>
          <w:tcPr>
            <w:tcW w:w="2980" w:type="dxa"/>
            <w:tcBorders>
              <w:top w:val="single" w:sz="4" w:space="0" w:color="auto"/>
              <w:left w:val="single" w:sz="4" w:space="0" w:color="auto"/>
              <w:bottom w:val="single" w:sz="4" w:space="0" w:color="auto"/>
              <w:right w:val="single" w:sz="4" w:space="0" w:color="auto"/>
            </w:tcBorders>
            <w:hideMark/>
          </w:tcPr>
          <w:p w:rsidR="0077327F" w:rsidRDefault="0077327F" w:rsidP="0081553D">
            <w:pPr>
              <w:spacing w:after="0" w:line="240" w:lineRule="auto"/>
              <w:rPr>
                <w:rFonts w:ascii="Calibri" w:eastAsia="Times New Roman" w:hAnsi="Calibri" w:cs="Calibri"/>
                <w:color w:val="000000"/>
                <w:sz w:val="20"/>
                <w:szCs w:val="20"/>
                <w:lang w:eastAsia="en-NZ"/>
              </w:rPr>
            </w:pPr>
            <w:r w:rsidRPr="00CE5B34">
              <w:rPr>
                <w:rFonts w:ascii="Calibri" w:eastAsia="Times New Roman" w:hAnsi="Calibri" w:cs="Calibri"/>
                <w:color w:val="000000"/>
                <w:sz w:val="20"/>
                <w:szCs w:val="20"/>
                <w:lang w:eastAsia="en-NZ"/>
              </w:rPr>
              <w:t>Attendance in primary school: factors and consequences Daraganova et al</w:t>
            </w:r>
            <w:r w:rsidR="00553512">
              <w:rPr>
                <w:rFonts w:ascii="Calibri" w:eastAsia="Times New Roman" w:hAnsi="Calibri" w:cs="Calibri"/>
                <w:color w:val="000000"/>
                <w:sz w:val="20"/>
                <w:szCs w:val="20"/>
                <w:lang w:eastAsia="en-NZ"/>
              </w:rPr>
              <w:t>.</w:t>
            </w:r>
          </w:p>
          <w:p w:rsidR="0077327F" w:rsidRPr="00CE5B34" w:rsidRDefault="00A43D35" w:rsidP="0081553D">
            <w:pPr>
              <w:spacing w:after="0" w:line="240" w:lineRule="auto"/>
              <w:rPr>
                <w:rFonts w:ascii="Calibri" w:eastAsia="Times New Roman" w:hAnsi="Calibri" w:cs="Calibri"/>
                <w:color w:val="000000"/>
                <w:sz w:val="20"/>
                <w:szCs w:val="20"/>
                <w:lang w:eastAsia="en-NZ"/>
              </w:rPr>
            </w:pPr>
            <w:hyperlink r:id="rId20" w:history="1">
              <w:r w:rsidR="0077327F" w:rsidRPr="00CE5B34">
                <w:rPr>
                  <w:rFonts w:ascii="Calibri" w:eastAsia="Times New Roman" w:hAnsi="Calibri" w:cs="Calibri"/>
                  <w:color w:val="0563C1"/>
                  <w:sz w:val="20"/>
                  <w:szCs w:val="20"/>
                  <w:u w:val="single"/>
                  <w:lang w:eastAsia="en-NZ"/>
                </w:rPr>
                <w:t>Available here</w:t>
              </w:r>
            </w:hyperlink>
          </w:p>
        </w:tc>
        <w:tc>
          <w:tcPr>
            <w:tcW w:w="2110" w:type="dxa"/>
            <w:tcBorders>
              <w:top w:val="single" w:sz="4" w:space="0" w:color="auto"/>
              <w:left w:val="single" w:sz="4" w:space="0" w:color="auto"/>
              <w:bottom w:val="single" w:sz="4" w:space="0" w:color="auto"/>
              <w:right w:val="single" w:sz="4" w:space="0" w:color="auto"/>
            </w:tcBorders>
            <w:hideMark/>
          </w:tcPr>
          <w:p w:rsidR="0077327F" w:rsidRPr="00CE5B34" w:rsidRDefault="0077327F" w:rsidP="0081553D">
            <w:pPr>
              <w:spacing w:after="0" w:line="240" w:lineRule="auto"/>
              <w:rPr>
                <w:rFonts w:ascii="Calibri" w:eastAsia="Times New Roman" w:hAnsi="Calibri" w:cs="Calibri"/>
                <w:color w:val="000000"/>
                <w:sz w:val="20"/>
                <w:szCs w:val="20"/>
                <w:lang w:eastAsia="en-NZ"/>
              </w:rPr>
            </w:pPr>
            <w:r w:rsidRPr="00CE5B34">
              <w:rPr>
                <w:rFonts w:ascii="Calibri" w:eastAsia="Times New Roman" w:hAnsi="Calibri" w:cs="Calibri"/>
                <w:color w:val="000000"/>
                <w:sz w:val="20"/>
                <w:szCs w:val="20"/>
                <w:lang w:eastAsia="en-NZ"/>
              </w:rPr>
              <w:t>The report aims to understand attendance patterns in primary school by considering external factors; and the effects of students’ low attendance on their academic achievement (numeracy and reading) in primary school</w:t>
            </w:r>
            <w:r w:rsidR="00553512">
              <w:rPr>
                <w:rFonts w:ascii="Calibri" w:eastAsia="Times New Roman" w:hAnsi="Calibri" w:cs="Calibri"/>
                <w:color w:val="000000"/>
                <w:sz w:val="20"/>
                <w:szCs w:val="20"/>
                <w:lang w:eastAsia="en-NZ"/>
              </w:rPr>
              <w:t>.</w:t>
            </w:r>
          </w:p>
        </w:tc>
        <w:tc>
          <w:tcPr>
            <w:tcW w:w="4320" w:type="dxa"/>
            <w:tcBorders>
              <w:top w:val="single" w:sz="4" w:space="0" w:color="auto"/>
              <w:left w:val="single" w:sz="4" w:space="0" w:color="auto"/>
              <w:bottom w:val="single" w:sz="4" w:space="0" w:color="auto"/>
              <w:right w:val="single" w:sz="4" w:space="0" w:color="auto"/>
            </w:tcBorders>
            <w:hideMark/>
          </w:tcPr>
          <w:p w:rsidR="0077327F" w:rsidRPr="00CE5B34" w:rsidRDefault="0077327F" w:rsidP="0081553D">
            <w:pPr>
              <w:spacing w:after="0" w:line="240" w:lineRule="auto"/>
              <w:rPr>
                <w:rFonts w:ascii="Calibri" w:eastAsia="Times New Roman" w:hAnsi="Calibri" w:cs="Calibri"/>
                <w:color w:val="000000"/>
                <w:sz w:val="20"/>
                <w:szCs w:val="20"/>
                <w:lang w:eastAsia="en-NZ"/>
              </w:rPr>
            </w:pPr>
            <w:r w:rsidRPr="00CE5B34">
              <w:rPr>
                <w:rFonts w:ascii="Calibri" w:eastAsia="Times New Roman" w:hAnsi="Calibri" w:cs="Calibri"/>
                <w:color w:val="000000"/>
                <w:sz w:val="20"/>
                <w:szCs w:val="20"/>
                <w:lang w:eastAsia="en-NZ"/>
              </w:rPr>
              <w:t>Report uses data from Growing Up in Australia: the Longitudinal Study of Australian Children (N=12,838). This report utilises only one cohort LSAC data, and also individual achievement scores from NAPLAN. Absences were reported by parents. Study analysed (1) the associations between academic achievement in numeracy and reading, as measured by NAPLAN testing, and the most recent prior measure of non-attendance, and (2) the associations between academic achievement in numeracy and reading and the previous two prior measures of non-attendance.</w:t>
            </w:r>
          </w:p>
        </w:tc>
        <w:tc>
          <w:tcPr>
            <w:tcW w:w="4470" w:type="dxa"/>
            <w:tcBorders>
              <w:top w:val="single" w:sz="4" w:space="0" w:color="auto"/>
              <w:left w:val="nil"/>
              <w:bottom w:val="single" w:sz="4" w:space="0" w:color="auto"/>
              <w:right w:val="single" w:sz="4" w:space="0" w:color="auto"/>
            </w:tcBorders>
            <w:hideMark/>
          </w:tcPr>
          <w:p w:rsidR="0077327F" w:rsidRPr="00CE5B34" w:rsidRDefault="0077327F" w:rsidP="0081553D">
            <w:pPr>
              <w:spacing w:after="0" w:line="240" w:lineRule="auto"/>
              <w:rPr>
                <w:rFonts w:ascii="Calibri" w:eastAsia="Times New Roman" w:hAnsi="Calibri" w:cs="Calibri"/>
                <w:color w:val="000000"/>
                <w:sz w:val="20"/>
                <w:szCs w:val="20"/>
                <w:lang w:eastAsia="en-NZ"/>
              </w:rPr>
            </w:pPr>
            <w:r w:rsidRPr="00CE5B34">
              <w:rPr>
                <w:rFonts w:ascii="Calibri" w:eastAsia="Times New Roman" w:hAnsi="Calibri" w:cs="Calibri"/>
                <w:color w:val="000000"/>
                <w:sz w:val="20"/>
                <w:szCs w:val="20"/>
                <w:lang w:eastAsia="en-NZ"/>
              </w:rPr>
              <w:t>Family and parenting factors were more important for children in the early primary school years and became less important as they grew older; Previous rates of school attendance became more influential over time, implying that the absenteeism process is increasingly self-sustaining; and children with higher levels of school readiness at 4–5 years were less likely to be absent early on, and school readiness continued to be significantly associated with absenteeism six years later when children were 10–11 years old. In broad terms:</w:t>
            </w:r>
            <w:r w:rsidRPr="00CE5B34">
              <w:rPr>
                <w:rFonts w:ascii="Calibri" w:eastAsia="Times New Roman" w:hAnsi="Calibri" w:cs="Calibri"/>
                <w:color w:val="000000"/>
                <w:sz w:val="20"/>
                <w:szCs w:val="20"/>
                <w:lang w:eastAsia="en-NZ"/>
              </w:rPr>
              <w:br/>
              <w:t>• Higher levels of school non-attendance were associated with lower levels of numeracy, particularly in the early primary school years.</w:t>
            </w:r>
            <w:r w:rsidRPr="00CE5B34">
              <w:rPr>
                <w:rFonts w:ascii="Calibri" w:eastAsia="Times New Roman" w:hAnsi="Calibri" w:cs="Calibri"/>
                <w:color w:val="000000"/>
                <w:sz w:val="20"/>
                <w:szCs w:val="20"/>
                <w:lang w:eastAsia="en-NZ"/>
              </w:rPr>
              <w:br/>
              <w:t>• Higher levels of school non-attendance were not associated with lower reading skills for children in primary school.                                                                (Note this is a 100 page report that tested 7 models so the information presented here is minimal)</w:t>
            </w:r>
          </w:p>
        </w:tc>
      </w:tr>
      <w:tr w:rsidR="0077327F" w:rsidRPr="00CE5B34" w:rsidTr="0081553D">
        <w:trPr>
          <w:trHeight w:val="1740"/>
        </w:trPr>
        <w:tc>
          <w:tcPr>
            <w:tcW w:w="666" w:type="dxa"/>
            <w:tcBorders>
              <w:top w:val="single" w:sz="4" w:space="0" w:color="auto"/>
              <w:left w:val="single" w:sz="4" w:space="0" w:color="auto"/>
              <w:bottom w:val="single" w:sz="4" w:space="0" w:color="auto"/>
              <w:right w:val="single" w:sz="4" w:space="0" w:color="auto"/>
            </w:tcBorders>
            <w:noWrap/>
            <w:hideMark/>
          </w:tcPr>
          <w:p w:rsidR="0077327F" w:rsidRPr="00CE5B34" w:rsidRDefault="0077327F" w:rsidP="0081553D">
            <w:pPr>
              <w:spacing w:after="0" w:line="240" w:lineRule="auto"/>
              <w:jc w:val="right"/>
              <w:rPr>
                <w:rFonts w:ascii="Calibri" w:eastAsia="Times New Roman" w:hAnsi="Calibri" w:cs="Calibri"/>
                <w:b/>
                <w:bCs/>
                <w:color w:val="000000"/>
                <w:sz w:val="20"/>
                <w:szCs w:val="20"/>
                <w:lang w:eastAsia="en-NZ"/>
              </w:rPr>
            </w:pPr>
            <w:r w:rsidRPr="00CE5B34">
              <w:rPr>
                <w:rFonts w:ascii="Calibri" w:eastAsia="Times New Roman" w:hAnsi="Calibri" w:cs="Calibri"/>
                <w:b/>
                <w:bCs/>
                <w:color w:val="000000"/>
                <w:sz w:val="20"/>
                <w:szCs w:val="20"/>
                <w:lang w:eastAsia="en-NZ"/>
              </w:rPr>
              <w:lastRenderedPageBreak/>
              <w:t>2016</w:t>
            </w:r>
          </w:p>
        </w:tc>
        <w:tc>
          <w:tcPr>
            <w:tcW w:w="2980" w:type="dxa"/>
            <w:tcBorders>
              <w:top w:val="single" w:sz="4" w:space="0" w:color="auto"/>
              <w:left w:val="single" w:sz="4" w:space="0" w:color="auto"/>
              <w:bottom w:val="single" w:sz="4" w:space="0" w:color="auto"/>
              <w:right w:val="single" w:sz="4" w:space="0" w:color="auto"/>
            </w:tcBorders>
            <w:hideMark/>
          </w:tcPr>
          <w:p w:rsidR="0077327F" w:rsidRDefault="0077327F" w:rsidP="0081553D">
            <w:pPr>
              <w:spacing w:after="0" w:line="240" w:lineRule="auto"/>
              <w:rPr>
                <w:rFonts w:ascii="Calibri" w:eastAsia="Times New Roman" w:hAnsi="Calibri" w:cs="Calibri"/>
                <w:color w:val="000000"/>
                <w:sz w:val="20"/>
                <w:szCs w:val="20"/>
                <w:lang w:eastAsia="en-NZ"/>
              </w:rPr>
            </w:pPr>
            <w:r w:rsidRPr="00CE5B34">
              <w:rPr>
                <w:rFonts w:ascii="Calibri" w:eastAsia="Times New Roman" w:hAnsi="Calibri" w:cs="Calibri"/>
                <w:color w:val="000000"/>
                <w:sz w:val="20"/>
                <w:szCs w:val="20"/>
                <w:lang w:eastAsia="en-NZ"/>
              </w:rPr>
              <w:t xml:space="preserve">Assessing the effect of school days and absences on test score performance </w:t>
            </w:r>
          </w:p>
          <w:p w:rsidR="0077327F" w:rsidRDefault="0077327F" w:rsidP="0081553D">
            <w:pPr>
              <w:spacing w:after="0" w:line="240" w:lineRule="auto"/>
              <w:rPr>
                <w:rFonts w:ascii="Calibri" w:eastAsia="Times New Roman" w:hAnsi="Calibri" w:cs="Calibri"/>
                <w:color w:val="000000"/>
                <w:sz w:val="20"/>
                <w:szCs w:val="20"/>
                <w:lang w:eastAsia="en-NZ"/>
              </w:rPr>
            </w:pPr>
            <w:r w:rsidRPr="00CE5B34">
              <w:rPr>
                <w:rFonts w:ascii="Calibri" w:eastAsia="Times New Roman" w:hAnsi="Calibri" w:cs="Calibri"/>
                <w:color w:val="000000"/>
                <w:sz w:val="20"/>
                <w:szCs w:val="20"/>
                <w:lang w:eastAsia="en-NZ"/>
              </w:rPr>
              <w:t>Aucejo and Romano</w:t>
            </w:r>
            <w:r w:rsidR="00553512">
              <w:rPr>
                <w:rFonts w:ascii="Calibri" w:eastAsia="Times New Roman" w:hAnsi="Calibri" w:cs="Calibri"/>
                <w:color w:val="000000"/>
                <w:sz w:val="20"/>
                <w:szCs w:val="20"/>
                <w:lang w:eastAsia="en-NZ"/>
              </w:rPr>
              <w:t>.</w:t>
            </w:r>
          </w:p>
          <w:p w:rsidR="0077327F" w:rsidRPr="00CE5B34" w:rsidRDefault="00A43D35" w:rsidP="0081553D">
            <w:pPr>
              <w:spacing w:after="0" w:line="240" w:lineRule="auto"/>
              <w:rPr>
                <w:rFonts w:ascii="Calibri" w:eastAsia="Times New Roman" w:hAnsi="Calibri" w:cs="Calibri"/>
                <w:color w:val="000000"/>
                <w:sz w:val="20"/>
                <w:szCs w:val="20"/>
                <w:lang w:eastAsia="en-NZ"/>
              </w:rPr>
            </w:pPr>
            <w:hyperlink r:id="rId21" w:history="1">
              <w:r w:rsidR="0077327F" w:rsidRPr="00CE5B34">
                <w:rPr>
                  <w:rFonts w:ascii="Calibri" w:eastAsia="Times New Roman" w:hAnsi="Calibri" w:cs="Calibri"/>
                  <w:color w:val="0563C1"/>
                  <w:sz w:val="20"/>
                  <w:szCs w:val="20"/>
                  <w:u w:val="single"/>
                  <w:lang w:eastAsia="en-NZ"/>
                </w:rPr>
                <w:t>Working paper here</w:t>
              </w:r>
            </w:hyperlink>
          </w:p>
        </w:tc>
        <w:tc>
          <w:tcPr>
            <w:tcW w:w="2110" w:type="dxa"/>
            <w:tcBorders>
              <w:top w:val="single" w:sz="4" w:space="0" w:color="auto"/>
              <w:left w:val="single" w:sz="4" w:space="0" w:color="auto"/>
              <w:bottom w:val="single" w:sz="4" w:space="0" w:color="auto"/>
              <w:right w:val="single" w:sz="4" w:space="0" w:color="auto"/>
            </w:tcBorders>
            <w:hideMark/>
          </w:tcPr>
          <w:p w:rsidR="0077327F" w:rsidRPr="00CE5B34" w:rsidRDefault="0077327F" w:rsidP="0081553D">
            <w:pPr>
              <w:spacing w:after="0" w:line="240" w:lineRule="auto"/>
              <w:rPr>
                <w:rFonts w:ascii="Calibri" w:eastAsia="Times New Roman" w:hAnsi="Calibri" w:cs="Calibri"/>
                <w:color w:val="000000"/>
                <w:sz w:val="20"/>
                <w:szCs w:val="20"/>
                <w:lang w:eastAsia="en-NZ"/>
              </w:rPr>
            </w:pPr>
            <w:r w:rsidRPr="00CE5B34">
              <w:rPr>
                <w:rFonts w:ascii="Calibri" w:eastAsia="Times New Roman" w:hAnsi="Calibri" w:cs="Calibri"/>
                <w:color w:val="000000"/>
                <w:sz w:val="20"/>
                <w:szCs w:val="20"/>
                <w:lang w:eastAsia="en-NZ"/>
              </w:rPr>
              <w:t>Relative effect of reducing absences relative to increasing the number of school days on test score performance</w:t>
            </w:r>
            <w:r w:rsidR="00553512">
              <w:rPr>
                <w:rFonts w:ascii="Calibri" w:eastAsia="Times New Roman" w:hAnsi="Calibri" w:cs="Calibri"/>
                <w:color w:val="000000"/>
                <w:sz w:val="20"/>
                <w:szCs w:val="20"/>
                <w:lang w:eastAsia="en-NZ"/>
              </w:rPr>
              <w:t>.</w:t>
            </w:r>
          </w:p>
        </w:tc>
        <w:tc>
          <w:tcPr>
            <w:tcW w:w="4320" w:type="dxa"/>
            <w:tcBorders>
              <w:top w:val="single" w:sz="4" w:space="0" w:color="auto"/>
              <w:left w:val="single" w:sz="4" w:space="0" w:color="auto"/>
              <w:bottom w:val="single" w:sz="4" w:space="0" w:color="auto"/>
              <w:right w:val="single" w:sz="4" w:space="0" w:color="auto"/>
            </w:tcBorders>
            <w:hideMark/>
          </w:tcPr>
          <w:p w:rsidR="0077327F" w:rsidRDefault="0077327F" w:rsidP="0081553D">
            <w:pPr>
              <w:spacing w:after="0" w:line="240" w:lineRule="auto"/>
              <w:rPr>
                <w:rFonts w:ascii="Calibri" w:eastAsia="Times New Roman" w:hAnsi="Calibri" w:cs="Calibri"/>
                <w:color w:val="000000"/>
                <w:sz w:val="20"/>
                <w:szCs w:val="20"/>
                <w:lang w:eastAsia="en-NZ"/>
              </w:rPr>
            </w:pPr>
            <w:r w:rsidRPr="00CE5B34">
              <w:rPr>
                <w:rFonts w:ascii="Calibri" w:eastAsia="Times New Roman" w:hAnsi="Calibri" w:cs="Calibri"/>
                <w:color w:val="000000"/>
                <w:sz w:val="20"/>
                <w:szCs w:val="20"/>
                <w:lang w:eastAsia="en-NZ"/>
              </w:rPr>
              <w:t xml:space="preserve">Compares </w:t>
            </w:r>
            <w:r w:rsidR="00553512" w:rsidRPr="00CE5B34">
              <w:rPr>
                <w:rFonts w:ascii="Calibri" w:eastAsia="Times New Roman" w:hAnsi="Calibri" w:cs="Calibri"/>
                <w:color w:val="000000"/>
                <w:sz w:val="20"/>
                <w:szCs w:val="20"/>
                <w:lang w:eastAsia="en-NZ"/>
              </w:rPr>
              <w:t>efforts</w:t>
            </w:r>
            <w:r w:rsidRPr="00CE5B34">
              <w:rPr>
                <w:rFonts w:ascii="Calibri" w:eastAsia="Times New Roman" w:hAnsi="Calibri" w:cs="Calibri"/>
                <w:color w:val="000000"/>
                <w:sz w:val="20"/>
                <w:szCs w:val="20"/>
                <w:lang w:eastAsia="en-NZ"/>
              </w:rPr>
              <w:t xml:space="preserve"> to increase length of school year in the US with competing policies such as reducing absenteeism. Uses North Carolina </w:t>
            </w:r>
            <w:r w:rsidR="00553512" w:rsidRPr="00CE5B34">
              <w:rPr>
                <w:rFonts w:ascii="Calibri" w:eastAsia="Times New Roman" w:hAnsi="Calibri" w:cs="Calibri"/>
                <w:color w:val="000000"/>
                <w:sz w:val="20"/>
                <w:szCs w:val="20"/>
                <w:lang w:eastAsia="en-NZ"/>
              </w:rPr>
              <w:t>Dept.</w:t>
            </w:r>
            <w:r w:rsidRPr="00CE5B34">
              <w:rPr>
                <w:rFonts w:ascii="Calibri" w:eastAsia="Times New Roman" w:hAnsi="Calibri" w:cs="Calibri"/>
                <w:color w:val="000000"/>
                <w:sz w:val="20"/>
                <w:szCs w:val="20"/>
                <w:lang w:eastAsia="en-NZ"/>
              </w:rPr>
              <w:t xml:space="preserve"> of Education dataset 2006-10 33, grades 3–5. N=1.3M </w:t>
            </w:r>
          </w:p>
          <w:p w:rsidR="0077327F" w:rsidRPr="00CE5B34" w:rsidRDefault="0077327F" w:rsidP="0081553D">
            <w:pPr>
              <w:spacing w:after="0" w:line="240" w:lineRule="auto"/>
              <w:rPr>
                <w:rFonts w:ascii="Calibri" w:eastAsia="Times New Roman" w:hAnsi="Calibri" w:cs="Calibri"/>
                <w:color w:val="000000"/>
                <w:sz w:val="20"/>
                <w:szCs w:val="20"/>
                <w:lang w:eastAsia="en-NZ"/>
              </w:rPr>
            </w:pPr>
            <w:r w:rsidRPr="00CE5B34">
              <w:rPr>
                <w:rFonts w:ascii="Calibri" w:eastAsia="Times New Roman" w:hAnsi="Calibri" w:cs="Calibri"/>
                <w:color w:val="000000"/>
                <w:sz w:val="20"/>
                <w:szCs w:val="20"/>
                <w:lang w:eastAsia="en-NZ"/>
              </w:rPr>
              <w:t>The dataset makes it possible to track the progress of an individual student over their educational careers and link students to their teachers 35 and school in each year, provided they stay within the universe of North Carolina public schools.</w:t>
            </w:r>
          </w:p>
        </w:tc>
        <w:tc>
          <w:tcPr>
            <w:tcW w:w="4470" w:type="dxa"/>
            <w:tcBorders>
              <w:top w:val="single" w:sz="4" w:space="0" w:color="auto"/>
              <w:left w:val="nil"/>
              <w:bottom w:val="single" w:sz="4" w:space="0" w:color="auto"/>
              <w:right w:val="single" w:sz="4" w:space="0" w:color="auto"/>
            </w:tcBorders>
            <w:hideMark/>
          </w:tcPr>
          <w:p w:rsidR="0077327F" w:rsidRPr="00CE5B34" w:rsidRDefault="0077327F" w:rsidP="0081553D">
            <w:pPr>
              <w:spacing w:after="0" w:line="240" w:lineRule="auto"/>
              <w:rPr>
                <w:rFonts w:ascii="Calibri" w:eastAsia="Times New Roman" w:hAnsi="Calibri" w:cs="Calibri"/>
                <w:sz w:val="20"/>
                <w:szCs w:val="20"/>
                <w:lang w:eastAsia="en-NZ"/>
              </w:rPr>
            </w:pPr>
            <w:r w:rsidRPr="00CE5B34">
              <w:rPr>
                <w:rFonts w:ascii="Calibri" w:eastAsia="Times New Roman" w:hAnsi="Calibri" w:cs="Calibri"/>
                <w:sz w:val="20"/>
                <w:szCs w:val="20"/>
                <w:lang w:eastAsia="en-NZ"/>
              </w:rPr>
              <w:t>The authors' preferred specification indicates that extending the school calendar by ten days would increase math and reading test scores by 1.7% and an insignificant 0.8% of a standard deviation, respectively, while a similar reduction in absences would lead to an increase of 5.5% in math and of 2.9% in reading scores. The authors performed of robustness checks including utilizing flu data to instrument for absences, family-year fixed effects, distinguishing between excused and unexcused absences, and controlling for a contemporaneous measure of student disengagement. Results are robust to these alternative specifications. In addition, findings indicate considerable heterogeneity across student ability, suggesting that targeting absenteeism among low performing students could aid in narrowing current gaps in performance.</w:t>
            </w:r>
          </w:p>
        </w:tc>
      </w:tr>
      <w:tr w:rsidR="0077327F" w:rsidRPr="00CE5B34" w:rsidTr="0081553D">
        <w:trPr>
          <w:trHeight w:val="1560"/>
        </w:trPr>
        <w:tc>
          <w:tcPr>
            <w:tcW w:w="666" w:type="dxa"/>
            <w:tcBorders>
              <w:top w:val="single" w:sz="4" w:space="0" w:color="auto"/>
              <w:left w:val="single" w:sz="4" w:space="0" w:color="auto"/>
              <w:bottom w:val="single" w:sz="4" w:space="0" w:color="auto"/>
              <w:right w:val="single" w:sz="4" w:space="0" w:color="auto"/>
            </w:tcBorders>
            <w:noWrap/>
            <w:hideMark/>
          </w:tcPr>
          <w:p w:rsidR="0077327F" w:rsidRPr="00CE5B34" w:rsidRDefault="0077327F" w:rsidP="0081553D">
            <w:pPr>
              <w:spacing w:after="0" w:line="240" w:lineRule="auto"/>
              <w:jc w:val="right"/>
              <w:rPr>
                <w:rFonts w:ascii="Calibri" w:eastAsia="Times New Roman" w:hAnsi="Calibri" w:cs="Calibri"/>
                <w:b/>
                <w:bCs/>
                <w:color w:val="000000"/>
                <w:sz w:val="20"/>
                <w:szCs w:val="20"/>
                <w:lang w:eastAsia="en-NZ"/>
              </w:rPr>
            </w:pPr>
            <w:r w:rsidRPr="00CE5B34">
              <w:rPr>
                <w:rFonts w:ascii="Calibri" w:eastAsia="Times New Roman" w:hAnsi="Calibri" w:cs="Calibri"/>
                <w:b/>
                <w:bCs/>
                <w:color w:val="000000"/>
                <w:sz w:val="20"/>
                <w:szCs w:val="20"/>
                <w:lang w:eastAsia="en-NZ"/>
              </w:rPr>
              <w:t>2016</w:t>
            </w:r>
          </w:p>
        </w:tc>
        <w:tc>
          <w:tcPr>
            <w:tcW w:w="2980" w:type="dxa"/>
            <w:tcBorders>
              <w:top w:val="single" w:sz="4" w:space="0" w:color="auto"/>
              <w:left w:val="single" w:sz="4" w:space="0" w:color="auto"/>
              <w:bottom w:val="single" w:sz="4" w:space="0" w:color="auto"/>
              <w:right w:val="single" w:sz="4" w:space="0" w:color="auto"/>
            </w:tcBorders>
            <w:hideMark/>
          </w:tcPr>
          <w:p w:rsidR="0077327F" w:rsidRDefault="0077327F" w:rsidP="0081553D">
            <w:pPr>
              <w:spacing w:after="0" w:line="240" w:lineRule="auto"/>
              <w:rPr>
                <w:rFonts w:ascii="Calibri" w:eastAsia="Times New Roman" w:hAnsi="Calibri" w:cs="Calibri"/>
                <w:color w:val="000000"/>
                <w:sz w:val="20"/>
                <w:szCs w:val="20"/>
                <w:lang w:eastAsia="en-NZ"/>
              </w:rPr>
            </w:pPr>
            <w:r w:rsidRPr="00CE5B34">
              <w:rPr>
                <w:rFonts w:ascii="Calibri" w:eastAsia="Times New Roman" w:hAnsi="Calibri" w:cs="Calibri"/>
                <w:color w:val="000000"/>
                <w:sz w:val="20"/>
                <w:szCs w:val="20"/>
                <w:lang w:eastAsia="en-NZ"/>
              </w:rPr>
              <w:t>Factors related to early childhood literacy: An Exploratory Study Robert Vagi, Arizona State University</w:t>
            </w:r>
            <w:r w:rsidR="00553512">
              <w:rPr>
                <w:rFonts w:ascii="Calibri" w:eastAsia="Times New Roman" w:hAnsi="Calibri" w:cs="Calibri"/>
                <w:color w:val="000000"/>
                <w:sz w:val="20"/>
                <w:szCs w:val="20"/>
                <w:lang w:eastAsia="en-NZ"/>
              </w:rPr>
              <w:t>.</w:t>
            </w:r>
          </w:p>
          <w:p w:rsidR="0077327F" w:rsidRPr="00CE5B34" w:rsidRDefault="00A43D35" w:rsidP="0081553D">
            <w:pPr>
              <w:spacing w:after="0" w:line="240" w:lineRule="auto"/>
              <w:rPr>
                <w:rFonts w:ascii="Calibri" w:eastAsia="Times New Roman" w:hAnsi="Calibri" w:cs="Calibri"/>
                <w:color w:val="000000"/>
                <w:sz w:val="20"/>
                <w:szCs w:val="20"/>
                <w:lang w:eastAsia="en-NZ"/>
              </w:rPr>
            </w:pPr>
            <w:hyperlink r:id="rId22" w:history="1">
              <w:r w:rsidR="0077327F" w:rsidRPr="00CE5B34">
                <w:rPr>
                  <w:rFonts w:ascii="Calibri" w:eastAsia="Times New Roman" w:hAnsi="Calibri" w:cs="Calibri"/>
                  <w:color w:val="0563C1"/>
                  <w:sz w:val="20"/>
                  <w:szCs w:val="20"/>
                  <w:u w:val="single"/>
                  <w:lang w:eastAsia="en-NZ"/>
                </w:rPr>
                <w:t>Available here</w:t>
              </w:r>
            </w:hyperlink>
          </w:p>
        </w:tc>
        <w:tc>
          <w:tcPr>
            <w:tcW w:w="2110" w:type="dxa"/>
            <w:tcBorders>
              <w:top w:val="single" w:sz="4" w:space="0" w:color="auto"/>
              <w:left w:val="single" w:sz="4" w:space="0" w:color="auto"/>
              <w:bottom w:val="single" w:sz="4" w:space="0" w:color="auto"/>
              <w:right w:val="single" w:sz="4" w:space="0" w:color="auto"/>
            </w:tcBorders>
            <w:hideMark/>
          </w:tcPr>
          <w:p w:rsidR="0077327F" w:rsidRPr="00CE5B34" w:rsidRDefault="0077327F" w:rsidP="0081553D">
            <w:pPr>
              <w:spacing w:after="0" w:line="240" w:lineRule="auto"/>
              <w:rPr>
                <w:rFonts w:ascii="Calibri" w:eastAsia="Times New Roman" w:hAnsi="Calibri" w:cs="Calibri"/>
                <w:color w:val="000000"/>
                <w:sz w:val="20"/>
                <w:szCs w:val="20"/>
                <w:lang w:eastAsia="en-NZ"/>
              </w:rPr>
            </w:pPr>
            <w:r w:rsidRPr="00CE5B34">
              <w:rPr>
                <w:rFonts w:ascii="Calibri" w:eastAsia="Times New Roman" w:hAnsi="Calibri" w:cs="Calibri"/>
                <w:color w:val="000000"/>
                <w:sz w:val="20"/>
                <w:szCs w:val="20"/>
                <w:lang w:eastAsia="en-NZ"/>
              </w:rPr>
              <w:t>Factors that affect whether or not a child learns to read and write by the third grade.</w:t>
            </w:r>
          </w:p>
        </w:tc>
        <w:tc>
          <w:tcPr>
            <w:tcW w:w="4320" w:type="dxa"/>
            <w:tcBorders>
              <w:top w:val="single" w:sz="4" w:space="0" w:color="auto"/>
              <w:left w:val="single" w:sz="4" w:space="0" w:color="auto"/>
              <w:bottom w:val="single" w:sz="4" w:space="0" w:color="auto"/>
              <w:right w:val="single" w:sz="4" w:space="0" w:color="auto"/>
            </w:tcBorders>
            <w:hideMark/>
          </w:tcPr>
          <w:p w:rsidR="0077327F" w:rsidRDefault="0077327F" w:rsidP="0081553D">
            <w:pPr>
              <w:spacing w:after="0" w:line="240" w:lineRule="auto"/>
              <w:rPr>
                <w:rFonts w:ascii="Calibri" w:eastAsia="Times New Roman" w:hAnsi="Calibri" w:cs="Calibri"/>
                <w:color w:val="000000"/>
                <w:sz w:val="20"/>
                <w:szCs w:val="20"/>
                <w:lang w:eastAsia="en-NZ"/>
              </w:rPr>
            </w:pPr>
            <w:r w:rsidRPr="00CE5B34">
              <w:rPr>
                <w:rFonts w:ascii="Calibri" w:eastAsia="Times New Roman" w:hAnsi="Calibri" w:cs="Calibri"/>
                <w:color w:val="000000"/>
                <w:sz w:val="20"/>
                <w:szCs w:val="20"/>
                <w:lang w:eastAsia="en-NZ"/>
              </w:rPr>
              <w:t xml:space="preserve">One-off cross-section analysis (2013-14 school year). Large dataset from  Arizona Department of Education, the Arizona Department of Health, First Things First and Head Start. n=758 schools.  </w:t>
            </w:r>
          </w:p>
          <w:p w:rsidR="0077327F" w:rsidRPr="00CE5B34" w:rsidRDefault="0077327F" w:rsidP="0081553D">
            <w:pPr>
              <w:spacing w:after="0" w:line="240" w:lineRule="auto"/>
              <w:rPr>
                <w:rFonts w:ascii="Calibri" w:eastAsia="Times New Roman" w:hAnsi="Calibri" w:cs="Calibri"/>
                <w:color w:val="000000"/>
                <w:sz w:val="20"/>
                <w:szCs w:val="20"/>
                <w:lang w:eastAsia="en-NZ"/>
              </w:rPr>
            </w:pPr>
            <w:r w:rsidRPr="00CE5B34">
              <w:rPr>
                <w:rFonts w:ascii="Calibri" w:eastAsia="Times New Roman" w:hAnsi="Calibri" w:cs="Calibri"/>
                <w:color w:val="000000"/>
                <w:sz w:val="20"/>
                <w:szCs w:val="20"/>
                <w:lang w:eastAsia="en-NZ"/>
              </w:rPr>
              <w:t>A wide variety of variables were tested. Examined relationships between school-, district-, health-, and family-related factors in two separate analyses. The first analysis examines schools in relation to school districts and primary care areas. The second examines schools in relation to school districts and First Things First regions. In each of these analyses, the outcome of interest is the percentage of students passing the AIMS reading test in the 3rd grade in 2014 at the school-level. Only schools with all of the relevant data were included in the analysis (i.e. schools with masked data were excluded).</w:t>
            </w:r>
          </w:p>
        </w:tc>
        <w:tc>
          <w:tcPr>
            <w:tcW w:w="4470" w:type="dxa"/>
            <w:tcBorders>
              <w:top w:val="single" w:sz="4" w:space="0" w:color="auto"/>
              <w:left w:val="nil"/>
              <w:bottom w:val="single" w:sz="4" w:space="0" w:color="auto"/>
              <w:right w:val="single" w:sz="4" w:space="0" w:color="auto"/>
            </w:tcBorders>
            <w:hideMark/>
          </w:tcPr>
          <w:p w:rsidR="0077327F" w:rsidRPr="00CE5B34" w:rsidRDefault="0077327F" w:rsidP="0081553D">
            <w:pPr>
              <w:spacing w:after="0" w:line="240" w:lineRule="auto"/>
              <w:rPr>
                <w:rFonts w:ascii="Calibri" w:eastAsia="Times New Roman" w:hAnsi="Calibri" w:cs="Calibri"/>
                <w:color w:val="000000"/>
                <w:sz w:val="20"/>
                <w:szCs w:val="20"/>
                <w:lang w:eastAsia="en-NZ"/>
              </w:rPr>
            </w:pPr>
            <w:r w:rsidRPr="00CE5B34">
              <w:rPr>
                <w:rFonts w:ascii="Calibri" w:eastAsia="Times New Roman" w:hAnsi="Calibri" w:cs="Calibri"/>
                <w:color w:val="000000"/>
                <w:sz w:val="20"/>
                <w:szCs w:val="20"/>
                <w:lang w:eastAsia="en-NZ"/>
              </w:rPr>
              <w:t>Looking at the grand mean centered analysis, four coefficients were statistically significant at p &lt; .05. These were whether or not a school was a charter school, the percentage of students in poverty, third grade attendance rates, and the schoolwide chronic absence rate. With regard to the attendance rates, a 1% increase in attendance rate is associated with an average increase of 1.5% of students passing AIMS reading. Finally, the coefficient for chronic absence rate indicates that a 1% increase in chronic absenteeism is associated with a .3% decrease in the number of students passing AIMS reading. Analysis shows that third grade attendance rates and chronic absenteeism are strongly related to third grade reading scores even after controlling for poverty.</w:t>
            </w:r>
          </w:p>
        </w:tc>
      </w:tr>
      <w:tr w:rsidR="0077327F" w:rsidRPr="00CE5B34" w:rsidTr="0081553D">
        <w:trPr>
          <w:trHeight w:val="2040"/>
        </w:trPr>
        <w:tc>
          <w:tcPr>
            <w:tcW w:w="666" w:type="dxa"/>
            <w:tcBorders>
              <w:top w:val="single" w:sz="4" w:space="0" w:color="auto"/>
              <w:left w:val="single" w:sz="4" w:space="0" w:color="auto"/>
              <w:bottom w:val="nil"/>
              <w:right w:val="single" w:sz="4" w:space="0" w:color="auto"/>
            </w:tcBorders>
            <w:noWrap/>
            <w:hideMark/>
          </w:tcPr>
          <w:p w:rsidR="0077327F" w:rsidRPr="00CE5B34" w:rsidRDefault="0077327F" w:rsidP="0081553D">
            <w:pPr>
              <w:spacing w:after="0" w:line="240" w:lineRule="auto"/>
              <w:jc w:val="right"/>
              <w:rPr>
                <w:rFonts w:ascii="Calibri" w:eastAsia="Times New Roman" w:hAnsi="Calibri" w:cs="Calibri"/>
                <w:b/>
                <w:bCs/>
                <w:color w:val="000000"/>
                <w:sz w:val="20"/>
                <w:szCs w:val="20"/>
                <w:lang w:eastAsia="en-NZ"/>
              </w:rPr>
            </w:pPr>
            <w:r w:rsidRPr="00CE5B34">
              <w:rPr>
                <w:rFonts w:ascii="Calibri" w:eastAsia="Times New Roman" w:hAnsi="Calibri" w:cs="Calibri"/>
                <w:b/>
                <w:bCs/>
                <w:color w:val="000000"/>
                <w:sz w:val="20"/>
                <w:szCs w:val="20"/>
                <w:lang w:eastAsia="en-NZ"/>
              </w:rPr>
              <w:t>2016</w:t>
            </w:r>
          </w:p>
        </w:tc>
        <w:tc>
          <w:tcPr>
            <w:tcW w:w="2980" w:type="dxa"/>
            <w:tcBorders>
              <w:top w:val="single" w:sz="4" w:space="0" w:color="auto"/>
              <w:left w:val="single" w:sz="4" w:space="0" w:color="auto"/>
              <w:bottom w:val="nil"/>
              <w:right w:val="single" w:sz="4" w:space="0" w:color="auto"/>
            </w:tcBorders>
            <w:hideMark/>
          </w:tcPr>
          <w:p w:rsidR="0077327F" w:rsidRDefault="0077327F" w:rsidP="0081553D">
            <w:pPr>
              <w:spacing w:after="0" w:line="240" w:lineRule="auto"/>
              <w:rPr>
                <w:rFonts w:ascii="Calibri" w:eastAsia="Times New Roman" w:hAnsi="Calibri" w:cs="Calibri"/>
                <w:color w:val="000000"/>
                <w:sz w:val="20"/>
                <w:szCs w:val="20"/>
                <w:lang w:eastAsia="en-NZ"/>
              </w:rPr>
            </w:pPr>
            <w:r w:rsidRPr="00CE5B34">
              <w:rPr>
                <w:rFonts w:ascii="Calibri" w:eastAsia="Times New Roman" w:hAnsi="Calibri" w:cs="Calibri"/>
                <w:color w:val="000000"/>
                <w:sz w:val="20"/>
                <w:szCs w:val="20"/>
                <w:lang w:eastAsia="en-NZ"/>
              </w:rPr>
              <w:t xml:space="preserve">Stand-downs, suspensions, exclusions and expulsions from school </w:t>
            </w:r>
          </w:p>
          <w:p w:rsidR="0077327F" w:rsidRDefault="0077327F" w:rsidP="0081553D">
            <w:pPr>
              <w:spacing w:after="0" w:line="240" w:lineRule="auto"/>
              <w:rPr>
                <w:rFonts w:ascii="Calibri" w:eastAsia="Times New Roman" w:hAnsi="Calibri" w:cs="Calibri"/>
                <w:color w:val="000000"/>
                <w:sz w:val="20"/>
                <w:szCs w:val="20"/>
                <w:lang w:eastAsia="en-NZ"/>
              </w:rPr>
            </w:pPr>
            <w:r w:rsidRPr="00CE5B34">
              <w:rPr>
                <w:rFonts w:ascii="Calibri" w:eastAsia="Times New Roman" w:hAnsi="Calibri" w:cs="Calibri"/>
                <w:color w:val="000000"/>
                <w:sz w:val="20"/>
                <w:szCs w:val="20"/>
                <w:lang w:eastAsia="en-NZ"/>
              </w:rPr>
              <w:t>M</w:t>
            </w:r>
            <w:r>
              <w:rPr>
                <w:rFonts w:ascii="Calibri" w:eastAsia="Times New Roman" w:hAnsi="Calibri" w:cs="Calibri"/>
                <w:color w:val="000000"/>
                <w:sz w:val="20"/>
                <w:szCs w:val="20"/>
                <w:lang w:eastAsia="en-NZ"/>
              </w:rPr>
              <w:t>inistry of Education, New Zealand</w:t>
            </w:r>
            <w:r w:rsidR="00553512">
              <w:rPr>
                <w:rFonts w:ascii="Calibri" w:eastAsia="Times New Roman" w:hAnsi="Calibri" w:cs="Calibri"/>
                <w:color w:val="000000"/>
                <w:sz w:val="20"/>
                <w:szCs w:val="20"/>
                <w:lang w:eastAsia="en-NZ"/>
              </w:rPr>
              <w:t>.</w:t>
            </w:r>
          </w:p>
          <w:p w:rsidR="0077327F" w:rsidRPr="00CE5B34" w:rsidRDefault="00A43D35" w:rsidP="0081553D">
            <w:pPr>
              <w:spacing w:after="0" w:line="240" w:lineRule="auto"/>
              <w:rPr>
                <w:rFonts w:ascii="Calibri" w:eastAsia="Times New Roman" w:hAnsi="Calibri" w:cs="Calibri"/>
                <w:color w:val="000000"/>
                <w:sz w:val="20"/>
                <w:szCs w:val="20"/>
                <w:lang w:eastAsia="en-NZ"/>
              </w:rPr>
            </w:pPr>
            <w:hyperlink r:id="rId23" w:history="1">
              <w:r w:rsidR="0077327F" w:rsidRPr="00CE5B34">
                <w:rPr>
                  <w:rFonts w:ascii="Calibri" w:eastAsia="Times New Roman" w:hAnsi="Calibri" w:cs="Calibri"/>
                  <w:color w:val="0563C1"/>
                  <w:sz w:val="20"/>
                  <w:szCs w:val="20"/>
                  <w:u w:val="single"/>
                  <w:lang w:eastAsia="en-NZ"/>
                </w:rPr>
                <w:t>Available here</w:t>
              </w:r>
            </w:hyperlink>
          </w:p>
        </w:tc>
        <w:tc>
          <w:tcPr>
            <w:tcW w:w="2110" w:type="dxa"/>
            <w:tcBorders>
              <w:top w:val="single" w:sz="4" w:space="0" w:color="auto"/>
              <w:left w:val="single" w:sz="4" w:space="0" w:color="auto"/>
              <w:bottom w:val="nil"/>
              <w:right w:val="single" w:sz="4" w:space="0" w:color="auto"/>
            </w:tcBorders>
            <w:hideMark/>
          </w:tcPr>
          <w:p w:rsidR="0077327F" w:rsidRPr="00CE5B34" w:rsidRDefault="0077327F" w:rsidP="0081553D">
            <w:pPr>
              <w:spacing w:after="0" w:line="240" w:lineRule="auto"/>
              <w:rPr>
                <w:rFonts w:ascii="Calibri" w:eastAsia="Times New Roman" w:hAnsi="Calibri" w:cs="Calibri"/>
                <w:color w:val="000000"/>
                <w:sz w:val="20"/>
                <w:szCs w:val="20"/>
                <w:lang w:eastAsia="en-NZ"/>
              </w:rPr>
            </w:pPr>
            <w:r w:rsidRPr="00CE5B34">
              <w:rPr>
                <w:rFonts w:ascii="Calibri" w:eastAsia="Times New Roman" w:hAnsi="Calibri" w:cs="Calibri"/>
                <w:color w:val="000000"/>
                <w:sz w:val="20"/>
                <w:szCs w:val="20"/>
                <w:lang w:eastAsia="en-NZ"/>
              </w:rPr>
              <w:t xml:space="preserve">Monitoring report on suspensions </w:t>
            </w:r>
            <w:r w:rsidR="00553512" w:rsidRPr="00CE5B34">
              <w:rPr>
                <w:rFonts w:ascii="Calibri" w:eastAsia="Times New Roman" w:hAnsi="Calibri" w:cs="Calibri"/>
                <w:color w:val="000000"/>
                <w:sz w:val="20"/>
                <w:szCs w:val="20"/>
                <w:lang w:eastAsia="en-NZ"/>
              </w:rPr>
              <w:t>etc.</w:t>
            </w:r>
            <w:r w:rsidRPr="00CE5B34">
              <w:rPr>
                <w:rFonts w:ascii="Calibri" w:eastAsia="Times New Roman" w:hAnsi="Calibri" w:cs="Calibri"/>
                <w:color w:val="000000"/>
                <w:sz w:val="20"/>
                <w:szCs w:val="20"/>
                <w:lang w:eastAsia="en-NZ"/>
              </w:rPr>
              <w:t xml:space="preserve"> data in NZ schools 2001-2015</w:t>
            </w:r>
            <w:r w:rsidR="00553512">
              <w:rPr>
                <w:rFonts w:ascii="Calibri" w:eastAsia="Times New Roman" w:hAnsi="Calibri" w:cs="Calibri"/>
                <w:color w:val="000000"/>
                <w:sz w:val="20"/>
                <w:szCs w:val="20"/>
                <w:lang w:eastAsia="en-NZ"/>
              </w:rPr>
              <w:t>.</w:t>
            </w:r>
          </w:p>
        </w:tc>
        <w:tc>
          <w:tcPr>
            <w:tcW w:w="4320" w:type="dxa"/>
            <w:tcBorders>
              <w:top w:val="single" w:sz="4" w:space="0" w:color="auto"/>
              <w:left w:val="single" w:sz="4" w:space="0" w:color="auto"/>
              <w:bottom w:val="nil"/>
              <w:right w:val="single" w:sz="4" w:space="0" w:color="auto"/>
            </w:tcBorders>
            <w:hideMark/>
          </w:tcPr>
          <w:p w:rsidR="0077327F" w:rsidRPr="00CE5B34" w:rsidRDefault="0077327F" w:rsidP="0081553D">
            <w:pPr>
              <w:spacing w:after="0" w:line="240" w:lineRule="auto"/>
              <w:rPr>
                <w:rFonts w:ascii="Calibri" w:eastAsia="Times New Roman" w:hAnsi="Calibri" w:cs="Calibri"/>
                <w:color w:val="000000"/>
                <w:sz w:val="20"/>
                <w:szCs w:val="20"/>
                <w:lang w:eastAsia="en-NZ"/>
              </w:rPr>
            </w:pPr>
            <w:r w:rsidRPr="00CE5B34">
              <w:rPr>
                <w:rFonts w:ascii="Calibri" w:eastAsia="Times New Roman" w:hAnsi="Calibri" w:cs="Calibri"/>
                <w:color w:val="000000"/>
                <w:sz w:val="20"/>
                <w:szCs w:val="20"/>
                <w:lang w:eastAsia="en-NZ"/>
              </w:rPr>
              <w:t xml:space="preserve">Min Ed data across all schools, 2001-2015. Presentation of data broken down by type (suspension, stand-down </w:t>
            </w:r>
            <w:r w:rsidR="00553512" w:rsidRPr="00CE5B34">
              <w:rPr>
                <w:rFonts w:ascii="Calibri" w:eastAsia="Times New Roman" w:hAnsi="Calibri" w:cs="Calibri"/>
                <w:color w:val="000000"/>
                <w:sz w:val="20"/>
                <w:szCs w:val="20"/>
                <w:lang w:eastAsia="en-NZ"/>
              </w:rPr>
              <w:t>etc.</w:t>
            </w:r>
            <w:r w:rsidRPr="00CE5B34">
              <w:rPr>
                <w:rFonts w:ascii="Calibri" w:eastAsia="Times New Roman" w:hAnsi="Calibri" w:cs="Calibri"/>
                <w:color w:val="000000"/>
                <w:sz w:val="20"/>
                <w:szCs w:val="20"/>
                <w:lang w:eastAsia="en-NZ"/>
              </w:rPr>
              <w:t xml:space="preserve">), </w:t>
            </w:r>
            <w:r w:rsidR="00553512" w:rsidRPr="00CE5B34">
              <w:rPr>
                <w:rFonts w:ascii="Calibri" w:eastAsia="Times New Roman" w:hAnsi="Calibri" w:cs="Calibri"/>
                <w:color w:val="000000"/>
                <w:sz w:val="20"/>
                <w:szCs w:val="20"/>
                <w:lang w:eastAsia="en-NZ"/>
              </w:rPr>
              <w:t>quintile</w:t>
            </w:r>
            <w:r w:rsidRPr="00CE5B34">
              <w:rPr>
                <w:rFonts w:ascii="Calibri" w:eastAsia="Times New Roman" w:hAnsi="Calibri" w:cs="Calibri"/>
                <w:color w:val="000000"/>
                <w:sz w:val="20"/>
                <w:szCs w:val="20"/>
                <w:lang w:eastAsia="en-NZ"/>
              </w:rPr>
              <w:t>, ethnicity, age, gender and by behaviour type.</w:t>
            </w:r>
          </w:p>
        </w:tc>
        <w:tc>
          <w:tcPr>
            <w:tcW w:w="4470" w:type="dxa"/>
            <w:vMerge w:val="restart"/>
            <w:tcBorders>
              <w:top w:val="single" w:sz="4" w:space="0" w:color="auto"/>
              <w:left w:val="nil"/>
              <w:bottom w:val="nil"/>
              <w:right w:val="single" w:sz="4" w:space="0" w:color="auto"/>
            </w:tcBorders>
            <w:vAlign w:val="bottom"/>
            <w:hideMark/>
          </w:tcPr>
          <w:p w:rsidR="0077327F" w:rsidRPr="00CE5B34" w:rsidRDefault="0077327F" w:rsidP="0081553D">
            <w:pPr>
              <w:spacing w:after="0" w:line="240" w:lineRule="auto"/>
              <w:rPr>
                <w:rFonts w:ascii="Calibri" w:eastAsia="Times New Roman" w:hAnsi="Calibri" w:cs="Calibri"/>
                <w:color w:val="000000"/>
                <w:sz w:val="20"/>
                <w:szCs w:val="20"/>
                <w:lang w:eastAsia="en-NZ"/>
              </w:rPr>
            </w:pPr>
            <w:r w:rsidRPr="00CE5B34">
              <w:rPr>
                <w:rFonts w:ascii="Calibri" w:eastAsia="Times New Roman" w:hAnsi="Calibri" w:cs="Calibri"/>
                <w:color w:val="000000"/>
                <w:sz w:val="20"/>
                <w:szCs w:val="20"/>
                <w:lang w:eastAsia="en-NZ"/>
              </w:rPr>
              <w:t xml:space="preserve">Suspensions </w:t>
            </w:r>
            <w:r w:rsidR="00553512" w:rsidRPr="00CE5B34">
              <w:rPr>
                <w:rFonts w:ascii="Calibri" w:eastAsia="Times New Roman" w:hAnsi="Calibri" w:cs="Calibri"/>
                <w:color w:val="000000"/>
                <w:sz w:val="20"/>
                <w:szCs w:val="20"/>
                <w:lang w:eastAsia="en-NZ"/>
              </w:rPr>
              <w:t>etc.</w:t>
            </w:r>
            <w:r w:rsidRPr="00CE5B34">
              <w:rPr>
                <w:rFonts w:ascii="Calibri" w:eastAsia="Times New Roman" w:hAnsi="Calibri" w:cs="Calibri"/>
                <w:color w:val="000000"/>
                <w:sz w:val="20"/>
                <w:szCs w:val="20"/>
                <w:lang w:eastAsia="en-NZ"/>
              </w:rPr>
              <w:t xml:space="preserve"> have fallen </w:t>
            </w:r>
            <w:r w:rsidR="00553512" w:rsidRPr="00CE5B34">
              <w:rPr>
                <w:rFonts w:ascii="Calibri" w:eastAsia="Times New Roman" w:hAnsi="Calibri" w:cs="Calibri"/>
                <w:color w:val="000000"/>
                <w:sz w:val="20"/>
                <w:szCs w:val="20"/>
                <w:lang w:eastAsia="en-NZ"/>
              </w:rPr>
              <w:t>steadily</w:t>
            </w:r>
            <w:r w:rsidRPr="00CE5B34">
              <w:rPr>
                <w:rFonts w:ascii="Calibri" w:eastAsia="Times New Roman" w:hAnsi="Calibri" w:cs="Calibri"/>
                <w:color w:val="000000"/>
                <w:sz w:val="20"/>
                <w:szCs w:val="20"/>
                <w:lang w:eastAsia="en-NZ"/>
              </w:rPr>
              <w:t xml:space="preserve"> since 2001. For drug-related and smoking/alcohol behaviours, the rate of suspensions </w:t>
            </w:r>
            <w:r w:rsidR="00553512" w:rsidRPr="00CE5B34">
              <w:rPr>
                <w:rFonts w:ascii="Calibri" w:eastAsia="Times New Roman" w:hAnsi="Calibri" w:cs="Calibri"/>
                <w:color w:val="000000"/>
                <w:sz w:val="20"/>
                <w:szCs w:val="20"/>
                <w:lang w:eastAsia="en-NZ"/>
              </w:rPr>
              <w:t>etc.</w:t>
            </w:r>
            <w:r w:rsidRPr="00CE5B34">
              <w:rPr>
                <w:rFonts w:ascii="Calibri" w:eastAsia="Times New Roman" w:hAnsi="Calibri" w:cs="Calibri"/>
                <w:color w:val="000000"/>
                <w:sz w:val="20"/>
                <w:szCs w:val="20"/>
                <w:lang w:eastAsia="en-NZ"/>
              </w:rPr>
              <w:t xml:space="preserve"> has plummeted. Focus on achieving target of 85% of 18-year olds achieving NCEA Level 2 or an equivalent qualification has focused </w:t>
            </w:r>
            <w:r w:rsidR="00553512" w:rsidRPr="00CE5B34">
              <w:rPr>
                <w:rFonts w:ascii="Calibri" w:eastAsia="Times New Roman" w:hAnsi="Calibri" w:cs="Calibri"/>
                <w:color w:val="000000"/>
                <w:sz w:val="20"/>
                <w:szCs w:val="20"/>
                <w:lang w:eastAsia="en-NZ"/>
              </w:rPr>
              <w:t>attention</w:t>
            </w:r>
            <w:r w:rsidR="00553512">
              <w:rPr>
                <w:rFonts w:ascii="Calibri" w:eastAsia="Times New Roman" w:hAnsi="Calibri" w:cs="Calibri"/>
                <w:color w:val="000000"/>
                <w:sz w:val="20"/>
                <w:szCs w:val="20"/>
                <w:lang w:eastAsia="en-NZ"/>
              </w:rPr>
              <w:t xml:space="preserve"> </w:t>
            </w:r>
            <w:r w:rsidRPr="00CE5B34">
              <w:rPr>
                <w:rFonts w:ascii="Calibri" w:eastAsia="Times New Roman" w:hAnsi="Calibri" w:cs="Calibri"/>
                <w:color w:val="000000"/>
                <w:sz w:val="20"/>
                <w:szCs w:val="20"/>
                <w:lang w:eastAsia="en-NZ"/>
              </w:rPr>
              <w:t xml:space="preserve">on suspensions, which are predominantly a secondary school issue. The monitoring report notes: "Research emphasises the importance of proactive partnerships with parents and a strategy focused on both </w:t>
            </w:r>
            <w:r w:rsidRPr="00CE5B34">
              <w:rPr>
                <w:rFonts w:ascii="Calibri" w:eastAsia="Times New Roman" w:hAnsi="Calibri" w:cs="Calibri"/>
                <w:color w:val="000000"/>
                <w:sz w:val="20"/>
                <w:szCs w:val="20"/>
                <w:lang w:eastAsia="en-NZ"/>
              </w:rPr>
              <w:lastRenderedPageBreak/>
              <w:t>achievement and behaviour. Approaches that are focused only on disciplinary or pastoral responses have been found to be ineffective for positive outcomes." (p3)</w:t>
            </w:r>
          </w:p>
        </w:tc>
      </w:tr>
      <w:tr w:rsidR="0077327F" w:rsidRPr="00CE5B34" w:rsidTr="0081553D">
        <w:trPr>
          <w:trHeight w:val="300"/>
        </w:trPr>
        <w:tc>
          <w:tcPr>
            <w:tcW w:w="666" w:type="dxa"/>
            <w:tcBorders>
              <w:top w:val="nil"/>
              <w:left w:val="single" w:sz="4" w:space="0" w:color="auto"/>
              <w:bottom w:val="nil"/>
              <w:right w:val="single" w:sz="4" w:space="0" w:color="auto"/>
            </w:tcBorders>
            <w:noWrap/>
            <w:vAlign w:val="bottom"/>
            <w:hideMark/>
          </w:tcPr>
          <w:p w:rsidR="0077327F" w:rsidRPr="00CE5B34" w:rsidRDefault="0077327F" w:rsidP="0081553D">
            <w:pPr>
              <w:spacing w:after="0" w:line="240" w:lineRule="auto"/>
              <w:rPr>
                <w:rFonts w:ascii="Calibri" w:eastAsia="Times New Roman" w:hAnsi="Calibri" w:cs="Calibri"/>
                <w:color w:val="000000"/>
                <w:sz w:val="20"/>
                <w:szCs w:val="20"/>
                <w:lang w:eastAsia="en-NZ"/>
              </w:rPr>
            </w:pPr>
          </w:p>
        </w:tc>
        <w:tc>
          <w:tcPr>
            <w:tcW w:w="2980" w:type="dxa"/>
            <w:tcBorders>
              <w:top w:val="nil"/>
              <w:left w:val="single" w:sz="4" w:space="0" w:color="auto"/>
              <w:bottom w:val="nil"/>
              <w:right w:val="single" w:sz="4" w:space="0" w:color="auto"/>
            </w:tcBorders>
            <w:noWrap/>
            <w:vAlign w:val="bottom"/>
            <w:hideMark/>
          </w:tcPr>
          <w:p w:rsidR="0077327F" w:rsidRPr="00CE5B34" w:rsidRDefault="0077327F" w:rsidP="0081553D">
            <w:pPr>
              <w:spacing w:after="0" w:line="240" w:lineRule="auto"/>
              <w:rPr>
                <w:rFonts w:ascii="Calibri" w:eastAsia="Times New Roman" w:hAnsi="Calibri" w:cs="Calibri"/>
                <w:color w:val="000000"/>
                <w:sz w:val="20"/>
                <w:szCs w:val="20"/>
                <w:lang w:eastAsia="en-NZ"/>
              </w:rPr>
            </w:pPr>
          </w:p>
        </w:tc>
        <w:tc>
          <w:tcPr>
            <w:tcW w:w="2110" w:type="dxa"/>
            <w:tcBorders>
              <w:top w:val="nil"/>
              <w:left w:val="single" w:sz="4" w:space="0" w:color="auto"/>
              <w:bottom w:val="nil"/>
              <w:right w:val="single" w:sz="4" w:space="0" w:color="auto"/>
            </w:tcBorders>
            <w:noWrap/>
            <w:hideMark/>
          </w:tcPr>
          <w:p w:rsidR="0077327F" w:rsidRPr="00CE5B34" w:rsidRDefault="0077327F" w:rsidP="0081553D">
            <w:pPr>
              <w:spacing w:after="0" w:line="240" w:lineRule="auto"/>
              <w:rPr>
                <w:rFonts w:ascii="Calibri" w:eastAsia="Times New Roman" w:hAnsi="Calibri" w:cs="Calibri"/>
                <w:color w:val="000000"/>
                <w:sz w:val="20"/>
                <w:szCs w:val="20"/>
                <w:lang w:eastAsia="en-NZ"/>
              </w:rPr>
            </w:pPr>
          </w:p>
        </w:tc>
        <w:tc>
          <w:tcPr>
            <w:tcW w:w="4320" w:type="dxa"/>
            <w:tcBorders>
              <w:top w:val="nil"/>
              <w:left w:val="single" w:sz="4" w:space="0" w:color="auto"/>
              <w:bottom w:val="nil"/>
              <w:right w:val="single" w:sz="4" w:space="0" w:color="auto"/>
            </w:tcBorders>
            <w:noWrap/>
            <w:vAlign w:val="bottom"/>
            <w:hideMark/>
          </w:tcPr>
          <w:p w:rsidR="0077327F" w:rsidRPr="00CE5B34" w:rsidRDefault="0077327F" w:rsidP="0081553D">
            <w:pPr>
              <w:spacing w:after="0" w:line="240" w:lineRule="auto"/>
              <w:rPr>
                <w:rFonts w:ascii="Calibri" w:eastAsia="Times New Roman" w:hAnsi="Calibri" w:cs="Calibri"/>
                <w:sz w:val="20"/>
                <w:szCs w:val="20"/>
                <w:lang w:eastAsia="en-NZ"/>
              </w:rPr>
            </w:pPr>
          </w:p>
        </w:tc>
        <w:tc>
          <w:tcPr>
            <w:tcW w:w="4470" w:type="dxa"/>
            <w:vMerge/>
            <w:tcBorders>
              <w:top w:val="single" w:sz="4" w:space="0" w:color="auto"/>
              <w:left w:val="nil"/>
              <w:bottom w:val="nil"/>
              <w:right w:val="single" w:sz="4" w:space="0" w:color="auto"/>
            </w:tcBorders>
            <w:vAlign w:val="center"/>
            <w:hideMark/>
          </w:tcPr>
          <w:p w:rsidR="0077327F" w:rsidRPr="00CE5B34" w:rsidRDefault="0077327F" w:rsidP="0081553D">
            <w:pPr>
              <w:spacing w:after="0" w:line="240" w:lineRule="auto"/>
              <w:rPr>
                <w:rFonts w:ascii="Calibri" w:eastAsia="Times New Roman" w:hAnsi="Calibri" w:cs="Calibri"/>
                <w:color w:val="000000"/>
                <w:sz w:val="20"/>
                <w:szCs w:val="20"/>
                <w:lang w:eastAsia="en-NZ"/>
              </w:rPr>
            </w:pPr>
          </w:p>
        </w:tc>
      </w:tr>
      <w:tr w:rsidR="0077327F" w:rsidRPr="00CE5B34" w:rsidTr="0081553D">
        <w:trPr>
          <w:trHeight w:val="300"/>
        </w:trPr>
        <w:tc>
          <w:tcPr>
            <w:tcW w:w="666" w:type="dxa"/>
            <w:tcBorders>
              <w:top w:val="nil"/>
              <w:left w:val="single" w:sz="4" w:space="0" w:color="auto"/>
              <w:bottom w:val="single" w:sz="4" w:space="0" w:color="auto"/>
              <w:right w:val="single" w:sz="4" w:space="0" w:color="auto"/>
            </w:tcBorders>
            <w:noWrap/>
            <w:vAlign w:val="bottom"/>
            <w:hideMark/>
          </w:tcPr>
          <w:p w:rsidR="0077327F" w:rsidRPr="00CE5B34" w:rsidRDefault="0077327F" w:rsidP="0081553D">
            <w:pPr>
              <w:spacing w:after="0" w:line="240" w:lineRule="auto"/>
              <w:rPr>
                <w:rFonts w:ascii="Calibri" w:eastAsia="Times New Roman" w:hAnsi="Calibri" w:cs="Calibri"/>
                <w:sz w:val="20"/>
                <w:szCs w:val="20"/>
                <w:lang w:eastAsia="en-NZ"/>
              </w:rPr>
            </w:pPr>
          </w:p>
        </w:tc>
        <w:tc>
          <w:tcPr>
            <w:tcW w:w="2980" w:type="dxa"/>
            <w:tcBorders>
              <w:top w:val="nil"/>
              <w:left w:val="single" w:sz="4" w:space="0" w:color="auto"/>
              <w:bottom w:val="single" w:sz="4" w:space="0" w:color="auto"/>
              <w:right w:val="single" w:sz="4" w:space="0" w:color="auto"/>
            </w:tcBorders>
            <w:noWrap/>
            <w:vAlign w:val="bottom"/>
            <w:hideMark/>
          </w:tcPr>
          <w:p w:rsidR="0077327F" w:rsidRPr="00CE5B34" w:rsidRDefault="0077327F" w:rsidP="0081553D">
            <w:pPr>
              <w:spacing w:after="0" w:line="240" w:lineRule="auto"/>
              <w:rPr>
                <w:rFonts w:ascii="Calibri" w:eastAsia="Times New Roman" w:hAnsi="Calibri" w:cs="Calibri"/>
                <w:color w:val="0563C1"/>
                <w:sz w:val="20"/>
                <w:szCs w:val="20"/>
                <w:u w:val="single"/>
                <w:lang w:eastAsia="en-NZ"/>
              </w:rPr>
            </w:pPr>
          </w:p>
        </w:tc>
        <w:tc>
          <w:tcPr>
            <w:tcW w:w="2110" w:type="dxa"/>
            <w:tcBorders>
              <w:top w:val="nil"/>
              <w:left w:val="single" w:sz="4" w:space="0" w:color="auto"/>
              <w:bottom w:val="single" w:sz="4" w:space="0" w:color="auto"/>
              <w:right w:val="single" w:sz="4" w:space="0" w:color="auto"/>
            </w:tcBorders>
            <w:noWrap/>
            <w:hideMark/>
          </w:tcPr>
          <w:p w:rsidR="0077327F" w:rsidRPr="00CE5B34" w:rsidRDefault="0077327F" w:rsidP="0081553D">
            <w:pPr>
              <w:spacing w:after="0" w:line="240" w:lineRule="auto"/>
              <w:rPr>
                <w:rFonts w:ascii="Calibri" w:eastAsia="Times New Roman" w:hAnsi="Calibri" w:cs="Calibri"/>
                <w:color w:val="0563C1"/>
                <w:sz w:val="20"/>
                <w:szCs w:val="20"/>
                <w:u w:val="single"/>
                <w:lang w:eastAsia="en-NZ"/>
              </w:rPr>
            </w:pPr>
          </w:p>
        </w:tc>
        <w:tc>
          <w:tcPr>
            <w:tcW w:w="4320" w:type="dxa"/>
            <w:tcBorders>
              <w:top w:val="nil"/>
              <w:left w:val="single" w:sz="4" w:space="0" w:color="auto"/>
              <w:bottom w:val="single" w:sz="4" w:space="0" w:color="auto"/>
              <w:right w:val="single" w:sz="4" w:space="0" w:color="auto"/>
            </w:tcBorders>
            <w:noWrap/>
            <w:vAlign w:val="bottom"/>
            <w:hideMark/>
          </w:tcPr>
          <w:p w:rsidR="0077327F" w:rsidRPr="00CE5B34" w:rsidRDefault="0077327F" w:rsidP="0081553D">
            <w:pPr>
              <w:spacing w:after="0" w:line="240" w:lineRule="auto"/>
              <w:rPr>
                <w:rFonts w:ascii="Calibri" w:eastAsia="Times New Roman" w:hAnsi="Calibri" w:cs="Calibri"/>
                <w:sz w:val="20"/>
                <w:szCs w:val="20"/>
                <w:lang w:eastAsia="en-NZ"/>
              </w:rPr>
            </w:pPr>
          </w:p>
        </w:tc>
        <w:tc>
          <w:tcPr>
            <w:tcW w:w="4470" w:type="dxa"/>
            <w:vMerge/>
            <w:tcBorders>
              <w:top w:val="single" w:sz="4" w:space="0" w:color="auto"/>
              <w:left w:val="nil"/>
              <w:bottom w:val="single" w:sz="4" w:space="0" w:color="auto"/>
              <w:right w:val="single" w:sz="4" w:space="0" w:color="auto"/>
            </w:tcBorders>
            <w:vAlign w:val="center"/>
            <w:hideMark/>
          </w:tcPr>
          <w:p w:rsidR="0077327F" w:rsidRPr="00CE5B34" w:rsidRDefault="0077327F" w:rsidP="0081553D">
            <w:pPr>
              <w:spacing w:after="0" w:line="240" w:lineRule="auto"/>
              <w:rPr>
                <w:rFonts w:ascii="Calibri" w:eastAsia="Times New Roman" w:hAnsi="Calibri" w:cs="Calibri"/>
                <w:color w:val="000000"/>
                <w:sz w:val="20"/>
                <w:szCs w:val="20"/>
                <w:lang w:eastAsia="en-NZ"/>
              </w:rPr>
            </w:pPr>
          </w:p>
        </w:tc>
      </w:tr>
      <w:tr w:rsidR="0077327F" w:rsidRPr="00CE5B34" w:rsidTr="0081553D">
        <w:trPr>
          <w:trHeight w:val="1545"/>
        </w:trPr>
        <w:tc>
          <w:tcPr>
            <w:tcW w:w="666" w:type="dxa"/>
            <w:tcBorders>
              <w:top w:val="single" w:sz="4" w:space="0" w:color="auto"/>
              <w:left w:val="single" w:sz="4" w:space="0" w:color="auto"/>
              <w:bottom w:val="single" w:sz="4" w:space="0" w:color="auto"/>
              <w:right w:val="single" w:sz="4" w:space="0" w:color="auto"/>
            </w:tcBorders>
            <w:noWrap/>
            <w:hideMark/>
          </w:tcPr>
          <w:p w:rsidR="0077327F" w:rsidRPr="00CE5B34" w:rsidRDefault="0077327F" w:rsidP="0081553D">
            <w:pPr>
              <w:spacing w:after="0" w:line="240" w:lineRule="auto"/>
              <w:jc w:val="right"/>
              <w:rPr>
                <w:rFonts w:ascii="Calibri" w:eastAsia="Times New Roman" w:hAnsi="Calibri" w:cs="Calibri"/>
                <w:b/>
                <w:bCs/>
                <w:color w:val="000000"/>
                <w:sz w:val="20"/>
                <w:szCs w:val="20"/>
                <w:lang w:eastAsia="en-NZ"/>
              </w:rPr>
            </w:pPr>
            <w:r w:rsidRPr="00CE5B34">
              <w:rPr>
                <w:rFonts w:ascii="Calibri" w:eastAsia="Times New Roman" w:hAnsi="Calibri" w:cs="Calibri"/>
                <w:b/>
                <w:bCs/>
                <w:color w:val="000000"/>
                <w:sz w:val="20"/>
                <w:szCs w:val="20"/>
                <w:lang w:eastAsia="en-NZ"/>
              </w:rPr>
              <w:lastRenderedPageBreak/>
              <w:t>2016</w:t>
            </w:r>
          </w:p>
        </w:tc>
        <w:tc>
          <w:tcPr>
            <w:tcW w:w="2980" w:type="dxa"/>
            <w:tcBorders>
              <w:top w:val="single" w:sz="4" w:space="0" w:color="auto"/>
              <w:left w:val="single" w:sz="4" w:space="0" w:color="auto"/>
              <w:bottom w:val="single" w:sz="4" w:space="0" w:color="auto"/>
              <w:right w:val="single" w:sz="4" w:space="0" w:color="auto"/>
            </w:tcBorders>
            <w:noWrap/>
            <w:hideMark/>
          </w:tcPr>
          <w:p w:rsidR="0077327F" w:rsidRDefault="0077327F" w:rsidP="0081553D">
            <w:pPr>
              <w:spacing w:after="0" w:line="240" w:lineRule="auto"/>
              <w:rPr>
                <w:rFonts w:ascii="Calibri" w:eastAsia="Times New Roman" w:hAnsi="Calibri" w:cs="Calibri"/>
                <w:color w:val="000000"/>
                <w:sz w:val="20"/>
                <w:szCs w:val="20"/>
                <w:lang w:eastAsia="en-NZ"/>
              </w:rPr>
            </w:pPr>
            <w:r w:rsidRPr="00CE5B34">
              <w:rPr>
                <w:rFonts w:ascii="Calibri" w:eastAsia="Times New Roman" w:hAnsi="Calibri" w:cs="Calibri"/>
                <w:color w:val="000000"/>
                <w:sz w:val="20"/>
                <w:szCs w:val="20"/>
                <w:lang w:eastAsia="en-NZ"/>
              </w:rPr>
              <w:t xml:space="preserve">Transient Students </w:t>
            </w:r>
          </w:p>
          <w:p w:rsidR="0077327F" w:rsidRDefault="0077327F" w:rsidP="0081553D">
            <w:pPr>
              <w:spacing w:after="0" w:line="240" w:lineRule="auto"/>
              <w:rPr>
                <w:rFonts w:ascii="Calibri" w:eastAsia="Times New Roman" w:hAnsi="Calibri" w:cs="Calibri"/>
                <w:color w:val="000000"/>
                <w:sz w:val="20"/>
                <w:szCs w:val="20"/>
                <w:lang w:eastAsia="en-NZ"/>
              </w:rPr>
            </w:pPr>
            <w:r w:rsidRPr="00CE5B34">
              <w:rPr>
                <w:rFonts w:ascii="Calibri" w:eastAsia="Times New Roman" w:hAnsi="Calibri" w:cs="Calibri"/>
                <w:color w:val="000000"/>
                <w:sz w:val="20"/>
                <w:szCs w:val="20"/>
                <w:lang w:eastAsia="en-NZ"/>
              </w:rPr>
              <w:t>Ministry of Education</w:t>
            </w:r>
            <w:r>
              <w:rPr>
                <w:rFonts w:ascii="Calibri" w:eastAsia="Times New Roman" w:hAnsi="Calibri" w:cs="Calibri"/>
                <w:color w:val="000000"/>
                <w:sz w:val="20"/>
                <w:szCs w:val="20"/>
                <w:lang w:eastAsia="en-NZ"/>
              </w:rPr>
              <w:t>, New Zealand</w:t>
            </w:r>
            <w:r w:rsidR="00553512">
              <w:rPr>
                <w:rFonts w:ascii="Calibri" w:eastAsia="Times New Roman" w:hAnsi="Calibri" w:cs="Calibri"/>
                <w:color w:val="000000"/>
                <w:sz w:val="20"/>
                <w:szCs w:val="20"/>
                <w:lang w:eastAsia="en-NZ"/>
              </w:rPr>
              <w:t>.</w:t>
            </w:r>
          </w:p>
          <w:p w:rsidR="0077327F" w:rsidRPr="00CE5B34" w:rsidRDefault="00A43D35" w:rsidP="0081553D">
            <w:pPr>
              <w:spacing w:after="0" w:line="240" w:lineRule="auto"/>
              <w:rPr>
                <w:rFonts w:ascii="Calibri" w:eastAsia="Times New Roman" w:hAnsi="Calibri" w:cs="Calibri"/>
                <w:color w:val="000000"/>
                <w:sz w:val="20"/>
                <w:szCs w:val="20"/>
                <w:lang w:eastAsia="en-NZ"/>
              </w:rPr>
            </w:pPr>
            <w:hyperlink r:id="rId24" w:history="1">
              <w:r w:rsidR="0077327F" w:rsidRPr="00CE5B34">
                <w:rPr>
                  <w:rFonts w:ascii="Calibri" w:eastAsia="Times New Roman" w:hAnsi="Calibri" w:cs="Calibri"/>
                  <w:color w:val="0563C1"/>
                  <w:sz w:val="20"/>
                  <w:szCs w:val="20"/>
                  <w:u w:val="single"/>
                  <w:lang w:eastAsia="en-NZ"/>
                </w:rPr>
                <w:t>Available here</w:t>
              </w:r>
            </w:hyperlink>
          </w:p>
        </w:tc>
        <w:tc>
          <w:tcPr>
            <w:tcW w:w="2110" w:type="dxa"/>
            <w:tcBorders>
              <w:top w:val="single" w:sz="4" w:space="0" w:color="auto"/>
              <w:left w:val="single" w:sz="4" w:space="0" w:color="auto"/>
              <w:bottom w:val="single" w:sz="4" w:space="0" w:color="auto"/>
              <w:right w:val="single" w:sz="4" w:space="0" w:color="auto"/>
            </w:tcBorders>
            <w:hideMark/>
          </w:tcPr>
          <w:p w:rsidR="0077327F" w:rsidRPr="00CE5B34" w:rsidRDefault="0077327F" w:rsidP="0081553D">
            <w:pPr>
              <w:spacing w:after="0" w:line="240" w:lineRule="auto"/>
              <w:rPr>
                <w:rFonts w:ascii="Calibri" w:eastAsia="Times New Roman" w:hAnsi="Calibri" w:cs="Calibri"/>
                <w:color w:val="000000"/>
                <w:sz w:val="20"/>
                <w:szCs w:val="20"/>
                <w:lang w:eastAsia="en-NZ"/>
              </w:rPr>
            </w:pPr>
            <w:r w:rsidRPr="00CE5B34">
              <w:rPr>
                <w:rFonts w:ascii="Calibri" w:eastAsia="Times New Roman" w:hAnsi="Calibri" w:cs="Calibri"/>
                <w:color w:val="000000"/>
                <w:sz w:val="20"/>
                <w:szCs w:val="20"/>
                <w:lang w:eastAsia="en-NZ"/>
              </w:rPr>
              <w:t>New Zealand transience data monitoring report. Brief findings of relationship between transience and NCEA results.</w:t>
            </w:r>
          </w:p>
        </w:tc>
        <w:tc>
          <w:tcPr>
            <w:tcW w:w="4320" w:type="dxa"/>
            <w:tcBorders>
              <w:top w:val="single" w:sz="4" w:space="0" w:color="auto"/>
              <w:left w:val="single" w:sz="4" w:space="0" w:color="auto"/>
              <w:bottom w:val="single" w:sz="4" w:space="0" w:color="auto"/>
              <w:right w:val="single" w:sz="4" w:space="0" w:color="auto"/>
            </w:tcBorders>
            <w:hideMark/>
          </w:tcPr>
          <w:p w:rsidR="0077327F" w:rsidRPr="00CE5B34" w:rsidRDefault="0077327F" w:rsidP="0081553D">
            <w:pPr>
              <w:spacing w:after="0" w:line="240" w:lineRule="auto"/>
              <w:rPr>
                <w:rFonts w:ascii="Calibri" w:eastAsia="Times New Roman" w:hAnsi="Calibri" w:cs="Calibri"/>
                <w:color w:val="000000"/>
                <w:sz w:val="20"/>
                <w:szCs w:val="20"/>
                <w:lang w:eastAsia="en-NZ"/>
              </w:rPr>
            </w:pPr>
            <w:r w:rsidRPr="00CE5B34">
              <w:rPr>
                <w:rFonts w:ascii="Calibri" w:eastAsia="Times New Roman" w:hAnsi="Calibri" w:cs="Calibri"/>
                <w:color w:val="000000"/>
                <w:sz w:val="20"/>
                <w:szCs w:val="20"/>
                <w:lang w:eastAsia="en-NZ"/>
              </w:rPr>
              <w:t xml:space="preserve">Methodology not clear from publication. Brief findings and graph do not discuss any confounding issues that might impact on students' lower pass rates at NCEA level 2.  </w:t>
            </w:r>
          </w:p>
        </w:tc>
        <w:tc>
          <w:tcPr>
            <w:tcW w:w="4470" w:type="dxa"/>
            <w:tcBorders>
              <w:top w:val="single" w:sz="4" w:space="0" w:color="auto"/>
              <w:left w:val="nil"/>
              <w:bottom w:val="single" w:sz="4" w:space="0" w:color="auto"/>
              <w:right w:val="single" w:sz="4" w:space="0" w:color="auto"/>
            </w:tcBorders>
            <w:hideMark/>
          </w:tcPr>
          <w:p w:rsidR="0077327F" w:rsidRPr="00CE5B34" w:rsidRDefault="0077327F" w:rsidP="0081553D">
            <w:pPr>
              <w:spacing w:after="0" w:line="240" w:lineRule="auto"/>
              <w:rPr>
                <w:rFonts w:ascii="Calibri" w:eastAsia="Times New Roman" w:hAnsi="Calibri" w:cs="Calibri"/>
                <w:color w:val="000000"/>
                <w:sz w:val="20"/>
                <w:szCs w:val="20"/>
                <w:lang w:eastAsia="en-NZ"/>
              </w:rPr>
            </w:pPr>
            <w:r w:rsidRPr="00CE5B34">
              <w:rPr>
                <w:rFonts w:ascii="Calibri" w:eastAsia="Times New Roman" w:hAnsi="Calibri" w:cs="Calibri"/>
                <w:color w:val="000000"/>
                <w:sz w:val="20"/>
                <w:szCs w:val="20"/>
                <w:lang w:eastAsia="en-NZ"/>
              </w:rPr>
              <w:t>Students who have moved school twice or more across Year 9 to Year 11 are less than half as likely to achieve NCEA Level 2 or above by the time they leave school compared to those who have not moved school.</w:t>
            </w:r>
            <w:r w:rsidRPr="00CE5B34">
              <w:rPr>
                <w:rFonts w:ascii="Calibri" w:eastAsia="Times New Roman" w:hAnsi="Calibri" w:cs="Calibri"/>
                <w:color w:val="000000"/>
                <w:sz w:val="20"/>
                <w:szCs w:val="20"/>
                <w:lang w:eastAsia="en-NZ"/>
              </w:rPr>
              <w:br/>
              <w:t>Students who have not moved school from Year 9 to Year 11 achieve NCEA Level 2 or above at a rate of 82% by the time they leave school, compared to those who have moved school twice or more who achieve NCEA Level 2 or above at a rate of 35%. The report notes (not referenced) that "a recent study found that school movement had an even stronger effect on educational success than residential movement."</w:t>
            </w:r>
          </w:p>
        </w:tc>
      </w:tr>
      <w:tr w:rsidR="0077327F" w:rsidRPr="00CE5B34" w:rsidTr="0081553D">
        <w:trPr>
          <w:trHeight w:val="4905"/>
        </w:trPr>
        <w:tc>
          <w:tcPr>
            <w:tcW w:w="666" w:type="dxa"/>
            <w:tcBorders>
              <w:top w:val="single" w:sz="4" w:space="0" w:color="auto"/>
              <w:left w:val="single" w:sz="4" w:space="0" w:color="auto"/>
              <w:right w:val="single" w:sz="4" w:space="0" w:color="auto"/>
            </w:tcBorders>
            <w:noWrap/>
            <w:hideMark/>
          </w:tcPr>
          <w:p w:rsidR="0077327F" w:rsidRPr="00CE5B34" w:rsidRDefault="0077327F" w:rsidP="0081553D">
            <w:pPr>
              <w:spacing w:after="0" w:line="240" w:lineRule="auto"/>
              <w:jc w:val="right"/>
              <w:rPr>
                <w:rFonts w:ascii="Calibri" w:eastAsia="Times New Roman" w:hAnsi="Calibri" w:cs="Calibri"/>
                <w:b/>
                <w:bCs/>
                <w:color w:val="000000"/>
                <w:sz w:val="20"/>
                <w:szCs w:val="20"/>
                <w:lang w:eastAsia="en-NZ"/>
              </w:rPr>
            </w:pPr>
            <w:r w:rsidRPr="00CE5B34">
              <w:rPr>
                <w:rFonts w:ascii="Calibri" w:eastAsia="Times New Roman" w:hAnsi="Calibri" w:cs="Calibri"/>
                <w:b/>
                <w:bCs/>
                <w:color w:val="000000"/>
                <w:sz w:val="20"/>
                <w:szCs w:val="20"/>
                <w:lang w:eastAsia="en-NZ"/>
              </w:rPr>
              <w:t>2017</w:t>
            </w:r>
          </w:p>
        </w:tc>
        <w:tc>
          <w:tcPr>
            <w:tcW w:w="2980" w:type="dxa"/>
            <w:tcBorders>
              <w:top w:val="single" w:sz="4" w:space="0" w:color="auto"/>
              <w:left w:val="single" w:sz="4" w:space="0" w:color="auto"/>
              <w:right w:val="single" w:sz="4" w:space="0" w:color="auto"/>
            </w:tcBorders>
            <w:hideMark/>
          </w:tcPr>
          <w:p w:rsidR="0077327F" w:rsidRDefault="0077327F" w:rsidP="0081553D">
            <w:pPr>
              <w:spacing w:after="0" w:line="240" w:lineRule="auto"/>
              <w:rPr>
                <w:rFonts w:ascii="Calibri" w:eastAsia="Times New Roman" w:hAnsi="Calibri" w:cs="Calibri"/>
                <w:color w:val="000000"/>
                <w:sz w:val="20"/>
                <w:szCs w:val="20"/>
                <w:lang w:eastAsia="en-NZ"/>
              </w:rPr>
            </w:pPr>
            <w:r w:rsidRPr="00CE5B34">
              <w:rPr>
                <w:rFonts w:ascii="Calibri" w:eastAsia="Times New Roman" w:hAnsi="Calibri" w:cs="Calibri"/>
                <w:color w:val="000000"/>
                <w:sz w:val="20"/>
                <w:szCs w:val="20"/>
                <w:lang w:eastAsia="en-NZ"/>
              </w:rPr>
              <w:t xml:space="preserve">Associations between school absence and academic achievement: Do socioeconomics matter? </w:t>
            </w:r>
          </w:p>
          <w:p w:rsidR="00E55027" w:rsidRDefault="0077327F" w:rsidP="00E55027">
            <w:pPr>
              <w:spacing w:after="0" w:line="240" w:lineRule="auto"/>
              <w:rPr>
                <w:rFonts w:ascii="Calibri" w:eastAsia="Times New Roman" w:hAnsi="Calibri" w:cs="Calibri"/>
                <w:color w:val="000000"/>
                <w:sz w:val="20"/>
                <w:szCs w:val="20"/>
                <w:lang w:eastAsia="en-NZ"/>
              </w:rPr>
            </w:pPr>
            <w:r w:rsidRPr="00CE5B34">
              <w:rPr>
                <w:rFonts w:ascii="Calibri" w:eastAsia="Times New Roman" w:hAnsi="Calibri" w:cs="Calibri"/>
                <w:color w:val="000000"/>
                <w:sz w:val="20"/>
                <w:szCs w:val="20"/>
                <w:lang w:eastAsia="en-NZ"/>
              </w:rPr>
              <w:t>DOI: 10.1002/berj.3267</w:t>
            </w:r>
            <w:r w:rsidR="00E55027" w:rsidRPr="00CE5B34">
              <w:rPr>
                <w:rFonts w:ascii="Calibri" w:eastAsia="Times New Roman" w:hAnsi="Calibri" w:cs="Calibri"/>
                <w:color w:val="000000"/>
                <w:sz w:val="20"/>
                <w:szCs w:val="20"/>
                <w:lang w:eastAsia="en-NZ"/>
              </w:rPr>
              <w:t xml:space="preserve"> </w:t>
            </w:r>
          </w:p>
          <w:p w:rsidR="00E55027" w:rsidRDefault="00E55027" w:rsidP="00E55027">
            <w:pPr>
              <w:spacing w:after="0" w:line="240" w:lineRule="auto"/>
              <w:rPr>
                <w:rFonts w:ascii="Calibri" w:eastAsia="Times New Roman" w:hAnsi="Calibri" w:cs="Calibri"/>
                <w:color w:val="000000"/>
                <w:sz w:val="20"/>
                <w:szCs w:val="20"/>
                <w:lang w:eastAsia="en-NZ"/>
              </w:rPr>
            </w:pPr>
            <w:r w:rsidRPr="00CE5B34">
              <w:rPr>
                <w:rFonts w:ascii="Calibri" w:eastAsia="Times New Roman" w:hAnsi="Calibri" w:cs="Calibri"/>
                <w:color w:val="000000"/>
                <w:sz w:val="20"/>
                <w:szCs w:val="20"/>
                <w:lang w:eastAsia="en-NZ"/>
              </w:rPr>
              <w:t>Hancock et al</w:t>
            </w:r>
            <w:r>
              <w:rPr>
                <w:rFonts w:ascii="Calibri" w:eastAsia="Times New Roman" w:hAnsi="Calibri" w:cs="Calibri"/>
                <w:color w:val="000000"/>
                <w:sz w:val="20"/>
                <w:szCs w:val="20"/>
                <w:lang w:eastAsia="en-NZ"/>
              </w:rPr>
              <w:t>.</w:t>
            </w:r>
          </w:p>
          <w:p w:rsidR="0077327F" w:rsidRPr="00CE5B34" w:rsidRDefault="0077327F" w:rsidP="0081553D">
            <w:pPr>
              <w:spacing w:after="0" w:line="240" w:lineRule="auto"/>
              <w:rPr>
                <w:rFonts w:ascii="Calibri" w:eastAsia="Times New Roman" w:hAnsi="Calibri" w:cs="Calibri"/>
                <w:color w:val="000000"/>
                <w:sz w:val="20"/>
                <w:szCs w:val="20"/>
                <w:lang w:eastAsia="en-NZ"/>
              </w:rPr>
            </w:pPr>
          </w:p>
        </w:tc>
        <w:tc>
          <w:tcPr>
            <w:tcW w:w="2110" w:type="dxa"/>
            <w:tcBorders>
              <w:top w:val="single" w:sz="4" w:space="0" w:color="auto"/>
              <w:left w:val="single" w:sz="4" w:space="0" w:color="auto"/>
              <w:right w:val="single" w:sz="4" w:space="0" w:color="auto"/>
            </w:tcBorders>
            <w:hideMark/>
          </w:tcPr>
          <w:p w:rsidR="0077327F" w:rsidRPr="00CE5B34" w:rsidRDefault="0077327F" w:rsidP="0081553D">
            <w:pPr>
              <w:spacing w:after="0" w:line="240" w:lineRule="auto"/>
              <w:rPr>
                <w:rFonts w:ascii="Calibri" w:eastAsia="Times New Roman" w:hAnsi="Calibri" w:cs="Calibri"/>
                <w:color w:val="000000"/>
                <w:sz w:val="20"/>
                <w:szCs w:val="20"/>
                <w:lang w:eastAsia="en-NZ"/>
              </w:rPr>
            </w:pPr>
            <w:r w:rsidRPr="00CE5B34">
              <w:rPr>
                <w:rFonts w:ascii="Calibri" w:eastAsia="Times New Roman" w:hAnsi="Calibri" w:cs="Calibri"/>
                <w:color w:val="000000"/>
                <w:sz w:val="20"/>
                <w:szCs w:val="20"/>
                <w:lang w:eastAsia="en-NZ"/>
              </w:rPr>
              <w:t>Attendance, achievement, socioeconomic background.</w:t>
            </w:r>
          </w:p>
        </w:tc>
        <w:tc>
          <w:tcPr>
            <w:tcW w:w="4320" w:type="dxa"/>
            <w:vMerge w:val="restart"/>
            <w:tcBorders>
              <w:top w:val="single" w:sz="4" w:space="0" w:color="auto"/>
              <w:left w:val="single" w:sz="4" w:space="0" w:color="auto"/>
              <w:bottom w:val="single" w:sz="4" w:space="0" w:color="auto"/>
              <w:right w:val="single" w:sz="4" w:space="0" w:color="auto"/>
            </w:tcBorders>
            <w:hideMark/>
          </w:tcPr>
          <w:p w:rsidR="0077327F" w:rsidRPr="00CE5B34" w:rsidRDefault="0077327F" w:rsidP="0081553D">
            <w:pPr>
              <w:spacing w:after="0" w:line="240" w:lineRule="auto"/>
              <w:rPr>
                <w:rFonts w:ascii="Calibri" w:eastAsia="Times New Roman" w:hAnsi="Calibri" w:cs="Calibri"/>
                <w:color w:val="000000"/>
                <w:sz w:val="20"/>
                <w:szCs w:val="20"/>
                <w:lang w:eastAsia="en-NZ"/>
              </w:rPr>
            </w:pPr>
            <w:r w:rsidRPr="00CE5B34">
              <w:rPr>
                <w:rFonts w:ascii="Calibri" w:eastAsia="Times New Roman" w:hAnsi="Calibri" w:cs="Calibri"/>
                <w:color w:val="000000"/>
                <w:sz w:val="20"/>
                <w:szCs w:val="20"/>
                <w:lang w:eastAsia="en-NZ"/>
              </w:rPr>
              <w:t>Enrolment, absence and achievement records of 89,365 Year 5, 7 and 9 students attending government schools in Western Australian between 2008 and 2012. Multivariate</w:t>
            </w:r>
            <w:r w:rsidRPr="00CE5B34">
              <w:rPr>
                <w:rFonts w:ascii="Calibri" w:eastAsia="Times New Roman" w:hAnsi="Calibri" w:cs="Calibri"/>
                <w:color w:val="000000"/>
                <w:sz w:val="20"/>
                <w:szCs w:val="20"/>
                <w:lang w:eastAsia="en-NZ"/>
              </w:rPr>
              <w:br/>
              <w:t>multi-level modelling methods were used to estimate numeracy, writing and reading outcomes based on school absence, and interactions between levels of absence and school socioeconomic index (SEI), prior achievement, gender, ethnicity, language background, parent education and occupation status. The main limitation of the study is that the data do not include the 33% of students</w:t>
            </w:r>
            <w:r w:rsidRPr="00CE5B34">
              <w:rPr>
                <w:rFonts w:ascii="Calibri" w:eastAsia="Times New Roman" w:hAnsi="Calibri" w:cs="Calibri"/>
                <w:color w:val="000000"/>
                <w:sz w:val="20"/>
                <w:szCs w:val="20"/>
                <w:lang w:eastAsia="en-NZ"/>
              </w:rPr>
              <w:br/>
              <w:t>in Western Australia who attend non-government schools. This is a more pronounced issue in later school years, as non-government schools take up an increasing</w:t>
            </w:r>
            <w:r w:rsidRPr="00CE5B34">
              <w:rPr>
                <w:rFonts w:ascii="Calibri" w:eastAsia="Times New Roman" w:hAnsi="Calibri" w:cs="Calibri"/>
                <w:color w:val="000000"/>
                <w:sz w:val="20"/>
                <w:szCs w:val="20"/>
                <w:lang w:eastAsia="en-NZ"/>
              </w:rPr>
              <w:br/>
              <w:t xml:space="preserve">share of the student population. </w:t>
            </w:r>
          </w:p>
        </w:tc>
        <w:tc>
          <w:tcPr>
            <w:tcW w:w="4470" w:type="dxa"/>
            <w:vMerge w:val="restart"/>
            <w:tcBorders>
              <w:top w:val="single" w:sz="4" w:space="0" w:color="auto"/>
              <w:left w:val="nil"/>
              <w:bottom w:val="single" w:sz="4" w:space="0" w:color="auto"/>
              <w:right w:val="single" w:sz="4" w:space="0" w:color="auto"/>
            </w:tcBorders>
            <w:hideMark/>
          </w:tcPr>
          <w:p w:rsidR="0077327F" w:rsidRPr="00CE5B34" w:rsidRDefault="0077327F" w:rsidP="0081553D">
            <w:pPr>
              <w:spacing w:after="0" w:line="240" w:lineRule="auto"/>
              <w:rPr>
                <w:rFonts w:ascii="Calibri" w:eastAsia="Times New Roman" w:hAnsi="Calibri" w:cs="Calibri"/>
                <w:color w:val="000000"/>
                <w:sz w:val="20"/>
                <w:szCs w:val="20"/>
                <w:lang w:eastAsia="en-NZ"/>
              </w:rPr>
            </w:pPr>
            <w:r w:rsidRPr="00CE5B34">
              <w:rPr>
                <w:rFonts w:ascii="Calibri" w:eastAsia="Times New Roman" w:hAnsi="Calibri" w:cs="Calibri"/>
                <w:color w:val="000000"/>
                <w:sz w:val="20"/>
                <w:szCs w:val="20"/>
                <w:lang w:eastAsia="en-NZ"/>
              </w:rPr>
              <w:t>For numeracy and reading achievement outcomes, higher levels of absence and lower achievement were more strongly associated for previously high achieving students. For writing achievement, this association was smaller for previously high-achieving students. The authors note the previous literature on this topic has also been inconsistent. The broader narrative of student absences has mainly focused on absence being a problem for disadvantaged students or for disadvantaged schools. While our findings were consistent with some of these findings, our results showed that the effects of absence on achievement appear to be larger for students attending more advantaged schools, and students with higher levels of prior achievement. Thus, while disadvantaged schools should rightfully aim to reduce absences, given that these schools on average have higher rates of absence and lower achievement</w:t>
            </w:r>
            <w:r w:rsidRPr="00CE5B34">
              <w:rPr>
                <w:rFonts w:ascii="Calibri" w:eastAsia="Times New Roman" w:hAnsi="Calibri" w:cs="Calibri"/>
                <w:color w:val="000000"/>
                <w:sz w:val="20"/>
                <w:szCs w:val="20"/>
                <w:lang w:eastAsia="en-NZ"/>
              </w:rPr>
              <w:br/>
              <w:t xml:space="preserve">scores, these results show that high-achieving students or those attending more advantaged schools are not ‘immune’ to the effects of absence, and that absence is therefore an important issue for all students and all schools, irrespective of social background. </w:t>
            </w:r>
          </w:p>
        </w:tc>
      </w:tr>
      <w:tr w:rsidR="0077327F" w:rsidRPr="00CE5B34" w:rsidTr="0081553D">
        <w:trPr>
          <w:trHeight w:val="300"/>
        </w:trPr>
        <w:tc>
          <w:tcPr>
            <w:tcW w:w="666" w:type="dxa"/>
            <w:tcBorders>
              <w:left w:val="single" w:sz="4" w:space="0" w:color="auto"/>
              <w:bottom w:val="single" w:sz="4" w:space="0" w:color="auto"/>
              <w:right w:val="single" w:sz="4" w:space="0" w:color="auto"/>
            </w:tcBorders>
            <w:noWrap/>
            <w:vAlign w:val="bottom"/>
            <w:hideMark/>
          </w:tcPr>
          <w:p w:rsidR="0077327F" w:rsidRPr="00CE5B34" w:rsidRDefault="0077327F" w:rsidP="0081553D">
            <w:pPr>
              <w:spacing w:after="0" w:line="240" w:lineRule="auto"/>
              <w:rPr>
                <w:rFonts w:ascii="Calibri" w:eastAsia="Times New Roman" w:hAnsi="Calibri" w:cs="Calibri"/>
                <w:color w:val="000000"/>
                <w:sz w:val="20"/>
                <w:szCs w:val="20"/>
                <w:lang w:eastAsia="en-NZ"/>
              </w:rPr>
            </w:pPr>
          </w:p>
        </w:tc>
        <w:tc>
          <w:tcPr>
            <w:tcW w:w="2980" w:type="dxa"/>
            <w:tcBorders>
              <w:left w:val="single" w:sz="4" w:space="0" w:color="auto"/>
              <w:bottom w:val="single" w:sz="4" w:space="0" w:color="auto"/>
              <w:right w:val="single" w:sz="4" w:space="0" w:color="auto"/>
            </w:tcBorders>
            <w:noWrap/>
            <w:vAlign w:val="bottom"/>
            <w:hideMark/>
          </w:tcPr>
          <w:p w:rsidR="0077327F" w:rsidRPr="00CE5B34" w:rsidRDefault="0077327F" w:rsidP="0081553D">
            <w:pPr>
              <w:spacing w:after="0" w:line="240" w:lineRule="auto"/>
              <w:rPr>
                <w:rFonts w:ascii="Calibri" w:eastAsia="Times New Roman" w:hAnsi="Calibri" w:cs="Calibri"/>
                <w:color w:val="000000"/>
                <w:sz w:val="20"/>
                <w:szCs w:val="20"/>
                <w:lang w:eastAsia="en-NZ"/>
              </w:rPr>
            </w:pPr>
          </w:p>
        </w:tc>
        <w:tc>
          <w:tcPr>
            <w:tcW w:w="2110" w:type="dxa"/>
            <w:tcBorders>
              <w:left w:val="single" w:sz="4" w:space="0" w:color="auto"/>
              <w:bottom w:val="single" w:sz="4" w:space="0" w:color="auto"/>
              <w:right w:val="single" w:sz="4" w:space="0" w:color="auto"/>
            </w:tcBorders>
            <w:noWrap/>
            <w:vAlign w:val="bottom"/>
            <w:hideMark/>
          </w:tcPr>
          <w:p w:rsidR="0077327F" w:rsidRPr="00CE5B34" w:rsidRDefault="0077327F" w:rsidP="0081553D">
            <w:pPr>
              <w:spacing w:after="0" w:line="240" w:lineRule="auto"/>
              <w:rPr>
                <w:rFonts w:ascii="Calibri" w:eastAsia="Times New Roman" w:hAnsi="Calibri" w:cs="Calibri"/>
                <w:color w:val="000000"/>
                <w:sz w:val="20"/>
                <w:szCs w:val="20"/>
                <w:lang w:eastAsia="en-NZ"/>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77327F" w:rsidRPr="00CE5B34" w:rsidRDefault="0077327F" w:rsidP="0081553D">
            <w:pPr>
              <w:spacing w:after="0" w:line="240" w:lineRule="auto"/>
              <w:rPr>
                <w:rFonts w:ascii="Calibri" w:eastAsia="Times New Roman" w:hAnsi="Calibri" w:cs="Calibri"/>
                <w:color w:val="000000"/>
                <w:sz w:val="20"/>
                <w:szCs w:val="20"/>
                <w:lang w:eastAsia="en-NZ"/>
              </w:rPr>
            </w:pPr>
          </w:p>
        </w:tc>
        <w:tc>
          <w:tcPr>
            <w:tcW w:w="4470" w:type="dxa"/>
            <w:vMerge/>
            <w:tcBorders>
              <w:top w:val="single" w:sz="4" w:space="0" w:color="auto"/>
              <w:left w:val="nil"/>
              <w:bottom w:val="single" w:sz="4" w:space="0" w:color="auto"/>
              <w:right w:val="single" w:sz="4" w:space="0" w:color="auto"/>
            </w:tcBorders>
            <w:vAlign w:val="center"/>
            <w:hideMark/>
          </w:tcPr>
          <w:p w:rsidR="0077327F" w:rsidRPr="00CE5B34" w:rsidRDefault="0077327F" w:rsidP="0081553D">
            <w:pPr>
              <w:spacing w:after="0" w:line="240" w:lineRule="auto"/>
              <w:rPr>
                <w:rFonts w:ascii="Calibri" w:eastAsia="Times New Roman" w:hAnsi="Calibri" w:cs="Calibri"/>
                <w:color w:val="000000"/>
                <w:sz w:val="20"/>
                <w:szCs w:val="20"/>
                <w:lang w:eastAsia="en-NZ"/>
              </w:rPr>
            </w:pPr>
          </w:p>
        </w:tc>
      </w:tr>
    </w:tbl>
    <w:p w:rsidR="00553512" w:rsidRDefault="00553512">
      <w:r>
        <w:lastRenderedPageBreak/>
        <w:br w:type="page"/>
      </w:r>
    </w:p>
    <w:p w:rsidR="0077327F" w:rsidRDefault="0077327F" w:rsidP="0077327F">
      <w:pPr>
        <w:spacing w:after="120"/>
      </w:pPr>
    </w:p>
    <w:tbl>
      <w:tblPr>
        <w:tblW w:w="14546" w:type="dxa"/>
        <w:tblInd w:w="-289" w:type="dxa"/>
        <w:tblCellMar>
          <w:top w:w="15" w:type="dxa"/>
          <w:bottom w:w="15" w:type="dxa"/>
        </w:tblCellMar>
        <w:tblLook w:val="04A0" w:firstRow="1" w:lastRow="0" w:firstColumn="1" w:lastColumn="0" w:noHBand="0" w:noVBand="1"/>
      </w:tblPr>
      <w:tblGrid>
        <w:gridCol w:w="666"/>
        <w:gridCol w:w="2980"/>
        <w:gridCol w:w="2110"/>
        <w:gridCol w:w="4320"/>
        <w:gridCol w:w="4470"/>
      </w:tblGrid>
      <w:tr w:rsidR="00943955" w:rsidRPr="00CE5B34" w:rsidTr="00965604">
        <w:trPr>
          <w:trHeight w:val="315"/>
        </w:trPr>
        <w:tc>
          <w:tcPr>
            <w:tcW w:w="14546" w:type="dxa"/>
            <w:gridSpan w:val="5"/>
            <w:tcBorders>
              <w:top w:val="single" w:sz="4" w:space="0" w:color="auto"/>
              <w:left w:val="single" w:sz="4" w:space="0" w:color="auto"/>
              <w:bottom w:val="single" w:sz="4" w:space="0" w:color="auto"/>
              <w:right w:val="nil"/>
            </w:tcBorders>
            <w:shd w:val="clear" w:color="auto" w:fill="C0D7F1" w:themeFill="text2" w:themeFillTint="33"/>
            <w:noWrap/>
            <w:vAlign w:val="bottom"/>
            <w:hideMark/>
          </w:tcPr>
          <w:p w:rsidR="00943955" w:rsidRPr="00CE5B34" w:rsidRDefault="00943955" w:rsidP="00965604">
            <w:pPr>
              <w:spacing w:after="0" w:line="240" w:lineRule="auto"/>
              <w:jc w:val="center"/>
              <w:rPr>
                <w:rFonts w:ascii="Calibri" w:eastAsia="Times New Roman" w:hAnsi="Calibri" w:cs="Calibri"/>
                <w:b/>
                <w:bCs/>
                <w:color w:val="000000"/>
                <w:sz w:val="20"/>
                <w:szCs w:val="20"/>
                <w:lang w:eastAsia="en-NZ"/>
              </w:rPr>
            </w:pPr>
            <w:r w:rsidRPr="00CE5B34">
              <w:rPr>
                <w:rFonts w:ascii="Calibri" w:eastAsia="Times New Roman" w:hAnsi="Calibri" w:cs="Calibri"/>
                <w:b/>
                <w:bCs/>
                <w:color w:val="000000"/>
                <w:sz w:val="20"/>
                <w:szCs w:val="20"/>
                <w:lang w:eastAsia="en-NZ"/>
              </w:rPr>
              <w:t>Assessments of effectiveness of the Health Promoting Schools (HPS) framework</w:t>
            </w:r>
            <w:r w:rsidR="002051C0">
              <w:rPr>
                <w:rFonts w:ascii="Calibri" w:eastAsia="Times New Roman" w:hAnsi="Calibri" w:cs="Calibri"/>
                <w:b/>
                <w:bCs/>
                <w:color w:val="000000"/>
                <w:sz w:val="20"/>
                <w:szCs w:val="20"/>
                <w:lang w:eastAsia="en-NZ"/>
              </w:rPr>
              <w:t xml:space="preserve"> to improve the health and well</w:t>
            </w:r>
            <w:r w:rsidRPr="00CE5B34">
              <w:rPr>
                <w:rFonts w:ascii="Calibri" w:eastAsia="Times New Roman" w:hAnsi="Calibri" w:cs="Calibri"/>
                <w:b/>
                <w:bCs/>
                <w:color w:val="000000"/>
                <w:sz w:val="20"/>
                <w:szCs w:val="20"/>
                <w:lang w:eastAsia="en-NZ"/>
              </w:rPr>
              <w:t>being of students and their academic achievement</w:t>
            </w:r>
          </w:p>
        </w:tc>
      </w:tr>
      <w:tr w:rsidR="00943955" w:rsidRPr="00CE5B34" w:rsidTr="00965604">
        <w:trPr>
          <w:trHeight w:val="315"/>
        </w:trPr>
        <w:tc>
          <w:tcPr>
            <w:tcW w:w="666" w:type="dxa"/>
            <w:tcBorders>
              <w:top w:val="single" w:sz="4" w:space="0" w:color="auto"/>
              <w:left w:val="single" w:sz="4" w:space="0" w:color="auto"/>
              <w:bottom w:val="single" w:sz="4" w:space="0" w:color="auto"/>
              <w:right w:val="single" w:sz="4" w:space="0" w:color="auto"/>
            </w:tcBorders>
            <w:shd w:val="clear" w:color="auto" w:fill="C0D7F1" w:themeFill="text2" w:themeFillTint="33"/>
            <w:noWrap/>
            <w:vAlign w:val="bottom"/>
            <w:hideMark/>
          </w:tcPr>
          <w:p w:rsidR="00943955" w:rsidRPr="00CE5B34" w:rsidRDefault="00943955" w:rsidP="00965604">
            <w:pPr>
              <w:spacing w:after="0" w:line="240" w:lineRule="auto"/>
              <w:rPr>
                <w:rFonts w:ascii="Calibri" w:eastAsia="Times New Roman" w:hAnsi="Calibri" w:cs="Calibri"/>
                <w:b/>
                <w:bCs/>
                <w:color w:val="000000"/>
                <w:sz w:val="20"/>
                <w:szCs w:val="20"/>
                <w:lang w:eastAsia="en-NZ"/>
              </w:rPr>
            </w:pPr>
            <w:r w:rsidRPr="00CE5B34">
              <w:rPr>
                <w:rFonts w:ascii="Calibri" w:eastAsia="Times New Roman" w:hAnsi="Calibri" w:cs="Calibri"/>
                <w:b/>
                <w:bCs/>
                <w:color w:val="000000"/>
                <w:sz w:val="20"/>
                <w:szCs w:val="20"/>
                <w:lang w:eastAsia="en-NZ"/>
              </w:rPr>
              <w:t>Year</w:t>
            </w:r>
          </w:p>
        </w:tc>
        <w:tc>
          <w:tcPr>
            <w:tcW w:w="2980" w:type="dxa"/>
            <w:tcBorders>
              <w:top w:val="single" w:sz="4" w:space="0" w:color="auto"/>
              <w:left w:val="single" w:sz="4" w:space="0" w:color="auto"/>
              <w:bottom w:val="single" w:sz="4" w:space="0" w:color="auto"/>
              <w:right w:val="single" w:sz="4" w:space="0" w:color="auto"/>
            </w:tcBorders>
            <w:shd w:val="clear" w:color="auto" w:fill="C0D7F1" w:themeFill="text2" w:themeFillTint="33"/>
            <w:noWrap/>
            <w:vAlign w:val="bottom"/>
            <w:hideMark/>
          </w:tcPr>
          <w:p w:rsidR="00943955" w:rsidRPr="00CE5B34" w:rsidRDefault="00943955" w:rsidP="00965604">
            <w:pPr>
              <w:spacing w:after="0" w:line="240" w:lineRule="auto"/>
              <w:rPr>
                <w:rFonts w:ascii="Calibri" w:eastAsia="Times New Roman" w:hAnsi="Calibri" w:cs="Calibri"/>
                <w:b/>
                <w:bCs/>
                <w:color w:val="000000"/>
                <w:sz w:val="20"/>
                <w:szCs w:val="20"/>
                <w:lang w:eastAsia="en-NZ"/>
              </w:rPr>
            </w:pPr>
            <w:r w:rsidRPr="00CE5B34">
              <w:rPr>
                <w:rFonts w:ascii="Calibri" w:eastAsia="Times New Roman" w:hAnsi="Calibri" w:cs="Calibri"/>
                <w:b/>
                <w:bCs/>
                <w:color w:val="000000"/>
                <w:sz w:val="20"/>
                <w:szCs w:val="20"/>
                <w:lang w:eastAsia="en-NZ"/>
              </w:rPr>
              <w:t>Name and other details</w:t>
            </w:r>
          </w:p>
        </w:tc>
        <w:tc>
          <w:tcPr>
            <w:tcW w:w="2110" w:type="dxa"/>
            <w:tcBorders>
              <w:top w:val="single" w:sz="4" w:space="0" w:color="auto"/>
              <w:left w:val="single" w:sz="4" w:space="0" w:color="auto"/>
              <w:bottom w:val="single" w:sz="4" w:space="0" w:color="auto"/>
              <w:right w:val="single" w:sz="4" w:space="0" w:color="auto"/>
            </w:tcBorders>
            <w:shd w:val="clear" w:color="auto" w:fill="C0D7F1" w:themeFill="text2" w:themeFillTint="33"/>
            <w:noWrap/>
            <w:vAlign w:val="bottom"/>
            <w:hideMark/>
          </w:tcPr>
          <w:p w:rsidR="00943955" w:rsidRPr="00CE5B34" w:rsidRDefault="00943955" w:rsidP="00965604">
            <w:pPr>
              <w:spacing w:after="0" w:line="240" w:lineRule="auto"/>
              <w:rPr>
                <w:rFonts w:ascii="Calibri" w:eastAsia="Times New Roman" w:hAnsi="Calibri" w:cs="Calibri"/>
                <w:b/>
                <w:bCs/>
                <w:color w:val="000000"/>
                <w:sz w:val="20"/>
                <w:szCs w:val="20"/>
                <w:lang w:eastAsia="en-NZ"/>
              </w:rPr>
            </w:pPr>
            <w:r w:rsidRPr="00CE5B34">
              <w:rPr>
                <w:rFonts w:ascii="Calibri" w:eastAsia="Times New Roman" w:hAnsi="Calibri" w:cs="Calibri"/>
                <w:b/>
                <w:bCs/>
                <w:color w:val="000000"/>
                <w:sz w:val="20"/>
                <w:szCs w:val="20"/>
                <w:lang w:eastAsia="en-NZ"/>
              </w:rPr>
              <w:t>Variables considered</w:t>
            </w:r>
          </w:p>
        </w:tc>
        <w:tc>
          <w:tcPr>
            <w:tcW w:w="4320" w:type="dxa"/>
            <w:tcBorders>
              <w:top w:val="single" w:sz="4" w:space="0" w:color="auto"/>
              <w:left w:val="single" w:sz="4" w:space="0" w:color="auto"/>
              <w:bottom w:val="single" w:sz="4" w:space="0" w:color="auto"/>
              <w:right w:val="single" w:sz="4" w:space="0" w:color="auto"/>
            </w:tcBorders>
            <w:shd w:val="clear" w:color="auto" w:fill="C0D7F1" w:themeFill="text2" w:themeFillTint="33"/>
            <w:noWrap/>
            <w:vAlign w:val="bottom"/>
            <w:hideMark/>
          </w:tcPr>
          <w:p w:rsidR="00943955" w:rsidRPr="00CE5B34" w:rsidRDefault="00943955" w:rsidP="00965604">
            <w:pPr>
              <w:spacing w:after="0" w:line="240" w:lineRule="auto"/>
              <w:rPr>
                <w:rFonts w:ascii="Calibri" w:eastAsia="Times New Roman" w:hAnsi="Calibri" w:cs="Calibri"/>
                <w:b/>
                <w:bCs/>
                <w:color w:val="000000"/>
                <w:sz w:val="20"/>
                <w:szCs w:val="20"/>
                <w:lang w:eastAsia="en-NZ"/>
              </w:rPr>
            </w:pPr>
            <w:r w:rsidRPr="00CE5B34">
              <w:rPr>
                <w:rFonts w:ascii="Calibri" w:eastAsia="Times New Roman" w:hAnsi="Calibri" w:cs="Calibri"/>
                <w:b/>
                <w:bCs/>
                <w:color w:val="000000"/>
                <w:sz w:val="20"/>
                <w:szCs w:val="20"/>
                <w:lang w:eastAsia="en-NZ"/>
              </w:rPr>
              <w:t>Methodology incl sample size and duration</w:t>
            </w:r>
          </w:p>
        </w:tc>
        <w:tc>
          <w:tcPr>
            <w:tcW w:w="4470" w:type="dxa"/>
            <w:tcBorders>
              <w:top w:val="single" w:sz="4" w:space="0" w:color="auto"/>
              <w:left w:val="single" w:sz="4" w:space="0" w:color="auto"/>
              <w:bottom w:val="single" w:sz="4" w:space="0" w:color="auto"/>
              <w:right w:val="single" w:sz="4" w:space="0" w:color="auto"/>
            </w:tcBorders>
            <w:shd w:val="clear" w:color="auto" w:fill="C0D7F1" w:themeFill="text2" w:themeFillTint="33"/>
            <w:vAlign w:val="bottom"/>
            <w:hideMark/>
          </w:tcPr>
          <w:p w:rsidR="00943955" w:rsidRPr="00CE5B34" w:rsidRDefault="00943955" w:rsidP="00965604">
            <w:pPr>
              <w:spacing w:after="0" w:line="240" w:lineRule="auto"/>
              <w:jc w:val="center"/>
              <w:rPr>
                <w:rFonts w:ascii="Calibri" w:eastAsia="Times New Roman" w:hAnsi="Calibri" w:cs="Calibri"/>
                <w:b/>
                <w:bCs/>
                <w:color w:val="000000"/>
                <w:sz w:val="20"/>
                <w:szCs w:val="20"/>
                <w:lang w:eastAsia="en-NZ"/>
              </w:rPr>
            </w:pPr>
            <w:r w:rsidRPr="00CE5B34">
              <w:rPr>
                <w:rFonts w:ascii="Calibri" w:eastAsia="Times New Roman" w:hAnsi="Calibri" w:cs="Calibri"/>
                <w:b/>
                <w:bCs/>
                <w:color w:val="000000"/>
                <w:sz w:val="20"/>
                <w:szCs w:val="20"/>
                <w:lang w:eastAsia="en-NZ"/>
              </w:rPr>
              <w:t>Correlation and/or predictor/ Results</w:t>
            </w:r>
          </w:p>
        </w:tc>
      </w:tr>
      <w:tr w:rsidR="00943955" w:rsidRPr="00CE5B34" w:rsidTr="00965604">
        <w:trPr>
          <w:trHeight w:val="300"/>
        </w:trPr>
        <w:tc>
          <w:tcPr>
            <w:tcW w:w="666" w:type="dxa"/>
            <w:tcBorders>
              <w:top w:val="single" w:sz="4" w:space="0" w:color="auto"/>
              <w:left w:val="single" w:sz="4" w:space="0" w:color="auto"/>
              <w:bottom w:val="nil"/>
              <w:right w:val="single" w:sz="4" w:space="0" w:color="auto"/>
            </w:tcBorders>
            <w:noWrap/>
            <w:vAlign w:val="bottom"/>
            <w:hideMark/>
          </w:tcPr>
          <w:p w:rsidR="00943955" w:rsidRPr="00CE5B34" w:rsidRDefault="00943955" w:rsidP="00965604">
            <w:pPr>
              <w:spacing w:after="0" w:line="240" w:lineRule="auto"/>
              <w:jc w:val="right"/>
              <w:rPr>
                <w:rFonts w:ascii="Calibri" w:eastAsia="Times New Roman" w:hAnsi="Calibri" w:cs="Calibri"/>
                <w:b/>
                <w:bCs/>
                <w:color w:val="000000"/>
                <w:sz w:val="20"/>
                <w:szCs w:val="20"/>
                <w:lang w:eastAsia="en-NZ"/>
              </w:rPr>
            </w:pPr>
            <w:r w:rsidRPr="00CE5B34">
              <w:rPr>
                <w:rFonts w:ascii="Calibri" w:eastAsia="Times New Roman" w:hAnsi="Calibri" w:cs="Calibri"/>
                <w:b/>
                <w:bCs/>
                <w:color w:val="000000"/>
                <w:sz w:val="20"/>
                <w:szCs w:val="20"/>
                <w:lang w:eastAsia="en-NZ"/>
              </w:rPr>
              <w:t>1999</w:t>
            </w:r>
          </w:p>
        </w:tc>
        <w:tc>
          <w:tcPr>
            <w:tcW w:w="2980" w:type="dxa"/>
            <w:tcBorders>
              <w:top w:val="single" w:sz="4" w:space="0" w:color="auto"/>
              <w:left w:val="single" w:sz="4" w:space="0" w:color="auto"/>
              <w:bottom w:val="nil"/>
              <w:right w:val="single" w:sz="4" w:space="0" w:color="auto"/>
            </w:tcBorders>
            <w:noWrap/>
            <w:vAlign w:val="bottom"/>
            <w:hideMark/>
          </w:tcPr>
          <w:p w:rsidR="00943955" w:rsidRPr="00CE5B34" w:rsidRDefault="00943955" w:rsidP="00965604">
            <w:pPr>
              <w:spacing w:after="0" w:line="240" w:lineRule="auto"/>
              <w:rPr>
                <w:rFonts w:ascii="Calibri" w:eastAsia="Times New Roman" w:hAnsi="Calibri" w:cs="Calibri"/>
                <w:color w:val="000000"/>
                <w:sz w:val="20"/>
                <w:szCs w:val="20"/>
                <w:lang w:eastAsia="en-NZ"/>
              </w:rPr>
            </w:pPr>
            <w:r w:rsidRPr="00CE5B34">
              <w:rPr>
                <w:rFonts w:ascii="Calibri" w:eastAsia="Times New Roman" w:hAnsi="Calibri" w:cs="Calibri"/>
                <w:color w:val="000000"/>
                <w:sz w:val="20"/>
                <w:szCs w:val="20"/>
                <w:lang w:eastAsia="en-NZ"/>
              </w:rPr>
              <w:t>St Leger, L.H.</w:t>
            </w:r>
          </w:p>
        </w:tc>
        <w:tc>
          <w:tcPr>
            <w:tcW w:w="2110" w:type="dxa"/>
            <w:tcBorders>
              <w:top w:val="single" w:sz="4" w:space="0" w:color="auto"/>
              <w:left w:val="single" w:sz="4" w:space="0" w:color="auto"/>
              <w:bottom w:val="nil"/>
              <w:right w:val="nil"/>
            </w:tcBorders>
            <w:noWrap/>
            <w:vAlign w:val="bottom"/>
            <w:hideMark/>
          </w:tcPr>
          <w:p w:rsidR="00943955" w:rsidRPr="00CE5B34" w:rsidRDefault="00943955" w:rsidP="00965604">
            <w:pPr>
              <w:spacing w:after="0" w:line="240" w:lineRule="auto"/>
              <w:rPr>
                <w:rFonts w:ascii="Calibri" w:eastAsia="Times New Roman" w:hAnsi="Calibri" w:cs="Calibri"/>
                <w:color w:val="000000"/>
                <w:sz w:val="20"/>
                <w:szCs w:val="20"/>
                <w:lang w:eastAsia="en-NZ"/>
              </w:rPr>
            </w:pPr>
            <w:r>
              <w:rPr>
                <w:rFonts w:ascii="Calibri" w:eastAsia="Times New Roman" w:hAnsi="Calibri" w:cs="Calibri"/>
                <w:color w:val="000000"/>
                <w:sz w:val="20"/>
                <w:szCs w:val="20"/>
                <w:lang w:eastAsia="en-NZ"/>
              </w:rPr>
              <w:t>Not applicable.</w:t>
            </w:r>
          </w:p>
        </w:tc>
        <w:tc>
          <w:tcPr>
            <w:tcW w:w="4320" w:type="dxa"/>
            <w:tcBorders>
              <w:top w:val="single" w:sz="4" w:space="0" w:color="auto"/>
              <w:left w:val="nil"/>
              <w:bottom w:val="nil"/>
              <w:right w:val="single" w:sz="4" w:space="0" w:color="auto"/>
            </w:tcBorders>
            <w:noWrap/>
            <w:vAlign w:val="bottom"/>
            <w:hideMark/>
          </w:tcPr>
          <w:p w:rsidR="00943955" w:rsidRPr="00CE5B34" w:rsidRDefault="00943955" w:rsidP="00965604">
            <w:pPr>
              <w:spacing w:after="0" w:line="240" w:lineRule="auto"/>
              <w:rPr>
                <w:rFonts w:ascii="Calibri" w:eastAsia="Times New Roman" w:hAnsi="Calibri" w:cs="Calibri"/>
                <w:sz w:val="20"/>
                <w:szCs w:val="20"/>
                <w:lang w:eastAsia="en-NZ"/>
              </w:rPr>
            </w:pPr>
          </w:p>
        </w:tc>
        <w:tc>
          <w:tcPr>
            <w:tcW w:w="4470" w:type="dxa"/>
            <w:vMerge w:val="restart"/>
            <w:tcBorders>
              <w:top w:val="single" w:sz="4" w:space="0" w:color="auto"/>
              <w:left w:val="single" w:sz="4" w:space="0" w:color="auto"/>
              <w:bottom w:val="single" w:sz="4" w:space="0" w:color="auto"/>
              <w:right w:val="single" w:sz="4" w:space="0" w:color="auto"/>
            </w:tcBorders>
            <w:hideMark/>
          </w:tcPr>
          <w:p w:rsidR="00943955" w:rsidRPr="00CE5B34" w:rsidRDefault="00943955" w:rsidP="00965604">
            <w:pPr>
              <w:spacing w:after="0" w:line="240" w:lineRule="auto"/>
              <w:rPr>
                <w:rFonts w:ascii="Calibri" w:eastAsia="Times New Roman" w:hAnsi="Calibri" w:cs="Calibri"/>
                <w:color w:val="000000"/>
                <w:sz w:val="20"/>
                <w:szCs w:val="20"/>
                <w:lang w:eastAsia="en-NZ"/>
              </w:rPr>
            </w:pPr>
            <w:r w:rsidRPr="00CE5B34">
              <w:rPr>
                <w:rFonts w:ascii="Calibri" w:eastAsia="Times New Roman" w:hAnsi="Calibri" w:cs="Calibri"/>
                <w:color w:val="000000"/>
                <w:sz w:val="20"/>
                <w:szCs w:val="20"/>
                <w:lang w:eastAsia="en-NZ"/>
              </w:rPr>
              <w:t>The health sector has largely ignored the vast literature on school organisation and improvement, teaching and learning practices, professional development, and in</w:t>
            </w:r>
            <w:r>
              <w:rPr>
                <w:rFonts w:ascii="Calibri" w:eastAsia="Times New Roman" w:hAnsi="Calibri" w:cs="Calibri"/>
                <w:color w:val="000000"/>
                <w:sz w:val="20"/>
                <w:szCs w:val="20"/>
                <w:lang w:eastAsia="en-NZ"/>
              </w:rPr>
              <w:t xml:space="preserve">novation and dissemination. </w:t>
            </w:r>
            <w:r w:rsidRPr="00CE5B34">
              <w:rPr>
                <w:rFonts w:ascii="Calibri" w:eastAsia="Times New Roman" w:hAnsi="Calibri" w:cs="Calibri"/>
                <w:color w:val="000000"/>
                <w:sz w:val="20"/>
                <w:szCs w:val="20"/>
                <w:lang w:eastAsia="en-NZ"/>
              </w:rPr>
              <w:t>Schools are complex places and the way forward in school health requires more sophisticated theoretical models which are based on both health and educational frameworks.</w:t>
            </w:r>
          </w:p>
        </w:tc>
      </w:tr>
      <w:tr w:rsidR="00943955" w:rsidRPr="00CE5B34" w:rsidTr="00965604">
        <w:trPr>
          <w:trHeight w:val="1800"/>
        </w:trPr>
        <w:tc>
          <w:tcPr>
            <w:tcW w:w="666" w:type="dxa"/>
            <w:tcBorders>
              <w:top w:val="nil"/>
              <w:left w:val="single" w:sz="4" w:space="0" w:color="auto"/>
              <w:bottom w:val="single" w:sz="4" w:space="0" w:color="auto"/>
              <w:right w:val="single" w:sz="4" w:space="0" w:color="auto"/>
            </w:tcBorders>
            <w:noWrap/>
            <w:vAlign w:val="bottom"/>
            <w:hideMark/>
          </w:tcPr>
          <w:p w:rsidR="00943955" w:rsidRPr="00CE5B34" w:rsidRDefault="00943955" w:rsidP="00965604">
            <w:pPr>
              <w:spacing w:after="0" w:line="240" w:lineRule="auto"/>
              <w:rPr>
                <w:rFonts w:ascii="Calibri" w:eastAsia="Times New Roman" w:hAnsi="Calibri" w:cs="Calibri"/>
                <w:color w:val="000000"/>
                <w:sz w:val="20"/>
                <w:szCs w:val="20"/>
                <w:lang w:eastAsia="en-NZ"/>
              </w:rPr>
            </w:pPr>
          </w:p>
        </w:tc>
        <w:tc>
          <w:tcPr>
            <w:tcW w:w="2980" w:type="dxa"/>
            <w:tcBorders>
              <w:top w:val="nil"/>
              <w:left w:val="single" w:sz="4" w:space="0" w:color="auto"/>
              <w:bottom w:val="single" w:sz="4" w:space="0" w:color="auto"/>
              <w:right w:val="single" w:sz="4" w:space="0" w:color="auto"/>
            </w:tcBorders>
            <w:vAlign w:val="bottom"/>
            <w:hideMark/>
          </w:tcPr>
          <w:p w:rsidR="00943955" w:rsidRPr="00CE5B34" w:rsidRDefault="00943955" w:rsidP="00965604">
            <w:pPr>
              <w:spacing w:after="0" w:line="240" w:lineRule="auto"/>
              <w:rPr>
                <w:rFonts w:ascii="Calibri" w:eastAsia="Times New Roman" w:hAnsi="Calibri" w:cs="Calibri"/>
                <w:color w:val="000000"/>
                <w:sz w:val="20"/>
                <w:szCs w:val="20"/>
                <w:lang w:eastAsia="en-NZ"/>
              </w:rPr>
            </w:pPr>
            <w:r w:rsidRPr="00CE5B34">
              <w:rPr>
                <w:rFonts w:ascii="Calibri" w:eastAsia="Times New Roman" w:hAnsi="Calibri" w:cs="Calibri"/>
                <w:color w:val="000000"/>
                <w:sz w:val="20"/>
                <w:szCs w:val="20"/>
                <w:lang w:eastAsia="en-NZ"/>
              </w:rPr>
              <w:t>Health Education Research Theory and Practice The opportunities and effectiveness of the health promoting primary school in improving child health-a review of the claims and evidence, Vol no.1</w:t>
            </w:r>
            <w:r>
              <w:rPr>
                <w:rFonts w:ascii="Calibri" w:eastAsia="Times New Roman" w:hAnsi="Calibri" w:cs="Calibri"/>
                <w:color w:val="000000"/>
                <w:sz w:val="20"/>
                <w:szCs w:val="20"/>
                <w:lang w:eastAsia="en-NZ"/>
              </w:rPr>
              <w:t>.</w:t>
            </w:r>
          </w:p>
        </w:tc>
        <w:tc>
          <w:tcPr>
            <w:tcW w:w="2110" w:type="dxa"/>
            <w:tcBorders>
              <w:top w:val="nil"/>
              <w:left w:val="single" w:sz="4" w:space="0" w:color="auto"/>
              <w:bottom w:val="single" w:sz="4" w:space="0" w:color="auto"/>
              <w:right w:val="nil"/>
            </w:tcBorders>
            <w:noWrap/>
            <w:vAlign w:val="bottom"/>
            <w:hideMark/>
          </w:tcPr>
          <w:p w:rsidR="00943955" w:rsidRPr="00CE5B34" w:rsidRDefault="00943955" w:rsidP="00965604">
            <w:pPr>
              <w:spacing w:after="0" w:line="240" w:lineRule="auto"/>
              <w:rPr>
                <w:rFonts w:ascii="Calibri" w:eastAsia="Times New Roman" w:hAnsi="Calibri" w:cs="Calibri"/>
                <w:color w:val="000000"/>
                <w:sz w:val="20"/>
                <w:szCs w:val="20"/>
                <w:lang w:eastAsia="en-NZ"/>
              </w:rPr>
            </w:pPr>
          </w:p>
        </w:tc>
        <w:tc>
          <w:tcPr>
            <w:tcW w:w="4320" w:type="dxa"/>
            <w:tcBorders>
              <w:top w:val="nil"/>
              <w:left w:val="nil"/>
              <w:bottom w:val="single" w:sz="4" w:space="0" w:color="auto"/>
              <w:right w:val="single" w:sz="4" w:space="0" w:color="auto"/>
            </w:tcBorders>
            <w:noWrap/>
            <w:vAlign w:val="bottom"/>
            <w:hideMark/>
          </w:tcPr>
          <w:p w:rsidR="00943955" w:rsidRPr="00CE5B34" w:rsidRDefault="00943955" w:rsidP="00965604">
            <w:pPr>
              <w:spacing w:after="0" w:line="240" w:lineRule="auto"/>
              <w:rPr>
                <w:rFonts w:ascii="Calibri" w:eastAsia="Times New Roman" w:hAnsi="Calibri" w:cs="Calibri"/>
                <w:sz w:val="20"/>
                <w:szCs w:val="20"/>
                <w:lang w:eastAsia="en-NZ"/>
              </w:rPr>
            </w:pPr>
          </w:p>
        </w:tc>
        <w:tc>
          <w:tcPr>
            <w:tcW w:w="4470" w:type="dxa"/>
            <w:vMerge/>
            <w:tcBorders>
              <w:top w:val="single" w:sz="4" w:space="0" w:color="auto"/>
              <w:left w:val="single" w:sz="4" w:space="0" w:color="auto"/>
              <w:bottom w:val="single" w:sz="4" w:space="0" w:color="auto"/>
              <w:right w:val="single" w:sz="4" w:space="0" w:color="auto"/>
            </w:tcBorders>
            <w:vAlign w:val="center"/>
            <w:hideMark/>
          </w:tcPr>
          <w:p w:rsidR="00943955" w:rsidRPr="00CE5B34" w:rsidRDefault="00943955" w:rsidP="00965604">
            <w:pPr>
              <w:spacing w:after="0" w:line="240" w:lineRule="auto"/>
              <w:rPr>
                <w:rFonts w:ascii="Calibri" w:eastAsia="Times New Roman" w:hAnsi="Calibri" w:cs="Calibri"/>
                <w:color w:val="000000"/>
                <w:sz w:val="20"/>
                <w:szCs w:val="20"/>
                <w:lang w:eastAsia="en-NZ"/>
              </w:rPr>
            </w:pPr>
          </w:p>
        </w:tc>
      </w:tr>
      <w:tr w:rsidR="00943955" w:rsidRPr="00CE5B34" w:rsidTr="00965604">
        <w:trPr>
          <w:trHeight w:val="1020"/>
        </w:trPr>
        <w:tc>
          <w:tcPr>
            <w:tcW w:w="666" w:type="dxa"/>
            <w:tcBorders>
              <w:top w:val="single" w:sz="4" w:space="0" w:color="auto"/>
              <w:left w:val="single" w:sz="4" w:space="0" w:color="auto"/>
              <w:bottom w:val="single" w:sz="4" w:space="0" w:color="auto"/>
              <w:right w:val="single" w:sz="4" w:space="0" w:color="auto"/>
            </w:tcBorders>
            <w:noWrap/>
            <w:hideMark/>
          </w:tcPr>
          <w:p w:rsidR="00943955" w:rsidRPr="00CE5B34" w:rsidRDefault="00943955" w:rsidP="00965604">
            <w:pPr>
              <w:spacing w:after="0" w:line="240" w:lineRule="auto"/>
              <w:jc w:val="right"/>
              <w:rPr>
                <w:rFonts w:ascii="Calibri" w:eastAsia="Times New Roman" w:hAnsi="Calibri" w:cs="Calibri"/>
                <w:b/>
                <w:bCs/>
                <w:color w:val="000000"/>
                <w:sz w:val="20"/>
                <w:szCs w:val="20"/>
                <w:lang w:eastAsia="en-NZ"/>
              </w:rPr>
            </w:pPr>
            <w:r w:rsidRPr="00CE5B34">
              <w:rPr>
                <w:rFonts w:ascii="Calibri" w:eastAsia="Times New Roman" w:hAnsi="Calibri" w:cs="Calibri"/>
                <w:b/>
                <w:bCs/>
                <w:color w:val="000000"/>
                <w:sz w:val="20"/>
                <w:szCs w:val="20"/>
                <w:lang w:eastAsia="en-NZ"/>
              </w:rPr>
              <w:t>2004</w:t>
            </w:r>
          </w:p>
        </w:tc>
        <w:tc>
          <w:tcPr>
            <w:tcW w:w="2980" w:type="dxa"/>
            <w:tcBorders>
              <w:top w:val="single" w:sz="4" w:space="0" w:color="auto"/>
              <w:left w:val="single" w:sz="4" w:space="0" w:color="auto"/>
              <w:bottom w:val="single" w:sz="4" w:space="0" w:color="auto"/>
              <w:right w:val="single" w:sz="4" w:space="0" w:color="auto"/>
            </w:tcBorders>
            <w:hideMark/>
          </w:tcPr>
          <w:p w:rsidR="00943955" w:rsidRDefault="00943955" w:rsidP="00965604">
            <w:pPr>
              <w:spacing w:after="0" w:line="240" w:lineRule="auto"/>
              <w:rPr>
                <w:rFonts w:ascii="Calibri" w:eastAsia="Times New Roman" w:hAnsi="Calibri" w:cs="Calibri"/>
                <w:color w:val="000000"/>
                <w:sz w:val="20"/>
                <w:szCs w:val="20"/>
                <w:lang w:eastAsia="en-NZ"/>
              </w:rPr>
            </w:pPr>
            <w:r w:rsidRPr="00CE5B34">
              <w:rPr>
                <w:rFonts w:ascii="Calibri" w:eastAsia="Times New Roman" w:hAnsi="Calibri" w:cs="Calibri"/>
                <w:color w:val="000000"/>
                <w:sz w:val="20"/>
                <w:szCs w:val="20"/>
                <w:lang w:eastAsia="en-NZ"/>
              </w:rPr>
              <w:t>Mintzberg, H</w:t>
            </w:r>
          </w:p>
          <w:p w:rsidR="00943955" w:rsidRPr="00E55027" w:rsidRDefault="00943955" w:rsidP="00965604">
            <w:pPr>
              <w:spacing w:after="0" w:line="240" w:lineRule="auto"/>
              <w:rPr>
                <w:rFonts w:ascii="Calibri" w:eastAsia="Times New Roman" w:hAnsi="Calibri" w:cs="Calibri"/>
                <w:color w:val="000000"/>
                <w:sz w:val="6"/>
                <w:szCs w:val="20"/>
                <w:lang w:eastAsia="en-NZ"/>
              </w:rPr>
            </w:pPr>
          </w:p>
          <w:p w:rsidR="00943955" w:rsidRDefault="00943955" w:rsidP="00965604">
            <w:pPr>
              <w:spacing w:after="0" w:line="240" w:lineRule="auto"/>
              <w:rPr>
                <w:rFonts w:ascii="Calibri" w:eastAsia="Times New Roman" w:hAnsi="Calibri" w:cs="Calibri"/>
                <w:color w:val="000000"/>
                <w:sz w:val="20"/>
                <w:szCs w:val="20"/>
                <w:lang w:eastAsia="en-NZ"/>
              </w:rPr>
            </w:pPr>
            <w:r w:rsidRPr="00CE5B34">
              <w:rPr>
                <w:rFonts w:ascii="Calibri" w:eastAsia="Times New Roman" w:hAnsi="Calibri" w:cs="Calibri"/>
                <w:color w:val="000000"/>
                <w:sz w:val="20"/>
                <w:szCs w:val="20"/>
                <w:lang w:eastAsia="en-NZ"/>
              </w:rPr>
              <w:t>Managers not MBAs</w:t>
            </w:r>
          </w:p>
          <w:p w:rsidR="00943955" w:rsidRDefault="00943955" w:rsidP="00965604">
            <w:pPr>
              <w:spacing w:after="0" w:line="240" w:lineRule="auto"/>
              <w:rPr>
                <w:rFonts w:ascii="Calibri" w:eastAsia="Times New Roman" w:hAnsi="Calibri" w:cs="Calibri"/>
                <w:color w:val="000000"/>
                <w:sz w:val="20"/>
                <w:szCs w:val="20"/>
                <w:lang w:eastAsia="en-NZ"/>
              </w:rPr>
            </w:pPr>
            <w:r w:rsidRPr="00CE5B34">
              <w:rPr>
                <w:rFonts w:ascii="Calibri" w:eastAsia="Times New Roman" w:hAnsi="Calibri" w:cs="Calibri"/>
                <w:color w:val="000000"/>
                <w:sz w:val="20"/>
                <w:szCs w:val="20"/>
                <w:lang w:eastAsia="en-NZ"/>
              </w:rPr>
              <w:t xml:space="preserve">Berret-Koehler Publishers </w:t>
            </w:r>
          </w:p>
          <w:p w:rsidR="00943955" w:rsidRPr="00CE5B34" w:rsidRDefault="00943955" w:rsidP="00965604">
            <w:pPr>
              <w:spacing w:after="0" w:line="240" w:lineRule="auto"/>
              <w:rPr>
                <w:rFonts w:ascii="Calibri" w:eastAsia="Times New Roman" w:hAnsi="Calibri" w:cs="Calibri"/>
                <w:color w:val="000000"/>
                <w:sz w:val="20"/>
                <w:szCs w:val="20"/>
                <w:lang w:eastAsia="en-NZ"/>
              </w:rPr>
            </w:pPr>
            <w:r w:rsidRPr="00CE5B34">
              <w:rPr>
                <w:rFonts w:ascii="Calibri" w:eastAsia="Times New Roman" w:hAnsi="Calibri" w:cs="Calibri"/>
                <w:color w:val="000000"/>
                <w:sz w:val="20"/>
                <w:szCs w:val="20"/>
                <w:lang w:eastAsia="en-NZ"/>
              </w:rPr>
              <w:t>San Francisco</w:t>
            </w:r>
            <w:r>
              <w:rPr>
                <w:rFonts w:ascii="Calibri" w:eastAsia="Times New Roman" w:hAnsi="Calibri" w:cs="Calibri"/>
                <w:color w:val="000000"/>
                <w:sz w:val="20"/>
                <w:szCs w:val="20"/>
                <w:lang w:eastAsia="en-NZ"/>
              </w:rPr>
              <w:t>.</w:t>
            </w:r>
          </w:p>
        </w:tc>
        <w:tc>
          <w:tcPr>
            <w:tcW w:w="6430" w:type="dxa"/>
            <w:gridSpan w:val="2"/>
            <w:tcBorders>
              <w:top w:val="single" w:sz="4" w:space="0" w:color="auto"/>
              <w:left w:val="single" w:sz="4" w:space="0" w:color="auto"/>
              <w:bottom w:val="single" w:sz="4" w:space="0" w:color="auto"/>
              <w:right w:val="single" w:sz="4" w:space="0" w:color="auto"/>
            </w:tcBorders>
            <w:noWrap/>
            <w:vAlign w:val="bottom"/>
            <w:hideMark/>
          </w:tcPr>
          <w:p w:rsidR="00943955" w:rsidRPr="00CE5B34" w:rsidRDefault="00943955" w:rsidP="00965604">
            <w:pPr>
              <w:spacing w:after="1320" w:line="240" w:lineRule="auto"/>
              <w:rPr>
                <w:rFonts w:ascii="Calibri" w:eastAsia="Times New Roman" w:hAnsi="Calibri" w:cs="Calibri"/>
                <w:sz w:val="20"/>
                <w:szCs w:val="20"/>
                <w:lang w:eastAsia="en-NZ"/>
              </w:rPr>
            </w:pPr>
            <w:r>
              <w:rPr>
                <w:rFonts w:ascii="Calibri" w:eastAsia="Times New Roman" w:hAnsi="Calibri" w:cs="Calibri"/>
                <w:color w:val="000000"/>
                <w:sz w:val="20"/>
                <w:szCs w:val="20"/>
                <w:lang w:eastAsia="en-NZ"/>
              </w:rPr>
              <w:t>Not applicable.</w:t>
            </w:r>
          </w:p>
        </w:tc>
        <w:tc>
          <w:tcPr>
            <w:tcW w:w="4470" w:type="dxa"/>
            <w:tcBorders>
              <w:top w:val="single" w:sz="4" w:space="0" w:color="auto"/>
              <w:left w:val="single" w:sz="4" w:space="0" w:color="auto"/>
              <w:bottom w:val="single" w:sz="4" w:space="0" w:color="auto"/>
              <w:right w:val="single" w:sz="4" w:space="0" w:color="auto"/>
            </w:tcBorders>
            <w:hideMark/>
          </w:tcPr>
          <w:p w:rsidR="00943955" w:rsidRPr="00CE5B34" w:rsidRDefault="00943955" w:rsidP="00965604">
            <w:pPr>
              <w:spacing w:after="0" w:line="240" w:lineRule="auto"/>
              <w:rPr>
                <w:rFonts w:ascii="Calibri" w:eastAsia="Times New Roman" w:hAnsi="Calibri" w:cs="Calibri"/>
                <w:color w:val="000000"/>
                <w:sz w:val="20"/>
                <w:szCs w:val="20"/>
                <w:lang w:eastAsia="en-NZ"/>
              </w:rPr>
            </w:pPr>
            <w:r w:rsidRPr="00CE5B34">
              <w:rPr>
                <w:rFonts w:ascii="Calibri" w:eastAsia="Times New Roman" w:hAnsi="Calibri" w:cs="Calibri"/>
                <w:color w:val="000000"/>
                <w:sz w:val="20"/>
                <w:szCs w:val="20"/>
                <w:lang w:eastAsia="en-NZ"/>
              </w:rPr>
              <w:t xml:space="preserve">Essentially HPS is a process that seeks to change (improve) the health and educational outcomes for students. St Leger explains that the prime purpose of HPS is “achieving educational goals through addressing health issues within an educational framework.” </w:t>
            </w:r>
          </w:p>
        </w:tc>
      </w:tr>
      <w:tr w:rsidR="00943955" w:rsidRPr="00CE5B34" w:rsidTr="00965604">
        <w:trPr>
          <w:trHeight w:val="300"/>
        </w:trPr>
        <w:tc>
          <w:tcPr>
            <w:tcW w:w="666" w:type="dxa"/>
            <w:tcBorders>
              <w:top w:val="single" w:sz="4" w:space="0" w:color="auto"/>
              <w:left w:val="single" w:sz="4" w:space="0" w:color="auto"/>
              <w:bottom w:val="nil"/>
              <w:right w:val="single" w:sz="4" w:space="0" w:color="auto"/>
            </w:tcBorders>
            <w:noWrap/>
            <w:vAlign w:val="bottom"/>
            <w:hideMark/>
          </w:tcPr>
          <w:p w:rsidR="00943955" w:rsidRPr="00CE5B34" w:rsidRDefault="00943955" w:rsidP="00965604">
            <w:pPr>
              <w:spacing w:after="0" w:line="240" w:lineRule="auto"/>
              <w:jc w:val="right"/>
              <w:rPr>
                <w:rFonts w:ascii="Calibri" w:eastAsia="Times New Roman" w:hAnsi="Calibri" w:cs="Calibri"/>
                <w:b/>
                <w:bCs/>
                <w:color w:val="000000"/>
                <w:sz w:val="20"/>
                <w:szCs w:val="20"/>
                <w:lang w:eastAsia="en-NZ"/>
              </w:rPr>
            </w:pPr>
            <w:r w:rsidRPr="00CE5B34">
              <w:rPr>
                <w:rFonts w:ascii="Calibri" w:eastAsia="Times New Roman" w:hAnsi="Calibri" w:cs="Calibri"/>
                <w:b/>
                <w:bCs/>
                <w:color w:val="000000"/>
                <w:sz w:val="20"/>
                <w:szCs w:val="20"/>
                <w:lang w:eastAsia="en-NZ"/>
              </w:rPr>
              <w:t>2013</w:t>
            </w:r>
          </w:p>
        </w:tc>
        <w:tc>
          <w:tcPr>
            <w:tcW w:w="2980" w:type="dxa"/>
            <w:tcBorders>
              <w:top w:val="single" w:sz="4" w:space="0" w:color="auto"/>
              <w:left w:val="single" w:sz="4" w:space="0" w:color="auto"/>
              <w:bottom w:val="nil"/>
              <w:right w:val="single" w:sz="4" w:space="0" w:color="auto"/>
            </w:tcBorders>
            <w:noWrap/>
            <w:vAlign w:val="bottom"/>
            <w:hideMark/>
          </w:tcPr>
          <w:p w:rsidR="00943955" w:rsidRPr="00CE5B34" w:rsidRDefault="00943955" w:rsidP="00965604">
            <w:pPr>
              <w:spacing w:after="0" w:line="240" w:lineRule="auto"/>
              <w:rPr>
                <w:rFonts w:ascii="Calibri" w:eastAsia="Times New Roman" w:hAnsi="Calibri" w:cs="Calibri"/>
                <w:color w:val="000000"/>
                <w:sz w:val="20"/>
                <w:szCs w:val="20"/>
                <w:lang w:eastAsia="en-NZ"/>
              </w:rPr>
            </w:pPr>
            <w:r w:rsidRPr="00CE5B34">
              <w:rPr>
                <w:rFonts w:ascii="Calibri" w:eastAsia="Times New Roman" w:hAnsi="Calibri" w:cs="Calibri"/>
                <w:color w:val="000000"/>
                <w:sz w:val="20"/>
                <w:szCs w:val="20"/>
                <w:lang w:eastAsia="en-NZ"/>
              </w:rPr>
              <w:t>Bradley, BJ</w:t>
            </w:r>
            <w:r>
              <w:rPr>
                <w:rFonts w:ascii="Calibri" w:eastAsia="Times New Roman" w:hAnsi="Calibri" w:cs="Calibri"/>
                <w:color w:val="000000"/>
                <w:sz w:val="20"/>
                <w:szCs w:val="20"/>
                <w:lang w:eastAsia="en-NZ"/>
              </w:rPr>
              <w:t>, Greene, A.</w:t>
            </w:r>
          </w:p>
        </w:tc>
        <w:tc>
          <w:tcPr>
            <w:tcW w:w="2110" w:type="dxa"/>
            <w:vMerge w:val="restart"/>
            <w:tcBorders>
              <w:top w:val="single" w:sz="4" w:space="0" w:color="auto"/>
              <w:left w:val="single" w:sz="4" w:space="0" w:color="auto"/>
              <w:bottom w:val="single" w:sz="4" w:space="0" w:color="auto"/>
              <w:right w:val="single" w:sz="4" w:space="0" w:color="auto"/>
            </w:tcBorders>
            <w:hideMark/>
          </w:tcPr>
          <w:p w:rsidR="00943955" w:rsidRPr="00CE5B34" w:rsidRDefault="00943955" w:rsidP="00965604">
            <w:pPr>
              <w:spacing w:after="0" w:line="240" w:lineRule="auto"/>
              <w:rPr>
                <w:rFonts w:ascii="Calibri" w:eastAsia="Times New Roman" w:hAnsi="Calibri" w:cs="Calibri"/>
                <w:color w:val="000000"/>
                <w:sz w:val="20"/>
                <w:szCs w:val="20"/>
                <w:lang w:eastAsia="en-NZ"/>
              </w:rPr>
            </w:pPr>
            <w:r w:rsidRPr="00CE5B34">
              <w:rPr>
                <w:rFonts w:ascii="Calibri" w:eastAsia="Times New Roman" w:hAnsi="Calibri" w:cs="Calibri"/>
                <w:color w:val="000000"/>
                <w:sz w:val="20"/>
                <w:szCs w:val="20"/>
                <w:lang w:eastAsia="en-NZ"/>
              </w:rPr>
              <w:t>Review of original research published in peer-reviewed journals between 1985 and 2010 to synthesize evidence about the association of adolescent health-risk behav</w:t>
            </w:r>
            <w:r w:rsidR="00867252">
              <w:rPr>
                <w:rFonts w:ascii="Calibri" w:eastAsia="Times New Roman" w:hAnsi="Calibri" w:cs="Calibri"/>
                <w:color w:val="000000"/>
                <w:sz w:val="20"/>
                <w:szCs w:val="20"/>
                <w:lang w:eastAsia="en-NZ"/>
              </w:rPr>
              <w:t>iors and academic achievement.</w:t>
            </w:r>
          </w:p>
        </w:tc>
        <w:tc>
          <w:tcPr>
            <w:tcW w:w="4320" w:type="dxa"/>
            <w:vMerge w:val="restart"/>
            <w:tcBorders>
              <w:top w:val="single" w:sz="4" w:space="0" w:color="auto"/>
              <w:left w:val="single" w:sz="4" w:space="0" w:color="auto"/>
              <w:bottom w:val="single" w:sz="4" w:space="0" w:color="auto"/>
              <w:right w:val="single" w:sz="4" w:space="0" w:color="auto"/>
            </w:tcBorders>
            <w:hideMark/>
          </w:tcPr>
          <w:p w:rsidR="00943955" w:rsidRPr="00CE5B34" w:rsidRDefault="00943955" w:rsidP="00965604">
            <w:pPr>
              <w:spacing w:after="0" w:line="240" w:lineRule="auto"/>
              <w:rPr>
                <w:rFonts w:ascii="Calibri" w:eastAsia="Times New Roman" w:hAnsi="Calibri" w:cs="Calibri"/>
                <w:color w:val="000000"/>
                <w:sz w:val="20"/>
                <w:szCs w:val="20"/>
                <w:lang w:eastAsia="en-NZ"/>
              </w:rPr>
            </w:pPr>
            <w:r w:rsidRPr="00CE5B34">
              <w:rPr>
                <w:rFonts w:ascii="Calibri" w:eastAsia="Times New Roman" w:hAnsi="Calibri" w:cs="Calibri"/>
                <w:color w:val="000000"/>
                <w:sz w:val="20"/>
                <w:szCs w:val="20"/>
                <w:lang w:eastAsia="en-NZ"/>
              </w:rPr>
              <w:t>122 articles were included that used at least one variable for health-risk behaviors and also for academic achievement.</w:t>
            </w:r>
          </w:p>
        </w:tc>
        <w:tc>
          <w:tcPr>
            <w:tcW w:w="4470" w:type="dxa"/>
            <w:vMerge w:val="restart"/>
            <w:tcBorders>
              <w:top w:val="single" w:sz="4" w:space="0" w:color="auto"/>
              <w:left w:val="single" w:sz="4" w:space="0" w:color="auto"/>
              <w:bottom w:val="single" w:sz="4" w:space="0" w:color="auto"/>
              <w:right w:val="single" w:sz="4" w:space="0" w:color="auto"/>
            </w:tcBorders>
            <w:hideMark/>
          </w:tcPr>
          <w:p w:rsidR="00943955" w:rsidRPr="00CE5B34" w:rsidRDefault="00943955" w:rsidP="00965604">
            <w:pPr>
              <w:spacing w:after="0" w:line="240" w:lineRule="auto"/>
              <w:rPr>
                <w:rFonts w:ascii="Calibri" w:eastAsia="Times New Roman" w:hAnsi="Calibri" w:cs="Calibri"/>
                <w:sz w:val="20"/>
                <w:szCs w:val="20"/>
                <w:lang w:eastAsia="en-NZ"/>
              </w:rPr>
            </w:pPr>
            <w:r w:rsidRPr="00CE5B34">
              <w:rPr>
                <w:rFonts w:ascii="Calibri" w:eastAsia="Times New Roman" w:hAnsi="Calibri" w:cs="Calibri"/>
                <w:sz w:val="20"/>
                <w:szCs w:val="20"/>
                <w:lang w:eastAsia="en-NZ"/>
              </w:rPr>
              <w:t>The results of this review of 25 years of research published in peer-reviewed journals provide clear evidence of the extent to which health-risk behaviors and academic achievement are interrelated and have long-term consequences for youth, adults, and society. These results could be used to inform coaction led by national leaders in health and education to address “educationally relevant health disparities”. In Healthy People 2020, there is an objective that would have reciprocal effects and could serve as the basis for the initial focus of interagency coaction. [Note this was focused on adolescents and risky behaviour rather than general health and wellbeing.]</w:t>
            </w:r>
          </w:p>
        </w:tc>
      </w:tr>
      <w:tr w:rsidR="00943955" w:rsidRPr="00CE5B34" w:rsidTr="00965604">
        <w:trPr>
          <w:trHeight w:val="300"/>
        </w:trPr>
        <w:tc>
          <w:tcPr>
            <w:tcW w:w="666" w:type="dxa"/>
            <w:tcBorders>
              <w:top w:val="nil"/>
              <w:left w:val="single" w:sz="4" w:space="0" w:color="auto"/>
              <w:bottom w:val="nil"/>
              <w:right w:val="single" w:sz="4" w:space="0" w:color="auto"/>
            </w:tcBorders>
            <w:noWrap/>
            <w:vAlign w:val="bottom"/>
            <w:hideMark/>
          </w:tcPr>
          <w:p w:rsidR="00943955" w:rsidRPr="00CE5B34" w:rsidRDefault="00943955" w:rsidP="00965604">
            <w:pPr>
              <w:spacing w:after="0" w:line="240" w:lineRule="auto"/>
              <w:rPr>
                <w:rFonts w:ascii="Calibri" w:eastAsia="Times New Roman" w:hAnsi="Calibri" w:cs="Calibri"/>
                <w:sz w:val="20"/>
                <w:szCs w:val="20"/>
                <w:lang w:eastAsia="en-NZ"/>
              </w:rPr>
            </w:pPr>
          </w:p>
        </w:tc>
        <w:tc>
          <w:tcPr>
            <w:tcW w:w="2980" w:type="dxa"/>
            <w:tcBorders>
              <w:top w:val="nil"/>
              <w:left w:val="single" w:sz="4" w:space="0" w:color="auto"/>
              <w:bottom w:val="nil"/>
              <w:right w:val="single" w:sz="4" w:space="0" w:color="auto"/>
            </w:tcBorders>
            <w:noWrap/>
            <w:vAlign w:val="bottom"/>
            <w:hideMark/>
          </w:tcPr>
          <w:p w:rsidR="00943955" w:rsidRPr="00E55027" w:rsidRDefault="00943955" w:rsidP="00965604">
            <w:pPr>
              <w:spacing w:after="0" w:line="240" w:lineRule="auto"/>
              <w:rPr>
                <w:rFonts w:ascii="Calibri" w:eastAsia="Times New Roman" w:hAnsi="Calibri" w:cs="Calibri"/>
                <w:color w:val="000000"/>
                <w:sz w:val="2"/>
                <w:szCs w:val="20"/>
                <w:lang w:eastAsia="en-NZ"/>
              </w:rPr>
            </w:pPr>
          </w:p>
        </w:tc>
        <w:tc>
          <w:tcPr>
            <w:tcW w:w="2110" w:type="dxa"/>
            <w:vMerge/>
            <w:tcBorders>
              <w:top w:val="single" w:sz="4" w:space="0" w:color="auto"/>
              <w:left w:val="single" w:sz="4" w:space="0" w:color="auto"/>
              <w:bottom w:val="single" w:sz="4" w:space="0" w:color="auto"/>
              <w:right w:val="single" w:sz="4" w:space="0" w:color="auto"/>
            </w:tcBorders>
            <w:vAlign w:val="center"/>
            <w:hideMark/>
          </w:tcPr>
          <w:p w:rsidR="00943955" w:rsidRPr="00CE5B34" w:rsidRDefault="00943955" w:rsidP="00965604">
            <w:pPr>
              <w:spacing w:after="0" w:line="240" w:lineRule="auto"/>
              <w:rPr>
                <w:rFonts w:ascii="Calibri" w:eastAsia="Times New Roman" w:hAnsi="Calibri" w:cs="Calibri"/>
                <w:color w:val="000000"/>
                <w:sz w:val="20"/>
                <w:szCs w:val="20"/>
                <w:lang w:eastAsia="en-NZ"/>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943955" w:rsidRPr="00CE5B34" w:rsidRDefault="00943955" w:rsidP="00965604">
            <w:pPr>
              <w:spacing w:after="0" w:line="240" w:lineRule="auto"/>
              <w:rPr>
                <w:rFonts w:ascii="Calibri" w:eastAsia="Times New Roman" w:hAnsi="Calibri" w:cs="Calibri"/>
                <w:color w:val="000000"/>
                <w:sz w:val="20"/>
                <w:szCs w:val="20"/>
                <w:lang w:eastAsia="en-NZ"/>
              </w:rPr>
            </w:pPr>
          </w:p>
        </w:tc>
        <w:tc>
          <w:tcPr>
            <w:tcW w:w="4470" w:type="dxa"/>
            <w:vMerge/>
            <w:tcBorders>
              <w:top w:val="single" w:sz="4" w:space="0" w:color="auto"/>
              <w:left w:val="single" w:sz="4" w:space="0" w:color="auto"/>
              <w:bottom w:val="single" w:sz="4" w:space="0" w:color="auto"/>
              <w:right w:val="single" w:sz="4" w:space="0" w:color="auto"/>
            </w:tcBorders>
            <w:vAlign w:val="center"/>
            <w:hideMark/>
          </w:tcPr>
          <w:p w:rsidR="00943955" w:rsidRPr="00CE5B34" w:rsidRDefault="00943955" w:rsidP="00965604">
            <w:pPr>
              <w:spacing w:after="0" w:line="240" w:lineRule="auto"/>
              <w:rPr>
                <w:rFonts w:ascii="Calibri" w:eastAsia="Times New Roman" w:hAnsi="Calibri" w:cs="Calibri"/>
                <w:sz w:val="20"/>
                <w:szCs w:val="20"/>
                <w:lang w:eastAsia="en-NZ"/>
              </w:rPr>
            </w:pPr>
          </w:p>
        </w:tc>
      </w:tr>
      <w:tr w:rsidR="00943955" w:rsidRPr="00CE5B34" w:rsidTr="00965604">
        <w:trPr>
          <w:trHeight w:val="2160"/>
        </w:trPr>
        <w:tc>
          <w:tcPr>
            <w:tcW w:w="666" w:type="dxa"/>
            <w:tcBorders>
              <w:top w:val="nil"/>
              <w:left w:val="single" w:sz="4" w:space="0" w:color="auto"/>
              <w:bottom w:val="single" w:sz="4" w:space="0" w:color="auto"/>
              <w:right w:val="single" w:sz="4" w:space="0" w:color="auto"/>
            </w:tcBorders>
            <w:noWrap/>
            <w:vAlign w:val="bottom"/>
            <w:hideMark/>
          </w:tcPr>
          <w:p w:rsidR="00943955" w:rsidRPr="00CE5B34" w:rsidRDefault="00943955" w:rsidP="00965604">
            <w:pPr>
              <w:spacing w:after="0" w:line="240" w:lineRule="auto"/>
              <w:rPr>
                <w:rFonts w:ascii="Calibri" w:eastAsia="Times New Roman" w:hAnsi="Calibri" w:cs="Calibri"/>
                <w:color w:val="000000"/>
                <w:sz w:val="20"/>
                <w:szCs w:val="20"/>
                <w:lang w:eastAsia="en-NZ"/>
              </w:rPr>
            </w:pPr>
          </w:p>
        </w:tc>
        <w:tc>
          <w:tcPr>
            <w:tcW w:w="2980" w:type="dxa"/>
            <w:tcBorders>
              <w:top w:val="nil"/>
              <w:left w:val="single" w:sz="4" w:space="0" w:color="auto"/>
              <w:bottom w:val="single" w:sz="4" w:space="0" w:color="auto"/>
              <w:right w:val="single" w:sz="4" w:space="0" w:color="auto"/>
            </w:tcBorders>
            <w:hideMark/>
          </w:tcPr>
          <w:p w:rsidR="00943955" w:rsidRPr="00CE5B34" w:rsidRDefault="00943955" w:rsidP="00965604">
            <w:pPr>
              <w:spacing w:after="0" w:line="240" w:lineRule="auto"/>
              <w:rPr>
                <w:rFonts w:ascii="Calibri" w:eastAsia="Times New Roman" w:hAnsi="Calibri" w:cs="Calibri"/>
                <w:color w:val="000000"/>
                <w:sz w:val="20"/>
                <w:szCs w:val="20"/>
                <w:lang w:eastAsia="en-NZ"/>
              </w:rPr>
            </w:pPr>
            <w:r w:rsidRPr="00CE5B34">
              <w:rPr>
                <w:rFonts w:ascii="Calibri" w:eastAsia="Times New Roman" w:hAnsi="Calibri" w:cs="Calibri"/>
                <w:color w:val="000000"/>
                <w:sz w:val="20"/>
                <w:szCs w:val="20"/>
                <w:lang w:eastAsia="en-NZ"/>
              </w:rPr>
              <w:t>Do Health and Education Agencies in the United States Share Responsibility for Academic Achievement and Health? A Review of 25 Years of Evidence About the Relationship of Adolescents’ Academic Achievement and Health Behaviors</w:t>
            </w:r>
            <w:r>
              <w:rPr>
                <w:rFonts w:ascii="Calibri" w:eastAsia="Times New Roman" w:hAnsi="Calibri" w:cs="Calibri"/>
                <w:color w:val="000000"/>
                <w:sz w:val="20"/>
                <w:szCs w:val="20"/>
                <w:lang w:eastAsia="en-NZ"/>
              </w:rPr>
              <w:t>.</w:t>
            </w:r>
          </w:p>
        </w:tc>
        <w:tc>
          <w:tcPr>
            <w:tcW w:w="2110" w:type="dxa"/>
            <w:vMerge/>
            <w:tcBorders>
              <w:top w:val="single" w:sz="4" w:space="0" w:color="auto"/>
              <w:left w:val="single" w:sz="4" w:space="0" w:color="auto"/>
              <w:bottom w:val="single" w:sz="4" w:space="0" w:color="auto"/>
              <w:right w:val="single" w:sz="4" w:space="0" w:color="auto"/>
            </w:tcBorders>
            <w:vAlign w:val="center"/>
            <w:hideMark/>
          </w:tcPr>
          <w:p w:rsidR="00943955" w:rsidRPr="00CE5B34" w:rsidRDefault="00943955" w:rsidP="00965604">
            <w:pPr>
              <w:spacing w:after="0" w:line="240" w:lineRule="auto"/>
              <w:rPr>
                <w:rFonts w:ascii="Calibri" w:eastAsia="Times New Roman" w:hAnsi="Calibri" w:cs="Calibri"/>
                <w:color w:val="000000"/>
                <w:sz w:val="20"/>
                <w:szCs w:val="20"/>
                <w:lang w:eastAsia="en-NZ"/>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943955" w:rsidRPr="00CE5B34" w:rsidRDefault="00943955" w:rsidP="00965604">
            <w:pPr>
              <w:spacing w:after="0" w:line="240" w:lineRule="auto"/>
              <w:rPr>
                <w:rFonts w:ascii="Calibri" w:eastAsia="Times New Roman" w:hAnsi="Calibri" w:cs="Calibri"/>
                <w:color w:val="000000"/>
                <w:sz w:val="20"/>
                <w:szCs w:val="20"/>
                <w:lang w:eastAsia="en-NZ"/>
              </w:rPr>
            </w:pPr>
          </w:p>
        </w:tc>
        <w:tc>
          <w:tcPr>
            <w:tcW w:w="4470" w:type="dxa"/>
            <w:vMerge/>
            <w:tcBorders>
              <w:top w:val="single" w:sz="4" w:space="0" w:color="auto"/>
              <w:left w:val="single" w:sz="4" w:space="0" w:color="auto"/>
              <w:bottom w:val="single" w:sz="4" w:space="0" w:color="auto"/>
              <w:right w:val="single" w:sz="4" w:space="0" w:color="auto"/>
            </w:tcBorders>
            <w:vAlign w:val="center"/>
            <w:hideMark/>
          </w:tcPr>
          <w:p w:rsidR="00943955" w:rsidRPr="00CE5B34" w:rsidRDefault="00943955" w:rsidP="00965604">
            <w:pPr>
              <w:spacing w:after="0" w:line="240" w:lineRule="auto"/>
              <w:rPr>
                <w:rFonts w:ascii="Calibri" w:eastAsia="Times New Roman" w:hAnsi="Calibri" w:cs="Calibri"/>
                <w:sz w:val="20"/>
                <w:szCs w:val="20"/>
                <w:lang w:eastAsia="en-NZ"/>
              </w:rPr>
            </w:pPr>
          </w:p>
        </w:tc>
      </w:tr>
      <w:tr w:rsidR="00943955" w:rsidRPr="00CE5B34" w:rsidTr="00965604">
        <w:trPr>
          <w:trHeight w:val="2700"/>
        </w:trPr>
        <w:tc>
          <w:tcPr>
            <w:tcW w:w="666" w:type="dxa"/>
            <w:tcBorders>
              <w:top w:val="single" w:sz="4" w:space="0" w:color="auto"/>
              <w:left w:val="single" w:sz="4" w:space="0" w:color="auto"/>
              <w:bottom w:val="single" w:sz="4" w:space="0" w:color="auto"/>
              <w:right w:val="single" w:sz="4" w:space="0" w:color="auto"/>
            </w:tcBorders>
            <w:noWrap/>
            <w:hideMark/>
          </w:tcPr>
          <w:p w:rsidR="00943955" w:rsidRPr="00CE5B34" w:rsidRDefault="00943955" w:rsidP="00965604">
            <w:pPr>
              <w:spacing w:after="0" w:line="240" w:lineRule="auto"/>
              <w:jc w:val="right"/>
              <w:rPr>
                <w:rFonts w:ascii="Calibri" w:eastAsia="Times New Roman" w:hAnsi="Calibri" w:cs="Calibri"/>
                <w:b/>
                <w:bCs/>
                <w:color w:val="000000"/>
                <w:sz w:val="20"/>
                <w:szCs w:val="20"/>
                <w:lang w:eastAsia="en-NZ"/>
              </w:rPr>
            </w:pPr>
            <w:r w:rsidRPr="00CE5B34">
              <w:rPr>
                <w:rFonts w:ascii="Calibri" w:eastAsia="Times New Roman" w:hAnsi="Calibri" w:cs="Calibri"/>
                <w:b/>
                <w:bCs/>
                <w:color w:val="000000"/>
                <w:sz w:val="20"/>
                <w:szCs w:val="20"/>
                <w:lang w:eastAsia="en-NZ"/>
              </w:rPr>
              <w:t>2014</w:t>
            </w:r>
          </w:p>
        </w:tc>
        <w:tc>
          <w:tcPr>
            <w:tcW w:w="2980" w:type="dxa"/>
            <w:tcBorders>
              <w:top w:val="single" w:sz="4" w:space="0" w:color="auto"/>
              <w:left w:val="single" w:sz="4" w:space="0" w:color="auto"/>
              <w:bottom w:val="single" w:sz="4" w:space="0" w:color="auto"/>
              <w:right w:val="single" w:sz="4" w:space="0" w:color="auto"/>
            </w:tcBorders>
            <w:hideMark/>
          </w:tcPr>
          <w:p w:rsidR="00943955" w:rsidRDefault="00943955" w:rsidP="00965604">
            <w:pPr>
              <w:spacing w:after="0" w:line="240" w:lineRule="auto"/>
              <w:rPr>
                <w:rFonts w:ascii="Calibri" w:eastAsia="Times New Roman" w:hAnsi="Calibri" w:cs="Calibri"/>
                <w:color w:val="000000"/>
                <w:sz w:val="20"/>
                <w:szCs w:val="20"/>
                <w:lang w:eastAsia="en-NZ"/>
              </w:rPr>
            </w:pPr>
            <w:r w:rsidRPr="00CE5B34">
              <w:rPr>
                <w:rFonts w:ascii="Calibri" w:eastAsia="Times New Roman" w:hAnsi="Calibri" w:cs="Calibri"/>
                <w:color w:val="000000"/>
                <w:sz w:val="20"/>
                <w:szCs w:val="20"/>
                <w:lang w:eastAsia="en-NZ"/>
              </w:rPr>
              <w:t>Langford R, Bonell CP, Jones HE, Pouliou T, Murphy SM, Waters E, Komro KA, Gibbs LF, Magnus D, Campbell R</w:t>
            </w:r>
            <w:r>
              <w:rPr>
                <w:rFonts w:ascii="Calibri" w:eastAsia="Times New Roman" w:hAnsi="Calibri" w:cs="Calibri"/>
                <w:color w:val="000000"/>
                <w:sz w:val="20"/>
                <w:szCs w:val="20"/>
                <w:lang w:eastAsia="en-NZ"/>
              </w:rPr>
              <w:t>.</w:t>
            </w:r>
            <w:r w:rsidRPr="00CE5B34">
              <w:rPr>
                <w:rFonts w:ascii="Calibri" w:eastAsia="Times New Roman" w:hAnsi="Calibri" w:cs="Calibri"/>
                <w:color w:val="000000"/>
                <w:sz w:val="20"/>
                <w:szCs w:val="20"/>
                <w:lang w:eastAsia="en-NZ"/>
              </w:rPr>
              <w:t xml:space="preserve">                     </w:t>
            </w:r>
          </w:p>
          <w:p w:rsidR="00943955" w:rsidRDefault="00943955" w:rsidP="00965604">
            <w:pPr>
              <w:spacing w:after="0" w:line="240" w:lineRule="auto"/>
              <w:rPr>
                <w:rFonts w:ascii="Calibri" w:eastAsia="Times New Roman" w:hAnsi="Calibri" w:cs="Calibri"/>
                <w:color w:val="000000"/>
                <w:sz w:val="20"/>
                <w:szCs w:val="20"/>
                <w:lang w:eastAsia="en-NZ"/>
              </w:rPr>
            </w:pPr>
          </w:p>
          <w:p w:rsidR="00943955" w:rsidRDefault="00943955" w:rsidP="00965604">
            <w:pPr>
              <w:spacing w:after="0" w:line="240" w:lineRule="auto"/>
              <w:rPr>
                <w:rFonts w:ascii="Calibri" w:eastAsia="Times New Roman" w:hAnsi="Calibri" w:cs="Calibri"/>
                <w:color w:val="000000"/>
                <w:sz w:val="20"/>
                <w:szCs w:val="20"/>
                <w:lang w:eastAsia="en-NZ"/>
              </w:rPr>
            </w:pPr>
            <w:r w:rsidRPr="00CE5B34">
              <w:rPr>
                <w:rFonts w:ascii="Calibri" w:eastAsia="Times New Roman" w:hAnsi="Calibri" w:cs="Calibri"/>
                <w:color w:val="000000"/>
                <w:sz w:val="20"/>
                <w:szCs w:val="20"/>
                <w:lang w:eastAsia="en-NZ"/>
              </w:rPr>
              <w:t>The World Health Organization’s Health Promoting Schools framework: a Cochrane systematic review and meta-analysis</w:t>
            </w:r>
            <w:r>
              <w:rPr>
                <w:rFonts w:ascii="Calibri" w:eastAsia="Times New Roman" w:hAnsi="Calibri" w:cs="Calibri"/>
                <w:color w:val="000000"/>
                <w:sz w:val="20"/>
                <w:szCs w:val="20"/>
                <w:lang w:eastAsia="en-NZ"/>
              </w:rPr>
              <w:t>.</w:t>
            </w:r>
          </w:p>
          <w:p w:rsidR="00943955" w:rsidRPr="00CE5B34" w:rsidRDefault="00A43D35" w:rsidP="00965604">
            <w:pPr>
              <w:spacing w:after="0" w:line="240" w:lineRule="auto"/>
              <w:rPr>
                <w:rFonts w:ascii="Calibri" w:eastAsia="Times New Roman" w:hAnsi="Calibri" w:cs="Calibri"/>
                <w:color w:val="000000"/>
                <w:sz w:val="20"/>
                <w:szCs w:val="20"/>
                <w:lang w:eastAsia="en-NZ"/>
              </w:rPr>
            </w:pPr>
            <w:hyperlink r:id="rId25" w:history="1">
              <w:r w:rsidR="00943955" w:rsidRPr="00AD2978">
                <w:rPr>
                  <w:rStyle w:val="Hyperlink"/>
                  <w:rFonts w:ascii="Calibri" w:eastAsia="Times New Roman" w:hAnsi="Calibri" w:cs="Calibri"/>
                  <w:color w:val="2191C9" w:themeColor="background2" w:themeShade="80"/>
                  <w:sz w:val="20"/>
                  <w:szCs w:val="20"/>
                  <w:lang w:eastAsia="en-NZ"/>
                </w:rPr>
                <w:t>Available here</w:t>
              </w:r>
            </w:hyperlink>
          </w:p>
        </w:tc>
        <w:tc>
          <w:tcPr>
            <w:tcW w:w="2110" w:type="dxa"/>
            <w:tcBorders>
              <w:top w:val="single" w:sz="4" w:space="0" w:color="auto"/>
              <w:left w:val="single" w:sz="4" w:space="0" w:color="auto"/>
              <w:bottom w:val="single" w:sz="4" w:space="0" w:color="auto"/>
              <w:right w:val="single" w:sz="4" w:space="0" w:color="auto"/>
            </w:tcBorders>
            <w:hideMark/>
          </w:tcPr>
          <w:p w:rsidR="00943955" w:rsidRPr="00CE5B34" w:rsidRDefault="00943955" w:rsidP="00965604">
            <w:pPr>
              <w:spacing w:after="0" w:line="240" w:lineRule="auto"/>
              <w:rPr>
                <w:rFonts w:ascii="Calibri" w:eastAsia="Times New Roman" w:hAnsi="Calibri" w:cs="Calibri"/>
                <w:color w:val="000000"/>
                <w:sz w:val="20"/>
                <w:szCs w:val="20"/>
                <w:lang w:eastAsia="en-NZ"/>
              </w:rPr>
            </w:pPr>
            <w:r w:rsidRPr="00CE5B34">
              <w:rPr>
                <w:rFonts w:ascii="Calibri" w:eastAsia="Times New Roman" w:hAnsi="Calibri" w:cs="Calibri"/>
                <w:color w:val="000000"/>
                <w:sz w:val="20"/>
                <w:szCs w:val="20"/>
                <w:lang w:eastAsia="en-NZ"/>
              </w:rPr>
              <w:t>To assess the effectiveness of the Health Promoting Schools (HPS) framework i</w:t>
            </w:r>
            <w:r w:rsidR="002051C0">
              <w:rPr>
                <w:rFonts w:ascii="Calibri" w:eastAsia="Times New Roman" w:hAnsi="Calibri" w:cs="Calibri"/>
                <w:color w:val="000000"/>
                <w:sz w:val="20"/>
                <w:szCs w:val="20"/>
                <w:lang w:eastAsia="en-NZ"/>
              </w:rPr>
              <w:t>n improving the health and well</w:t>
            </w:r>
            <w:r w:rsidRPr="00CE5B34">
              <w:rPr>
                <w:rFonts w:ascii="Calibri" w:eastAsia="Times New Roman" w:hAnsi="Calibri" w:cs="Calibri"/>
                <w:color w:val="000000"/>
                <w:sz w:val="20"/>
                <w:szCs w:val="20"/>
                <w:lang w:eastAsia="en-NZ"/>
              </w:rPr>
              <w:t>being of students and their academic achievement.</w:t>
            </w:r>
          </w:p>
        </w:tc>
        <w:tc>
          <w:tcPr>
            <w:tcW w:w="4320" w:type="dxa"/>
            <w:tcBorders>
              <w:top w:val="single" w:sz="4" w:space="0" w:color="auto"/>
              <w:left w:val="single" w:sz="4" w:space="0" w:color="auto"/>
              <w:bottom w:val="single" w:sz="4" w:space="0" w:color="auto"/>
              <w:right w:val="single" w:sz="4" w:space="0" w:color="auto"/>
            </w:tcBorders>
            <w:noWrap/>
            <w:hideMark/>
          </w:tcPr>
          <w:p w:rsidR="00943955" w:rsidRPr="00CE5B34" w:rsidRDefault="00943955" w:rsidP="00965604">
            <w:pPr>
              <w:spacing w:after="0" w:line="240" w:lineRule="auto"/>
              <w:rPr>
                <w:rFonts w:ascii="Calibri" w:eastAsia="Times New Roman" w:hAnsi="Calibri" w:cs="Calibri"/>
                <w:color w:val="000000"/>
                <w:sz w:val="20"/>
                <w:szCs w:val="20"/>
                <w:lang w:eastAsia="en-NZ"/>
              </w:rPr>
            </w:pPr>
            <w:r w:rsidRPr="00CE5B34">
              <w:rPr>
                <w:rFonts w:ascii="Calibri" w:eastAsia="Times New Roman" w:hAnsi="Calibri" w:cs="Calibri"/>
                <w:color w:val="000000"/>
                <w:sz w:val="20"/>
                <w:szCs w:val="20"/>
                <w:lang w:eastAsia="en-NZ"/>
              </w:rPr>
              <w:t>Systematic database review</w:t>
            </w:r>
            <w:r>
              <w:rPr>
                <w:rFonts w:ascii="Calibri" w:eastAsia="Times New Roman" w:hAnsi="Calibri" w:cs="Calibri"/>
                <w:color w:val="000000"/>
                <w:sz w:val="20"/>
                <w:szCs w:val="20"/>
                <w:lang w:eastAsia="en-NZ"/>
              </w:rPr>
              <w:t>.</w:t>
            </w:r>
          </w:p>
        </w:tc>
        <w:tc>
          <w:tcPr>
            <w:tcW w:w="4470" w:type="dxa"/>
            <w:tcBorders>
              <w:top w:val="single" w:sz="4" w:space="0" w:color="auto"/>
              <w:left w:val="single" w:sz="4" w:space="0" w:color="auto"/>
              <w:bottom w:val="single" w:sz="4" w:space="0" w:color="auto"/>
              <w:right w:val="single" w:sz="4" w:space="0" w:color="auto"/>
            </w:tcBorders>
            <w:vAlign w:val="bottom"/>
            <w:hideMark/>
          </w:tcPr>
          <w:p w:rsidR="00943955" w:rsidRPr="00CE5B34" w:rsidRDefault="00943955" w:rsidP="00965604">
            <w:pPr>
              <w:spacing w:after="0" w:line="240" w:lineRule="auto"/>
              <w:rPr>
                <w:rFonts w:ascii="Calibri" w:eastAsia="Times New Roman" w:hAnsi="Calibri" w:cs="Calibri"/>
                <w:color w:val="000000"/>
                <w:sz w:val="20"/>
                <w:szCs w:val="20"/>
                <w:lang w:eastAsia="en-NZ"/>
              </w:rPr>
            </w:pPr>
            <w:r w:rsidRPr="00CE5B34">
              <w:rPr>
                <w:rFonts w:ascii="Calibri" w:eastAsia="Times New Roman" w:hAnsi="Calibri" w:cs="Calibri"/>
                <w:color w:val="000000"/>
                <w:sz w:val="20"/>
                <w:szCs w:val="20"/>
                <w:lang w:eastAsia="en-NZ"/>
              </w:rPr>
              <w:t>Study included 67 eligible cluster trials, randomising 1443 schools or districts. This is made up of 1345 schools and 98 districts. The studies tackled a range of health issues: physical activity (4), nutrition (12), physical activity and nutrition combined (18), bullying (7), tobacco (5), alcohol (2), sexual health (2), violence (2), mental health (2), hand-washing (2), multiple risk behaviours (7), cycle-helmet use (1), eating disorders (1), sun protection (1), and oral health (1). The quality of evidence overall was low to moderate as determined by the GRADE approach. The results of this review provide evidence for the effectiveness of some interventions based on the HPS framework for improving certain health outcomes but not others. In addition, few studies included any academic, attendance or school-related outcomes. Given the paucity of data, it is not possible to determine the impact of the HPS approach on academic or attendance or both outcomes.</w:t>
            </w:r>
          </w:p>
        </w:tc>
      </w:tr>
      <w:tr w:rsidR="00943955" w:rsidRPr="00CE5B34" w:rsidTr="00965604">
        <w:trPr>
          <w:trHeight w:val="450"/>
        </w:trPr>
        <w:tc>
          <w:tcPr>
            <w:tcW w:w="666" w:type="dxa"/>
            <w:tcBorders>
              <w:top w:val="single" w:sz="4" w:space="0" w:color="auto"/>
              <w:left w:val="single" w:sz="4" w:space="0" w:color="auto"/>
              <w:bottom w:val="single" w:sz="4" w:space="0" w:color="auto"/>
              <w:right w:val="single" w:sz="4" w:space="0" w:color="auto"/>
            </w:tcBorders>
            <w:noWrap/>
            <w:hideMark/>
          </w:tcPr>
          <w:p w:rsidR="00943955" w:rsidRPr="00CE5B34" w:rsidRDefault="00943955" w:rsidP="00965604">
            <w:pPr>
              <w:spacing w:after="0" w:line="240" w:lineRule="auto"/>
              <w:rPr>
                <w:rFonts w:ascii="Calibri" w:eastAsia="Times New Roman" w:hAnsi="Calibri" w:cs="Calibri"/>
                <w:b/>
                <w:bCs/>
                <w:color w:val="000000"/>
                <w:sz w:val="20"/>
                <w:szCs w:val="20"/>
                <w:lang w:eastAsia="en-NZ"/>
              </w:rPr>
            </w:pPr>
            <w:r w:rsidRPr="00CE5B34">
              <w:rPr>
                <w:rFonts w:ascii="Calibri" w:eastAsia="Times New Roman" w:hAnsi="Calibri" w:cs="Calibri"/>
                <w:b/>
                <w:bCs/>
                <w:color w:val="000000"/>
                <w:sz w:val="20"/>
                <w:szCs w:val="20"/>
                <w:lang w:eastAsia="en-NZ"/>
              </w:rPr>
              <w:t>2017</w:t>
            </w:r>
          </w:p>
        </w:tc>
        <w:tc>
          <w:tcPr>
            <w:tcW w:w="2980" w:type="dxa"/>
            <w:tcBorders>
              <w:top w:val="single" w:sz="4" w:space="0" w:color="auto"/>
              <w:left w:val="single" w:sz="4" w:space="0" w:color="auto"/>
              <w:bottom w:val="single" w:sz="4" w:space="0" w:color="auto"/>
              <w:right w:val="single" w:sz="4" w:space="0" w:color="auto"/>
            </w:tcBorders>
            <w:hideMark/>
          </w:tcPr>
          <w:p w:rsidR="00943955" w:rsidRDefault="00943955" w:rsidP="00965604">
            <w:pPr>
              <w:spacing w:after="0" w:line="240" w:lineRule="auto"/>
              <w:rPr>
                <w:rFonts w:ascii="Calibri" w:eastAsia="Times New Roman" w:hAnsi="Calibri" w:cs="Calibri"/>
                <w:color w:val="000000"/>
                <w:sz w:val="20"/>
                <w:szCs w:val="20"/>
                <w:lang w:eastAsia="en-NZ"/>
              </w:rPr>
            </w:pPr>
            <w:r w:rsidRPr="00CE5B34">
              <w:rPr>
                <w:rFonts w:ascii="Calibri" w:eastAsia="Times New Roman" w:hAnsi="Calibri" w:cs="Calibri"/>
                <w:color w:val="000000"/>
                <w:sz w:val="20"/>
                <w:szCs w:val="20"/>
                <w:lang w:eastAsia="en-NZ"/>
              </w:rPr>
              <w:t>WHO Health Promoting School: an effective approach for early action on NCD risk factors</w:t>
            </w:r>
            <w:r>
              <w:rPr>
                <w:rFonts w:ascii="Calibri" w:eastAsia="Times New Roman" w:hAnsi="Calibri" w:cs="Calibri"/>
                <w:color w:val="000000"/>
                <w:sz w:val="20"/>
                <w:szCs w:val="20"/>
                <w:lang w:eastAsia="en-NZ"/>
              </w:rPr>
              <w:t>.</w:t>
            </w:r>
          </w:p>
          <w:p w:rsidR="00943955" w:rsidRPr="00CE5B34" w:rsidRDefault="00A43D35" w:rsidP="00965604">
            <w:pPr>
              <w:spacing w:after="0" w:line="240" w:lineRule="auto"/>
              <w:rPr>
                <w:rFonts w:ascii="Calibri" w:eastAsia="Times New Roman" w:hAnsi="Calibri" w:cs="Calibri"/>
                <w:color w:val="000000"/>
                <w:sz w:val="20"/>
                <w:szCs w:val="20"/>
                <w:lang w:eastAsia="en-NZ"/>
              </w:rPr>
            </w:pPr>
            <w:hyperlink r:id="rId26" w:history="1">
              <w:r w:rsidR="00943955" w:rsidRPr="00AD2978">
                <w:rPr>
                  <w:rStyle w:val="Hyperlink"/>
                  <w:rFonts w:ascii="Calibri" w:eastAsia="Times New Roman" w:hAnsi="Calibri" w:cs="Calibri"/>
                  <w:color w:val="2191C9" w:themeColor="background2" w:themeShade="80"/>
                  <w:sz w:val="20"/>
                  <w:szCs w:val="20"/>
                  <w:lang w:eastAsia="en-NZ"/>
                </w:rPr>
                <w:t>Available here</w:t>
              </w:r>
            </w:hyperlink>
          </w:p>
        </w:tc>
        <w:tc>
          <w:tcPr>
            <w:tcW w:w="2110" w:type="dxa"/>
            <w:tcBorders>
              <w:top w:val="single" w:sz="4" w:space="0" w:color="auto"/>
              <w:left w:val="single" w:sz="4" w:space="0" w:color="auto"/>
              <w:bottom w:val="single" w:sz="4" w:space="0" w:color="auto"/>
              <w:right w:val="single" w:sz="4" w:space="0" w:color="auto"/>
            </w:tcBorders>
            <w:noWrap/>
            <w:vAlign w:val="bottom"/>
            <w:hideMark/>
          </w:tcPr>
          <w:p w:rsidR="00943955" w:rsidRPr="00CE5B34" w:rsidRDefault="00943955" w:rsidP="00965604">
            <w:pPr>
              <w:spacing w:after="0" w:line="240" w:lineRule="auto"/>
              <w:rPr>
                <w:rFonts w:ascii="Calibri" w:eastAsia="Times New Roman" w:hAnsi="Calibri" w:cs="Calibri"/>
                <w:color w:val="000000"/>
                <w:sz w:val="20"/>
                <w:szCs w:val="20"/>
                <w:lang w:eastAsia="en-NZ"/>
              </w:rPr>
            </w:pPr>
          </w:p>
        </w:tc>
        <w:tc>
          <w:tcPr>
            <w:tcW w:w="4320" w:type="dxa"/>
            <w:tcBorders>
              <w:top w:val="single" w:sz="4" w:space="0" w:color="auto"/>
              <w:left w:val="single" w:sz="4" w:space="0" w:color="auto"/>
              <w:bottom w:val="single" w:sz="4" w:space="0" w:color="auto"/>
              <w:right w:val="single" w:sz="4" w:space="0" w:color="auto"/>
            </w:tcBorders>
            <w:hideMark/>
          </w:tcPr>
          <w:p w:rsidR="00943955" w:rsidRPr="00CE5B34" w:rsidRDefault="00943955" w:rsidP="00965604">
            <w:pPr>
              <w:spacing w:after="0" w:line="240" w:lineRule="auto"/>
              <w:rPr>
                <w:rFonts w:ascii="Calibri" w:eastAsia="Times New Roman" w:hAnsi="Calibri" w:cs="Calibri"/>
                <w:color w:val="000000"/>
                <w:sz w:val="20"/>
                <w:szCs w:val="20"/>
                <w:lang w:eastAsia="en-NZ"/>
              </w:rPr>
            </w:pPr>
            <w:r w:rsidRPr="00CE5B34">
              <w:rPr>
                <w:rFonts w:ascii="Calibri" w:eastAsia="Times New Roman" w:hAnsi="Calibri" w:cs="Calibri"/>
                <w:color w:val="000000"/>
                <w:sz w:val="20"/>
                <w:szCs w:val="20"/>
                <w:lang w:eastAsia="en-NZ"/>
              </w:rPr>
              <w:t xml:space="preserve">An HPS (WHO) is a school that fosters health and learning with all the measures at its disposal; engages health and education officials, teachers, teachers’ unions, students, parents, </w:t>
            </w:r>
            <w:r w:rsidRPr="00CE5B34">
              <w:rPr>
                <w:rFonts w:ascii="Calibri" w:eastAsia="Times New Roman" w:hAnsi="Calibri" w:cs="Calibri"/>
                <w:color w:val="000000"/>
                <w:sz w:val="20"/>
                <w:szCs w:val="20"/>
                <w:lang w:eastAsia="en-NZ"/>
              </w:rPr>
              <w:lastRenderedPageBreak/>
              <w:t>health providers and community leaders in efforts to make the school a healthy place</w:t>
            </w:r>
            <w:r>
              <w:rPr>
                <w:rFonts w:ascii="Calibri" w:eastAsia="Times New Roman" w:hAnsi="Calibri" w:cs="Calibri"/>
                <w:color w:val="000000"/>
                <w:sz w:val="20"/>
                <w:szCs w:val="20"/>
                <w:lang w:eastAsia="en-NZ"/>
              </w:rPr>
              <w:t>.</w:t>
            </w:r>
          </w:p>
        </w:tc>
        <w:tc>
          <w:tcPr>
            <w:tcW w:w="4470" w:type="dxa"/>
            <w:tcBorders>
              <w:top w:val="single" w:sz="4" w:space="0" w:color="auto"/>
              <w:left w:val="single" w:sz="4" w:space="0" w:color="auto"/>
              <w:bottom w:val="single" w:sz="4" w:space="0" w:color="auto"/>
              <w:right w:val="single" w:sz="4" w:space="0" w:color="auto"/>
            </w:tcBorders>
            <w:hideMark/>
          </w:tcPr>
          <w:p w:rsidR="00943955" w:rsidRPr="00CE5B34" w:rsidRDefault="00943955" w:rsidP="00965604">
            <w:pPr>
              <w:spacing w:after="0" w:line="240" w:lineRule="auto"/>
              <w:rPr>
                <w:rFonts w:ascii="Calibri" w:eastAsia="Times New Roman" w:hAnsi="Calibri" w:cs="Calibri"/>
                <w:color w:val="000000"/>
                <w:sz w:val="20"/>
                <w:szCs w:val="20"/>
                <w:lang w:eastAsia="en-NZ"/>
              </w:rPr>
            </w:pPr>
            <w:r w:rsidRPr="00CE5B34">
              <w:rPr>
                <w:rFonts w:ascii="Calibri" w:eastAsia="Times New Roman" w:hAnsi="Calibri" w:cs="Calibri"/>
                <w:color w:val="000000"/>
                <w:sz w:val="20"/>
                <w:szCs w:val="20"/>
                <w:lang w:eastAsia="en-NZ"/>
              </w:rPr>
              <w:lastRenderedPageBreak/>
              <w:t xml:space="preserve">The evidence from systematic reviews in high-income countries shows that the HPS approach can contribute to improving children’s health by reducing the risk factors for NCDs, e.g. by improving body mass index, increasing physical </w:t>
            </w:r>
            <w:r w:rsidRPr="00CE5B34">
              <w:rPr>
                <w:rFonts w:ascii="Calibri" w:eastAsia="Times New Roman" w:hAnsi="Calibri" w:cs="Calibri"/>
                <w:color w:val="000000"/>
                <w:sz w:val="20"/>
                <w:szCs w:val="20"/>
                <w:lang w:eastAsia="en-NZ"/>
              </w:rPr>
              <w:lastRenderedPageBreak/>
              <w:t>activity, increasing intake of fruit and vegetables and reducing tobacco use.</w:t>
            </w:r>
          </w:p>
        </w:tc>
      </w:tr>
      <w:tr w:rsidR="00943955" w:rsidRPr="00CE5B34" w:rsidTr="00965604">
        <w:trPr>
          <w:trHeight w:val="1200"/>
        </w:trPr>
        <w:tc>
          <w:tcPr>
            <w:tcW w:w="666" w:type="dxa"/>
            <w:tcBorders>
              <w:top w:val="single" w:sz="4" w:space="0" w:color="auto"/>
              <w:left w:val="single" w:sz="4" w:space="0" w:color="auto"/>
              <w:bottom w:val="single" w:sz="4" w:space="0" w:color="auto"/>
              <w:right w:val="single" w:sz="4" w:space="0" w:color="auto"/>
            </w:tcBorders>
            <w:noWrap/>
            <w:hideMark/>
          </w:tcPr>
          <w:p w:rsidR="00943955" w:rsidRPr="00CE5B34" w:rsidRDefault="00943955" w:rsidP="00965604">
            <w:pPr>
              <w:spacing w:after="0" w:line="240" w:lineRule="auto"/>
              <w:jc w:val="right"/>
              <w:rPr>
                <w:rFonts w:ascii="Calibri" w:eastAsia="Times New Roman" w:hAnsi="Calibri" w:cs="Calibri"/>
                <w:b/>
                <w:color w:val="000000"/>
                <w:sz w:val="20"/>
                <w:szCs w:val="20"/>
                <w:lang w:eastAsia="en-NZ"/>
              </w:rPr>
            </w:pPr>
            <w:r w:rsidRPr="00CE5B34">
              <w:rPr>
                <w:rFonts w:ascii="Calibri" w:eastAsia="Times New Roman" w:hAnsi="Calibri" w:cs="Calibri"/>
                <w:b/>
                <w:color w:val="000000"/>
                <w:sz w:val="20"/>
                <w:szCs w:val="20"/>
                <w:lang w:eastAsia="en-NZ"/>
              </w:rPr>
              <w:lastRenderedPageBreak/>
              <w:t>2017</w:t>
            </w:r>
          </w:p>
        </w:tc>
        <w:tc>
          <w:tcPr>
            <w:tcW w:w="2980" w:type="dxa"/>
            <w:tcBorders>
              <w:top w:val="single" w:sz="4" w:space="0" w:color="auto"/>
              <w:left w:val="single" w:sz="4" w:space="0" w:color="auto"/>
              <w:bottom w:val="single" w:sz="4" w:space="0" w:color="auto"/>
              <w:right w:val="single" w:sz="4" w:space="0" w:color="auto"/>
            </w:tcBorders>
            <w:hideMark/>
          </w:tcPr>
          <w:p w:rsidR="00943955" w:rsidRDefault="00943955" w:rsidP="00965604">
            <w:pPr>
              <w:spacing w:after="0" w:line="240" w:lineRule="auto"/>
              <w:rPr>
                <w:rFonts w:ascii="Calibri" w:eastAsia="Times New Roman" w:hAnsi="Calibri" w:cs="Calibri"/>
                <w:color w:val="000000"/>
                <w:sz w:val="20"/>
                <w:szCs w:val="20"/>
                <w:lang w:eastAsia="en-NZ"/>
              </w:rPr>
            </w:pPr>
            <w:r w:rsidRPr="00CE5B34">
              <w:rPr>
                <w:rFonts w:ascii="Calibri" w:eastAsia="Times New Roman" w:hAnsi="Calibri" w:cs="Calibri"/>
                <w:color w:val="000000"/>
                <w:sz w:val="20"/>
                <w:szCs w:val="20"/>
                <w:lang w:eastAsia="en-NZ"/>
              </w:rPr>
              <w:t>HPS approach - a school community development approach</w:t>
            </w:r>
            <w:r>
              <w:rPr>
                <w:rFonts w:ascii="Calibri" w:eastAsia="Times New Roman" w:hAnsi="Calibri" w:cs="Calibri"/>
                <w:color w:val="000000"/>
                <w:sz w:val="20"/>
                <w:szCs w:val="20"/>
                <w:lang w:eastAsia="en-NZ"/>
              </w:rPr>
              <w:t>.</w:t>
            </w:r>
          </w:p>
          <w:p w:rsidR="00943955" w:rsidRPr="00CE5B34" w:rsidRDefault="00A43D35" w:rsidP="00965604">
            <w:pPr>
              <w:spacing w:after="0" w:line="240" w:lineRule="auto"/>
              <w:rPr>
                <w:rFonts w:ascii="Calibri" w:eastAsia="Times New Roman" w:hAnsi="Calibri" w:cs="Calibri"/>
                <w:color w:val="000000"/>
                <w:sz w:val="20"/>
                <w:szCs w:val="20"/>
                <w:lang w:eastAsia="en-NZ"/>
              </w:rPr>
            </w:pPr>
            <w:hyperlink r:id="rId27" w:history="1">
              <w:r w:rsidR="00943955" w:rsidRPr="00AD2978">
                <w:rPr>
                  <w:rStyle w:val="Hyperlink"/>
                  <w:rFonts w:ascii="Calibri" w:eastAsia="Times New Roman" w:hAnsi="Calibri" w:cs="Calibri"/>
                  <w:color w:val="2191C9" w:themeColor="background2" w:themeShade="80"/>
                  <w:sz w:val="20"/>
                  <w:szCs w:val="20"/>
                  <w:lang w:eastAsia="en-NZ"/>
                </w:rPr>
                <w:t>Available here</w:t>
              </w:r>
            </w:hyperlink>
          </w:p>
        </w:tc>
        <w:tc>
          <w:tcPr>
            <w:tcW w:w="2110" w:type="dxa"/>
            <w:tcBorders>
              <w:top w:val="single" w:sz="4" w:space="0" w:color="auto"/>
              <w:left w:val="single" w:sz="4" w:space="0" w:color="auto"/>
              <w:bottom w:val="single" w:sz="4" w:space="0" w:color="auto"/>
              <w:right w:val="single" w:sz="4" w:space="0" w:color="auto"/>
            </w:tcBorders>
            <w:noWrap/>
            <w:vAlign w:val="bottom"/>
            <w:hideMark/>
          </w:tcPr>
          <w:p w:rsidR="00943955" w:rsidRPr="00CE5B34" w:rsidRDefault="00943955" w:rsidP="00965604">
            <w:pPr>
              <w:spacing w:after="0" w:line="240" w:lineRule="auto"/>
              <w:rPr>
                <w:rFonts w:ascii="Calibri" w:eastAsia="Times New Roman" w:hAnsi="Calibri" w:cs="Calibri"/>
                <w:color w:val="000000"/>
                <w:sz w:val="20"/>
                <w:szCs w:val="20"/>
                <w:lang w:eastAsia="en-NZ"/>
              </w:rPr>
            </w:pPr>
          </w:p>
        </w:tc>
        <w:tc>
          <w:tcPr>
            <w:tcW w:w="4320" w:type="dxa"/>
            <w:tcBorders>
              <w:top w:val="single" w:sz="4" w:space="0" w:color="auto"/>
              <w:left w:val="single" w:sz="4" w:space="0" w:color="auto"/>
              <w:bottom w:val="single" w:sz="4" w:space="0" w:color="auto"/>
              <w:right w:val="single" w:sz="4" w:space="0" w:color="auto"/>
            </w:tcBorders>
            <w:noWrap/>
            <w:vAlign w:val="bottom"/>
            <w:hideMark/>
          </w:tcPr>
          <w:p w:rsidR="00943955" w:rsidRDefault="00943955" w:rsidP="00965604">
            <w:pPr>
              <w:spacing w:after="0" w:line="240" w:lineRule="auto"/>
              <w:rPr>
                <w:rFonts w:ascii="Calibri" w:eastAsia="Times New Roman" w:hAnsi="Calibri" w:cs="Calibri"/>
                <w:sz w:val="20"/>
                <w:szCs w:val="20"/>
                <w:lang w:eastAsia="en-NZ"/>
              </w:rPr>
            </w:pPr>
          </w:p>
          <w:p w:rsidR="00943955" w:rsidRPr="00CE5B34" w:rsidRDefault="00943955" w:rsidP="00965604">
            <w:pPr>
              <w:spacing w:after="0" w:line="240" w:lineRule="auto"/>
              <w:rPr>
                <w:rFonts w:ascii="Calibri" w:eastAsia="Times New Roman" w:hAnsi="Calibri" w:cs="Calibri"/>
                <w:sz w:val="20"/>
                <w:szCs w:val="20"/>
                <w:lang w:eastAsia="en-NZ"/>
              </w:rPr>
            </w:pPr>
          </w:p>
        </w:tc>
        <w:tc>
          <w:tcPr>
            <w:tcW w:w="4470" w:type="dxa"/>
            <w:tcBorders>
              <w:top w:val="single" w:sz="4" w:space="0" w:color="auto"/>
              <w:left w:val="single" w:sz="4" w:space="0" w:color="auto"/>
              <w:bottom w:val="single" w:sz="4" w:space="0" w:color="auto"/>
              <w:right w:val="single" w:sz="4" w:space="0" w:color="auto"/>
            </w:tcBorders>
            <w:hideMark/>
          </w:tcPr>
          <w:p w:rsidR="00943955" w:rsidRPr="00CE5B34" w:rsidRDefault="00943955" w:rsidP="00965604">
            <w:pPr>
              <w:spacing w:after="0" w:line="240" w:lineRule="auto"/>
              <w:rPr>
                <w:rFonts w:ascii="Calibri" w:eastAsia="Times New Roman" w:hAnsi="Calibri" w:cs="Calibri"/>
                <w:color w:val="000000"/>
                <w:sz w:val="20"/>
                <w:szCs w:val="20"/>
                <w:lang w:eastAsia="en-NZ"/>
              </w:rPr>
            </w:pPr>
            <w:r w:rsidRPr="00CE5B34">
              <w:rPr>
                <w:rFonts w:ascii="Calibri" w:eastAsia="Times New Roman" w:hAnsi="Calibri" w:cs="Calibri"/>
                <w:color w:val="000000"/>
                <w:sz w:val="20"/>
                <w:szCs w:val="20"/>
                <w:lang w:eastAsia="en-NZ"/>
              </w:rPr>
              <w:t>The purpose of Health Promoting Schools (HPS) is to improve equity, whānau wellbeing, and educational outcomes through evidence-informed practice. As a school community-driven process, HPS does not prescribe the health and wellbeing issues the school is to address.</w:t>
            </w:r>
          </w:p>
        </w:tc>
      </w:tr>
    </w:tbl>
    <w:p w:rsidR="00943955" w:rsidRDefault="00943955" w:rsidP="0077327F">
      <w:pPr>
        <w:spacing w:after="120"/>
      </w:pPr>
    </w:p>
    <w:p w:rsidR="00943955" w:rsidRDefault="00943955" w:rsidP="0077327F">
      <w:pPr>
        <w:spacing w:after="120"/>
      </w:pPr>
    </w:p>
    <w:p w:rsidR="00943955" w:rsidRDefault="00943955" w:rsidP="0077327F">
      <w:pPr>
        <w:spacing w:after="120"/>
        <w:sectPr w:rsidR="00943955" w:rsidSect="004612E3">
          <w:pgSz w:w="15840" w:h="12240" w:orient="landscape" w:code="1"/>
          <w:pgMar w:top="1440" w:right="1077" w:bottom="1440" w:left="1077" w:header="720" w:footer="6" w:gutter="0"/>
          <w:cols w:space="567"/>
          <w:titlePg/>
          <w:docGrid w:linePitch="360"/>
        </w:sectPr>
      </w:pPr>
    </w:p>
    <w:p w:rsidR="0077327F" w:rsidRDefault="00623DDB" w:rsidP="0077327F">
      <w:pPr>
        <w:pStyle w:val="Heading1"/>
      </w:pPr>
      <w:bookmarkStart w:id="32" w:name="_Toc491757218"/>
      <w:r>
        <w:lastRenderedPageBreak/>
        <w:t>A</w:t>
      </w:r>
      <w:r w:rsidR="0077327F">
        <w:t>ppendix 3</w:t>
      </w:r>
      <w:bookmarkEnd w:id="32"/>
    </w:p>
    <w:p w:rsidR="004F01B2" w:rsidRPr="004F01B2" w:rsidRDefault="004F01B2" w:rsidP="004F01B2">
      <w:pPr>
        <w:spacing w:before="300" w:after="120"/>
        <w:rPr>
          <w:rFonts w:asciiTheme="majorHAnsi" w:eastAsiaTheme="majorEastAsia" w:hAnsiTheme="majorHAnsi" w:cstheme="majorBidi"/>
          <w:color w:val="0F6FC6" w:themeColor="accent1"/>
          <w:sz w:val="28"/>
          <w:szCs w:val="32"/>
        </w:rPr>
      </w:pPr>
      <w:r w:rsidRPr="004F01B2">
        <w:rPr>
          <w:rFonts w:asciiTheme="majorHAnsi" w:eastAsiaTheme="majorEastAsia" w:hAnsiTheme="majorHAnsi" w:cstheme="majorBidi"/>
          <w:color w:val="0F6FC6" w:themeColor="accent1"/>
          <w:sz w:val="28"/>
          <w:szCs w:val="32"/>
        </w:rPr>
        <w:t>Data dictionary</w:t>
      </w:r>
    </w:p>
    <w:p w:rsidR="0077327F" w:rsidRPr="00553512" w:rsidRDefault="00553512" w:rsidP="0077327F">
      <w:pPr>
        <w:rPr>
          <w:b/>
        </w:rPr>
      </w:pPr>
      <w:r w:rsidRPr="00553512">
        <w:rPr>
          <w:b/>
        </w:rPr>
        <w:t>HPS target status</w:t>
      </w:r>
      <w:r>
        <w:rPr>
          <w:b/>
        </w:rPr>
        <w:t>:</w:t>
      </w:r>
    </w:p>
    <w:tbl>
      <w:tblPr>
        <w:tblStyle w:val="cog-table"/>
        <w:tblW w:w="5000" w:type="pct"/>
        <w:tblLook w:val="04A0" w:firstRow="1" w:lastRow="0" w:firstColumn="1" w:lastColumn="0" w:noHBand="0" w:noVBand="1"/>
      </w:tblPr>
      <w:tblGrid>
        <w:gridCol w:w="1328"/>
        <w:gridCol w:w="4198"/>
        <w:gridCol w:w="3834"/>
      </w:tblGrid>
      <w:tr w:rsidR="0077327F" w:rsidRPr="00EC67CB" w:rsidTr="0081553D">
        <w:trPr>
          <w:cnfStyle w:val="100000000000" w:firstRow="1" w:lastRow="0" w:firstColumn="0" w:lastColumn="0" w:oddVBand="0" w:evenVBand="0" w:oddHBand="0" w:evenHBand="0" w:firstRowFirstColumn="0" w:firstRowLastColumn="0" w:lastRowFirstColumn="0" w:lastRowLastColumn="0"/>
          <w:tblHeader/>
        </w:trPr>
        <w:tc>
          <w:tcPr>
            <w:tcW w:w="1363" w:type="dxa"/>
            <w:noWrap/>
            <w:vAlign w:val="center"/>
          </w:tcPr>
          <w:p w:rsidR="0077327F" w:rsidRPr="00EC67CB" w:rsidRDefault="0077327F" w:rsidP="0081553D">
            <w:pPr>
              <w:pStyle w:val="Tableheader"/>
              <w:rPr>
                <w:lang w:eastAsia="en-NZ"/>
              </w:rPr>
            </w:pPr>
            <w:r w:rsidRPr="00EC67CB">
              <w:rPr>
                <w:lang w:eastAsia="en-NZ"/>
              </w:rPr>
              <w:t>Variable name</w:t>
            </w:r>
          </w:p>
        </w:tc>
        <w:tc>
          <w:tcPr>
            <w:tcW w:w="4326" w:type="dxa"/>
            <w:vAlign w:val="center"/>
          </w:tcPr>
          <w:p w:rsidR="0077327F" w:rsidRPr="00EC67CB" w:rsidRDefault="0077327F" w:rsidP="0081553D">
            <w:pPr>
              <w:pStyle w:val="Tableheader"/>
              <w:rPr>
                <w:lang w:eastAsia="en-NZ"/>
              </w:rPr>
            </w:pPr>
            <w:r w:rsidRPr="00EC67CB">
              <w:rPr>
                <w:lang w:eastAsia="en-NZ"/>
              </w:rPr>
              <w:t>Definition and notes</w:t>
            </w:r>
          </w:p>
        </w:tc>
        <w:tc>
          <w:tcPr>
            <w:tcW w:w="3950" w:type="dxa"/>
            <w:vAlign w:val="center"/>
          </w:tcPr>
          <w:p w:rsidR="0077327F" w:rsidRPr="00EC67CB" w:rsidRDefault="0077327F" w:rsidP="0081553D">
            <w:pPr>
              <w:pStyle w:val="Tableheader"/>
              <w:rPr>
                <w:lang w:eastAsia="en-NZ"/>
              </w:rPr>
            </w:pPr>
            <w:r w:rsidRPr="00EC67CB">
              <w:rPr>
                <w:lang w:eastAsia="en-NZ"/>
              </w:rPr>
              <w:t>Code</w:t>
            </w:r>
          </w:p>
        </w:tc>
      </w:tr>
      <w:tr w:rsidR="0077327F" w:rsidRPr="00EC67CB" w:rsidTr="0081553D">
        <w:tc>
          <w:tcPr>
            <w:tcW w:w="9639" w:type="dxa"/>
            <w:gridSpan w:val="3"/>
            <w:noWrap/>
          </w:tcPr>
          <w:p w:rsidR="0077327F" w:rsidRPr="00EC67CB" w:rsidRDefault="0077327F" w:rsidP="0081553D">
            <w:pPr>
              <w:rPr>
                <w:rFonts w:eastAsiaTheme="minorEastAsia"/>
                <w:b/>
                <w:color w:val="000000" w:themeColor="text1"/>
                <w:szCs w:val="20"/>
                <w:lang w:eastAsia="en-NZ"/>
              </w:rPr>
            </w:pPr>
            <w:r w:rsidRPr="00EC67CB">
              <w:rPr>
                <w:rFonts w:eastAsiaTheme="minorEastAsia"/>
                <w:b/>
                <w:color w:val="000000" w:themeColor="text1"/>
                <w:szCs w:val="20"/>
                <w:lang w:eastAsia="en-NZ"/>
              </w:rPr>
              <w:t>Original dataset</w:t>
            </w:r>
          </w:p>
        </w:tc>
      </w:tr>
      <w:tr w:rsidR="0077327F" w:rsidRPr="002E448F" w:rsidTr="00553512">
        <w:tc>
          <w:tcPr>
            <w:tcW w:w="1363" w:type="dxa"/>
            <w:tcBorders>
              <w:bottom w:val="single" w:sz="4" w:space="0" w:color="auto"/>
            </w:tcBorders>
            <w:noWrap/>
            <w:hideMark/>
          </w:tcPr>
          <w:p w:rsidR="0077327F" w:rsidRPr="002E448F" w:rsidRDefault="0077327F" w:rsidP="0081553D">
            <w:pPr>
              <w:rPr>
                <w:rFonts w:eastAsiaTheme="minorEastAsia"/>
                <w:color w:val="000000" w:themeColor="text1"/>
                <w:szCs w:val="20"/>
                <w:lang w:eastAsia="en-NZ"/>
              </w:rPr>
            </w:pPr>
            <w:r w:rsidRPr="1BB67A18">
              <w:rPr>
                <w:rFonts w:eastAsiaTheme="minorEastAsia"/>
                <w:color w:val="000000" w:themeColor="text1"/>
                <w:szCs w:val="20"/>
                <w:lang w:eastAsia="en-NZ"/>
              </w:rPr>
              <w:t xml:space="preserve">HPS </w:t>
            </w:r>
            <w:r>
              <w:rPr>
                <w:rFonts w:eastAsiaTheme="minorEastAsia"/>
                <w:color w:val="000000" w:themeColor="text1"/>
                <w:szCs w:val="20"/>
                <w:lang w:eastAsia="en-NZ"/>
              </w:rPr>
              <w:t>target s</w:t>
            </w:r>
            <w:r w:rsidRPr="1BB67A18">
              <w:rPr>
                <w:rFonts w:eastAsiaTheme="minorEastAsia"/>
                <w:color w:val="000000" w:themeColor="text1"/>
                <w:szCs w:val="20"/>
                <w:lang w:eastAsia="en-NZ"/>
              </w:rPr>
              <w:t>tatus</w:t>
            </w:r>
          </w:p>
        </w:tc>
        <w:tc>
          <w:tcPr>
            <w:tcW w:w="4326" w:type="dxa"/>
            <w:tcBorders>
              <w:bottom w:val="single" w:sz="4" w:space="0" w:color="auto"/>
            </w:tcBorders>
            <w:hideMark/>
          </w:tcPr>
          <w:p w:rsidR="0077327F" w:rsidRPr="002E448F" w:rsidRDefault="0077327F" w:rsidP="0081553D">
            <w:pPr>
              <w:rPr>
                <w:rFonts w:eastAsiaTheme="minorEastAsia"/>
                <w:color w:val="000000" w:themeColor="text1"/>
                <w:szCs w:val="20"/>
                <w:lang w:eastAsia="en-NZ"/>
              </w:rPr>
            </w:pPr>
            <w:r w:rsidRPr="1BB67A18">
              <w:rPr>
                <w:rFonts w:eastAsiaTheme="minorEastAsia"/>
                <w:color w:val="000000" w:themeColor="text1"/>
                <w:szCs w:val="20"/>
                <w:lang w:eastAsia="en-NZ"/>
              </w:rPr>
              <w:t xml:space="preserve">Whether </w:t>
            </w:r>
            <w:r>
              <w:rPr>
                <w:rFonts w:eastAsiaTheme="minorEastAsia"/>
                <w:color w:val="000000" w:themeColor="text1"/>
                <w:szCs w:val="20"/>
                <w:lang w:eastAsia="en-NZ"/>
              </w:rPr>
              <w:t>or not an HPS target school</w:t>
            </w:r>
          </w:p>
        </w:tc>
        <w:tc>
          <w:tcPr>
            <w:tcW w:w="3950" w:type="dxa"/>
            <w:tcBorders>
              <w:bottom w:val="single" w:sz="4" w:space="0" w:color="auto"/>
            </w:tcBorders>
            <w:vAlign w:val="center"/>
          </w:tcPr>
          <w:p w:rsidR="0077327F" w:rsidRDefault="0077327F" w:rsidP="0081553D">
            <w:pPr>
              <w:rPr>
                <w:rFonts w:eastAsiaTheme="minorEastAsia"/>
                <w:color w:val="000000" w:themeColor="text1"/>
                <w:szCs w:val="20"/>
                <w:lang w:eastAsia="en-NZ"/>
              </w:rPr>
            </w:pPr>
            <w:r>
              <w:rPr>
                <w:rFonts w:eastAsiaTheme="minorEastAsia"/>
                <w:color w:val="000000" w:themeColor="text1"/>
                <w:szCs w:val="20"/>
                <w:lang w:eastAsia="en-NZ"/>
              </w:rPr>
              <w:t>0 = not an HPS target school</w:t>
            </w:r>
          </w:p>
          <w:p w:rsidR="0077327F" w:rsidRPr="1BB67A18" w:rsidRDefault="0077327F" w:rsidP="0081553D">
            <w:pPr>
              <w:rPr>
                <w:rFonts w:eastAsiaTheme="minorEastAsia"/>
                <w:color w:val="000000" w:themeColor="text1"/>
                <w:szCs w:val="20"/>
                <w:lang w:eastAsia="en-NZ"/>
              </w:rPr>
            </w:pPr>
            <w:r>
              <w:rPr>
                <w:rFonts w:eastAsiaTheme="minorEastAsia"/>
                <w:color w:val="000000" w:themeColor="text1"/>
                <w:szCs w:val="20"/>
                <w:lang w:eastAsia="en-NZ"/>
              </w:rPr>
              <w:t>1 = HPS target school</w:t>
            </w:r>
          </w:p>
        </w:tc>
      </w:tr>
    </w:tbl>
    <w:p w:rsidR="0077327F" w:rsidRPr="00553512" w:rsidRDefault="0077327F" w:rsidP="0077327F">
      <w:pPr>
        <w:rPr>
          <w:sz w:val="10"/>
          <w:szCs w:val="10"/>
        </w:rPr>
      </w:pPr>
    </w:p>
    <w:p w:rsidR="0077327F" w:rsidRPr="00553512" w:rsidRDefault="0077327F" w:rsidP="0077327F">
      <w:pPr>
        <w:rPr>
          <w:b/>
        </w:rPr>
      </w:pPr>
      <w:r w:rsidRPr="00553512">
        <w:rPr>
          <w:b/>
        </w:rPr>
        <w:t>HPS Level of Inquiry</w:t>
      </w:r>
      <w:r w:rsidR="00553512">
        <w:rPr>
          <w:b/>
        </w:rPr>
        <w:t>:</w:t>
      </w:r>
    </w:p>
    <w:tbl>
      <w:tblPr>
        <w:tblStyle w:val="cog-table"/>
        <w:tblW w:w="5000" w:type="pct"/>
        <w:tblLook w:val="04A0" w:firstRow="1" w:lastRow="0" w:firstColumn="1" w:lastColumn="0" w:noHBand="0" w:noVBand="1"/>
      </w:tblPr>
      <w:tblGrid>
        <w:gridCol w:w="1229"/>
        <w:gridCol w:w="4168"/>
        <w:gridCol w:w="3963"/>
      </w:tblGrid>
      <w:tr w:rsidR="0077327F" w:rsidRPr="006E4018" w:rsidTr="0081553D">
        <w:trPr>
          <w:cnfStyle w:val="100000000000" w:firstRow="1" w:lastRow="0" w:firstColumn="0" w:lastColumn="0" w:oddVBand="0" w:evenVBand="0" w:oddHBand="0" w:evenHBand="0" w:firstRowFirstColumn="0" w:firstRowLastColumn="0" w:lastRowFirstColumn="0" w:lastRowLastColumn="0"/>
        </w:trPr>
        <w:tc>
          <w:tcPr>
            <w:tcW w:w="1229" w:type="dxa"/>
            <w:noWrap/>
            <w:vAlign w:val="center"/>
          </w:tcPr>
          <w:p w:rsidR="0077327F" w:rsidRPr="006E4018" w:rsidRDefault="0077327F" w:rsidP="0081553D">
            <w:pPr>
              <w:pStyle w:val="Tableheader"/>
              <w:rPr>
                <w:lang w:eastAsia="en-NZ"/>
              </w:rPr>
            </w:pPr>
            <w:r w:rsidRPr="006E4018">
              <w:rPr>
                <w:lang w:eastAsia="en-NZ"/>
              </w:rPr>
              <w:t>Variable name</w:t>
            </w:r>
          </w:p>
        </w:tc>
        <w:tc>
          <w:tcPr>
            <w:tcW w:w="4294" w:type="dxa"/>
            <w:vAlign w:val="center"/>
          </w:tcPr>
          <w:p w:rsidR="0077327F" w:rsidRPr="006E4018" w:rsidRDefault="0077327F" w:rsidP="0081553D">
            <w:pPr>
              <w:pStyle w:val="Tableheader"/>
              <w:rPr>
                <w:lang w:eastAsia="en-NZ"/>
              </w:rPr>
            </w:pPr>
            <w:r w:rsidRPr="006E4018">
              <w:rPr>
                <w:lang w:eastAsia="en-NZ"/>
              </w:rPr>
              <w:t>Definition and notes</w:t>
            </w:r>
          </w:p>
        </w:tc>
        <w:tc>
          <w:tcPr>
            <w:tcW w:w="4116" w:type="dxa"/>
            <w:vAlign w:val="center"/>
          </w:tcPr>
          <w:p w:rsidR="0077327F" w:rsidRPr="006E4018" w:rsidRDefault="0077327F" w:rsidP="0081553D">
            <w:pPr>
              <w:pStyle w:val="Tableheader"/>
              <w:rPr>
                <w:lang w:eastAsia="en-NZ"/>
              </w:rPr>
            </w:pPr>
            <w:r w:rsidRPr="006E4018">
              <w:rPr>
                <w:lang w:eastAsia="en-NZ"/>
              </w:rPr>
              <w:t>Code</w:t>
            </w:r>
          </w:p>
        </w:tc>
      </w:tr>
      <w:tr w:rsidR="0077327F" w:rsidRPr="00FB5808" w:rsidTr="00553512">
        <w:tc>
          <w:tcPr>
            <w:tcW w:w="1229" w:type="dxa"/>
            <w:tcBorders>
              <w:top w:val="single" w:sz="12" w:space="0" w:color="0F6FC6" w:themeColor="accent1"/>
              <w:bottom w:val="single" w:sz="4" w:space="0" w:color="auto"/>
            </w:tcBorders>
            <w:noWrap/>
            <w:hideMark/>
          </w:tcPr>
          <w:p w:rsidR="0077327F" w:rsidRPr="002E448F" w:rsidRDefault="0077327F" w:rsidP="0081553D">
            <w:pPr>
              <w:rPr>
                <w:rFonts w:eastAsiaTheme="minorEastAsia"/>
                <w:color w:val="000000" w:themeColor="text1"/>
                <w:szCs w:val="20"/>
                <w:lang w:eastAsia="en-NZ"/>
              </w:rPr>
            </w:pPr>
            <w:r>
              <w:rPr>
                <w:rFonts w:eastAsiaTheme="minorEastAsia"/>
                <w:color w:val="000000" w:themeColor="text1"/>
                <w:szCs w:val="20"/>
                <w:lang w:eastAsia="en-NZ"/>
              </w:rPr>
              <w:t xml:space="preserve">HPS Status detail </w:t>
            </w:r>
          </w:p>
        </w:tc>
        <w:tc>
          <w:tcPr>
            <w:tcW w:w="4294" w:type="dxa"/>
            <w:tcBorders>
              <w:top w:val="single" w:sz="12" w:space="0" w:color="0F6FC6" w:themeColor="accent1"/>
              <w:bottom w:val="single" w:sz="4" w:space="0" w:color="auto"/>
            </w:tcBorders>
            <w:hideMark/>
          </w:tcPr>
          <w:p w:rsidR="0077327F" w:rsidRPr="002E448F" w:rsidRDefault="0077327F" w:rsidP="0081553D">
            <w:pPr>
              <w:rPr>
                <w:rFonts w:eastAsiaTheme="minorEastAsia"/>
                <w:color w:val="000000" w:themeColor="text1"/>
                <w:szCs w:val="20"/>
                <w:lang w:eastAsia="en-NZ"/>
              </w:rPr>
            </w:pPr>
            <w:r w:rsidRPr="1BB67A18">
              <w:rPr>
                <w:rFonts w:eastAsiaTheme="minorEastAsia"/>
                <w:color w:val="000000" w:themeColor="text1"/>
                <w:szCs w:val="20"/>
                <w:lang w:eastAsia="en-NZ"/>
              </w:rPr>
              <w:t>The stage a school is at with regard</w:t>
            </w:r>
            <w:r>
              <w:rPr>
                <w:rFonts w:eastAsiaTheme="minorEastAsia"/>
                <w:color w:val="000000" w:themeColor="text1"/>
                <w:szCs w:val="20"/>
                <w:lang w:eastAsia="en-NZ"/>
              </w:rPr>
              <w:t>s</w:t>
            </w:r>
            <w:r w:rsidRPr="1BB67A18">
              <w:rPr>
                <w:rFonts w:eastAsiaTheme="minorEastAsia"/>
                <w:color w:val="000000" w:themeColor="text1"/>
                <w:szCs w:val="20"/>
                <w:lang w:eastAsia="en-NZ"/>
              </w:rPr>
              <w:t xml:space="preserve"> to its identified or yet to be identified health and wellbeing</w:t>
            </w:r>
            <w:r>
              <w:rPr>
                <w:rFonts w:eastAsiaTheme="minorEastAsia"/>
                <w:color w:val="000000" w:themeColor="text1"/>
                <w:szCs w:val="20"/>
                <w:lang w:eastAsia="en-NZ"/>
              </w:rPr>
              <w:t xml:space="preserve">/rubric/equity issue. </w:t>
            </w:r>
          </w:p>
        </w:tc>
        <w:tc>
          <w:tcPr>
            <w:tcW w:w="4116" w:type="dxa"/>
            <w:tcBorders>
              <w:top w:val="single" w:sz="12" w:space="0" w:color="0F6FC6" w:themeColor="accent1"/>
              <w:bottom w:val="single" w:sz="4" w:space="0" w:color="auto"/>
            </w:tcBorders>
          </w:tcPr>
          <w:p w:rsidR="0077327F" w:rsidRPr="00740F4C" w:rsidRDefault="0077327F" w:rsidP="0081553D">
            <w:pPr>
              <w:rPr>
                <w:rFonts w:eastAsiaTheme="minorEastAsia"/>
                <w:color w:val="000000" w:themeColor="text1"/>
                <w:szCs w:val="20"/>
                <w:lang w:eastAsia="en-NZ"/>
              </w:rPr>
            </w:pPr>
            <w:r w:rsidRPr="00740F4C">
              <w:rPr>
                <w:rFonts w:eastAsiaTheme="minorEastAsia"/>
                <w:color w:val="000000" w:themeColor="text1"/>
                <w:szCs w:val="20"/>
                <w:lang w:eastAsia="en-NZ"/>
              </w:rPr>
              <w:t>0</w:t>
            </w:r>
            <w:r>
              <w:rPr>
                <w:rFonts w:eastAsiaTheme="minorEastAsia"/>
                <w:color w:val="000000" w:themeColor="text1"/>
                <w:szCs w:val="20"/>
                <w:lang w:eastAsia="en-NZ"/>
              </w:rPr>
              <w:t xml:space="preserve"> =</w:t>
            </w:r>
            <w:r w:rsidRPr="00740F4C">
              <w:rPr>
                <w:rFonts w:eastAsiaTheme="minorEastAsia"/>
                <w:color w:val="000000" w:themeColor="text1"/>
                <w:szCs w:val="20"/>
                <w:lang w:eastAsia="en-NZ"/>
              </w:rPr>
              <w:t xml:space="preserve"> Emergent - HPS Prompt to notice</w:t>
            </w:r>
          </w:p>
          <w:p w:rsidR="0077327F" w:rsidRPr="00740F4C" w:rsidRDefault="0077327F" w:rsidP="0081553D">
            <w:pPr>
              <w:rPr>
                <w:rFonts w:eastAsiaTheme="minorEastAsia"/>
                <w:color w:val="000000" w:themeColor="text1"/>
                <w:szCs w:val="20"/>
                <w:lang w:eastAsia="en-NZ"/>
              </w:rPr>
            </w:pPr>
            <w:r w:rsidRPr="00740F4C">
              <w:rPr>
                <w:rFonts w:eastAsiaTheme="minorEastAsia"/>
                <w:color w:val="000000" w:themeColor="text1"/>
                <w:szCs w:val="20"/>
                <w:lang w:eastAsia="en-NZ"/>
              </w:rPr>
              <w:t>1</w:t>
            </w:r>
            <w:r>
              <w:rPr>
                <w:rFonts w:eastAsiaTheme="minorEastAsia"/>
                <w:color w:val="000000" w:themeColor="text1"/>
                <w:szCs w:val="20"/>
                <w:lang w:eastAsia="en-NZ"/>
              </w:rPr>
              <w:t xml:space="preserve"> =</w:t>
            </w:r>
            <w:r w:rsidRPr="00740F4C">
              <w:rPr>
                <w:rFonts w:eastAsiaTheme="minorEastAsia"/>
                <w:color w:val="000000" w:themeColor="text1"/>
                <w:szCs w:val="20"/>
                <w:lang w:eastAsia="en-NZ"/>
              </w:rPr>
              <w:t xml:space="preserve"> Noticing and investigating</w:t>
            </w:r>
          </w:p>
          <w:p w:rsidR="0077327F" w:rsidRPr="00740F4C" w:rsidRDefault="0077327F" w:rsidP="0081553D">
            <w:pPr>
              <w:rPr>
                <w:rFonts w:eastAsiaTheme="minorEastAsia"/>
                <w:color w:val="000000" w:themeColor="text1"/>
                <w:szCs w:val="20"/>
                <w:lang w:eastAsia="en-NZ"/>
              </w:rPr>
            </w:pPr>
            <w:r w:rsidRPr="00740F4C">
              <w:rPr>
                <w:rFonts w:eastAsiaTheme="minorEastAsia"/>
                <w:color w:val="000000" w:themeColor="text1"/>
                <w:szCs w:val="20"/>
                <w:lang w:eastAsia="en-NZ"/>
              </w:rPr>
              <w:t>2</w:t>
            </w:r>
            <w:r>
              <w:rPr>
                <w:rFonts w:eastAsiaTheme="minorEastAsia"/>
                <w:color w:val="000000" w:themeColor="text1"/>
                <w:szCs w:val="20"/>
                <w:lang w:eastAsia="en-NZ"/>
              </w:rPr>
              <w:t xml:space="preserve"> =</w:t>
            </w:r>
            <w:r w:rsidRPr="00740F4C">
              <w:rPr>
                <w:rFonts w:eastAsiaTheme="minorEastAsia"/>
                <w:color w:val="000000" w:themeColor="text1"/>
                <w:szCs w:val="20"/>
                <w:lang w:eastAsia="en-NZ"/>
              </w:rPr>
              <w:t xml:space="preserve"> Collaborative sense-making and action</w:t>
            </w:r>
          </w:p>
          <w:p w:rsidR="0077327F" w:rsidRPr="00740F4C" w:rsidRDefault="0077327F" w:rsidP="0081553D">
            <w:pPr>
              <w:rPr>
                <w:rFonts w:eastAsiaTheme="minorEastAsia"/>
                <w:color w:val="000000" w:themeColor="text1"/>
                <w:szCs w:val="20"/>
                <w:lang w:eastAsia="en-NZ"/>
              </w:rPr>
            </w:pPr>
            <w:r>
              <w:rPr>
                <w:rFonts w:eastAsiaTheme="minorEastAsia"/>
                <w:color w:val="000000" w:themeColor="text1"/>
                <w:szCs w:val="20"/>
                <w:lang w:eastAsia="en-NZ"/>
              </w:rPr>
              <w:t xml:space="preserve">3 = </w:t>
            </w:r>
            <w:r w:rsidRPr="00740F4C">
              <w:rPr>
                <w:rFonts w:eastAsiaTheme="minorEastAsia"/>
                <w:color w:val="000000" w:themeColor="text1"/>
                <w:szCs w:val="20"/>
                <w:lang w:eastAsia="en-NZ"/>
              </w:rPr>
              <w:t>Wh</w:t>
            </w:r>
            <w:r>
              <w:rPr>
                <w:rFonts w:eastAsiaTheme="minorEastAsia" w:cs="Calibri"/>
                <w:color w:val="000000" w:themeColor="text1"/>
                <w:szCs w:val="20"/>
                <w:lang w:eastAsia="en-NZ"/>
              </w:rPr>
              <w:t>ā</w:t>
            </w:r>
            <w:r w:rsidRPr="00740F4C">
              <w:rPr>
                <w:rFonts w:eastAsiaTheme="minorEastAsia"/>
                <w:color w:val="000000" w:themeColor="text1"/>
                <w:szCs w:val="20"/>
                <w:lang w:eastAsia="en-NZ"/>
              </w:rPr>
              <w:t>nau agency, monitoring and evaluating</w:t>
            </w:r>
          </w:p>
          <w:p w:rsidR="0077327F" w:rsidRDefault="0077327F" w:rsidP="0081553D">
            <w:pPr>
              <w:rPr>
                <w:rFonts w:eastAsiaTheme="minorEastAsia"/>
                <w:color w:val="000000" w:themeColor="text1"/>
                <w:szCs w:val="20"/>
                <w:lang w:eastAsia="en-NZ"/>
              </w:rPr>
            </w:pPr>
            <w:r w:rsidRPr="00740F4C">
              <w:rPr>
                <w:rFonts w:eastAsiaTheme="minorEastAsia"/>
                <w:color w:val="000000" w:themeColor="text1"/>
                <w:szCs w:val="20"/>
                <w:lang w:eastAsia="en-NZ"/>
              </w:rPr>
              <w:t>4</w:t>
            </w:r>
            <w:r>
              <w:rPr>
                <w:rFonts w:eastAsiaTheme="minorEastAsia"/>
                <w:color w:val="000000" w:themeColor="text1"/>
                <w:szCs w:val="20"/>
                <w:lang w:eastAsia="en-NZ"/>
              </w:rPr>
              <w:t xml:space="preserve"> = Neither (no interaction)</w:t>
            </w:r>
          </w:p>
          <w:p w:rsidR="0077327F" w:rsidRPr="1BB67A18" w:rsidRDefault="0077327F" w:rsidP="0081553D">
            <w:pPr>
              <w:rPr>
                <w:rFonts w:eastAsiaTheme="minorEastAsia"/>
                <w:color w:val="000000" w:themeColor="text1"/>
                <w:szCs w:val="20"/>
                <w:lang w:eastAsia="en-NZ"/>
              </w:rPr>
            </w:pPr>
            <w:r>
              <w:rPr>
                <w:rFonts w:eastAsiaTheme="minorEastAsia"/>
                <w:color w:val="000000" w:themeColor="text1"/>
                <w:szCs w:val="20"/>
                <w:lang w:eastAsia="en-NZ"/>
              </w:rPr>
              <w:t>5 = Communication (emails only)</w:t>
            </w:r>
          </w:p>
        </w:tc>
      </w:tr>
    </w:tbl>
    <w:p w:rsidR="0077327F" w:rsidRPr="00553512" w:rsidRDefault="0077327F" w:rsidP="0077327F">
      <w:pPr>
        <w:rPr>
          <w:sz w:val="10"/>
          <w:szCs w:val="10"/>
        </w:rPr>
      </w:pPr>
    </w:p>
    <w:p w:rsidR="0077327F" w:rsidRPr="00553512" w:rsidRDefault="0077327F" w:rsidP="0077327F">
      <w:pPr>
        <w:rPr>
          <w:b/>
        </w:rPr>
      </w:pPr>
      <w:r w:rsidRPr="00553512">
        <w:rPr>
          <w:b/>
        </w:rPr>
        <w:t xml:space="preserve"> Grouping of HPS outcomes</w:t>
      </w:r>
      <w:r w:rsidR="00553512">
        <w:rPr>
          <w:b/>
        </w:rPr>
        <w:t>:</w:t>
      </w:r>
    </w:p>
    <w:tbl>
      <w:tblPr>
        <w:tblStyle w:val="cog-table"/>
        <w:tblW w:w="5000" w:type="pct"/>
        <w:tblLook w:val="04A0" w:firstRow="1" w:lastRow="0" w:firstColumn="1" w:lastColumn="0" w:noHBand="0" w:noVBand="1"/>
      </w:tblPr>
      <w:tblGrid>
        <w:gridCol w:w="1473"/>
        <w:gridCol w:w="2818"/>
        <w:gridCol w:w="5059"/>
      </w:tblGrid>
      <w:tr w:rsidR="0077327F" w:rsidRPr="00EC67CB" w:rsidTr="0081553D">
        <w:trPr>
          <w:cnfStyle w:val="100000000000" w:firstRow="1" w:lastRow="0" w:firstColumn="0" w:lastColumn="0" w:oddVBand="0" w:evenVBand="0" w:oddHBand="0" w:evenHBand="0" w:firstRowFirstColumn="0" w:firstRowLastColumn="0" w:lastRowFirstColumn="0" w:lastRowLastColumn="0"/>
        </w:trPr>
        <w:tc>
          <w:tcPr>
            <w:tcW w:w="1515" w:type="dxa"/>
            <w:tcBorders>
              <w:top w:val="single" w:sz="4" w:space="0" w:color="auto"/>
              <w:left w:val="single" w:sz="4" w:space="0" w:color="auto"/>
            </w:tcBorders>
            <w:noWrap/>
          </w:tcPr>
          <w:p w:rsidR="0077327F" w:rsidRPr="00EC67CB" w:rsidRDefault="0077327F" w:rsidP="0081553D">
            <w:pPr>
              <w:pStyle w:val="Tableheader"/>
              <w:rPr>
                <w:lang w:eastAsia="en-NZ"/>
              </w:rPr>
            </w:pPr>
            <w:r w:rsidRPr="00EC67CB">
              <w:rPr>
                <w:lang w:eastAsia="en-NZ"/>
              </w:rPr>
              <w:t>Variable name</w:t>
            </w:r>
          </w:p>
        </w:tc>
        <w:tc>
          <w:tcPr>
            <w:tcW w:w="2904" w:type="dxa"/>
            <w:tcBorders>
              <w:top w:val="single" w:sz="4" w:space="0" w:color="auto"/>
            </w:tcBorders>
          </w:tcPr>
          <w:p w:rsidR="0077327F" w:rsidRPr="00EC67CB" w:rsidRDefault="0077327F" w:rsidP="0081553D">
            <w:pPr>
              <w:pStyle w:val="Tableheader"/>
              <w:rPr>
                <w:lang w:eastAsia="en-NZ"/>
              </w:rPr>
            </w:pPr>
            <w:r w:rsidRPr="00EC67CB">
              <w:rPr>
                <w:lang w:eastAsia="en-NZ"/>
              </w:rPr>
              <w:t>Definition and notes</w:t>
            </w:r>
          </w:p>
        </w:tc>
        <w:tc>
          <w:tcPr>
            <w:tcW w:w="5220" w:type="dxa"/>
            <w:tcBorders>
              <w:top w:val="single" w:sz="4" w:space="0" w:color="auto"/>
              <w:right w:val="single" w:sz="4" w:space="0" w:color="auto"/>
            </w:tcBorders>
          </w:tcPr>
          <w:p w:rsidR="0077327F" w:rsidRPr="00EC67CB" w:rsidRDefault="0077327F" w:rsidP="0081553D">
            <w:pPr>
              <w:pStyle w:val="Tableheader"/>
              <w:rPr>
                <w:lang w:eastAsia="en-NZ"/>
              </w:rPr>
            </w:pPr>
            <w:r w:rsidRPr="00EC67CB">
              <w:rPr>
                <w:lang w:eastAsia="en-NZ"/>
              </w:rPr>
              <w:t>Code</w:t>
            </w:r>
          </w:p>
        </w:tc>
      </w:tr>
      <w:tr w:rsidR="0077327F" w:rsidRPr="00B31F73" w:rsidTr="00553512">
        <w:tc>
          <w:tcPr>
            <w:tcW w:w="9639" w:type="dxa"/>
            <w:gridSpan w:val="3"/>
            <w:tcBorders>
              <w:left w:val="single" w:sz="4" w:space="0" w:color="auto"/>
              <w:bottom w:val="single" w:sz="4" w:space="0" w:color="17406D" w:themeColor="text2"/>
              <w:right w:val="single" w:sz="4" w:space="0" w:color="auto"/>
            </w:tcBorders>
            <w:noWrap/>
          </w:tcPr>
          <w:p w:rsidR="0077327F" w:rsidRPr="00E55027" w:rsidRDefault="00E55027" w:rsidP="0081553D">
            <w:pPr>
              <w:pStyle w:val="Tablesubheading"/>
              <w:rPr>
                <w:lang w:eastAsia="en-NZ"/>
              </w:rPr>
            </w:pPr>
            <w:r w:rsidRPr="00EC67CB">
              <w:rPr>
                <w:rFonts w:eastAsiaTheme="minorEastAsia"/>
                <w:b/>
                <w:color w:val="000000" w:themeColor="text1"/>
                <w:szCs w:val="20"/>
                <w:lang w:eastAsia="en-NZ"/>
              </w:rPr>
              <w:t>Original dataset</w:t>
            </w:r>
          </w:p>
        </w:tc>
      </w:tr>
      <w:tr w:rsidR="0077327F" w:rsidRPr="002E448F" w:rsidTr="00553512">
        <w:tc>
          <w:tcPr>
            <w:tcW w:w="1515" w:type="dxa"/>
            <w:tcBorders>
              <w:top w:val="single" w:sz="4" w:space="0" w:color="17406D" w:themeColor="text2"/>
              <w:left w:val="single" w:sz="4" w:space="0" w:color="auto"/>
              <w:bottom w:val="single" w:sz="4" w:space="0" w:color="auto"/>
            </w:tcBorders>
            <w:noWrap/>
            <w:hideMark/>
          </w:tcPr>
          <w:p w:rsidR="0077327F" w:rsidRDefault="0077327F" w:rsidP="0081553D">
            <w:pPr>
              <w:rPr>
                <w:rFonts w:eastAsiaTheme="minorEastAsia"/>
                <w:color w:val="000000" w:themeColor="text1"/>
                <w:szCs w:val="20"/>
                <w:lang w:eastAsia="en-NZ"/>
              </w:rPr>
            </w:pPr>
            <w:r w:rsidRPr="1BB67A18">
              <w:rPr>
                <w:rFonts w:eastAsiaTheme="minorEastAsia"/>
                <w:color w:val="000000" w:themeColor="text1"/>
                <w:szCs w:val="20"/>
                <w:lang w:eastAsia="en-NZ"/>
              </w:rPr>
              <w:t xml:space="preserve">HPS </w:t>
            </w:r>
          </w:p>
          <w:p w:rsidR="0077327F" w:rsidRPr="002E448F" w:rsidRDefault="0077327F" w:rsidP="0081553D">
            <w:pPr>
              <w:rPr>
                <w:rFonts w:eastAsiaTheme="minorEastAsia"/>
                <w:color w:val="000000" w:themeColor="text1"/>
                <w:szCs w:val="20"/>
                <w:lang w:eastAsia="en-NZ"/>
              </w:rPr>
            </w:pPr>
            <w:r>
              <w:rPr>
                <w:rFonts w:eastAsiaTheme="minorEastAsia"/>
                <w:color w:val="000000" w:themeColor="text1"/>
                <w:szCs w:val="20"/>
                <w:lang w:eastAsia="en-NZ"/>
              </w:rPr>
              <w:t>(outcomes)</w:t>
            </w:r>
          </w:p>
        </w:tc>
        <w:tc>
          <w:tcPr>
            <w:tcW w:w="2904" w:type="dxa"/>
            <w:tcBorders>
              <w:top w:val="single" w:sz="4" w:space="0" w:color="17406D" w:themeColor="text2"/>
              <w:bottom w:val="single" w:sz="4" w:space="0" w:color="auto"/>
            </w:tcBorders>
            <w:hideMark/>
          </w:tcPr>
          <w:p w:rsidR="0077327F" w:rsidRPr="007C4B5E" w:rsidRDefault="0077327F" w:rsidP="0081553D">
            <w:pPr>
              <w:rPr>
                <w:rFonts w:eastAsiaTheme="minorEastAsia"/>
                <w:b/>
                <w:color w:val="000000" w:themeColor="text1"/>
                <w:szCs w:val="20"/>
                <w:lang w:eastAsia="en-NZ"/>
              </w:rPr>
            </w:pPr>
            <w:r w:rsidRPr="1BB67A18">
              <w:rPr>
                <w:rFonts w:eastAsiaTheme="minorEastAsia"/>
                <w:color w:val="000000"/>
                <w:szCs w:val="20"/>
                <w:lang w:eastAsia="en-NZ"/>
              </w:rPr>
              <w:t xml:space="preserve">The </w:t>
            </w:r>
            <w:r>
              <w:rPr>
                <w:rFonts w:eastAsiaTheme="minorEastAsia"/>
                <w:color w:val="000000"/>
                <w:szCs w:val="20"/>
                <w:lang w:eastAsia="en-NZ"/>
              </w:rPr>
              <w:t>changes perceived to be because of</w:t>
            </w:r>
            <w:r w:rsidRPr="1BB67A18">
              <w:rPr>
                <w:rFonts w:eastAsiaTheme="minorEastAsia"/>
                <w:color w:val="000000"/>
                <w:szCs w:val="20"/>
                <w:lang w:eastAsia="en-NZ"/>
              </w:rPr>
              <w:t xml:space="preserve"> the health and wellbeing intervention</w:t>
            </w:r>
            <w:r>
              <w:rPr>
                <w:rFonts w:eastAsiaTheme="minorEastAsia"/>
                <w:color w:val="000000"/>
                <w:szCs w:val="20"/>
                <w:lang w:eastAsia="en-NZ"/>
              </w:rPr>
              <w:t>. These include noticing</w:t>
            </w:r>
            <w:r>
              <w:rPr>
                <w:rFonts w:eastAsiaTheme="minorEastAsia"/>
                <w:color w:val="000000" w:themeColor="text1"/>
                <w:szCs w:val="20"/>
                <w:lang w:eastAsia="en-NZ"/>
              </w:rPr>
              <w:t xml:space="preserve"> (1-3); starting to action (4-7); changes in behaviour (8-10); and improved outcomes (11-15)</w:t>
            </w:r>
            <w:r>
              <w:rPr>
                <w:rFonts w:eastAsiaTheme="minorEastAsia"/>
                <w:b/>
                <w:color w:val="000000" w:themeColor="text1"/>
                <w:szCs w:val="20"/>
                <w:lang w:eastAsia="en-NZ"/>
              </w:rPr>
              <w:t>.</w:t>
            </w:r>
          </w:p>
        </w:tc>
        <w:tc>
          <w:tcPr>
            <w:tcW w:w="5220" w:type="dxa"/>
            <w:tcBorders>
              <w:top w:val="single" w:sz="4" w:space="0" w:color="17406D" w:themeColor="text2"/>
              <w:bottom w:val="single" w:sz="4" w:space="0" w:color="auto"/>
              <w:right w:val="single" w:sz="4" w:space="0" w:color="auto"/>
            </w:tcBorders>
          </w:tcPr>
          <w:p w:rsidR="0077327F" w:rsidRPr="007C4B5E" w:rsidRDefault="0077327F" w:rsidP="0081553D">
            <w:pPr>
              <w:rPr>
                <w:rFonts w:eastAsiaTheme="minorEastAsia"/>
                <w:color w:val="000000"/>
                <w:szCs w:val="20"/>
                <w:lang w:eastAsia="en-NZ"/>
              </w:rPr>
            </w:pPr>
            <w:r>
              <w:rPr>
                <w:rFonts w:eastAsiaTheme="minorEastAsia"/>
                <w:color w:val="000000"/>
                <w:szCs w:val="20"/>
                <w:lang w:eastAsia="en-NZ"/>
              </w:rPr>
              <w:t xml:space="preserve">1= </w:t>
            </w:r>
            <w:r w:rsidRPr="007C4B5E">
              <w:rPr>
                <w:rFonts w:eastAsiaTheme="minorEastAsia"/>
                <w:color w:val="000000"/>
                <w:szCs w:val="20"/>
                <w:lang w:eastAsia="en-NZ"/>
              </w:rPr>
              <w:t>Increased knowledge/awareness about the focus dimension</w:t>
            </w:r>
          </w:p>
          <w:p w:rsidR="0077327F" w:rsidRPr="007C4B5E" w:rsidRDefault="0077327F" w:rsidP="0081553D">
            <w:pPr>
              <w:rPr>
                <w:rFonts w:eastAsiaTheme="minorEastAsia"/>
                <w:color w:val="000000"/>
                <w:szCs w:val="20"/>
                <w:lang w:eastAsia="en-NZ"/>
              </w:rPr>
            </w:pPr>
            <w:r>
              <w:rPr>
                <w:rFonts w:eastAsiaTheme="minorEastAsia"/>
                <w:color w:val="000000"/>
                <w:szCs w:val="20"/>
                <w:lang w:eastAsia="en-NZ"/>
              </w:rPr>
              <w:t xml:space="preserve">2= </w:t>
            </w:r>
            <w:r w:rsidRPr="007C4B5E">
              <w:rPr>
                <w:rFonts w:eastAsiaTheme="minorEastAsia"/>
                <w:color w:val="000000"/>
                <w:szCs w:val="20"/>
                <w:lang w:eastAsia="en-NZ"/>
              </w:rPr>
              <w:t>A shift in attitudes about the focus dimension</w:t>
            </w:r>
          </w:p>
          <w:p w:rsidR="0077327F" w:rsidRPr="007C4B5E" w:rsidRDefault="0077327F" w:rsidP="0081553D">
            <w:pPr>
              <w:rPr>
                <w:rFonts w:eastAsiaTheme="minorEastAsia"/>
                <w:color w:val="000000"/>
                <w:szCs w:val="20"/>
                <w:lang w:eastAsia="en-NZ"/>
              </w:rPr>
            </w:pPr>
            <w:r>
              <w:rPr>
                <w:rFonts w:eastAsiaTheme="minorEastAsia"/>
                <w:color w:val="000000"/>
                <w:szCs w:val="20"/>
                <w:lang w:eastAsia="en-NZ"/>
              </w:rPr>
              <w:t xml:space="preserve">3= </w:t>
            </w:r>
            <w:r w:rsidRPr="007C4B5E">
              <w:rPr>
                <w:rFonts w:eastAsiaTheme="minorEastAsia"/>
                <w:color w:val="000000"/>
                <w:szCs w:val="20"/>
                <w:lang w:eastAsia="en-NZ"/>
              </w:rPr>
              <w:t>Gained /improved/ new skills/tools to address the focus dimension</w:t>
            </w:r>
          </w:p>
          <w:p w:rsidR="0077327F" w:rsidRDefault="0077327F" w:rsidP="0081553D">
            <w:pPr>
              <w:rPr>
                <w:rFonts w:eastAsiaTheme="minorEastAsia"/>
                <w:color w:val="000000"/>
                <w:szCs w:val="20"/>
                <w:lang w:eastAsia="en-NZ"/>
              </w:rPr>
            </w:pPr>
            <w:r>
              <w:rPr>
                <w:rFonts w:eastAsiaTheme="minorEastAsia"/>
                <w:color w:val="000000"/>
                <w:szCs w:val="20"/>
                <w:lang w:eastAsia="en-NZ"/>
              </w:rPr>
              <w:t xml:space="preserve">4= </w:t>
            </w:r>
            <w:r w:rsidRPr="007C4B5E">
              <w:rPr>
                <w:rFonts w:eastAsiaTheme="minorEastAsia"/>
                <w:color w:val="000000"/>
                <w:szCs w:val="20"/>
                <w:lang w:eastAsia="en-NZ"/>
              </w:rPr>
              <w:t>New practices adopted that had an impact on the focus dimension</w:t>
            </w:r>
          </w:p>
          <w:p w:rsidR="0077327F" w:rsidRPr="007C4B5E" w:rsidRDefault="0077327F" w:rsidP="0081553D">
            <w:pPr>
              <w:rPr>
                <w:rFonts w:eastAsiaTheme="minorEastAsia"/>
                <w:color w:val="000000"/>
                <w:szCs w:val="20"/>
                <w:lang w:eastAsia="en-NZ"/>
              </w:rPr>
            </w:pPr>
            <w:r>
              <w:rPr>
                <w:rFonts w:eastAsiaTheme="minorEastAsia"/>
                <w:color w:val="000000"/>
                <w:szCs w:val="20"/>
                <w:lang w:eastAsia="en-NZ"/>
              </w:rPr>
              <w:t xml:space="preserve">5= </w:t>
            </w:r>
            <w:r w:rsidRPr="007C4B5E">
              <w:rPr>
                <w:rFonts w:eastAsiaTheme="minorEastAsia"/>
                <w:color w:val="000000"/>
                <w:szCs w:val="20"/>
                <w:lang w:eastAsia="en-NZ"/>
              </w:rPr>
              <w:t>School policies changed and adopted</w:t>
            </w:r>
          </w:p>
          <w:p w:rsidR="0077327F" w:rsidRPr="007C4B5E" w:rsidRDefault="0077327F" w:rsidP="0081553D">
            <w:pPr>
              <w:rPr>
                <w:rFonts w:eastAsiaTheme="minorEastAsia"/>
                <w:color w:val="000000"/>
                <w:szCs w:val="20"/>
                <w:lang w:eastAsia="en-NZ"/>
              </w:rPr>
            </w:pPr>
            <w:r>
              <w:rPr>
                <w:rFonts w:eastAsiaTheme="minorEastAsia"/>
                <w:color w:val="000000"/>
                <w:szCs w:val="20"/>
                <w:lang w:eastAsia="en-NZ"/>
              </w:rPr>
              <w:t xml:space="preserve">6= </w:t>
            </w:r>
            <w:r w:rsidRPr="007C4B5E">
              <w:rPr>
                <w:rFonts w:eastAsiaTheme="minorEastAsia"/>
                <w:color w:val="000000"/>
                <w:szCs w:val="20"/>
                <w:lang w:eastAsia="en-NZ"/>
              </w:rPr>
              <w:t>Positive changes in the school physical environment</w:t>
            </w:r>
          </w:p>
          <w:p w:rsidR="0077327F" w:rsidRPr="007C4B5E" w:rsidRDefault="0077327F" w:rsidP="0081553D">
            <w:pPr>
              <w:rPr>
                <w:rFonts w:eastAsiaTheme="minorEastAsia"/>
                <w:color w:val="000000"/>
                <w:szCs w:val="20"/>
                <w:lang w:eastAsia="en-NZ"/>
              </w:rPr>
            </w:pPr>
            <w:r>
              <w:rPr>
                <w:rFonts w:eastAsiaTheme="minorEastAsia"/>
                <w:color w:val="000000"/>
                <w:szCs w:val="20"/>
                <w:lang w:eastAsia="en-NZ"/>
              </w:rPr>
              <w:t xml:space="preserve">7= </w:t>
            </w:r>
            <w:r w:rsidRPr="007C4B5E">
              <w:rPr>
                <w:rFonts w:eastAsiaTheme="minorEastAsia"/>
                <w:color w:val="000000"/>
                <w:szCs w:val="20"/>
                <w:lang w:eastAsia="en-NZ"/>
              </w:rPr>
              <w:t>Positive changes in the school cultural, social and spiritual environment</w:t>
            </w:r>
          </w:p>
          <w:p w:rsidR="0077327F" w:rsidRDefault="0077327F" w:rsidP="0081553D">
            <w:pPr>
              <w:rPr>
                <w:rFonts w:eastAsiaTheme="minorEastAsia"/>
                <w:color w:val="000000"/>
                <w:szCs w:val="20"/>
                <w:lang w:eastAsia="en-NZ"/>
              </w:rPr>
            </w:pPr>
            <w:r>
              <w:rPr>
                <w:rFonts w:eastAsiaTheme="minorEastAsia"/>
                <w:color w:val="000000"/>
                <w:szCs w:val="20"/>
                <w:lang w:eastAsia="en-NZ"/>
              </w:rPr>
              <w:t xml:space="preserve">8= </w:t>
            </w:r>
            <w:r w:rsidRPr="007C4B5E">
              <w:rPr>
                <w:rFonts w:eastAsiaTheme="minorEastAsia"/>
                <w:color w:val="000000"/>
                <w:szCs w:val="20"/>
                <w:lang w:eastAsia="en-NZ"/>
              </w:rPr>
              <w:t>Increase in student and whānau agency</w:t>
            </w:r>
          </w:p>
          <w:p w:rsidR="0077327F" w:rsidRDefault="0077327F" w:rsidP="0081553D">
            <w:pPr>
              <w:rPr>
                <w:rFonts w:eastAsiaTheme="minorEastAsia"/>
                <w:color w:val="000000"/>
                <w:szCs w:val="20"/>
                <w:lang w:eastAsia="en-NZ"/>
              </w:rPr>
            </w:pPr>
            <w:r>
              <w:rPr>
                <w:rFonts w:eastAsiaTheme="minorEastAsia"/>
                <w:color w:val="000000"/>
                <w:szCs w:val="20"/>
                <w:lang w:eastAsia="en-NZ"/>
              </w:rPr>
              <w:t>9=</w:t>
            </w:r>
            <w:r w:rsidRPr="007C4B5E">
              <w:rPr>
                <w:rFonts w:eastAsiaTheme="minorEastAsia"/>
                <w:color w:val="000000"/>
                <w:szCs w:val="20"/>
                <w:lang w:eastAsia="en-NZ"/>
              </w:rPr>
              <w:t xml:space="preserve"> A positive changes in circumstance/(s) in the school community</w:t>
            </w:r>
          </w:p>
          <w:p w:rsidR="0077327F" w:rsidRPr="007C4B5E" w:rsidRDefault="0077327F" w:rsidP="0081553D">
            <w:pPr>
              <w:rPr>
                <w:rFonts w:eastAsiaTheme="minorEastAsia"/>
                <w:color w:val="000000"/>
                <w:szCs w:val="20"/>
                <w:lang w:eastAsia="en-NZ"/>
              </w:rPr>
            </w:pPr>
            <w:r>
              <w:rPr>
                <w:rFonts w:eastAsiaTheme="minorEastAsia"/>
                <w:color w:val="000000"/>
                <w:szCs w:val="20"/>
                <w:lang w:eastAsia="en-NZ"/>
              </w:rPr>
              <w:t xml:space="preserve">10= </w:t>
            </w:r>
            <w:r w:rsidRPr="007C4B5E">
              <w:rPr>
                <w:rFonts w:eastAsiaTheme="minorEastAsia"/>
                <w:color w:val="000000"/>
                <w:szCs w:val="20"/>
                <w:lang w:eastAsia="en-NZ"/>
              </w:rPr>
              <w:t>Changes in the behaviour of groups within the school and/or school community</w:t>
            </w:r>
          </w:p>
          <w:p w:rsidR="0077327F" w:rsidRPr="007C4B5E" w:rsidRDefault="0077327F" w:rsidP="0081553D">
            <w:pPr>
              <w:rPr>
                <w:rFonts w:eastAsiaTheme="minorEastAsia"/>
                <w:color w:val="000000"/>
                <w:szCs w:val="20"/>
                <w:lang w:eastAsia="en-NZ"/>
              </w:rPr>
            </w:pPr>
            <w:r>
              <w:rPr>
                <w:rFonts w:eastAsiaTheme="minorEastAsia"/>
                <w:color w:val="000000"/>
                <w:szCs w:val="20"/>
                <w:lang w:eastAsia="en-NZ"/>
              </w:rPr>
              <w:t xml:space="preserve">11= </w:t>
            </w:r>
            <w:r w:rsidRPr="007C4B5E">
              <w:rPr>
                <w:rFonts w:eastAsiaTheme="minorEastAsia"/>
                <w:color w:val="000000"/>
                <w:szCs w:val="20"/>
                <w:lang w:eastAsia="en-NZ"/>
              </w:rPr>
              <w:t>Improved student and or families/whānau health and wellbeing</w:t>
            </w:r>
          </w:p>
          <w:p w:rsidR="0077327F" w:rsidRPr="007C4B5E" w:rsidRDefault="0077327F" w:rsidP="0081553D">
            <w:pPr>
              <w:rPr>
                <w:rFonts w:eastAsiaTheme="minorEastAsia"/>
                <w:color w:val="000000"/>
                <w:szCs w:val="20"/>
                <w:lang w:eastAsia="en-NZ"/>
              </w:rPr>
            </w:pPr>
            <w:r>
              <w:rPr>
                <w:rFonts w:eastAsiaTheme="minorEastAsia"/>
                <w:color w:val="000000"/>
                <w:szCs w:val="20"/>
                <w:lang w:eastAsia="en-NZ"/>
              </w:rPr>
              <w:t xml:space="preserve">12= </w:t>
            </w:r>
            <w:r w:rsidRPr="007C4B5E">
              <w:rPr>
                <w:rFonts w:eastAsiaTheme="minorEastAsia"/>
                <w:color w:val="000000"/>
                <w:szCs w:val="20"/>
                <w:lang w:eastAsia="en-NZ"/>
              </w:rPr>
              <w:t>Increase in student attendance</w:t>
            </w:r>
          </w:p>
          <w:p w:rsidR="0077327F" w:rsidRPr="007C4B5E" w:rsidRDefault="0077327F" w:rsidP="0081553D">
            <w:pPr>
              <w:rPr>
                <w:rFonts w:eastAsiaTheme="minorEastAsia"/>
                <w:color w:val="000000"/>
                <w:szCs w:val="20"/>
                <w:lang w:eastAsia="en-NZ"/>
              </w:rPr>
            </w:pPr>
            <w:r>
              <w:rPr>
                <w:rFonts w:eastAsiaTheme="minorEastAsia"/>
                <w:color w:val="000000"/>
                <w:szCs w:val="20"/>
                <w:lang w:eastAsia="en-NZ"/>
              </w:rPr>
              <w:t xml:space="preserve">13= </w:t>
            </w:r>
            <w:r w:rsidRPr="007C4B5E">
              <w:rPr>
                <w:rFonts w:eastAsiaTheme="minorEastAsia"/>
                <w:color w:val="000000"/>
                <w:szCs w:val="20"/>
                <w:lang w:eastAsia="en-NZ"/>
              </w:rPr>
              <w:t>Increase in student retention</w:t>
            </w:r>
          </w:p>
          <w:p w:rsidR="0077327F" w:rsidRPr="007C4B5E" w:rsidRDefault="0077327F" w:rsidP="0081553D">
            <w:pPr>
              <w:rPr>
                <w:rFonts w:eastAsiaTheme="minorEastAsia"/>
                <w:color w:val="000000"/>
                <w:szCs w:val="20"/>
                <w:lang w:eastAsia="en-NZ"/>
              </w:rPr>
            </w:pPr>
            <w:r>
              <w:rPr>
                <w:rFonts w:eastAsiaTheme="minorEastAsia"/>
                <w:color w:val="000000"/>
                <w:szCs w:val="20"/>
                <w:lang w:eastAsia="en-NZ"/>
              </w:rPr>
              <w:t xml:space="preserve">14= </w:t>
            </w:r>
            <w:r w:rsidRPr="007C4B5E">
              <w:rPr>
                <w:rFonts w:eastAsiaTheme="minorEastAsia"/>
                <w:color w:val="000000"/>
                <w:szCs w:val="20"/>
                <w:lang w:eastAsia="en-NZ"/>
              </w:rPr>
              <w:t>Increase in student engagement</w:t>
            </w:r>
          </w:p>
          <w:p w:rsidR="0077327F" w:rsidRPr="007C4B5E" w:rsidRDefault="0077327F" w:rsidP="0081553D">
            <w:pPr>
              <w:rPr>
                <w:rFonts w:eastAsiaTheme="minorEastAsia"/>
                <w:color w:val="000000"/>
                <w:szCs w:val="20"/>
                <w:lang w:eastAsia="en-NZ"/>
              </w:rPr>
            </w:pPr>
            <w:r w:rsidRPr="007C4B5E">
              <w:rPr>
                <w:rFonts w:eastAsiaTheme="minorEastAsia"/>
                <w:color w:val="000000"/>
                <w:szCs w:val="20"/>
                <w:lang w:eastAsia="en-NZ"/>
              </w:rPr>
              <w:t>15= Increase in student achievement</w:t>
            </w:r>
            <w:r w:rsidRPr="007C4B5E" w:rsidDel="00616F99">
              <w:rPr>
                <w:rFonts w:eastAsiaTheme="minorEastAsia"/>
                <w:color w:val="000000"/>
                <w:szCs w:val="20"/>
                <w:lang w:eastAsia="en-NZ"/>
              </w:rPr>
              <w:t xml:space="preserve"> </w:t>
            </w:r>
          </w:p>
        </w:tc>
      </w:tr>
      <w:tr w:rsidR="0077327F" w:rsidRPr="00544064" w:rsidTr="00553512">
        <w:tc>
          <w:tcPr>
            <w:tcW w:w="9639" w:type="dxa"/>
            <w:gridSpan w:val="3"/>
            <w:tcBorders>
              <w:top w:val="single" w:sz="4" w:space="0" w:color="auto"/>
              <w:left w:val="single" w:sz="4" w:space="0" w:color="auto"/>
              <w:right w:val="single" w:sz="4" w:space="0" w:color="auto"/>
            </w:tcBorders>
            <w:noWrap/>
          </w:tcPr>
          <w:p w:rsidR="0077327F" w:rsidRPr="007C4B5E" w:rsidRDefault="0077327F" w:rsidP="0081553D">
            <w:pPr>
              <w:rPr>
                <w:rFonts w:eastAsiaTheme="minorEastAsia"/>
                <w:b/>
                <w:color w:val="000000" w:themeColor="text1"/>
                <w:szCs w:val="20"/>
                <w:lang w:eastAsia="en-NZ"/>
              </w:rPr>
            </w:pPr>
            <w:r w:rsidRPr="007C4B5E">
              <w:rPr>
                <w:rFonts w:eastAsiaTheme="minorEastAsia"/>
                <w:b/>
                <w:color w:val="000000" w:themeColor="text1"/>
                <w:szCs w:val="20"/>
                <w:lang w:eastAsia="en-NZ"/>
              </w:rPr>
              <w:lastRenderedPageBreak/>
              <w:t>Derived variable</w:t>
            </w:r>
          </w:p>
        </w:tc>
      </w:tr>
      <w:tr w:rsidR="0077327F" w:rsidRPr="00FB5808" w:rsidTr="00553512">
        <w:tc>
          <w:tcPr>
            <w:tcW w:w="1515" w:type="dxa"/>
            <w:tcBorders>
              <w:left w:val="single" w:sz="4" w:space="0" w:color="auto"/>
              <w:bottom w:val="single" w:sz="4" w:space="0" w:color="auto"/>
            </w:tcBorders>
            <w:noWrap/>
            <w:hideMark/>
          </w:tcPr>
          <w:p w:rsidR="0077327F" w:rsidRPr="002E448F" w:rsidRDefault="0077327F" w:rsidP="0081553D">
            <w:pPr>
              <w:rPr>
                <w:rFonts w:eastAsiaTheme="minorEastAsia"/>
                <w:color w:val="000000" w:themeColor="text1"/>
                <w:szCs w:val="20"/>
                <w:lang w:eastAsia="en-NZ"/>
              </w:rPr>
            </w:pPr>
            <w:r w:rsidRPr="1BB67A18">
              <w:rPr>
                <w:rFonts w:eastAsiaTheme="minorEastAsia"/>
                <w:color w:val="000000" w:themeColor="text1"/>
                <w:szCs w:val="20"/>
                <w:lang w:eastAsia="en-NZ"/>
              </w:rPr>
              <w:t>Outcome</w:t>
            </w:r>
          </w:p>
        </w:tc>
        <w:tc>
          <w:tcPr>
            <w:tcW w:w="2904" w:type="dxa"/>
            <w:tcBorders>
              <w:bottom w:val="single" w:sz="4" w:space="0" w:color="auto"/>
            </w:tcBorders>
          </w:tcPr>
          <w:p w:rsidR="0077327F" w:rsidRPr="002E448F" w:rsidRDefault="0077327F" w:rsidP="0081553D">
            <w:pPr>
              <w:rPr>
                <w:rFonts w:eastAsiaTheme="minorEastAsia"/>
                <w:color w:val="000000" w:themeColor="text1"/>
                <w:szCs w:val="20"/>
                <w:lang w:eastAsia="en-NZ"/>
              </w:rPr>
            </w:pPr>
            <w:r>
              <w:rPr>
                <w:rFonts w:eastAsiaTheme="minorEastAsia"/>
                <w:color w:val="000000" w:themeColor="text1"/>
                <w:szCs w:val="20"/>
                <w:lang w:eastAsia="en-NZ"/>
              </w:rPr>
              <w:t>The level of outcomes achieved</w:t>
            </w:r>
            <w:r w:rsidR="00E55027">
              <w:rPr>
                <w:rFonts w:eastAsiaTheme="minorEastAsia"/>
                <w:color w:val="000000" w:themeColor="text1"/>
                <w:szCs w:val="20"/>
                <w:lang w:eastAsia="en-NZ"/>
              </w:rPr>
              <w:t>.</w:t>
            </w:r>
          </w:p>
        </w:tc>
        <w:tc>
          <w:tcPr>
            <w:tcW w:w="5220" w:type="dxa"/>
            <w:tcBorders>
              <w:bottom w:val="single" w:sz="4" w:space="0" w:color="auto"/>
              <w:right w:val="single" w:sz="4" w:space="0" w:color="auto"/>
            </w:tcBorders>
          </w:tcPr>
          <w:p w:rsidR="0077327F" w:rsidRDefault="0077327F" w:rsidP="0081553D">
            <w:pPr>
              <w:rPr>
                <w:rFonts w:eastAsiaTheme="minorEastAsia"/>
                <w:color w:val="000000"/>
                <w:szCs w:val="20"/>
                <w:lang w:eastAsia="en-NZ"/>
              </w:rPr>
            </w:pPr>
            <w:r>
              <w:rPr>
                <w:rFonts w:eastAsiaTheme="minorEastAsia"/>
                <w:color w:val="000000"/>
                <w:szCs w:val="20"/>
                <w:lang w:eastAsia="en-NZ"/>
              </w:rPr>
              <w:t>0 = No outcomes</w:t>
            </w:r>
          </w:p>
          <w:p w:rsidR="0077327F" w:rsidRDefault="0077327F" w:rsidP="0081553D">
            <w:pPr>
              <w:rPr>
                <w:rFonts w:eastAsiaTheme="minorEastAsia"/>
                <w:color w:val="000000"/>
                <w:szCs w:val="20"/>
                <w:lang w:eastAsia="en-NZ"/>
              </w:rPr>
            </w:pPr>
            <w:r>
              <w:rPr>
                <w:rFonts w:eastAsiaTheme="minorEastAsia"/>
                <w:color w:val="000000"/>
                <w:szCs w:val="20"/>
                <w:lang w:eastAsia="en-NZ"/>
              </w:rPr>
              <w:t>1 = Other</w:t>
            </w:r>
          </w:p>
          <w:p w:rsidR="0077327F" w:rsidRDefault="0077327F" w:rsidP="0081553D">
            <w:pPr>
              <w:rPr>
                <w:rFonts w:eastAsiaTheme="minorEastAsia"/>
                <w:color w:val="000000"/>
                <w:szCs w:val="20"/>
                <w:lang w:eastAsia="en-NZ"/>
              </w:rPr>
            </w:pPr>
            <w:r>
              <w:rPr>
                <w:rFonts w:eastAsiaTheme="minorEastAsia"/>
                <w:color w:val="000000"/>
                <w:szCs w:val="20"/>
                <w:lang w:eastAsia="en-NZ"/>
              </w:rPr>
              <w:t xml:space="preserve">2 = </w:t>
            </w:r>
            <w:r w:rsidRPr="00EC67CB">
              <w:rPr>
                <w:rFonts w:eastAsiaTheme="minorEastAsia"/>
                <w:color w:val="000000" w:themeColor="text1"/>
                <w:szCs w:val="20"/>
                <w:lang w:eastAsia="en-NZ"/>
              </w:rPr>
              <w:t>Noticing</w:t>
            </w:r>
          </w:p>
          <w:p w:rsidR="0077327F" w:rsidRDefault="0077327F" w:rsidP="0081553D">
            <w:pPr>
              <w:rPr>
                <w:rFonts w:eastAsiaTheme="minorEastAsia"/>
                <w:color w:val="000000"/>
                <w:szCs w:val="20"/>
                <w:lang w:eastAsia="en-NZ"/>
              </w:rPr>
            </w:pPr>
            <w:r>
              <w:rPr>
                <w:rFonts w:eastAsiaTheme="minorEastAsia"/>
                <w:color w:val="000000"/>
                <w:szCs w:val="20"/>
                <w:lang w:eastAsia="en-NZ"/>
              </w:rPr>
              <w:t>3 = Starting to action</w:t>
            </w:r>
          </w:p>
          <w:p w:rsidR="0077327F" w:rsidRDefault="0077327F" w:rsidP="0081553D">
            <w:pPr>
              <w:rPr>
                <w:rFonts w:eastAsiaTheme="minorEastAsia"/>
                <w:color w:val="000000"/>
                <w:szCs w:val="20"/>
                <w:lang w:eastAsia="en-NZ"/>
              </w:rPr>
            </w:pPr>
            <w:r>
              <w:rPr>
                <w:rFonts w:eastAsiaTheme="minorEastAsia"/>
                <w:color w:val="000000"/>
                <w:szCs w:val="20"/>
                <w:lang w:eastAsia="en-NZ"/>
              </w:rPr>
              <w:t>4 = Changes in behaviour</w:t>
            </w:r>
          </w:p>
          <w:p w:rsidR="0077327F" w:rsidRPr="1BB67A18" w:rsidRDefault="0077327F" w:rsidP="0081553D">
            <w:pPr>
              <w:rPr>
                <w:rFonts w:eastAsiaTheme="minorEastAsia"/>
                <w:color w:val="000000"/>
                <w:szCs w:val="20"/>
                <w:lang w:eastAsia="en-NZ"/>
              </w:rPr>
            </w:pPr>
            <w:r>
              <w:rPr>
                <w:rFonts w:eastAsiaTheme="minorEastAsia"/>
                <w:color w:val="000000"/>
                <w:szCs w:val="20"/>
                <w:lang w:eastAsia="en-NZ"/>
              </w:rPr>
              <w:t>5 = Improved outcomes</w:t>
            </w:r>
          </w:p>
        </w:tc>
      </w:tr>
    </w:tbl>
    <w:p w:rsidR="0077327F" w:rsidRDefault="0077327F" w:rsidP="0077327F"/>
    <w:p w:rsidR="0077327F" w:rsidRPr="00553512" w:rsidRDefault="0077327F" w:rsidP="0077327F">
      <w:pPr>
        <w:rPr>
          <w:b/>
        </w:rPr>
      </w:pPr>
      <w:r w:rsidRPr="00553512">
        <w:rPr>
          <w:b/>
        </w:rPr>
        <w:t>School type</w:t>
      </w:r>
      <w:r w:rsidR="00553512">
        <w:rPr>
          <w:b/>
        </w:rPr>
        <w:t>:</w:t>
      </w:r>
    </w:p>
    <w:tbl>
      <w:tblPr>
        <w:tblStyle w:val="cog-table"/>
        <w:tblW w:w="5000" w:type="pct"/>
        <w:tblLook w:val="04A0" w:firstRow="1" w:lastRow="0" w:firstColumn="1" w:lastColumn="0" w:noHBand="0" w:noVBand="1"/>
      </w:tblPr>
      <w:tblGrid>
        <w:gridCol w:w="1229"/>
        <w:gridCol w:w="4134"/>
        <w:gridCol w:w="3987"/>
      </w:tblGrid>
      <w:tr w:rsidR="0077327F" w:rsidRPr="006E4018" w:rsidTr="0081553D">
        <w:trPr>
          <w:cnfStyle w:val="100000000000" w:firstRow="1" w:lastRow="0" w:firstColumn="0" w:lastColumn="0" w:oddVBand="0" w:evenVBand="0" w:oddHBand="0" w:evenHBand="0" w:firstRowFirstColumn="0" w:firstRowLastColumn="0" w:lastRowFirstColumn="0" w:lastRowLastColumn="0"/>
        </w:trPr>
        <w:tc>
          <w:tcPr>
            <w:tcW w:w="1229" w:type="dxa"/>
            <w:tcBorders>
              <w:top w:val="single" w:sz="4" w:space="0" w:color="auto"/>
              <w:left w:val="single" w:sz="4" w:space="0" w:color="auto"/>
            </w:tcBorders>
            <w:noWrap/>
            <w:vAlign w:val="center"/>
          </w:tcPr>
          <w:p w:rsidR="0077327F" w:rsidRPr="006E4018" w:rsidRDefault="0077327F" w:rsidP="0081553D">
            <w:pPr>
              <w:pStyle w:val="Tableheader"/>
              <w:rPr>
                <w:lang w:eastAsia="en-NZ"/>
              </w:rPr>
            </w:pPr>
            <w:r w:rsidRPr="006E4018">
              <w:rPr>
                <w:lang w:eastAsia="en-NZ"/>
              </w:rPr>
              <w:t>Variable name</w:t>
            </w:r>
          </w:p>
        </w:tc>
        <w:tc>
          <w:tcPr>
            <w:tcW w:w="4294" w:type="dxa"/>
            <w:tcBorders>
              <w:top w:val="single" w:sz="4" w:space="0" w:color="auto"/>
            </w:tcBorders>
            <w:vAlign w:val="center"/>
          </w:tcPr>
          <w:p w:rsidR="0077327F" w:rsidRPr="006E4018" w:rsidRDefault="0077327F" w:rsidP="0081553D">
            <w:pPr>
              <w:pStyle w:val="Tableheader"/>
              <w:rPr>
                <w:lang w:eastAsia="en-NZ"/>
              </w:rPr>
            </w:pPr>
            <w:r w:rsidRPr="006E4018">
              <w:rPr>
                <w:lang w:eastAsia="en-NZ"/>
              </w:rPr>
              <w:t>Definition and notes</w:t>
            </w:r>
          </w:p>
        </w:tc>
        <w:tc>
          <w:tcPr>
            <w:tcW w:w="4116" w:type="dxa"/>
            <w:tcBorders>
              <w:top w:val="single" w:sz="4" w:space="0" w:color="auto"/>
              <w:right w:val="single" w:sz="4" w:space="0" w:color="auto"/>
            </w:tcBorders>
            <w:vAlign w:val="center"/>
          </w:tcPr>
          <w:p w:rsidR="0077327F" w:rsidRPr="006E4018" w:rsidRDefault="0077327F" w:rsidP="0081553D">
            <w:pPr>
              <w:pStyle w:val="Tableheader"/>
              <w:rPr>
                <w:lang w:eastAsia="en-NZ"/>
              </w:rPr>
            </w:pPr>
            <w:r w:rsidRPr="006E4018">
              <w:rPr>
                <w:lang w:eastAsia="en-NZ"/>
              </w:rPr>
              <w:t>Code</w:t>
            </w:r>
          </w:p>
        </w:tc>
      </w:tr>
      <w:tr w:rsidR="0077327F" w:rsidRPr="00FB5808" w:rsidTr="0081553D">
        <w:tc>
          <w:tcPr>
            <w:tcW w:w="1229" w:type="dxa"/>
            <w:tcBorders>
              <w:top w:val="single" w:sz="12" w:space="0" w:color="0F6FC6" w:themeColor="accent1"/>
              <w:left w:val="single" w:sz="4" w:space="0" w:color="auto"/>
              <w:bottom w:val="single" w:sz="4" w:space="0" w:color="auto"/>
            </w:tcBorders>
            <w:noWrap/>
            <w:hideMark/>
          </w:tcPr>
          <w:p w:rsidR="0077327F" w:rsidRPr="002E448F" w:rsidRDefault="0077327F" w:rsidP="0081553D">
            <w:pPr>
              <w:rPr>
                <w:rFonts w:eastAsiaTheme="minorEastAsia"/>
                <w:color w:val="000000" w:themeColor="text1"/>
                <w:szCs w:val="20"/>
                <w:lang w:eastAsia="en-NZ"/>
              </w:rPr>
            </w:pPr>
            <w:r>
              <w:rPr>
                <w:rFonts w:eastAsiaTheme="minorEastAsia"/>
                <w:color w:val="000000" w:themeColor="text1"/>
                <w:szCs w:val="20"/>
                <w:lang w:eastAsia="en-NZ"/>
              </w:rPr>
              <w:t>School</w:t>
            </w:r>
          </w:p>
        </w:tc>
        <w:tc>
          <w:tcPr>
            <w:tcW w:w="4294" w:type="dxa"/>
            <w:tcBorders>
              <w:top w:val="single" w:sz="12" w:space="0" w:color="0F6FC6" w:themeColor="accent1"/>
              <w:bottom w:val="single" w:sz="4" w:space="0" w:color="auto"/>
            </w:tcBorders>
            <w:hideMark/>
          </w:tcPr>
          <w:p w:rsidR="0077327F" w:rsidRPr="002E448F" w:rsidRDefault="0077327F" w:rsidP="0081553D">
            <w:pPr>
              <w:rPr>
                <w:rFonts w:eastAsiaTheme="minorEastAsia"/>
                <w:color w:val="000000" w:themeColor="text1"/>
                <w:szCs w:val="20"/>
                <w:lang w:eastAsia="en-NZ"/>
              </w:rPr>
            </w:pPr>
            <w:r>
              <w:rPr>
                <w:rFonts w:eastAsiaTheme="minorEastAsia"/>
                <w:color w:val="000000" w:themeColor="text1"/>
                <w:szCs w:val="20"/>
                <w:lang w:eastAsia="en-NZ"/>
              </w:rPr>
              <w:t>Type of school, including supressed data and whether schools were not on the list of HPS schools (</w:t>
            </w:r>
            <w:r w:rsidR="00553512">
              <w:rPr>
                <w:rFonts w:eastAsiaTheme="minorEastAsia"/>
                <w:color w:val="000000" w:themeColor="text1"/>
                <w:szCs w:val="20"/>
                <w:lang w:eastAsia="en-NZ"/>
              </w:rPr>
              <w:t>e.g.,</w:t>
            </w:r>
            <w:r>
              <w:rPr>
                <w:rFonts w:eastAsiaTheme="minorEastAsia"/>
                <w:color w:val="000000" w:themeColor="text1"/>
                <w:szCs w:val="20"/>
                <w:lang w:eastAsia="en-NZ"/>
              </w:rPr>
              <w:t xml:space="preserve"> closed or newly opened schools)</w:t>
            </w:r>
            <w:r w:rsidR="00E55027">
              <w:rPr>
                <w:rFonts w:eastAsiaTheme="minorEastAsia"/>
                <w:color w:val="000000" w:themeColor="text1"/>
                <w:szCs w:val="20"/>
                <w:lang w:eastAsia="en-NZ"/>
              </w:rPr>
              <w:t>.</w:t>
            </w:r>
            <w:r>
              <w:rPr>
                <w:rFonts w:eastAsiaTheme="minorEastAsia"/>
                <w:color w:val="000000" w:themeColor="text1"/>
                <w:szCs w:val="20"/>
                <w:lang w:eastAsia="en-NZ"/>
              </w:rPr>
              <w:t xml:space="preserve"> </w:t>
            </w:r>
          </w:p>
        </w:tc>
        <w:tc>
          <w:tcPr>
            <w:tcW w:w="4116" w:type="dxa"/>
            <w:tcBorders>
              <w:top w:val="single" w:sz="12" w:space="0" w:color="0F6FC6" w:themeColor="accent1"/>
              <w:bottom w:val="single" w:sz="4" w:space="0" w:color="auto"/>
              <w:right w:val="single" w:sz="4" w:space="0" w:color="auto"/>
            </w:tcBorders>
          </w:tcPr>
          <w:p w:rsidR="0077327F" w:rsidRPr="008C5542" w:rsidRDefault="0077327F" w:rsidP="0081553D">
            <w:pPr>
              <w:rPr>
                <w:rFonts w:eastAsiaTheme="minorEastAsia"/>
                <w:color w:val="000000" w:themeColor="text1"/>
                <w:szCs w:val="20"/>
                <w:lang w:eastAsia="en-NZ"/>
              </w:rPr>
            </w:pPr>
            <w:r w:rsidRPr="008C5542">
              <w:rPr>
                <w:rFonts w:eastAsiaTheme="minorEastAsia"/>
                <w:color w:val="000000" w:themeColor="text1"/>
                <w:szCs w:val="20"/>
                <w:lang w:eastAsia="en-NZ"/>
              </w:rPr>
              <w:t>1 = Composite (Year 1-10)</w:t>
            </w:r>
          </w:p>
          <w:p w:rsidR="0077327F" w:rsidRPr="008C5542" w:rsidRDefault="0077327F" w:rsidP="0081553D">
            <w:pPr>
              <w:rPr>
                <w:rFonts w:eastAsiaTheme="minorEastAsia"/>
                <w:color w:val="000000" w:themeColor="text1"/>
                <w:szCs w:val="20"/>
                <w:lang w:eastAsia="en-NZ"/>
              </w:rPr>
            </w:pPr>
            <w:r w:rsidRPr="008C5542">
              <w:rPr>
                <w:rFonts w:eastAsiaTheme="minorEastAsia"/>
                <w:color w:val="000000" w:themeColor="text1"/>
                <w:szCs w:val="20"/>
                <w:lang w:eastAsia="en-NZ"/>
              </w:rPr>
              <w:t>2 = Composite (Year 1-15)</w:t>
            </w:r>
          </w:p>
          <w:p w:rsidR="0077327F" w:rsidRPr="008C5542" w:rsidRDefault="0077327F" w:rsidP="0081553D">
            <w:pPr>
              <w:rPr>
                <w:rFonts w:eastAsiaTheme="minorEastAsia"/>
                <w:color w:val="000000" w:themeColor="text1"/>
                <w:szCs w:val="20"/>
                <w:lang w:eastAsia="en-NZ"/>
              </w:rPr>
            </w:pPr>
            <w:r w:rsidRPr="008C5542">
              <w:rPr>
                <w:rFonts w:eastAsiaTheme="minorEastAsia"/>
                <w:color w:val="000000" w:themeColor="text1"/>
                <w:szCs w:val="20"/>
                <w:lang w:eastAsia="en-NZ"/>
              </w:rPr>
              <w:t>3 = Contributing</w:t>
            </w:r>
          </w:p>
          <w:p w:rsidR="0077327F" w:rsidRPr="008C5542" w:rsidRDefault="0077327F" w:rsidP="0081553D">
            <w:pPr>
              <w:rPr>
                <w:rFonts w:eastAsiaTheme="minorEastAsia"/>
                <w:color w:val="000000" w:themeColor="text1"/>
                <w:szCs w:val="20"/>
                <w:lang w:eastAsia="en-NZ"/>
              </w:rPr>
            </w:pPr>
            <w:r w:rsidRPr="008C5542">
              <w:rPr>
                <w:rFonts w:eastAsiaTheme="minorEastAsia"/>
                <w:color w:val="000000" w:themeColor="text1"/>
                <w:szCs w:val="20"/>
                <w:lang w:eastAsia="en-NZ"/>
              </w:rPr>
              <w:t>4 = Correspondence school</w:t>
            </w:r>
          </w:p>
          <w:p w:rsidR="0077327F" w:rsidRPr="008C5542" w:rsidRDefault="0077327F" w:rsidP="0081553D">
            <w:pPr>
              <w:rPr>
                <w:rFonts w:eastAsiaTheme="minorEastAsia"/>
                <w:color w:val="000000" w:themeColor="text1"/>
                <w:szCs w:val="20"/>
                <w:lang w:eastAsia="en-NZ"/>
              </w:rPr>
            </w:pPr>
            <w:r w:rsidRPr="008C5542">
              <w:rPr>
                <w:rFonts w:eastAsiaTheme="minorEastAsia"/>
                <w:color w:val="000000" w:themeColor="text1"/>
                <w:szCs w:val="20"/>
                <w:lang w:eastAsia="en-NZ"/>
              </w:rPr>
              <w:t>5 = Full Primary</w:t>
            </w:r>
          </w:p>
          <w:p w:rsidR="0077327F" w:rsidRPr="008C5542" w:rsidRDefault="0077327F" w:rsidP="0081553D">
            <w:pPr>
              <w:rPr>
                <w:rFonts w:eastAsiaTheme="minorEastAsia"/>
                <w:color w:val="000000" w:themeColor="text1"/>
                <w:szCs w:val="20"/>
                <w:lang w:eastAsia="en-NZ"/>
              </w:rPr>
            </w:pPr>
            <w:r w:rsidRPr="008C5542">
              <w:rPr>
                <w:rFonts w:eastAsiaTheme="minorEastAsia"/>
                <w:color w:val="000000" w:themeColor="text1"/>
                <w:szCs w:val="20"/>
                <w:lang w:eastAsia="en-NZ"/>
              </w:rPr>
              <w:t>6 = Intermediate</w:t>
            </w:r>
          </w:p>
          <w:p w:rsidR="0077327F" w:rsidRPr="008C5542" w:rsidRDefault="0077327F" w:rsidP="0081553D">
            <w:pPr>
              <w:rPr>
                <w:rFonts w:eastAsiaTheme="minorEastAsia"/>
                <w:color w:val="000000" w:themeColor="text1"/>
                <w:szCs w:val="20"/>
                <w:lang w:eastAsia="en-NZ"/>
              </w:rPr>
            </w:pPr>
            <w:r w:rsidRPr="008C5542">
              <w:rPr>
                <w:rFonts w:eastAsiaTheme="minorEastAsia"/>
                <w:color w:val="000000" w:themeColor="text1"/>
                <w:szCs w:val="20"/>
                <w:lang w:eastAsia="en-NZ"/>
              </w:rPr>
              <w:t>7 = Restricted composite (Year 7-10)</w:t>
            </w:r>
          </w:p>
          <w:p w:rsidR="0077327F" w:rsidRPr="008C5542" w:rsidRDefault="0077327F" w:rsidP="0081553D">
            <w:pPr>
              <w:rPr>
                <w:rFonts w:eastAsiaTheme="minorEastAsia"/>
                <w:color w:val="000000" w:themeColor="text1"/>
                <w:szCs w:val="20"/>
                <w:lang w:eastAsia="en-NZ"/>
              </w:rPr>
            </w:pPr>
            <w:r w:rsidRPr="008C5542">
              <w:rPr>
                <w:rFonts w:eastAsiaTheme="minorEastAsia"/>
                <w:color w:val="000000" w:themeColor="text1"/>
                <w:szCs w:val="20"/>
                <w:lang w:eastAsia="en-NZ"/>
              </w:rPr>
              <w:t>8 = Secondary (Year 11-15)</w:t>
            </w:r>
          </w:p>
          <w:p w:rsidR="0077327F" w:rsidRPr="008C5542" w:rsidRDefault="0077327F" w:rsidP="0081553D">
            <w:pPr>
              <w:rPr>
                <w:rFonts w:eastAsiaTheme="minorEastAsia"/>
                <w:color w:val="000000" w:themeColor="text1"/>
                <w:szCs w:val="20"/>
                <w:lang w:eastAsia="en-NZ"/>
              </w:rPr>
            </w:pPr>
            <w:r w:rsidRPr="008C5542">
              <w:rPr>
                <w:rFonts w:eastAsiaTheme="minorEastAsia"/>
                <w:color w:val="000000" w:themeColor="text1"/>
                <w:szCs w:val="20"/>
                <w:lang w:eastAsia="en-NZ"/>
              </w:rPr>
              <w:t>9 = Secondary (Year 7-10)</w:t>
            </w:r>
          </w:p>
          <w:p w:rsidR="0077327F" w:rsidRPr="008C5542" w:rsidRDefault="0077327F" w:rsidP="0081553D">
            <w:pPr>
              <w:rPr>
                <w:rFonts w:eastAsiaTheme="minorEastAsia"/>
                <w:color w:val="000000" w:themeColor="text1"/>
                <w:szCs w:val="20"/>
                <w:lang w:eastAsia="en-NZ"/>
              </w:rPr>
            </w:pPr>
            <w:r w:rsidRPr="008C5542">
              <w:rPr>
                <w:rFonts w:eastAsiaTheme="minorEastAsia"/>
                <w:color w:val="000000" w:themeColor="text1"/>
                <w:szCs w:val="20"/>
                <w:lang w:eastAsia="en-NZ"/>
              </w:rPr>
              <w:t>10 = Secondary (Year 7-15)</w:t>
            </w:r>
          </w:p>
          <w:p w:rsidR="0077327F" w:rsidRPr="008C5542" w:rsidRDefault="0077327F" w:rsidP="0081553D">
            <w:pPr>
              <w:rPr>
                <w:rFonts w:eastAsiaTheme="minorEastAsia"/>
                <w:color w:val="000000" w:themeColor="text1"/>
                <w:szCs w:val="20"/>
                <w:lang w:eastAsia="en-NZ"/>
              </w:rPr>
            </w:pPr>
            <w:r w:rsidRPr="008C5542">
              <w:rPr>
                <w:rFonts w:eastAsiaTheme="minorEastAsia"/>
                <w:color w:val="000000" w:themeColor="text1"/>
                <w:szCs w:val="20"/>
                <w:lang w:eastAsia="en-NZ"/>
              </w:rPr>
              <w:t>11 = Secondary (Year 9-15)</w:t>
            </w:r>
          </w:p>
          <w:p w:rsidR="0077327F" w:rsidRPr="008C5542" w:rsidRDefault="0077327F" w:rsidP="0081553D">
            <w:pPr>
              <w:rPr>
                <w:rFonts w:eastAsiaTheme="minorEastAsia"/>
                <w:color w:val="000000" w:themeColor="text1"/>
                <w:szCs w:val="20"/>
                <w:lang w:eastAsia="en-NZ"/>
              </w:rPr>
            </w:pPr>
            <w:r w:rsidRPr="008C5542">
              <w:rPr>
                <w:rFonts w:eastAsiaTheme="minorEastAsia"/>
                <w:color w:val="000000" w:themeColor="text1"/>
                <w:szCs w:val="20"/>
                <w:lang w:eastAsia="en-NZ"/>
              </w:rPr>
              <w:t>12 = Special School</w:t>
            </w:r>
          </w:p>
          <w:p w:rsidR="0077327F" w:rsidRPr="008C5542" w:rsidRDefault="0077327F" w:rsidP="0081553D">
            <w:pPr>
              <w:rPr>
                <w:rFonts w:eastAsiaTheme="minorEastAsia"/>
                <w:color w:val="000000" w:themeColor="text1"/>
                <w:szCs w:val="20"/>
                <w:lang w:eastAsia="en-NZ"/>
              </w:rPr>
            </w:pPr>
            <w:r w:rsidRPr="008C5542">
              <w:rPr>
                <w:rFonts w:eastAsiaTheme="minorEastAsia"/>
                <w:color w:val="000000" w:themeColor="text1"/>
                <w:szCs w:val="20"/>
                <w:lang w:eastAsia="en-NZ"/>
              </w:rPr>
              <w:t>13 = Teen Parent Unit</w:t>
            </w:r>
          </w:p>
          <w:p w:rsidR="0077327F" w:rsidRPr="008C5542" w:rsidRDefault="0077327F" w:rsidP="0081553D">
            <w:pPr>
              <w:rPr>
                <w:rFonts w:eastAsiaTheme="minorEastAsia"/>
                <w:color w:val="000000" w:themeColor="text1"/>
                <w:szCs w:val="20"/>
                <w:lang w:eastAsia="en-NZ"/>
              </w:rPr>
            </w:pPr>
            <w:r w:rsidRPr="008C5542">
              <w:rPr>
                <w:rFonts w:eastAsiaTheme="minorEastAsia"/>
                <w:color w:val="000000" w:themeColor="text1"/>
                <w:szCs w:val="20"/>
                <w:lang w:eastAsia="en-NZ"/>
              </w:rPr>
              <w:t>88 = Supressed</w:t>
            </w:r>
          </w:p>
          <w:p w:rsidR="0077327F" w:rsidRPr="1BB67A18" w:rsidRDefault="0077327F" w:rsidP="0081553D">
            <w:pPr>
              <w:rPr>
                <w:rFonts w:eastAsiaTheme="minorEastAsia"/>
                <w:color w:val="000000" w:themeColor="text1"/>
                <w:szCs w:val="20"/>
                <w:lang w:eastAsia="en-NZ"/>
              </w:rPr>
            </w:pPr>
            <w:r w:rsidRPr="008C5542">
              <w:rPr>
                <w:rFonts w:eastAsiaTheme="minorEastAsia"/>
                <w:color w:val="000000" w:themeColor="text1"/>
                <w:szCs w:val="20"/>
                <w:lang w:eastAsia="en-NZ"/>
              </w:rPr>
              <w:t>99 = #N/A</w:t>
            </w:r>
          </w:p>
        </w:tc>
      </w:tr>
    </w:tbl>
    <w:p w:rsidR="0077327F" w:rsidRDefault="0077327F" w:rsidP="0077327F"/>
    <w:p w:rsidR="0077327F" w:rsidRPr="00553512" w:rsidRDefault="0077327F" w:rsidP="0077327F">
      <w:pPr>
        <w:rPr>
          <w:b/>
        </w:rPr>
      </w:pPr>
      <w:r w:rsidRPr="00553512">
        <w:rPr>
          <w:b/>
        </w:rPr>
        <w:t>Health and wellbeing priority</w:t>
      </w:r>
      <w:r w:rsidR="00553512">
        <w:rPr>
          <w:b/>
        </w:rPr>
        <w:t>:</w:t>
      </w:r>
    </w:p>
    <w:tbl>
      <w:tblPr>
        <w:tblStyle w:val="cog-table"/>
        <w:tblW w:w="5000" w:type="pct"/>
        <w:tblLook w:val="04A0" w:firstRow="1" w:lastRow="0" w:firstColumn="1" w:lastColumn="0" w:noHBand="0" w:noVBand="1"/>
      </w:tblPr>
      <w:tblGrid>
        <w:gridCol w:w="1229"/>
        <w:gridCol w:w="4122"/>
        <w:gridCol w:w="3999"/>
      </w:tblGrid>
      <w:tr w:rsidR="0077327F" w:rsidRPr="006E4018" w:rsidTr="0081553D">
        <w:trPr>
          <w:cnfStyle w:val="100000000000" w:firstRow="1" w:lastRow="0" w:firstColumn="0" w:lastColumn="0" w:oddVBand="0" w:evenVBand="0" w:oddHBand="0" w:evenHBand="0" w:firstRowFirstColumn="0" w:firstRowLastColumn="0" w:lastRowFirstColumn="0" w:lastRowLastColumn="0"/>
        </w:trPr>
        <w:tc>
          <w:tcPr>
            <w:tcW w:w="1229" w:type="dxa"/>
            <w:tcBorders>
              <w:top w:val="single" w:sz="4" w:space="0" w:color="auto"/>
              <w:left w:val="single" w:sz="4" w:space="0" w:color="auto"/>
            </w:tcBorders>
            <w:noWrap/>
            <w:vAlign w:val="center"/>
          </w:tcPr>
          <w:p w:rsidR="0077327F" w:rsidRPr="006E4018" w:rsidRDefault="0077327F" w:rsidP="0081553D">
            <w:pPr>
              <w:pStyle w:val="Tableheader"/>
              <w:rPr>
                <w:lang w:eastAsia="en-NZ"/>
              </w:rPr>
            </w:pPr>
            <w:r w:rsidRPr="006E4018">
              <w:rPr>
                <w:lang w:eastAsia="en-NZ"/>
              </w:rPr>
              <w:t>Variable name</w:t>
            </w:r>
          </w:p>
        </w:tc>
        <w:tc>
          <w:tcPr>
            <w:tcW w:w="4294" w:type="dxa"/>
            <w:tcBorders>
              <w:top w:val="single" w:sz="4" w:space="0" w:color="auto"/>
            </w:tcBorders>
            <w:vAlign w:val="center"/>
          </w:tcPr>
          <w:p w:rsidR="0077327F" w:rsidRPr="006E4018" w:rsidRDefault="0077327F" w:rsidP="0081553D">
            <w:pPr>
              <w:pStyle w:val="Tableheader"/>
              <w:rPr>
                <w:lang w:eastAsia="en-NZ"/>
              </w:rPr>
            </w:pPr>
            <w:r w:rsidRPr="006E4018">
              <w:rPr>
                <w:lang w:eastAsia="en-NZ"/>
              </w:rPr>
              <w:t>Definition and notes</w:t>
            </w:r>
          </w:p>
        </w:tc>
        <w:tc>
          <w:tcPr>
            <w:tcW w:w="4116" w:type="dxa"/>
            <w:tcBorders>
              <w:top w:val="single" w:sz="4" w:space="0" w:color="auto"/>
              <w:right w:val="single" w:sz="4" w:space="0" w:color="auto"/>
            </w:tcBorders>
            <w:vAlign w:val="center"/>
          </w:tcPr>
          <w:p w:rsidR="0077327F" w:rsidRPr="006E4018" w:rsidRDefault="0077327F" w:rsidP="0081553D">
            <w:pPr>
              <w:pStyle w:val="Tableheader"/>
              <w:rPr>
                <w:lang w:eastAsia="en-NZ"/>
              </w:rPr>
            </w:pPr>
            <w:r w:rsidRPr="006E4018">
              <w:rPr>
                <w:lang w:eastAsia="en-NZ"/>
              </w:rPr>
              <w:t>Code</w:t>
            </w:r>
          </w:p>
        </w:tc>
      </w:tr>
      <w:tr w:rsidR="0077327F" w:rsidRPr="00FB5808" w:rsidTr="0081553D">
        <w:tc>
          <w:tcPr>
            <w:tcW w:w="1229" w:type="dxa"/>
            <w:tcBorders>
              <w:top w:val="single" w:sz="12" w:space="0" w:color="0F6FC6" w:themeColor="accent1"/>
              <w:left w:val="single" w:sz="4" w:space="0" w:color="auto"/>
              <w:bottom w:val="single" w:sz="4" w:space="0" w:color="auto"/>
            </w:tcBorders>
            <w:noWrap/>
            <w:hideMark/>
          </w:tcPr>
          <w:p w:rsidR="0077327F" w:rsidRPr="002E448F" w:rsidRDefault="0077327F" w:rsidP="0081553D">
            <w:pPr>
              <w:rPr>
                <w:rFonts w:eastAsiaTheme="minorEastAsia"/>
                <w:color w:val="000000" w:themeColor="text1"/>
                <w:szCs w:val="20"/>
                <w:lang w:eastAsia="en-NZ"/>
              </w:rPr>
            </w:pPr>
            <w:r>
              <w:rPr>
                <w:rFonts w:eastAsiaTheme="minorEastAsia"/>
                <w:color w:val="000000" w:themeColor="text1"/>
                <w:szCs w:val="20"/>
                <w:lang w:eastAsia="en-NZ"/>
              </w:rPr>
              <w:t>Health and wellbeing priority</w:t>
            </w:r>
          </w:p>
        </w:tc>
        <w:tc>
          <w:tcPr>
            <w:tcW w:w="4294" w:type="dxa"/>
            <w:tcBorders>
              <w:top w:val="single" w:sz="12" w:space="0" w:color="0F6FC6" w:themeColor="accent1"/>
              <w:bottom w:val="single" w:sz="4" w:space="0" w:color="auto"/>
            </w:tcBorders>
            <w:hideMark/>
          </w:tcPr>
          <w:p w:rsidR="0077327F" w:rsidRPr="002E448F" w:rsidRDefault="0077327F" w:rsidP="0081553D">
            <w:pPr>
              <w:rPr>
                <w:rFonts w:eastAsiaTheme="minorEastAsia"/>
                <w:color w:val="000000" w:themeColor="text1"/>
                <w:szCs w:val="20"/>
                <w:lang w:eastAsia="en-NZ"/>
              </w:rPr>
            </w:pPr>
            <w:r>
              <w:rPr>
                <w:rFonts w:eastAsiaTheme="minorEastAsia"/>
                <w:color w:val="000000" w:themeColor="text1"/>
                <w:szCs w:val="20"/>
                <w:lang w:eastAsia="en-NZ"/>
              </w:rPr>
              <w:t>Health and wellbeing priority identified by the school</w:t>
            </w:r>
            <w:r w:rsidR="00E55027">
              <w:rPr>
                <w:rFonts w:eastAsiaTheme="minorEastAsia"/>
                <w:color w:val="000000" w:themeColor="text1"/>
                <w:szCs w:val="20"/>
                <w:lang w:eastAsia="en-NZ"/>
              </w:rPr>
              <w:t>.</w:t>
            </w:r>
            <w:r>
              <w:rPr>
                <w:rFonts w:eastAsiaTheme="minorEastAsia"/>
                <w:color w:val="000000" w:themeColor="text1"/>
                <w:szCs w:val="20"/>
                <w:lang w:eastAsia="en-NZ"/>
              </w:rPr>
              <w:t xml:space="preserve"> </w:t>
            </w:r>
          </w:p>
        </w:tc>
        <w:tc>
          <w:tcPr>
            <w:tcW w:w="4116" w:type="dxa"/>
            <w:tcBorders>
              <w:top w:val="single" w:sz="12" w:space="0" w:color="0F6FC6" w:themeColor="accent1"/>
              <w:bottom w:val="single" w:sz="4" w:space="0" w:color="auto"/>
              <w:right w:val="single" w:sz="4" w:space="0" w:color="auto"/>
            </w:tcBorders>
          </w:tcPr>
          <w:p w:rsidR="0077327F" w:rsidRPr="008C5542" w:rsidRDefault="0077327F" w:rsidP="0081553D">
            <w:pPr>
              <w:rPr>
                <w:rFonts w:eastAsiaTheme="minorEastAsia"/>
                <w:color w:val="000000" w:themeColor="text1"/>
                <w:szCs w:val="20"/>
                <w:lang w:eastAsia="en-NZ"/>
              </w:rPr>
            </w:pPr>
            <w:r w:rsidRPr="008C5542">
              <w:rPr>
                <w:rFonts w:eastAsiaTheme="minorEastAsia"/>
                <w:color w:val="000000" w:themeColor="text1"/>
                <w:szCs w:val="20"/>
                <w:lang w:eastAsia="en-NZ"/>
              </w:rPr>
              <w:t>1 = Alcohol workshop for staff and students</w:t>
            </w:r>
          </w:p>
          <w:p w:rsidR="0077327F" w:rsidRPr="008C5542" w:rsidRDefault="0077327F" w:rsidP="0081553D">
            <w:pPr>
              <w:rPr>
                <w:rFonts w:eastAsiaTheme="minorEastAsia"/>
                <w:color w:val="000000" w:themeColor="text1"/>
                <w:szCs w:val="20"/>
                <w:lang w:eastAsia="en-NZ"/>
              </w:rPr>
            </w:pPr>
            <w:r w:rsidRPr="008C5542">
              <w:rPr>
                <w:rFonts w:eastAsiaTheme="minorEastAsia"/>
                <w:color w:val="000000" w:themeColor="text1"/>
                <w:szCs w:val="20"/>
                <w:lang w:eastAsia="en-NZ"/>
              </w:rPr>
              <w:t>2 = Appendix 9: Earthquake recovery</w:t>
            </w:r>
          </w:p>
          <w:p w:rsidR="0077327F" w:rsidRPr="008C5542" w:rsidRDefault="0077327F" w:rsidP="0081553D">
            <w:pPr>
              <w:rPr>
                <w:rFonts w:eastAsiaTheme="minorEastAsia"/>
                <w:color w:val="000000" w:themeColor="text1"/>
                <w:szCs w:val="20"/>
                <w:lang w:eastAsia="en-NZ"/>
              </w:rPr>
            </w:pPr>
            <w:r w:rsidRPr="008C5542">
              <w:rPr>
                <w:rFonts w:eastAsiaTheme="minorEastAsia"/>
                <w:color w:val="000000" w:themeColor="text1"/>
                <w:szCs w:val="20"/>
                <w:lang w:eastAsia="en-NZ"/>
              </w:rPr>
              <w:t>3 = Appendix 9: Injury Prevention</w:t>
            </w:r>
          </w:p>
          <w:p w:rsidR="0077327F" w:rsidRPr="008C5542" w:rsidRDefault="0077327F" w:rsidP="0081553D">
            <w:pPr>
              <w:rPr>
                <w:rFonts w:eastAsiaTheme="minorEastAsia"/>
                <w:color w:val="000000" w:themeColor="text1"/>
                <w:szCs w:val="20"/>
                <w:lang w:eastAsia="en-NZ"/>
              </w:rPr>
            </w:pPr>
            <w:r w:rsidRPr="008C5542">
              <w:rPr>
                <w:rFonts w:eastAsiaTheme="minorEastAsia"/>
                <w:color w:val="000000" w:themeColor="text1"/>
                <w:szCs w:val="20"/>
                <w:lang w:eastAsia="en-NZ"/>
              </w:rPr>
              <w:t>4 = Appendix 9: WHANAUNGATANGA</w:t>
            </w:r>
          </w:p>
          <w:p w:rsidR="0077327F" w:rsidRPr="008C5542" w:rsidRDefault="0077327F" w:rsidP="0081553D">
            <w:pPr>
              <w:rPr>
                <w:rFonts w:eastAsiaTheme="minorEastAsia"/>
                <w:color w:val="000000" w:themeColor="text1"/>
                <w:szCs w:val="20"/>
                <w:lang w:eastAsia="en-NZ"/>
              </w:rPr>
            </w:pPr>
            <w:r w:rsidRPr="008C5542">
              <w:rPr>
                <w:rFonts w:eastAsiaTheme="minorEastAsia"/>
                <w:color w:val="000000" w:themeColor="text1"/>
                <w:szCs w:val="20"/>
                <w:lang w:eastAsia="en-NZ"/>
              </w:rPr>
              <w:t xml:space="preserve">5 = Body care and physical safety </w:t>
            </w:r>
          </w:p>
          <w:p w:rsidR="0077327F" w:rsidRPr="008C5542" w:rsidRDefault="0077327F" w:rsidP="0081553D">
            <w:pPr>
              <w:rPr>
                <w:rFonts w:eastAsiaTheme="minorEastAsia"/>
                <w:color w:val="000000" w:themeColor="text1"/>
                <w:szCs w:val="20"/>
                <w:lang w:eastAsia="en-NZ"/>
              </w:rPr>
            </w:pPr>
            <w:r w:rsidRPr="008C5542">
              <w:rPr>
                <w:rFonts w:eastAsiaTheme="minorEastAsia"/>
                <w:color w:val="000000" w:themeColor="text1"/>
                <w:szCs w:val="20"/>
                <w:lang w:eastAsia="en-NZ"/>
              </w:rPr>
              <w:t>6 = Community voice</w:t>
            </w:r>
          </w:p>
          <w:p w:rsidR="0077327F" w:rsidRPr="008C5542" w:rsidRDefault="0077327F" w:rsidP="0081553D">
            <w:pPr>
              <w:rPr>
                <w:rFonts w:eastAsiaTheme="minorEastAsia"/>
                <w:color w:val="000000" w:themeColor="text1"/>
                <w:szCs w:val="20"/>
                <w:lang w:eastAsia="en-NZ"/>
              </w:rPr>
            </w:pPr>
            <w:r w:rsidRPr="008C5542">
              <w:rPr>
                <w:rFonts w:eastAsiaTheme="minorEastAsia"/>
                <w:color w:val="000000" w:themeColor="text1"/>
                <w:szCs w:val="20"/>
                <w:lang w:eastAsia="en-NZ"/>
              </w:rPr>
              <w:t>7 = Enabling a safe environment and infrastructure</w:t>
            </w:r>
          </w:p>
          <w:p w:rsidR="0077327F" w:rsidRPr="008C5542" w:rsidRDefault="0077327F" w:rsidP="0081553D">
            <w:pPr>
              <w:rPr>
                <w:rFonts w:eastAsiaTheme="minorEastAsia"/>
                <w:color w:val="000000" w:themeColor="text1"/>
                <w:szCs w:val="20"/>
                <w:lang w:eastAsia="en-NZ"/>
              </w:rPr>
            </w:pPr>
            <w:r w:rsidRPr="008C5542">
              <w:rPr>
                <w:rFonts w:eastAsiaTheme="minorEastAsia"/>
                <w:color w:val="000000" w:themeColor="text1"/>
                <w:szCs w:val="20"/>
                <w:lang w:eastAsia="en-NZ"/>
              </w:rPr>
              <w:t>8 = Food and nutrition</w:t>
            </w:r>
          </w:p>
          <w:p w:rsidR="0077327F" w:rsidRPr="008C5542" w:rsidRDefault="0077327F" w:rsidP="0081553D">
            <w:pPr>
              <w:rPr>
                <w:rFonts w:eastAsiaTheme="minorEastAsia"/>
                <w:color w:val="000000" w:themeColor="text1"/>
                <w:szCs w:val="20"/>
                <w:lang w:eastAsia="en-NZ"/>
              </w:rPr>
            </w:pPr>
            <w:r w:rsidRPr="008C5542">
              <w:rPr>
                <w:rFonts w:eastAsiaTheme="minorEastAsia"/>
                <w:color w:val="000000" w:themeColor="text1"/>
                <w:szCs w:val="20"/>
                <w:lang w:eastAsia="en-NZ"/>
              </w:rPr>
              <w:t>9 =</w:t>
            </w:r>
            <w:r>
              <w:rPr>
                <w:rFonts w:eastAsiaTheme="minorEastAsia"/>
                <w:color w:val="000000" w:themeColor="text1"/>
                <w:szCs w:val="20"/>
                <w:lang w:eastAsia="en-NZ"/>
              </w:rPr>
              <w:t xml:space="preserve"> Improving the physical environ</w:t>
            </w:r>
            <w:r w:rsidRPr="008C5542">
              <w:rPr>
                <w:rFonts w:eastAsiaTheme="minorEastAsia"/>
                <w:color w:val="000000" w:themeColor="text1"/>
                <w:szCs w:val="20"/>
                <w:lang w:eastAsia="en-NZ"/>
              </w:rPr>
              <w:t>ment in school</w:t>
            </w:r>
          </w:p>
          <w:p w:rsidR="0077327F" w:rsidRPr="008C5542" w:rsidRDefault="0077327F" w:rsidP="0081553D">
            <w:pPr>
              <w:rPr>
                <w:rFonts w:eastAsiaTheme="minorEastAsia"/>
                <w:color w:val="000000" w:themeColor="text1"/>
                <w:szCs w:val="20"/>
                <w:lang w:eastAsia="en-NZ"/>
              </w:rPr>
            </w:pPr>
            <w:r w:rsidRPr="008C5542">
              <w:rPr>
                <w:rFonts w:eastAsiaTheme="minorEastAsia"/>
                <w:color w:val="000000" w:themeColor="text1"/>
                <w:szCs w:val="20"/>
                <w:lang w:eastAsia="en-NZ"/>
              </w:rPr>
              <w:t>10 = Mental health</w:t>
            </w:r>
          </w:p>
          <w:p w:rsidR="0077327F" w:rsidRPr="008C5542" w:rsidRDefault="0077327F" w:rsidP="0081553D">
            <w:pPr>
              <w:rPr>
                <w:rFonts w:eastAsiaTheme="minorEastAsia"/>
                <w:color w:val="000000" w:themeColor="text1"/>
                <w:szCs w:val="20"/>
                <w:lang w:eastAsia="en-NZ"/>
              </w:rPr>
            </w:pPr>
            <w:r>
              <w:rPr>
                <w:rFonts w:eastAsiaTheme="minorEastAsia"/>
                <w:color w:val="000000" w:themeColor="text1"/>
                <w:szCs w:val="20"/>
                <w:lang w:eastAsia="en-NZ"/>
              </w:rPr>
              <w:t>11 = Nutrition and Physical Ac</w:t>
            </w:r>
            <w:r w:rsidRPr="008C5542">
              <w:rPr>
                <w:rFonts w:eastAsiaTheme="minorEastAsia"/>
                <w:color w:val="000000" w:themeColor="text1"/>
                <w:szCs w:val="20"/>
                <w:lang w:eastAsia="en-NZ"/>
              </w:rPr>
              <w:t>tivity</w:t>
            </w:r>
          </w:p>
          <w:p w:rsidR="0077327F" w:rsidRPr="008C5542" w:rsidRDefault="0077327F" w:rsidP="0081553D">
            <w:pPr>
              <w:rPr>
                <w:rFonts w:eastAsiaTheme="minorEastAsia"/>
                <w:color w:val="000000" w:themeColor="text1"/>
                <w:szCs w:val="20"/>
                <w:lang w:eastAsia="en-NZ"/>
              </w:rPr>
            </w:pPr>
            <w:r w:rsidRPr="008C5542">
              <w:rPr>
                <w:rFonts w:eastAsiaTheme="minorEastAsia"/>
                <w:color w:val="000000" w:themeColor="text1"/>
                <w:szCs w:val="20"/>
                <w:lang w:eastAsia="en-NZ"/>
              </w:rPr>
              <w:t>12 = Physical activity</w:t>
            </w:r>
          </w:p>
          <w:p w:rsidR="0077327F" w:rsidRPr="008C5542" w:rsidRDefault="0077327F" w:rsidP="0081553D">
            <w:pPr>
              <w:rPr>
                <w:rFonts w:eastAsiaTheme="minorEastAsia"/>
                <w:color w:val="000000" w:themeColor="text1"/>
                <w:szCs w:val="20"/>
                <w:lang w:eastAsia="en-NZ"/>
              </w:rPr>
            </w:pPr>
            <w:r w:rsidRPr="008C5542">
              <w:rPr>
                <w:rFonts w:eastAsiaTheme="minorEastAsia"/>
                <w:color w:val="000000" w:themeColor="text1"/>
                <w:szCs w:val="20"/>
                <w:lang w:eastAsia="en-NZ"/>
              </w:rPr>
              <w:t xml:space="preserve">13 = Physical health </w:t>
            </w:r>
            <w:r w:rsidR="00553512" w:rsidRPr="008C5542">
              <w:rPr>
                <w:rFonts w:eastAsiaTheme="minorEastAsia"/>
                <w:color w:val="000000" w:themeColor="text1"/>
                <w:szCs w:val="20"/>
                <w:lang w:eastAsia="en-NZ"/>
              </w:rPr>
              <w:t>e.g.</w:t>
            </w:r>
            <w:r w:rsidR="00553512">
              <w:rPr>
                <w:rFonts w:eastAsiaTheme="minorEastAsia"/>
                <w:color w:val="000000" w:themeColor="text1"/>
                <w:szCs w:val="20"/>
                <w:lang w:eastAsia="en-NZ"/>
              </w:rPr>
              <w:t>,</w:t>
            </w:r>
            <w:r w:rsidRPr="008C5542">
              <w:rPr>
                <w:rFonts w:eastAsiaTheme="minorEastAsia"/>
                <w:color w:val="000000" w:themeColor="text1"/>
                <w:szCs w:val="20"/>
                <w:lang w:eastAsia="en-NZ"/>
              </w:rPr>
              <w:t xml:space="preserve"> asthma</w:t>
            </w:r>
          </w:p>
          <w:p w:rsidR="0077327F" w:rsidRPr="008C5542" w:rsidRDefault="0077327F" w:rsidP="0081553D">
            <w:pPr>
              <w:rPr>
                <w:rFonts w:eastAsiaTheme="minorEastAsia"/>
                <w:color w:val="000000" w:themeColor="text1"/>
                <w:szCs w:val="20"/>
                <w:lang w:eastAsia="en-NZ"/>
              </w:rPr>
            </w:pPr>
            <w:r w:rsidRPr="008C5542">
              <w:rPr>
                <w:rFonts w:eastAsiaTheme="minorEastAsia"/>
                <w:color w:val="000000" w:themeColor="text1"/>
                <w:szCs w:val="20"/>
                <w:lang w:eastAsia="en-NZ"/>
              </w:rPr>
              <w:t>14 = Sexuality education</w:t>
            </w:r>
          </w:p>
          <w:p w:rsidR="0077327F" w:rsidRPr="008C5542" w:rsidRDefault="0077327F" w:rsidP="0081553D">
            <w:pPr>
              <w:rPr>
                <w:rFonts w:eastAsiaTheme="minorEastAsia"/>
                <w:color w:val="000000" w:themeColor="text1"/>
                <w:szCs w:val="20"/>
                <w:lang w:eastAsia="en-NZ"/>
              </w:rPr>
            </w:pPr>
            <w:r w:rsidRPr="008C5542">
              <w:rPr>
                <w:rFonts w:eastAsiaTheme="minorEastAsia"/>
                <w:color w:val="000000" w:themeColor="text1"/>
                <w:szCs w:val="20"/>
                <w:lang w:eastAsia="en-NZ"/>
              </w:rPr>
              <w:t>15 = Staff wellbeing</w:t>
            </w:r>
          </w:p>
          <w:p w:rsidR="0077327F" w:rsidRPr="008C5542" w:rsidRDefault="0077327F" w:rsidP="0081553D">
            <w:pPr>
              <w:rPr>
                <w:rFonts w:eastAsiaTheme="minorEastAsia"/>
                <w:color w:val="000000" w:themeColor="text1"/>
                <w:szCs w:val="20"/>
                <w:lang w:eastAsia="en-NZ"/>
              </w:rPr>
            </w:pPr>
            <w:r w:rsidRPr="008C5542">
              <w:rPr>
                <w:rFonts w:eastAsiaTheme="minorEastAsia"/>
                <w:color w:val="000000" w:themeColor="text1"/>
                <w:szCs w:val="20"/>
                <w:lang w:eastAsia="en-NZ"/>
              </w:rPr>
              <w:t>16 = Student achievement</w:t>
            </w:r>
          </w:p>
          <w:p w:rsidR="0077327F" w:rsidRPr="008C5542" w:rsidRDefault="0077327F" w:rsidP="0081553D">
            <w:pPr>
              <w:rPr>
                <w:rFonts w:eastAsiaTheme="minorEastAsia"/>
                <w:color w:val="000000" w:themeColor="text1"/>
                <w:szCs w:val="20"/>
                <w:lang w:eastAsia="en-NZ"/>
              </w:rPr>
            </w:pPr>
            <w:r w:rsidRPr="008C5542">
              <w:rPr>
                <w:rFonts w:eastAsiaTheme="minorEastAsia"/>
                <w:color w:val="000000" w:themeColor="text1"/>
                <w:szCs w:val="20"/>
                <w:lang w:eastAsia="en-NZ"/>
              </w:rPr>
              <w:t>17 = Student attendance</w:t>
            </w:r>
          </w:p>
          <w:p w:rsidR="0077327F" w:rsidRPr="008C5542" w:rsidRDefault="0077327F" w:rsidP="0081553D">
            <w:pPr>
              <w:rPr>
                <w:rFonts w:eastAsiaTheme="minorEastAsia"/>
                <w:color w:val="000000" w:themeColor="text1"/>
                <w:szCs w:val="20"/>
                <w:lang w:eastAsia="en-NZ"/>
              </w:rPr>
            </w:pPr>
            <w:r w:rsidRPr="008C5542">
              <w:rPr>
                <w:rFonts w:eastAsiaTheme="minorEastAsia"/>
                <w:color w:val="000000" w:themeColor="text1"/>
                <w:szCs w:val="20"/>
                <w:lang w:eastAsia="en-NZ"/>
              </w:rPr>
              <w:t>18 = Student engagement and agency</w:t>
            </w:r>
          </w:p>
          <w:p w:rsidR="0077327F" w:rsidRPr="008C5542" w:rsidRDefault="0077327F" w:rsidP="0081553D">
            <w:pPr>
              <w:rPr>
                <w:rFonts w:eastAsiaTheme="minorEastAsia"/>
                <w:color w:val="000000" w:themeColor="text1"/>
                <w:szCs w:val="20"/>
                <w:lang w:eastAsia="en-NZ"/>
              </w:rPr>
            </w:pPr>
            <w:r w:rsidRPr="008C5542">
              <w:rPr>
                <w:rFonts w:eastAsiaTheme="minorEastAsia"/>
                <w:color w:val="000000" w:themeColor="text1"/>
                <w:szCs w:val="20"/>
                <w:lang w:eastAsia="en-NZ"/>
              </w:rPr>
              <w:lastRenderedPageBreak/>
              <w:t>19 = Waste Minimisation</w:t>
            </w:r>
          </w:p>
          <w:p w:rsidR="0077327F" w:rsidRPr="008C5542" w:rsidRDefault="0077327F" w:rsidP="0081553D">
            <w:pPr>
              <w:rPr>
                <w:rFonts w:eastAsiaTheme="minorEastAsia"/>
                <w:color w:val="000000" w:themeColor="text1"/>
                <w:szCs w:val="20"/>
                <w:lang w:eastAsia="en-NZ"/>
              </w:rPr>
            </w:pPr>
            <w:r w:rsidRPr="008C5542">
              <w:rPr>
                <w:rFonts w:eastAsiaTheme="minorEastAsia"/>
                <w:color w:val="000000" w:themeColor="text1"/>
                <w:szCs w:val="20"/>
                <w:lang w:eastAsia="en-NZ"/>
              </w:rPr>
              <w:t>20 = Whanau engagement and agency</w:t>
            </w:r>
          </w:p>
          <w:p w:rsidR="0077327F" w:rsidRPr="1BB67A18" w:rsidRDefault="0077327F" w:rsidP="0081553D">
            <w:pPr>
              <w:rPr>
                <w:rFonts w:eastAsiaTheme="minorEastAsia"/>
                <w:color w:val="000000" w:themeColor="text1"/>
                <w:szCs w:val="20"/>
                <w:lang w:eastAsia="en-NZ"/>
              </w:rPr>
            </w:pPr>
            <w:r w:rsidRPr="008C5542">
              <w:rPr>
                <w:rFonts w:eastAsiaTheme="minorEastAsia"/>
                <w:color w:val="000000" w:themeColor="text1"/>
                <w:szCs w:val="20"/>
                <w:lang w:eastAsia="en-NZ"/>
              </w:rPr>
              <w:t>21 = Whare tapa wha for students, staff and community</w:t>
            </w:r>
          </w:p>
        </w:tc>
      </w:tr>
    </w:tbl>
    <w:p w:rsidR="0077327F" w:rsidRDefault="0077327F" w:rsidP="0077327F">
      <w:pPr>
        <w:spacing w:after="120"/>
      </w:pPr>
    </w:p>
    <w:p w:rsidR="0077327F" w:rsidRPr="0077327F" w:rsidRDefault="0077327F" w:rsidP="0077327F"/>
    <w:sectPr w:rsidR="0077327F" w:rsidRPr="0077327F" w:rsidSect="0034727E">
      <w:pgSz w:w="12240" w:h="15840" w:code="1"/>
      <w:pgMar w:top="1077" w:right="1440" w:bottom="1077" w:left="1440" w:header="720" w:footer="6"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811" w:rsidRDefault="00354811">
      <w:pPr>
        <w:spacing w:after="0" w:line="240" w:lineRule="auto"/>
      </w:pPr>
      <w:r>
        <w:separator/>
      </w:r>
    </w:p>
  </w:endnote>
  <w:endnote w:type="continuationSeparator" w:id="0">
    <w:p w:rsidR="00354811" w:rsidRDefault="00354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GothicM">
    <w:altName w:val="MS Mincho"/>
    <w:panose1 w:val="00000000000000000000"/>
    <w:charset w:val="80"/>
    <w:family w:val="roman"/>
    <w:notTrueType/>
    <w:pitch w:val="default"/>
  </w:font>
  <w:font w:name="Courier New">
    <w:panose1 w:val="02070309020205020404"/>
    <w:charset w:val="00"/>
    <w:family w:val="modern"/>
    <w:pitch w:val="fixed"/>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941" w:rsidRDefault="009B0941">
    <w:pPr>
      <w:pStyle w:val="Footer"/>
      <w:rPr>
        <w:noProof/>
      </w:rPr>
    </w:pPr>
    <w:r>
      <w:t xml:space="preserve">Health Promoting Schools - Impact on TARGETED Student Outcomes – analysis REPORT – </w:t>
    </w:r>
    <w:r w:rsidR="002F543A">
      <w:t xml:space="preserve">SEPTEMBER </w:t>
    </w:r>
    <w:r>
      <w:t>2017</w:t>
    </w:r>
    <w:r>
      <w:ptab w:relativeTo="margin" w:alignment="right" w:leader="none"/>
    </w:r>
    <w:r>
      <w:fldChar w:fldCharType="begin"/>
    </w:r>
    <w:r>
      <w:instrText xml:space="preserve"> PAGE   \* MERGEFORMAT </w:instrText>
    </w:r>
    <w:r>
      <w:fldChar w:fldCharType="separate"/>
    </w:r>
    <w:r w:rsidR="00A43D35">
      <w:rPr>
        <w:noProof/>
      </w:rPr>
      <w:t>21</w:t>
    </w:r>
    <w:r>
      <w:rPr>
        <w:noProof/>
      </w:rPr>
      <w:fldChar w:fldCharType="end"/>
    </w:r>
  </w:p>
  <w:p w:rsidR="009B0941" w:rsidRPr="00411F03" w:rsidRDefault="009B0941">
    <w:pPr>
      <w:pStyle w:val="Footer"/>
      <w:rPr>
        <w:color w:val="D9D9D9" w:themeColor="background1" w:themeShade="D9"/>
        <w:sz w:val="10"/>
        <w:szCs w:val="10"/>
      </w:rPr>
    </w:pPr>
  </w:p>
  <w:p w:rsidR="009B0941" w:rsidRDefault="009B0941" w:rsidP="00045558">
    <w:pPr>
      <w:pStyle w:val="Footer"/>
      <w:tabs>
        <w:tab w:val="left" w:pos="5977"/>
      </w:tabs>
      <w:rPr>
        <w:caps w:val="0"/>
        <w:color w:val="BFBFBF" w:themeColor="background1" w:themeShade="BF"/>
      </w:rPr>
    </w:pPr>
    <w:r>
      <w:rPr>
        <w:caps w:val="0"/>
        <w:color w:val="BFBFBF" w:themeColor="background1" w:themeShade="BF"/>
      </w:rPr>
      <w:t xml:space="preserve">Copyright </w:t>
    </w:r>
    <w:r w:rsidRPr="00085DC3">
      <w:rPr>
        <w:caps w:val="0"/>
        <w:color w:val="BFBFBF" w:themeColor="background1" w:themeShade="BF"/>
      </w:rPr>
      <w:t xml:space="preserve">© 2017 </w:t>
    </w:r>
    <w:r>
      <w:rPr>
        <w:caps w:val="0"/>
        <w:color w:val="BFBFBF" w:themeColor="background1" w:themeShade="BF"/>
      </w:rPr>
      <w:t>M</w:t>
    </w:r>
    <w:r w:rsidRPr="00085DC3">
      <w:rPr>
        <w:caps w:val="0"/>
        <w:color w:val="BFBFBF" w:themeColor="background1" w:themeShade="BF"/>
      </w:rPr>
      <w:t xml:space="preserve">onocle </w:t>
    </w:r>
    <w:r>
      <w:rPr>
        <w:caps w:val="0"/>
        <w:color w:val="BFBFBF" w:themeColor="background1" w:themeShade="BF"/>
      </w:rPr>
      <w:t>S</w:t>
    </w:r>
    <w:r w:rsidRPr="00085DC3">
      <w:rPr>
        <w:caps w:val="0"/>
        <w:color w:val="BFBFBF" w:themeColor="background1" w:themeShade="BF"/>
      </w:rPr>
      <w:t xml:space="preserve">olutions </w:t>
    </w:r>
    <w:r>
      <w:rPr>
        <w:caps w:val="0"/>
        <w:color w:val="BFBFBF" w:themeColor="background1" w:themeShade="BF"/>
      </w:rPr>
      <w:t>L</w:t>
    </w:r>
    <w:r w:rsidRPr="00085DC3">
      <w:rPr>
        <w:caps w:val="0"/>
        <w:color w:val="BFBFBF" w:themeColor="background1" w:themeShade="BF"/>
      </w:rPr>
      <w:t>imited</w:t>
    </w:r>
    <w:r>
      <w:rPr>
        <w:caps w:val="0"/>
        <w:color w:val="BFBFBF" w:themeColor="background1" w:themeShade="BF"/>
      </w:rPr>
      <w:t>.</w:t>
    </w:r>
  </w:p>
  <w:p w:rsidR="009B0941" w:rsidRPr="00085DC3" w:rsidRDefault="009B0941" w:rsidP="00045558">
    <w:pPr>
      <w:pStyle w:val="Footer"/>
      <w:tabs>
        <w:tab w:val="left" w:pos="5977"/>
      </w:tabs>
      <w:rPr>
        <w:color w:val="BFBFBF" w:themeColor="background1" w:themeShade="BF"/>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941" w:rsidRDefault="009B0941" w:rsidP="00B668CF">
    <w:pPr>
      <w:pStyle w:val="Footer"/>
      <w:spacing w:before="100"/>
      <w:rPr>
        <w:noProof/>
      </w:rPr>
    </w:pPr>
    <w:r>
      <w:t xml:space="preserve">Health Promoting Schools - Impact on TARGETED Student Outcomes – analysis REPORT – </w:t>
    </w:r>
    <w:r w:rsidR="002F543A">
      <w:t>SEPTEMBER</w:t>
    </w:r>
    <w:r>
      <w:t xml:space="preserve"> 2017</w:t>
    </w:r>
    <w:r>
      <w:ptab w:relativeTo="margin" w:alignment="right" w:leader="none"/>
    </w:r>
    <w:r>
      <w:fldChar w:fldCharType="begin"/>
    </w:r>
    <w:r>
      <w:instrText xml:space="preserve"> PAGE   \* MERGEFORMAT </w:instrText>
    </w:r>
    <w:r>
      <w:fldChar w:fldCharType="separate"/>
    </w:r>
    <w:r w:rsidR="00A43D35">
      <w:rPr>
        <w:noProof/>
      </w:rPr>
      <w:t>18</w:t>
    </w:r>
    <w:r>
      <w:rPr>
        <w:noProof/>
      </w:rPr>
      <w:fldChar w:fldCharType="end"/>
    </w:r>
  </w:p>
  <w:p w:rsidR="009B0941" w:rsidRPr="00411F03" w:rsidRDefault="009B0941" w:rsidP="00295057">
    <w:pPr>
      <w:pStyle w:val="Footer"/>
      <w:rPr>
        <w:color w:val="D9D9D9" w:themeColor="background1" w:themeShade="D9"/>
        <w:sz w:val="10"/>
        <w:szCs w:val="10"/>
      </w:rPr>
    </w:pPr>
  </w:p>
  <w:p w:rsidR="009B0941" w:rsidRPr="00085DC3" w:rsidRDefault="009B0941" w:rsidP="00295057">
    <w:pPr>
      <w:pStyle w:val="Footer"/>
      <w:rPr>
        <w:color w:val="BFBFBF" w:themeColor="background1" w:themeShade="BF"/>
      </w:rPr>
    </w:pPr>
    <w:r>
      <w:rPr>
        <w:caps w:val="0"/>
        <w:color w:val="BFBFBF" w:themeColor="background1" w:themeShade="BF"/>
      </w:rPr>
      <w:t xml:space="preserve">Copyright </w:t>
    </w:r>
    <w:r w:rsidRPr="00085DC3">
      <w:rPr>
        <w:caps w:val="0"/>
        <w:color w:val="BFBFBF" w:themeColor="background1" w:themeShade="BF"/>
      </w:rPr>
      <w:t xml:space="preserve">© 2017 </w:t>
    </w:r>
    <w:r>
      <w:rPr>
        <w:caps w:val="0"/>
        <w:color w:val="BFBFBF" w:themeColor="background1" w:themeShade="BF"/>
      </w:rPr>
      <w:t>M</w:t>
    </w:r>
    <w:r w:rsidRPr="00085DC3">
      <w:rPr>
        <w:caps w:val="0"/>
        <w:color w:val="BFBFBF" w:themeColor="background1" w:themeShade="BF"/>
      </w:rPr>
      <w:t xml:space="preserve">onocle </w:t>
    </w:r>
    <w:r>
      <w:rPr>
        <w:caps w:val="0"/>
        <w:color w:val="BFBFBF" w:themeColor="background1" w:themeShade="BF"/>
      </w:rPr>
      <w:t>S</w:t>
    </w:r>
    <w:r w:rsidRPr="00085DC3">
      <w:rPr>
        <w:caps w:val="0"/>
        <w:color w:val="BFBFBF" w:themeColor="background1" w:themeShade="BF"/>
      </w:rPr>
      <w:t xml:space="preserve">olutions </w:t>
    </w:r>
    <w:r>
      <w:rPr>
        <w:caps w:val="0"/>
        <w:color w:val="BFBFBF" w:themeColor="background1" w:themeShade="BF"/>
      </w:rPr>
      <w:t>L</w:t>
    </w:r>
    <w:r w:rsidRPr="00085DC3">
      <w:rPr>
        <w:caps w:val="0"/>
        <w:color w:val="BFBFBF" w:themeColor="background1" w:themeShade="BF"/>
      </w:rPr>
      <w:t>imited</w:t>
    </w:r>
    <w:r>
      <w:rPr>
        <w:caps w:val="0"/>
        <w:color w:val="BFBFBF" w:themeColor="background1" w:themeShade="BF"/>
      </w:rPr>
      <w:t>.</w:t>
    </w:r>
  </w:p>
  <w:p w:rsidR="009B0941" w:rsidRDefault="009B0941" w:rsidP="00045558">
    <w:pPr>
      <w:pStyle w:val="Footer"/>
      <w:rPr>
        <w:color w:val="D9D9D9" w:themeColor="background1" w:themeShade="D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811" w:rsidRDefault="00354811">
      <w:pPr>
        <w:spacing w:after="0" w:line="240" w:lineRule="auto"/>
      </w:pPr>
      <w:r>
        <w:separator/>
      </w:r>
    </w:p>
  </w:footnote>
  <w:footnote w:type="continuationSeparator" w:id="0">
    <w:p w:rsidR="00354811" w:rsidRDefault="00354811">
      <w:pPr>
        <w:spacing w:after="0" w:line="240" w:lineRule="auto"/>
      </w:pPr>
      <w:r>
        <w:continuationSeparator/>
      </w:r>
    </w:p>
  </w:footnote>
  <w:footnote w:id="1">
    <w:p w:rsidR="009B0941" w:rsidRPr="00775521" w:rsidRDefault="009B0941" w:rsidP="003F7ECB">
      <w:pPr>
        <w:pStyle w:val="FootnoteText"/>
      </w:pPr>
      <w:r w:rsidRPr="00775521">
        <w:rPr>
          <w:rStyle w:val="FootnoteReference"/>
        </w:rPr>
        <w:footnoteRef/>
      </w:r>
      <w:r w:rsidRPr="00775521">
        <w:t xml:space="preserve"> </w:t>
      </w:r>
      <w:r w:rsidRPr="00C92742">
        <w:rPr>
          <w:sz w:val="18"/>
        </w:rPr>
        <w:t>See Appendix 3 for a comprehensive breakdown of the codes and derived variables used for this analysis.</w:t>
      </w:r>
    </w:p>
  </w:footnote>
  <w:footnote w:id="2">
    <w:p w:rsidR="009B0941" w:rsidRPr="001F6E22" w:rsidRDefault="009B0941">
      <w:pPr>
        <w:pStyle w:val="FootnoteText"/>
        <w:rPr>
          <w:sz w:val="18"/>
          <w:szCs w:val="18"/>
        </w:rPr>
      </w:pPr>
      <w:r w:rsidRPr="001E592F">
        <w:rPr>
          <w:rStyle w:val="FootnoteReference"/>
          <w:sz w:val="18"/>
          <w:szCs w:val="18"/>
        </w:rPr>
        <w:footnoteRef/>
      </w:r>
      <w:r w:rsidRPr="001E592F">
        <w:rPr>
          <w:sz w:val="18"/>
          <w:szCs w:val="18"/>
        </w:rPr>
        <w:t xml:space="preserve"> </w:t>
      </w:r>
      <w:r w:rsidRPr="001F6E22">
        <w:rPr>
          <w:sz w:val="18"/>
          <w:szCs w:val="18"/>
        </w:rPr>
        <w:t>ERO’s National Evaluation Approach Performance – school reviews 2015-2016.</w:t>
      </w:r>
    </w:p>
  </w:footnote>
  <w:footnote w:id="3">
    <w:p w:rsidR="009B0941" w:rsidRPr="001F6E22" w:rsidRDefault="009B0941" w:rsidP="00533A3B">
      <w:pPr>
        <w:pStyle w:val="FootnoteText"/>
        <w:spacing w:after="100"/>
        <w:rPr>
          <w:sz w:val="18"/>
          <w:szCs w:val="18"/>
        </w:rPr>
      </w:pPr>
      <w:r w:rsidRPr="001F6E22">
        <w:rPr>
          <w:rStyle w:val="FootnoteReference"/>
          <w:sz w:val="18"/>
          <w:szCs w:val="18"/>
        </w:rPr>
        <w:footnoteRef/>
      </w:r>
      <w:r w:rsidRPr="001F6E22">
        <w:rPr>
          <w:sz w:val="18"/>
          <w:szCs w:val="18"/>
        </w:rPr>
        <w:t xml:space="preserve"> Referred to as the HPS rubric in the report.</w:t>
      </w:r>
    </w:p>
  </w:footnote>
  <w:footnote w:id="4">
    <w:p w:rsidR="009B0941" w:rsidRPr="00CB2640" w:rsidRDefault="009B0941" w:rsidP="002047B0">
      <w:pPr>
        <w:pStyle w:val="FootnoteText"/>
        <w:rPr>
          <w:sz w:val="18"/>
        </w:rPr>
      </w:pPr>
      <w:r>
        <w:rPr>
          <w:rStyle w:val="FootnoteReference"/>
        </w:rPr>
        <w:footnoteRef/>
      </w:r>
      <w:r>
        <w:t xml:space="preserve"> </w:t>
      </w:r>
      <w:r w:rsidRPr="00CB2640">
        <w:rPr>
          <w:sz w:val="18"/>
        </w:rPr>
        <w:t>Of note, findings from a previous evaluation on the Schools Survey conducted by Cognition Education (2016), where high performing facilitators were correlated with schools’ success on HPS rubric outcomes.</w:t>
      </w:r>
    </w:p>
    <w:p w:rsidR="009B0941" w:rsidRDefault="009B0941" w:rsidP="002047B0">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8AA0A534"/>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4064989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5AD7313"/>
    <w:multiLevelType w:val="hybridMultilevel"/>
    <w:tmpl w:val="BCB267CE"/>
    <w:lvl w:ilvl="0" w:tplc="B07ABC7E">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0795133E"/>
    <w:multiLevelType w:val="hybridMultilevel"/>
    <w:tmpl w:val="3B22D104"/>
    <w:lvl w:ilvl="0" w:tplc="BB4CD6B4">
      <w:start w:val="5"/>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835B5A"/>
    <w:multiLevelType w:val="hybridMultilevel"/>
    <w:tmpl w:val="1C0C43EA"/>
    <w:lvl w:ilvl="0" w:tplc="A7B6A1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636288"/>
    <w:multiLevelType w:val="hybridMultilevel"/>
    <w:tmpl w:val="CCF202B4"/>
    <w:lvl w:ilvl="0" w:tplc="38E04C56">
      <w:start w:val="1"/>
      <w:numFmt w:val="bullet"/>
      <w:lvlText w:val="-"/>
      <w:lvlJc w:val="left"/>
      <w:pPr>
        <w:ind w:left="720" w:hanging="360"/>
      </w:pPr>
      <w:rPr>
        <w:rFonts w:ascii="Candara" w:eastAsiaTheme="minorEastAsia" w:hAnsi="Candara"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21311256"/>
    <w:multiLevelType w:val="multilevel"/>
    <w:tmpl w:val="643A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D98689B"/>
    <w:multiLevelType w:val="hybridMultilevel"/>
    <w:tmpl w:val="3076A67E"/>
    <w:lvl w:ilvl="0" w:tplc="A7D66F1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5A0D47"/>
    <w:multiLevelType w:val="hybridMultilevel"/>
    <w:tmpl w:val="209A1010"/>
    <w:lvl w:ilvl="0" w:tplc="DC485CAA">
      <w:start w:val="1"/>
      <w:numFmt w:val="decimal"/>
      <w:lvlText w:val="%1."/>
      <w:lvlJc w:val="left"/>
      <w:pPr>
        <w:ind w:left="576" w:hanging="576"/>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E36E86"/>
    <w:multiLevelType w:val="hybridMultilevel"/>
    <w:tmpl w:val="CDB66BEA"/>
    <w:lvl w:ilvl="0" w:tplc="8F3A0AC0">
      <w:numFmt w:val="bullet"/>
      <w:lvlText w:val="-"/>
      <w:lvlJc w:val="left"/>
      <w:pPr>
        <w:ind w:left="720" w:hanging="360"/>
      </w:pPr>
      <w:rPr>
        <w:rFonts w:ascii="Candara" w:eastAsiaTheme="minorEastAsia" w:hAnsi="Candara"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4AE56C24"/>
    <w:multiLevelType w:val="hybridMultilevel"/>
    <w:tmpl w:val="AAF86D54"/>
    <w:lvl w:ilvl="0" w:tplc="AECC6A56">
      <w:start w:val="1"/>
      <w:numFmt w:val="upperRoman"/>
      <w:lvlText w:val="%1."/>
      <w:lvlJc w:val="left"/>
      <w:pPr>
        <w:ind w:left="57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12056C"/>
    <w:multiLevelType w:val="hybridMultilevel"/>
    <w:tmpl w:val="4BE4FC84"/>
    <w:lvl w:ilvl="0" w:tplc="8D1C045E">
      <w:start w:val="1"/>
      <w:numFmt w:val="bullet"/>
      <w:lvlText w:val="-"/>
      <w:lvlJc w:val="left"/>
      <w:pPr>
        <w:ind w:left="1080" w:hanging="360"/>
      </w:pPr>
      <w:rPr>
        <w:rFonts w:ascii="Courier New" w:hAnsi="Courier New" w:hint="default"/>
        <w:sz w:val="16"/>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2">
    <w:nsid w:val="78385073"/>
    <w:multiLevelType w:val="hybridMultilevel"/>
    <w:tmpl w:val="2B18AD7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nsid w:val="7B41470D"/>
    <w:multiLevelType w:val="hybridMultilevel"/>
    <w:tmpl w:val="64C2EA0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7EA2606A"/>
    <w:multiLevelType w:val="hybridMultilevel"/>
    <w:tmpl w:val="B6709A5E"/>
    <w:lvl w:ilvl="0" w:tplc="6CBE28E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F2465F2"/>
    <w:multiLevelType w:val="hybridMultilevel"/>
    <w:tmpl w:val="FBE2B8C4"/>
    <w:lvl w:ilvl="0" w:tplc="6E4E383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num>
  <w:num w:numId="3">
    <w:abstractNumId w:val="7"/>
  </w:num>
  <w:num w:numId="4">
    <w:abstractNumId w:val="1"/>
  </w:num>
  <w:num w:numId="5">
    <w:abstractNumId w:val="0"/>
  </w:num>
  <w:num w:numId="6">
    <w:abstractNumId w:val="3"/>
  </w:num>
  <w:num w:numId="7">
    <w:abstractNumId w:val="15"/>
  </w:num>
  <w:num w:numId="8">
    <w:abstractNumId w:val="14"/>
  </w:num>
  <w:num w:numId="9">
    <w:abstractNumId w:val="9"/>
  </w:num>
  <w:num w:numId="10">
    <w:abstractNumId w:val="8"/>
  </w:num>
  <w:num w:numId="11">
    <w:abstractNumId w:val="11"/>
  </w:num>
  <w:num w:numId="12">
    <w:abstractNumId w:val="13"/>
  </w:num>
  <w:num w:numId="13">
    <w:abstractNumId w:val="6"/>
  </w:num>
  <w:num w:numId="14">
    <w:abstractNumId w:val="5"/>
  </w:num>
  <w:num w:numId="15">
    <w:abstractNumId w:val="1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en-NZ" w:vendorID="64" w:dllVersion="0" w:nlCheck="1" w:checkStyle="0"/>
  <w:activeWritingStyle w:appName="MSWord" w:lang="en-US" w:vendorID="64" w:dllVersion="0" w:nlCheck="1" w:checkStyle="0"/>
  <w:activeWritingStyle w:appName="MSWord" w:lang="en-NZ" w:vendorID="64" w:dllVersion="6" w:nlCheck="1" w:checkStyle="1"/>
  <w:activeWritingStyle w:appName="MSWord" w:lang="en-US" w:vendorID="64" w:dllVersion="6" w:nlCheck="1" w:checkStyle="1"/>
  <w:proofState w:spelling="clean" w:grammar="clean"/>
  <w:documentProtection w:edit="readOnly" w:enforcement="1" w:cryptProviderType="rsaAES" w:cryptAlgorithmClass="hash" w:cryptAlgorithmType="typeAny" w:cryptAlgorithmSid="14" w:cryptSpinCount="100000" w:hash="iHn82XB5nGpvmmYgj8JsWSgO/oo6wJFZF6fbyzcGD3b86vIXEH+wcn3p9mHd3auTKLPUlluQusnU5agpUtaDqA==" w:salt="JdIFZYEEUPHlh31f3V3WYA=="/>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2ACA1C1-F606-44C8-A8FC-EDC1EEC886D7}"/>
    <w:docVar w:name="dgnword-eventsink" w:val="1029971112528"/>
  </w:docVars>
  <w:rsids>
    <w:rsidRoot w:val="00FE17A3"/>
    <w:rsid w:val="00002529"/>
    <w:rsid w:val="00002B32"/>
    <w:rsid w:val="00002B91"/>
    <w:rsid w:val="00003A74"/>
    <w:rsid w:val="0000423A"/>
    <w:rsid w:val="000066D8"/>
    <w:rsid w:val="0000674E"/>
    <w:rsid w:val="00006A15"/>
    <w:rsid w:val="00007326"/>
    <w:rsid w:val="000108CC"/>
    <w:rsid w:val="00011205"/>
    <w:rsid w:val="00013B41"/>
    <w:rsid w:val="00017590"/>
    <w:rsid w:val="00020879"/>
    <w:rsid w:val="000221ED"/>
    <w:rsid w:val="0003279F"/>
    <w:rsid w:val="00032E0D"/>
    <w:rsid w:val="00032FC1"/>
    <w:rsid w:val="00034000"/>
    <w:rsid w:val="00034459"/>
    <w:rsid w:val="00041164"/>
    <w:rsid w:val="00041A8D"/>
    <w:rsid w:val="00045558"/>
    <w:rsid w:val="00045AEA"/>
    <w:rsid w:val="00045C2D"/>
    <w:rsid w:val="00047B70"/>
    <w:rsid w:val="00056A82"/>
    <w:rsid w:val="00057BDD"/>
    <w:rsid w:val="00062387"/>
    <w:rsid w:val="000627E6"/>
    <w:rsid w:val="00064C8C"/>
    <w:rsid w:val="00065D33"/>
    <w:rsid w:val="000708C5"/>
    <w:rsid w:val="00072ACA"/>
    <w:rsid w:val="00072C36"/>
    <w:rsid w:val="000734E8"/>
    <w:rsid w:val="00074AFB"/>
    <w:rsid w:val="00074E84"/>
    <w:rsid w:val="00076B53"/>
    <w:rsid w:val="0007793F"/>
    <w:rsid w:val="0008591B"/>
    <w:rsid w:val="00085DC3"/>
    <w:rsid w:val="00095EE8"/>
    <w:rsid w:val="00096B66"/>
    <w:rsid w:val="0009739F"/>
    <w:rsid w:val="000978B6"/>
    <w:rsid w:val="000A3B23"/>
    <w:rsid w:val="000A545D"/>
    <w:rsid w:val="000A57FD"/>
    <w:rsid w:val="000A7361"/>
    <w:rsid w:val="000A74F4"/>
    <w:rsid w:val="000A7D4B"/>
    <w:rsid w:val="000B3F9D"/>
    <w:rsid w:val="000B7627"/>
    <w:rsid w:val="000B7EFD"/>
    <w:rsid w:val="000C6228"/>
    <w:rsid w:val="000C78D5"/>
    <w:rsid w:val="000D09B1"/>
    <w:rsid w:val="000D1BFF"/>
    <w:rsid w:val="000D1EFA"/>
    <w:rsid w:val="000D31CB"/>
    <w:rsid w:val="000D43E5"/>
    <w:rsid w:val="000E331B"/>
    <w:rsid w:val="000E38A5"/>
    <w:rsid w:val="000E7237"/>
    <w:rsid w:val="000F0DCF"/>
    <w:rsid w:val="000F15CD"/>
    <w:rsid w:val="000F1A6A"/>
    <w:rsid w:val="000F2736"/>
    <w:rsid w:val="000F45FF"/>
    <w:rsid w:val="000F52E9"/>
    <w:rsid w:val="000F5AEB"/>
    <w:rsid w:val="000F7AA2"/>
    <w:rsid w:val="00101D53"/>
    <w:rsid w:val="00102C9F"/>
    <w:rsid w:val="001037CD"/>
    <w:rsid w:val="00104222"/>
    <w:rsid w:val="001047F5"/>
    <w:rsid w:val="00106422"/>
    <w:rsid w:val="001071F3"/>
    <w:rsid w:val="00110D3C"/>
    <w:rsid w:val="001163CF"/>
    <w:rsid w:val="00116975"/>
    <w:rsid w:val="0012150C"/>
    <w:rsid w:val="00122E3D"/>
    <w:rsid w:val="001246C2"/>
    <w:rsid w:val="00125B5D"/>
    <w:rsid w:val="00126A68"/>
    <w:rsid w:val="00127BFD"/>
    <w:rsid w:val="00127C31"/>
    <w:rsid w:val="001303BE"/>
    <w:rsid w:val="0013047C"/>
    <w:rsid w:val="00130BEE"/>
    <w:rsid w:val="00133BC4"/>
    <w:rsid w:val="00133E9E"/>
    <w:rsid w:val="00137002"/>
    <w:rsid w:val="001379E0"/>
    <w:rsid w:val="001428FE"/>
    <w:rsid w:val="001466D8"/>
    <w:rsid w:val="001524BA"/>
    <w:rsid w:val="001530D6"/>
    <w:rsid w:val="00155DF7"/>
    <w:rsid w:val="0016018E"/>
    <w:rsid w:val="0016066F"/>
    <w:rsid w:val="00160FB9"/>
    <w:rsid w:val="0016658E"/>
    <w:rsid w:val="00170560"/>
    <w:rsid w:val="00172A04"/>
    <w:rsid w:val="00176127"/>
    <w:rsid w:val="001763A1"/>
    <w:rsid w:val="0017790C"/>
    <w:rsid w:val="001823F1"/>
    <w:rsid w:val="00184B74"/>
    <w:rsid w:val="00185B3F"/>
    <w:rsid w:val="00185BAE"/>
    <w:rsid w:val="0018717B"/>
    <w:rsid w:val="00190380"/>
    <w:rsid w:val="001906C6"/>
    <w:rsid w:val="00191556"/>
    <w:rsid w:val="001917F6"/>
    <w:rsid w:val="00191DE7"/>
    <w:rsid w:val="001A04A4"/>
    <w:rsid w:val="001A195E"/>
    <w:rsid w:val="001A1F2F"/>
    <w:rsid w:val="001A48E6"/>
    <w:rsid w:val="001A7853"/>
    <w:rsid w:val="001B1515"/>
    <w:rsid w:val="001B3FFC"/>
    <w:rsid w:val="001B4657"/>
    <w:rsid w:val="001B656D"/>
    <w:rsid w:val="001B79F3"/>
    <w:rsid w:val="001C1D44"/>
    <w:rsid w:val="001C2EA3"/>
    <w:rsid w:val="001C34D0"/>
    <w:rsid w:val="001C3707"/>
    <w:rsid w:val="001C3797"/>
    <w:rsid w:val="001C448E"/>
    <w:rsid w:val="001C6F22"/>
    <w:rsid w:val="001C76F2"/>
    <w:rsid w:val="001D00FA"/>
    <w:rsid w:val="001D0BDB"/>
    <w:rsid w:val="001D0EE3"/>
    <w:rsid w:val="001D27DA"/>
    <w:rsid w:val="001D3986"/>
    <w:rsid w:val="001D576B"/>
    <w:rsid w:val="001D63EB"/>
    <w:rsid w:val="001D6A2A"/>
    <w:rsid w:val="001D6B57"/>
    <w:rsid w:val="001E3232"/>
    <w:rsid w:val="001E4629"/>
    <w:rsid w:val="001E592F"/>
    <w:rsid w:val="001E5AEF"/>
    <w:rsid w:val="001E6471"/>
    <w:rsid w:val="001F368B"/>
    <w:rsid w:val="001F5A96"/>
    <w:rsid w:val="001F5B2A"/>
    <w:rsid w:val="001F6E22"/>
    <w:rsid w:val="001F75C2"/>
    <w:rsid w:val="002008A7"/>
    <w:rsid w:val="00202828"/>
    <w:rsid w:val="00202E8D"/>
    <w:rsid w:val="002047B0"/>
    <w:rsid w:val="002051C0"/>
    <w:rsid w:val="00205713"/>
    <w:rsid w:val="00207776"/>
    <w:rsid w:val="00224431"/>
    <w:rsid w:val="00224AFF"/>
    <w:rsid w:val="002265F4"/>
    <w:rsid w:val="00226F86"/>
    <w:rsid w:val="0022796A"/>
    <w:rsid w:val="00230461"/>
    <w:rsid w:val="002304F6"/>
    <w:rsid w:val="002322EE"/>
    <w:rsid w:val="00236A89"/>
    <w:rsid w:val="00236C0D"/>
    <w:rsid w:val="0024025C"/>
    <w:rsid w:val="002410AC"/>
    <w:rsid w:val="00246624"/>
    <w:rsid w:val="00250EC2"/>
    <w:rsid w:val="002528C8"/>
    <w:rsid w:val="00252D26"/>
    <w:rsid w:val="002566D3"/>
    <w:rsid w:val="0025670E"/>
    <w:rsid w:val="0026105A"/>
    <w:rsid w:val="00265123"/>
    <w:rsid w:val="002705F6"/>
    <w:rsid w:val="00271022"/>
    <w:rsid w:val="00271274"/>
    <w:rsid w:val="002748C1"/>
    <w:rsid w:val="00276BDF"/>
    <w:rsid w:val="00277E30"/>
    <w:rsid w:val="00281155"/>
    <w:rsid w:val="002826A0"/>
    <w:rsid w:val="002830E3"/>
    <w:rsid w:val="00285080"/>
    <w:rsid w:val="0028590C"/>
    <w:rsid w:val="00286A3D"/>
    <w:rsid w:val="00290CD6"/>
    <w:rsid w:val="00291901"/>
    <w:rsid w:val="00292254"/>
    <w:rsid w:val="00295057"/>
    <w:rsid w:val="002951C2"/>
    <w:rsid w:val="00296B2B"/>
    <w:rsid w:val="00296B3E"/>
    <w:rsid w:val="002975DD"/>
    <w:rsid w:val="002A04BE"/>
    <w:rsid w:val="002A26E3"/>
    <w:rsid w:val="002A2F1B"/>
    <w:rsid w:val="002A365D"/>
    <w:rsid w:val="002B2E05"/>
    <w:rsid w:val="002B300B"/>
    <w:rsid w:val="002B66D7"/>
    <w:rsid w:val="002C3E09"/>
    <w:rsid w:val="002C5601"/>
    <w:rsid w:val="002D0BCE"/>
    <w:rsid w:val="002D180F"/>
    <w:rsid w:val="002D2608"/>
    <w:rsid w:val="002D5F48"/>
    <w:rsid w:val="002D7A98"/>
    <w:rsid w:val="002D7F35"/>
    <w:rsid w:val="002E08D2"/>
    <w:rsid w:val="002E08FD"/>
    <w:rsid w:val="002E0B61"/>
    <w:rsid w:val="002E3267"/>
    <w:rsid w:val="002E431F"/>
    <w:rsid w:val="002E4A77"/>
    <w:rsid w:val="002E7CB6"/>
    <w:rsid w:val="002F06AE"/>
    <w:rsid w:val="002F07E4"/>
    <w:rsid w:val="002F3454"/>
    <w:rsid w:val="002F41DD"/>
    <w:rsid w:val="002F543A"/>
    <w:rsid w:val="002F6CDF"/>
    <w:rsid w:val="00305643"/>
    <w:rsid w:val="00305B21"/>
    <w:rsid w:val="00307671"/>
    <w:rsid w:val="00311908"/>
    <w:rsid w:val="0031390A"/>
    <w:rsid w:val="00314A41"/>
    <w:rsid w:val="00314B56"/>
    <w:rsid w:val="003218A9"/>
    <w:rsid w:val="0032435C"/>
    <w:rsid w:val="00327EDC"/>
    <w:rsid w:val="00330442"/>
    <w:rsid w:val="003367A5"/>
    <w:rsid w:val="003378C6"/>
    <w:rsid w:val="00340369"/>
    <w:rsid w:val="00340F12"/>
    <w:rsid w:val="00341245"/>
    <w:rsid w:val="00341DE5"/>
    <w:rsid w:val="0034332D"/>
    <w:rsid w:val="003449F1"/>
    <w:rsid w:val="00345F6C"/>
    <w:rsid w:val="00346EAF"/>
    <w:rsid w:val="0034727E"/>
    <w:rsid w:val="00347C3E"/>
    <w:rsid w:val="00350488"/>
    <w:rsid w:val="00351636"/>
    <w:rsid w:val="00354811"/>
    <w:rsid w:val="003568FD"/>
    <w:rsid w:val="003600AC"/>
    <w:rsid w:val="00360202"/>
    <w:rsid w:val="00360D30"/>
    <w:rsid w:val="0036574E"/>
    <w:rsid w:val="00366E5F"/>
    <w:rsid w:val="0036710D"/>
    <w:rsid w:val="00370F40"/>
    <w:rsid w:val="003729F4"/>
    <w:rsid w:val="00372EDE"/>
    <w:rsid w:val="00376FA4"/>
    <w:rsid w:val="003770D3"/>
    <w:rsid w:val="00377292"/>
    <w:rsid w:val="00381238"/>
    <w:rsid w:val="00382DDB"/>
    <w:rsid w:val="0038435C"/>
    <w:rsid w:val="00384940"/>
    <w:rsid w:val="00387ADA"/>
    <w:rsid w:val="0039204D"/>
    <w:rsid w:val="003930F7"/>
    <w:rsid w:val="003A0763"/>
    <w:rsid w:val="003A0DBA"/>
    <w:rsid w:val="003A1279"/>
    <w:rsid w:val="003A7562"/>
    <w:rsid w:val="003A7EBC"/>
    <w:rsid w:val="003B0705"/>
    <w:rsid w:val="003B3437"/>
    <w:rsid w:val="003B6BDC"/>
    <w:rsid w:val="003B7E94"/>
    <w:rsid w:val="003C0256"/>
    <w:rsid w:val="003C5193"/>
    <w:rsid w:val="003C5662"/>
    <w:rsid w:val="003C608C"/>
    <w:rsid w:val="003C630D"/>
    <w:rsid w:val="003C6853"/>
    <w:rsid w:val="003D229F"/>
    <w:rsid w:val="003D360D"/>
    <w:rsid w:val="003D5956"/>
    <w:rsid w:val="003D659C"/>
    <w:rsid w:val="003D6977"/>
    <w:rsid w:val="003D72F4"/>
    <w:rsid w:val="003E571D"/>
    <w:rsid w:val="003E64D4"/>
    <w:rsid w:val="003F30C2"/>
    <w:rsid w:val="003F6B20"/>
    <w:rsid w:val="003F7DCA"/>
    <w:rsid w:val="003F7ECB"/>
    <w:rsid w:val="00400B0B"/>
    <w:rsid w:val="00405AA2"/>
    <w:rsid w:val="00406540"/>
    <w:rsid w:val="00406F09"/>
    <w:rsid w:val="004070DB"/>
    <w:rsid w:val="004101BF"/>
    <w:rsid w:val="00411F03"/>
    <w:rsid w:val="004123AC"/>
    <w:rsid w:val="00413E20"/>
    <w:rsid w:val="0041538E"/>
    <w:rsid w:val="0041594E"/>
    <w:rsid w:val="00416718"/>
    <w:rsid w:val="00416B21"/>
    <w:rsid w:val="00421AB9"/>
    <w:rsid w:val="0042440E"/>
    <w:rsid w:val="00424E0E"/>
    <w:rsid w:val="004268B7"/>
    <w:rsid w:val="00426C37"/>
    <w:rsid w:val="004334C9"/>
    <w:rsid w:val="00436983"/>
    <w:rsid w:val="004373C1"/>
    <w:rsid w:val="00442CA5"/>
    <w:rsid w:val="004460BB"/>
    <w:rsid w:val="004501FB"/>
    <w:rsid w:val="0045317B"/>
    <w:rsid w:val="00460FB4"/>
    <w:rsid w:val="004611E6"/>
    <w:rsid w:val="004612E3"/>
    <w:rsid w:val="00477EC3"/>
    <w:rsid w:val="00481F14"/>
    <w:rsid w:val="00482A16"/>
    <w:rsid w:val="004861F4"/>
    <w:rsid w:val="0049022A"/>
    <w:rsid w:val="00492DD5"/>
    <w:rsid w:val="004962A6"/>
    <w:rsid w:val="004A18F8"/>
    <w:rsid w:val="004A78CE"/>
    <w:rsid w:val="004B00FA"/>
    <w:rsid w:val="004B0CCA"/>
    <w:rsid w:val="004B39F2"/>
    <w:rsid w:val="004B7106"/>
    <w:rsid w:val="004C0163"/>
    <w:rsid w:val="004C05D4"/>
    <w:rsid w:val="004C182B"/>
    <w:rsid w:val="004C1C68"/>
    <w:rsid w:val="004C35BD"/>
    <w:rsid w:val="004C5175"/>
    <w:rsid w:val="004C54B1"/>
    <w:rsid w:val="004C5857"/>
    <w:rsid w:val="004C63D5"/>
    <w:rsid w:val="004C7A1B"/>
    <w:rsid w:val="004D294C"/>
    <w:rsid w:val="004D50AD"/>
    <w:rsid w:val="004D6E39"/>
    <w:rsid w:val="004D7613"/>
    <w:rsid w:val="004E00A3"/>
    <w:rsid w:val="004E1D4A"/>
    <w:rsid w:val="004E2AD5"/>
    <w:rsid w:val="004E4659"/>
    <w:rsid w:val="004E619A"/>
    <w:rsid w:val="004E7271"/>
    <w:rsid w:val="004F01B2"/>
    <w:rsid w:val="004F01EA"/>
    <w:rsid w:val="004F317B"/>
    <w:rsid w:val="004F3B9D"/>
    <w:rsid w:val="004F3F93"/>
    <w:rsid w:val="004F4D1A"/>
    <w:rsid w:val="004F6611"/>
    <w:rsid w:val="004F6861"/>
    <w:rsid w:val="0050043F"/>
    <w:rsid w:val="00505BA0"/>
    <w:rsid w:val="00506222"/>
    <w:rsid w:val="0050666D"/>
    <w:rsid w:val="0050684D"/>
    <w:rsid w:val="00506C9D"/>
    <w:rsid w:val="0051237E"/>
    <w:rsid w:val="005143E5"/>
    <w:rsid w:val="00516FB7"/>
    <w:rsid w:val="005213BB"/>
    <w:rsid w:val="005221B2"/>
    <w:rsid w:val="00522E94"/>
    <w:rsid w:val="00523341"/>
    <w:rsid w:val="005237F3"/>
    <w:rsid w:val="0052445D"/>
    <w:rsid w:val="005254DD"/>
    <w:rsid w:val="00526E61"/>
    <w:rsid w:val="00527F45"/>
    <w:rsid w:val="00533A3B"/>
    <w:rsid w:val="00533B6D"/>
    <w:rsid w:val="00542C78"/>
    <w:rsid w:val="00543CDD"/>
    <w:rsid w:val="00546CFC"/>
    <w:rsid w:val="00553512"/>
    <w:rsid w:val="0055489E"/>
    <w:rsid w:val="0055751B"/>
    <w:rsid w:val="00557C4D"/>
    <w:rsid w:val="0056314A"/>
    <w:rsid w:val="00564EEF"/>
    <w:rsid w:val="00565B5E"/>
    <w:rsid w:val="00566907"/>
    <w:rsid w:val="005703D9"/>
    <w:rsid w:val="00574025"/>
    <w:rsid w:val="00575F8D"/>
    <w:rsid w:val="00581488"/>
    <w:rsid w:val="00583230"/>
    <w:rsid w:val="005855C3"/>
    <w:rsid w:val="00586175"/>
    <w:rsid w:val="00590F16"/>
    <w:rsid w:val="005917D4"/>
    <w:rsid w:val="00591E39"/>
    <w:rsid w:val="00593D54"/>
    <w:rsid w:val="00594512"/>
    <w:rsid w:val="00594D0A"/>
    <w:rsid w:val="00596105"/>
    <w:rsid w:val="0059618A"/>
    <w:rsid w:val="00596DFD"/>
    <w:rsid w:val="0059769F"/>
    <w:rsid w:val="00597983"/>
    <w:rsid w:val="0059799A"/>
    <w:rsid w:val="005A212F"/>
    <w:rsid w:val="005A3035"/>
    <w:rsid w:val="005A39A3"/>
    <w:rsid w:val="005B0642"/>
    <w:rsid w:val="005B10AD"/>
    <w:rsid w:val="005B3142"/>
    <w:rsid w:val="005B36FA"/>
    <w:rsid w:val="005C2FF1"/>
    <w:rsid w:val="005C5CC0"/>
    <w:rsid w:val="005D0A79"/>
    <w:rsid w:val="005D16CC"/>
    <w:rsid w:val="005D67A8"/>
    <w:rsid w:val="005D711B"/>
    <w:rsid w:val="005E0992"/>
    <w:rsid w:val="005E1D3F"/>
    <w:rsid w:val="005E1F29"/>
    <w:rsid w:val="005E344A"/>
    <w:rsid w:val="005E6BD4"/>
    <w:rsid w:val="005E7F8A"/>
    <w:rsid w:val="005F2FA6"/>
    <w:rsid w:val="005F49B6"/>
    <w:rsid w:val="005F76F9"/>
    <w:rsid w:val="00603CB5"/>
    <w:rsid w:val="00603EEC"/>
    <w:rsid w:val="00610A2D"/>
    <w:rsid w:val="006139F4"/>
    <w:rsid w:val="0061459A"/>
    <w:rsid w:val="00614BDC"/>
    <w:rsid w:val="00617A76"/>
    <w:rsid w:val="006205B9"/>
    <w:rsid w:val="00623DDB"/>
    <w:rsid w:val="00625354"/>
    <w:rsid w:val="0062583B"/>
    <w:rsid w:val="00625A17"/>
    <w:rsid w:val="00625FC2"/>
    <w:rsid w:val="0062733A"/>
    <w:rsid w:val="00635FE2"/>
    <w:rsid w:val="00637186"/>
    <w:rsid w:val="00640260"/>
    <w:rsid w:val="006414B8"/>
    <w:rsid w:val="00643235"/>
    <w:rsid w:val="00646019"/>
    <w:rsid w:val="006475DC"/>
    <w:rsid w:val="00651CEB"/>
    <w:rsid w:val="0065238E"/>
    <w:rsid w:val="00657279"/>
    <w:rsid w:val="006607AC"/>
    <w:rsid w:val="00670DF5"/>
    <w:rsid w:val="00671FB4"/>
    <w:rsid w:val="00672324"/>
    <w:rsid w:val="006730D2"/>
    <w:rsid w:val="00680C3B"/>
    <w:rsid w:val="0068230A"/>
    <w:rsid w:val="006828D2"/>
    <w:rsid w:val="00685E61"/>
    <w:rsid w:val="00686F93"/>
    <w:rsid w:val="00687B94"/>
    <w:rsid w:val="0069099C"/>
    <w:rsid w:val="00691765"/>
    <w:rsid w:val="00692B67"/>
    <w:rsid w:val="00697BDF"/>
    <w:rsid w:val="006A4B98"/>
    <w:rsid w:val="006A656F"/>
    <w:rsid w:val="006A6E43"/>
    <w:rsid w:val="006B2E6D"/>
    <w:rsid w:val="006B38E0"/>
    <w:rsid w:val="006B3AF3"/>
    <w:rsid w:val="006B62E1"/>
    <w:rsid w:val="006C0D53"/>
    <w:rsid w:val="006C1E82"/>
    <w:rsid w:val="006C2023"/>
    <w:rsid w:val="006C3435"/>
    <w:rsid w:val="006C386A"/>
    <w:rsid w:val="006C449A"/>
    <w:rsid w:val="006C786D"/>
    <w:rsid w:val="006C7D1F"/>
    <w:rsid w:val="006D0C29"/>
    <w:rsid w:val="006D346C"/>
    <w:rsid w:val="006D3C24"/>
    <w:rsid w:val="006D434F"/>
    <w:rsid w:val="006E2312"/>
    <w:rsid w:val="006E3023"/>
    <w:rsid w:val="006E4C18"/>
    <w:rsid w:val="006E56EA"/>
    <w:rsid w:val="006E5A81"/>
    <w:rsid w:val="006F1809"/>
    <w:rsid w:val="006F2CDF"/>
    <w:rsid w:val="006F4F61"/>
    <w:rsid w:val="006F742A"/>
    <w:rsid w:val="00700059"/>
    <w:rsid w:val="0070053D"/>
    <w:rsid w:val="00702194"/>
    <w:rsid w:val="00706EFC"/>
    <w:rsid w:val="0071083D"/>
    <w:rsid w:val="007108CD"/>
    <w:rsid w:val="00710F29"/>
    <w:rsid w:val="007119A4"/>
    <w:rsid w:val="00714950"/>
    <w:rsid w:val="0071524E"/>
    <w:rsid w:val="00716DF5"/>
    <w:rsid w:val="0071734A"/>
    <w:rsid w:val="00721224"/>
    <w:rsid w:val="00721E2B"/>
    <w:rsid w:val="00724699"/>
    <w:rsid w:val="0072586D"/>
    <w:rsid w:val="00725CC3"/>
    <w:rsid w:val="00732703"/>
    <w:rsid w:val="00732A7D"/>
    <w:rsid w:val="00733D09"/>
    <w:rsid w:val="00734625"/>
    <w:rsid w:val="007367D7"/>
    <w:rsid w:val="00740727"/>
    <w:rsid w:val="00740A77"/>
    <w:rsid w:val="00747DB5"/>
    <w:rsid w:val="007533F6"/>
    <w:rsid w:val="007542CF"/>
    <w:rsid w:val="00755440"/>
    <w:rsid w:val="00755DCA"/>
    <w:rsid w:val="00757C6D"/>
    <w:rsid w:val="007604B1"/>
    <w:rsid w:val="00761210"/>
    <w:rsid w:val="007653D0"/>
    <w:rsid w:val="00770586"/>
    <w:rsid w:val="00770ABC"/>
    <w:rsid w:val="00771C2F"/>
    <w:rsid w:val="00771CA4"/>
    <w:rsid w:val="0077218B"/>
    <w:rsid w:val="0077327F"/>
    <w:rsid w:val="007743F2"/>
    <w:rsid w:val="007746E9"/>
    <w:rsid w:val="00775521"/>
    <w:rsid w:val="0077636B"/>
    <w:rsid w:val="0078003B"/>
    <w:rsid w:val="0078258D"/>
    <w:rsid w:val="00783305"/>
    <w:rsid w:val="0078393F"/>
    <w:rsid w:val="00787922"/>
    <w:rsid w:val="00787D05"/>
    <w:rsid w:val="0079034E"/>
    <w:rsid w:val="00794757"/>
    <w:rsid w:val="00794F05"/>
    <w:rsid w:val="0079650D"/>
    <w:rsid w:val="00797F91"/>
    <w:rsid w:val="007A0D3E"/>
    <w:rsid w:val="007A1B0B"/>
    <w:rsid w:val="007A5B18"/>
    <w:rsid w:val="007A7890"/>
    <w:rsid w:val="007A7979"/>
    <w:rsid w:val="007B2A77"/>
    <w:rsid w:val="007B5D9D"/>
    <w:rsid w:val="007C2287"/>
    <w:rsid w:val="007C4CE3"/>
    <w:rsid w:val="007C5905"/>
    <w:rsid w:val="007D1B2C"/>
    <w:rsid w:val="007D43B3"/>
    <w:rsid w:val="007E13F5"/>
    <w:rsid w:val="007E2A86"/>
    <w:rsid w:val="007E2D48"/>
    <w:rsid w:val="007E3F93"/>
    <w:rsid w:val="007E4A8C"/>
    <w:rsid w:val="007E5296"/>
    <w:rsid w:val="007F0242"/>
    <w:rsid w:val="007F2731"/>
    <w:rsid w:val="007F3F2A"/>
    <w:rsid w:val="007F4156"/>
    <w:rsid w:val="007F4173"/>
    <w:rsid w:val="008008E4"/>
    <w:rsid w:val="00802480"/>
    <w:rsid w:val="0080438F"/>
    <w:rsid w:val="00805753"/>
    <w:rsid w:val="0080654A"/>
    <w:rsid w:val="00812654"/>
    <w:rsid w:val="0081553D"/>
    <w:rsid w:val="0081726B"/>
    <w:rsid w:val="00817A45"/>
    <w:rsid w:val="008201D5"/>
    <w:rsid w:val="0082066B"/>
    <w:rsid w:val="00820863"/>
    <w:rsid w:val="00821CAD"/>
    <w:rsid w:val="008239A2"/>
    <w:rsid w:val="00825557"/>
    <w:rsid w:val="00825F90"/>
    <w:rsid w:val="008261C6"/>
    <w:rsid w:val="00826E3A"/>
    <w:rsid w:val="00830366"/>
    <w:rsid w:val="0083068F"/>
    <w:rsid w:val="008307BA"/>
    <w:rsid w:val="00830952"/>
    <w:rsid w:val="0083504F"/>
    <w:rsid w:val="008368C7"/>
    <w:rsid w:val="00840190"/>
    <w:rsid w:val="00840EDF"/>
    <w:rsid w:val="00840F68"/>
    <w:rsid w:val="00841176"/>
    <w:rsid w:val="0084131F"/>
    <w:rsid w:val="00843E03"/>
    <w:rsid w:val="00844440"/>
    <w:rsid w:val="008450C4"/>
    <w:rsid w:val="00845604"/>
    <w:rsid w:val="00847F39"/>
    <w:rsid w:val="008508AD"/>
    <w:rsid w:val="00850C57"/>
    <w:rsid w:val="00850EBC"/>
    <w:rsid w:val="00850EFF"/>
    <w:rsid w:val="008531FA"/>
    <w:rsid w:val="00853862"/>
    <w:rsid w:val="00855B74"/>
    <w:rsid w:val="00861F79"/>
    <w:rsid w:val="00867252"/>
    <w:rsid w:val="00867BDC"/>
    <w:rsid w:val="0087085E"/>
    <w:rsid w:val="008800B3"/>
    <w:rsid w:val="008801C2"/>
    <w:rsid w:val="00881E2F"/>
    <w:rsid w:val="00883606"/>
    <w:rsid w:val="008869DE"/>
    <w:rsid w:val="00890274"/>
    <w:rsid w:val="00892571"/>
    <w:rsid w:val="00892AC9"/>
    <w:rsid w:val="008948FA"/>
    <w:rsid w:val="00894DD6"/>
    <w:rsid w:val="00896D2D"/>
    <w:rsid w:val="008A5C74"/>
    <w:rsid w:val="008A73A6"/>
    <w:rsid w:val="008B0532"/>
    <w:rsid w:val="008B0A44"/>
    <w:rsid w:val="008B0DA9"/>
    <w:rsid w:val="008B1899"/>
    <w:rsid w:val="008B309F"/>
    <w:rsid w:val="008B35A7"/>
    <w:rsid w:val="008B3F3F"/>
    <w:rsid w:val="008B41BB"/>
    <w:rsid w:val="008B6102"/>
    <w:rsid w:val="008B6642"/>
    <w:rsid w:val="008B6AAC"/>
    <w:rsid w:val="008B6C1A"/>
    <w:rsid w:val="008B6E58"/>
    <w:rsid w:val="008B7EBA"/>
    <w:rsid w:val="008C0F7A"/>
    <w:rsid w:val="008C185C"/>
    <w:rsid w:val="008C1E48"/>
    <w:rsid w:val="008C1FB3"/>
    <w:rsid w:val="008C3B0C"/>
    <w:rsid w:val="008C3B5E"/>
    <w:rsid w:val="008C4247"/>
    <w:rsid w:val="008D2875"/>
    <w:rsid w:val="008D3096"/>
    <w:rsid w:val="008D3191"/>
    <w:rsid w:val="008D55C7"/>
    <w:rsid w:val="008D56FD"/>
    <w:rsid w:val="008E26CD"/>
    <w:rsid w:val="008E3C75"/>
    <w:rsid w:val="008E501D"/>
    <w:rsid w:val="008E6337"/>
    <w:rsid w:val="008F3657"/>
    <w:rsid w:val="008F3FEC"/>
    <w:rsid w:val="008F43BD"/>
    <w:rsid w:val="008F43F0"/>
    <w:rsid w:val="008F532F"/>
    <w:rsid w:val="008F66C5"/>
    <w:rsid w:val="008F7E0E"/>
    <w:rsid w:val="009034F6"/>
    <w:rsid w:val="00904245"/>
    <w:rsid w:val="00907C39"/>
    <w:rsid w:val="00907E16"/>
    <w:rsid w:val="009112A2"/>
    <w:rsid w:val="009210F4"/>
    <w:rsid w:val="0092156B"/>
    <w:rsid w:val="00921B5B"/>
    <w:rsid w:val="00922B35"/>
    <w:rsid w:val="00924032"/>
    <w:rsid w:val="009248E6"/>
    <w:rsid w:val="00926204"/>
    <w:rsid w:val="009273B2"/>
    <w:rsid w:val="0093020C"/>
    <w:rsid w:val="0093107C"/>
    <w:rsid w:val="009333D5"/>
    <w:rsid w:val="00940817"/>
    <w:rsid w:val="00941686"/>
    <w:rsid w:val="00942470"/>
    <w:rsid w:val="00943955"/>
    <w:rsid w:val="009450F1"/>
    <w:rsid w:val="00945EE3"/>
    <w:rsid w:val="00946C35"/>
    <w:rsid w:val="00950880"/>
    <w:rsid w:val="00951E82"/>
    <w:rsid w:val="00954A36"/>
    <w:rsid w:val="00955301"/>
    <w:rsid w:val="00955467"/>
    <w:rsid w:val="00957B4E"/>
    <w:rsid w:val="0096013C"/>
    <w:rsid w:val="00965604"/>
    <w:rsid w:val="00966A6E"/>
    <w:rsid w:val="00966D59"/>
    <w:rsid w:val="0096734D"/>
    <w:rsid w:val="00967F2D"/>
    <w:rsid w:val="00970876"/>
    <w:rsid w:val="00970EA0"/>
    <w:rsid w:val="00972CDC"/>
    <w:rsid w:val="00975C55"/>
    <w:rsid w:val="0098163B"/>
    <w:rsid w:val="00981C21"/>
    <w:rsid w:val="009822EA"/>
    <w:rsid w:val="009848BF"/>
    <w:rsid w:val="00984C25"/>
    <w:rsid w:val="00985753"/>
    <w:rsid w:val="0098576A"/>
    <w:rsid w:val="00986BA7"/>
    <w:rsid w:val="00990257"/>
    <w:rsid w:val="00990A42"/>
    <w:rsid w:val="009919F8"/>
    <w:rsid w:val="0099284D"/>
    <w:rsid w:val="009929DF"/>
    <w:rsid w:val="009932D2"/>
    <w:rsid w:val="0099405F"/>
    <w:rsid w:val="00995756"/>
    <w:rsid w:val="0099743F"/>
    <w:rsid w:val="009A1A8B"/>
    <w:rsid w:val="009A3DEB"/>
    <w:rsid w:val="009A43D5"/>
    <w:rsid w:val="009A461A"/>
    <w:rsid w:val="009A57B6"/>
    <w:rsid w:val="009A5FFF"/>
    <w:rsid w:val="009B0941"/>
    <w:rsid w:val="009B0958"/>
    <w:rsid w:val="009B0C5C"/>
    <w:rsid w:val="009B10B3"/>
    <w:rsid w:val="009B564A"/>
    <w:rsid w:val="009B57C5"/>
    <w:rsid w:val="009C0622"/>
    <w:rsid w:val="009C1452"/>
    <w:rsid w:val="009C2737"/>
    <w:rsid w:val="009C4AD9"/>
    <w:rsid w:val="009C6CF1"/>
    <w:rsid w:val="009D122B"/>
    <w:rsid w:val="009D2600"/>
    <w:rsid w:val="009D31DE"/>
    <w:rsid w:val="009D3B6A"/>
    <w:rsid w:val="009D4731"/>
    <w:rsid w:val="009D4EE1"/>
    <w:rsid w:val="009E4253"/>
    <w:rsid w:val="009E49AD"/>
    <w:rsid w:val="009E59F5"/>
    <w:rsid w:val="009E6D66"/>
    <w:rsid w:val="009F2929"/>
    <w:rsid w:val="009F305D"/>
    <w:rsid w:val="009F5CAF"/>
    <w:rsid w:val="009F70AB"/>
    <w:rsid w:val="009F72FF"/>
    <w:rsid w:val="009F7545"/>
    <w:rsid w:val="009F7FC4"/>
    <w:rsid w:val="00A01326"/>
    <w:rsid w:val="00A04605"/>
    <w:rsid w:val="00A069C7"/>
    <w:rsid w:val="00A06AE3"/>
    <w:rsid w:val="00A07314"/>
    <w:rsid w:val="00A07B95"/>
    <w:rsid w:val="00A11AA0"/>
    <w:rsid w:val="00A12ABF"/>
    <w:rsid w:val="00A147C5"/>
    <w:rsid w:val="00A150A2"/>
    <w:rsid w:val="00A156C9"/>
    <w:rsid w:val="00A16329"/>
    <w:rsid w:val="00A2175B"/>
    <w:rsid w:val="00A22C6B"/>
    <w:rsid w:val="00A23538"/>
    <w:rsid w:val="00A244E4"/>
    <w:rsid w:val="00A257EE"/>
    <w:rsid w:val="00A278BA"/>
    <w:rsid w:val="00A31C21"/>
    <w:rsid w:val="00A32249"/>
    <w:rsid w:val="00A33646"/>
    <w:rsid w:val="00A34430"/>
    <w:rsid w:val="00A347F7"/>
    <w:rsid w:val="00A35AE0"/>
    <w:rsid w:val="00A43815"/>
    <w:rsid w:val="00A43D35"/>
    <w:rsid w:val="00A46020"/>
    <w:rsid w:val="00A506CC"/>
    <w:rsid w:val="00A55082"/>
    <w:rsid w:val="00A552C8"/>
    <w:rsid w:val="00A57161"/>
    <w:rsid w:val="00A5716A"/>
    <w:rsid w:val="00A57A0F"/>
    <w:rsid w:val="00A57E8E"/>
    <w:rsid w:val="00A6123F"/>
    <w:rsid w:val="00A6212F"/>
    <w:rsid w:val="00A628CC"/>
    <w:rsid w:val="00A64AD9"/>
    <w:rsid w:val="00A65F0D"/>
    <w:rsid w:val="00A66A8E"/>
    <w:rsid w:val="00A67A2A"/>
    <w:rsid w:val="00A67E74"/>
    <w:rsid w:val="00A73BD5"/>
    <w:rsid w:val="00A76E7E"/>
    <w:rsid w:val="00A806A0"/>
    <w:rsid w:val="00A80B07"/>
    <w:rsid w:val="00A80B3A"/>
    <w:rsid w:val="00A82E4C"/>
    <w:rsid w:val="00A860A6"/>
    <w:rsid w:val="00A87F3F"/>
    <w:rsid w:val="00A90356"/>
    <w:rsid w:val="00A9281A"/>
    <w:rsid w:val="00A92DD2"/>
    <w:rsid w:val="00A931EA"/>
    <w:rsid w:val="00A93BA6"/>
    <w:rsid w:val="00A96AF4"/>
    <w:rsid w:val="00A9722B"/>
    <w:rsid w:val="00A97727"/>
    <w:rsid w:val="00A97D79"/>
    <w:rsid w:val="00AA519C"/>
    <w:rsid w:val="00AA5651"/>
    <w:rsid w:val="00AA64FE"/>
    <w:rsid w:val="00AA6FCC"/>
    <w:rsid w:val="00AB0BBF"/>
    <w:rsid w:val="00AB0D92"/>
    <w:rsid w:val="00AB0E3E"/>
    <w:rsid w:val="00AB13F7"/>
    <w:rsid w:val="00AB2513"/>
    <w:rsid w:val="00AB4009"/>
    <w:rsid w:val="00AB487D"/>
    <w:rsid w:val="00AB4D8F"/>
    <w:rsid w:val="00AB58B7"/>
    <w:rsid w:val="00AC1D84"/>
    <w:rsid w:val="00AC3B63"/>
    <w:rsid w:val="00AC4796"/>
    <w:rsid w:val="00AC59F6"/>
    <w:rsid w:val="00AC5E79"/>
    <w:rsid w:val="00AD18A0"/>
    <w:rsid w:val="00AD37E2"/>
    <w:rsid w:val="00AD404A"/>
    <w:rsid w:val="00AD7A16"/>
    <w:rsid w:val="00AD7EB5"/>
    <w:rsid w:val="00AE1FC6"/>
    <w:rsid w:val="00AE2DDF"/>
    <w:rsid w:val="00AE6F51"/>
    <w:rsid w:val="00AF10F8"/>
    <w:rsid w:val="00AF1906"/>
    <w:rsid w:val="00AF3C5C"/>
    <w:rsid w:val="00B0112F"/>
    <w:rsid w:val="00B02D5E"/>
    <w:rsid w:val="00B03C14"/>
    <w:rsid w:val="00B12B4F"/>
    <w:rsid w:val="00B13134"/>
    <w:rsid w:val="00B134F8"/>
    <w:rsid w:val="00B14203"/>
    <w:rsid w:val="00B156BB"/>
    <w:rsid w:val="00B16DBC"/>
    <w:rsid w:val="00B17C31"/>
    <w:rsid w:val="00B17DFB"/>
    <w:rsid w:val="00B22623"/>
    <w:rsid w:val="00B22634"/>
    <w:rsid w:val="00B22997"/>
    <w:rsid w:val="00B24635"/>
    <w:rsid w:val="00B24D18"/>
    <w:rsid w:val="00B273D6"/>
    <w:rsid w:val="00B2791E"/>
    <w:rsid w:val="00B30513"/>
    <w:rsid w:val="00B32B91"/>
    <w:rsid w:val="00B333A1"/>
    <w:rsid w:val="00B364A7"/>
    <w:rsid w:val="00B37D6B"/>
    <w:rsid w:val="00B42C26"/>
    <w:rsid w:val="00B4300A"/>
    <w:rsid w:val="00B43916"/>
    <w:rsid w:val="00B44315"/>
    <w:rsid w:val="00B444AB"/>
    <w:rsid w:val="00B5368F"/>
    <w:rsid w:val="00B53726"/>
    <w:rsid w:val="00B53B9B"/>
    <w:rsid w:val="00B5516B"/>
    <w:rsid w:val="00B55501"/>
    <w:rsid w:val="00B5568E"/>
    <w:rsid w:val="00B55D7D"/>
    <w:rsid w:val="00B6100E"/>
    <w:rsid w:val="00B62033"/>
    <w:rsid w:val="00B62688"/>
    <w:rsid w:val="00B65B64"/>
    <w:rsid w:val="00B668CF"/>
    <w:rsid w:val="00B67970"/>
    <w:rsid w:val="00B71013"/>
    <w:rsid w:val="00B72FF7"/>
    <w:rsid w:val="00B73FA5"/>
    <w:rsid w:val="00B77489"/>
    <w:rsid w:val="00B80D97"/>
    <w:rsid w:val="00B8442C"/>
    <w:rsid w:val="00B84514"/>
    <w:rsid w:val="00B85F66"/>
    <w:rsid w:val="00B90DBC"/>
    <w:rsid w:val="00B91E5E"/>
    <w:rsid w:val="00B91ED4"/>
    <w:rsid w:val="00B92E98"/>
    <w:rsid w:val="00B9405E"/>
    <w:rsid w:val="00B95A2D"/>
    <w:rsid w:val="00B97C2C"/>
    <w:rsid w:val="00BA38ED"/>
    <w:rsid w:val="00BA48E0"/>
    <w:rsid w:val="00BA493A"/>
    <w:rsid w:val="00BA5644"/>
    <w:rsid w:val="00BA7A15"/>
    <w:rsid w:val="00BA7DD5"/>
    <w:rsid w:val="00BB5A9F"/>
    <w:rsid w:val="00BB7461"/>
    <w:rsid w:val="00BC0467"/>
    <w:rsid w:val="00BC259A"/>
    <w:rsid w:val="00BC2E0D"/>
    <w:rsid w:val="00BC6FB9"/>
    <w:rsid w:val="00BD206B"/>
    <w:rsid w:val="00BD4E31"/>
    <w:rsid w:val="00BD5355"/>
    <w:rsid w:val="00BD5654"/>
    <w:rsid w:val="00BD631B"/>
    <w:rsid w:val="00BE65FF"/>
    <w:rsid w:val="00BF58FF"/>
    <w:rsid w:val="00BF5FB8"/>
    <w:rsid w:val="00C04185"/>
    <w:rsid w:val="00C04E5A"/>
    <w:rsid w:val="00C055AC"/>
    <w:rsid w:val="00C12C2A"/>
    <w:rsid w:val="00C13599"/>
    <w:rsid w:val="00C1434C"/>
    <w:rsid w:val="00C221F7"/>
    <w:rsid w:val="00C24AD4"/>
    <w:rsid w:val="00C24E5F"/>
    <w:rsid w:val="00C25282"/>
    <w:rsid w:val="00C274E1"/>
    <w:rsid w:val="00C30AC0"/>
    <w:rsid w:val="00C31802"/>
    <w:rsid w:val="00C42B55"/>
    <w:rsid w:val="00C43F06"/>
    <w:rsid w:val="00C440CE"/>
    <w:rsid w:val="00C44FFE"/>
    <w:rsid w:val="00C51500"/>
    <w:rsid w:val="00C62DBE"/>
    <w:rsid w:val="00C63A2F"/>
    <w:rsid w:val="00C6483C"/>
    <w:rsid w:val="00C679C6"/>
    <w:rsid w:val="00C67EB3"/>
    <w:rsid w:val="00C70438"/>
    <w:rsid w:val="00C72C28"/>
    <w:rsid w:val="00C75401"/>
    <w:rsid w:val="00C75609"/>
    <w:rsid w:val="00C75D3A"/>
    <w:rsid w:val="00C765FF"/>
    <w:rsid w:val="00C77B2F"/>
    <w:rsid w:val="00C8428B"/>
    <w:rsid w:val="00C85B4A"/>
    <w:rsid w:val="00C86096"/>
    <w:rsid w:val="00C879B9"/>
    <w:rsid w:val="00C907C5"/>
    <w:rsid w:val="00C9234F"/>
    <w:rsid w:val="00C92742"/>
    <w:rsid w:val="00C9339C"/>
    <w:rsid w:val="00C93F92"/>
    <w:rsid w:val="00C95B99"/>
    <w:rsid w:val="00C96DC1"/>
    <w:rsid w:val="00CA1D0E"/>
    <w:rsid w:val="00CA3DB2"/>
    <w:rsid w:val="00CA4483"/>
    <w:rsid w:val="00CA4D27"/>
    <w:rsid w:val="00CA646C"/>
    <w:rsid w:val="00CB2640"/>
    <w:rsid w:val="00CB483E"/>
    <w:rsid w:val="00CB4F22"/>
    <w:rsid w:val="00CB5812"/>
    <w:rsid w:val="00CB5905"/>
    <w:rsid w:val="00CB5C44"/>
    <w:rsid w:val="00CC0082"/>
    <w:rsid w:val="00CC3478"/>
    <w:rsid w:val="00CC3496"/>
    <w:rsid w:val="00CD705D"/>
    <w:rsid w:val="00CE6653"/>
    <w:rsid w:val="00CE66EC"/>
    <w:rsid w:val="00CE69AF"/>
    <w:rsid w:val="00CF0114"/>
    <w:rsid w:val="00CF36B3"/>
    <w:rsid w:val="00CF3E99"/>
    <w:rsid w:val="00CF41A1"/>
    <w:rsid w:val="00CF6A95"/>
    <w:rsid w:val="00CF7488"/>
    <w:rsid w:val="00CF79CF"/>
    <w:rsid w:val="00CF7D87"/>
    <w:rsid w:val="00D037CF"/>
    <w:rsid w:val="00D060F5"/>
    <w:rsid w:val="00D11458"/>
    <w:rsid w:val="00D119DA"/>
    <w:rsid w:val="00D125B1"/>
    <w:rsid w:val="00D15C7A"/>
    <w:rsid w:val="00D20284"/>
    <w:rsid w:val="00D218C7"/>
    <w:rsid w:val="00D21B4F"/>
    <w:rsid w:val="00D2287F"/>
    <w:rsid w:val="00D23802"/>
    <w:rsid w:val="00D24367"/>
    <w:rsid w:val="00D27F8E"/>
    <w:rsid w:val="00D30CC2"/>
    <w:rsid w:val="00D34256"/>
    <w:rsid w:val="00D3461B"/>
    <w:rsid w:val="00D346A9"/>
    <w:rsid w:val="00D35FD6"/>
    <w:rsid w:val="00D3755C"/>
    <w:rsid w:val="00D4083F"/>
    <w:rsid w:val="00D43391"/>
    <w:rsid w:val="00D448D1"/>
    <w:rsid w:val="00D47184"/>
    <w:rsid w:val="00D47D74"/>
    <w:rsid w:val="00D50476"/>
    <w:rsid w:val="00D52E35"/>
    <w:rsid w:val="00D55DA5"/>
    <w:rsid w:val="00D62CAB"/>
    <w:rsid w:val="00D636CD"/>
    <w:rsid w:val="00D72CA1"/>
    <w:rsid w:val="00D74DF8"/>
    <w:rsid w:val="00D8027C"/>
    <w:rsid w:val="00D8038F"/>
    <w:rsid w:val="00D8219D"/>
    <w:rsid w:val="00D82EEA"/>
    <w:rsid w:val="00D859AD"/>
    <w:rsid w:val="00D927DE"/>
    <w:rsid w:val="00D929E5"/>
    <w:rsid w:val="00D94DFF"/>
    <w:rsid w:val="00D953CB"/>
    <w:rsid w:val="00D95CA4"/>
    <w:rsid w:val="00DB35C5"/>
    <w:rsid w:val="00DB376A"/>
    <w:rsid w:val="00DB5D4C"/>
    <w:rsid w:val="00DB6226"/>
    <w:rsid w:val="00DB6F79"/>
    <w:rsid w:val="00DC000F"/>
    <w:rsid w:val="00DC0121"/>
    <w:rsid w:val="00DC0F11"/>
    <w:rsid w:val="00DC177E"/>
    <w:rsid w:val="00DC429D"/>
    <w:rsid w:val="00DC51C9"/>
    <w:rsid w:val="00DC6168"/>
    <w:rsid w:val="00DC684B"/>
    <w:rsid w:val="00DC7D0A"/>
    <w:rsid w:val="00DD10A1"/>
    <w:rsid w:val="00DD13D0"/>
    <w:rsid w:val="00DD1631"/>
    <w:rsid w:val="00DD26CA"/>
    <w:rsid w:val="00DD3EEC"/>
    <w:rsid w:val="00DD4EBB"/>
    <w:rsid w:val="00DD652C"/>
    <w:rsid w:val="00DE1557"/>
    <w:rsid w:val="00DE2B21"/>
    <w:rsid w:val="00DE2C07"/>
    <w:rsid w:val="00DE4999"/>
    <w:rsid w:val="00DE5E82"/>
    <w:rsid w:val="00DE7DAC"/>
    <w:rsid w:val="00DF14B9"/>
    <w:rsid w:val="00DF627F"/>
    <w:rsid w:val="00E01E49"/>
    <w:rsid w:val="00E12994"/>
    <w:rsid w:val="00E14845"/>
    <w:rsid w:val="00E17631"/>
    <w:rsid w:val="00E179DE"/>
    <w:rsid w:val="00E20403"/>
    <w:rsid w:val="00E20462"/>
    <w:rsid w:val="00E21E15"/>
    <w:rsid w:val="00E21F5A"/>
    <w:rsid w:val="00E232A4"/>
    <w:rsid w:val="00E24CC9"/>
    <w:rsid w:val="00E25FFB"/>
    <w:rsid w:val="00E303E4"/>
    <w:rsid w:val="00E34BF5"/>
    <w:rsid w:val="00E36E38"/>
    <w:rsid w:val="00E40FA8"/>
    <w:rsid w:val="00E41E84"/>
    <w:rsid w:val="00E42521"/>
    <w:rsid w:val="00E432E4"/>
    <w:rsid w:val="00E4755E"/>
    <w:rsid w:val="00E512D5"/>
    <w:rsid w:val="00E51405"/>
    <w:rsid w:val="00E5176F"/>
    <w:rsid w:val="00E52BC3"/>
    <w:rsid w:val="00E52FBA"/>
    <w:rsid w:val="00E53205"/>
    <w:rsid w:val="00E55027"/>
    <w:rsid w:val="00E56B10"/>
    <w:rsid w:val="00E60C12"/>
    <w:rsid w:val="00E623D1"/>
    <w:rsid w:val="00E62FA9"/>
    <w:rsid w:val="00E646F9"/>
    <w:rsid w:val="00E651E4"/>
    <w:rsid w:val="00E66914"/>
    <w:rsid w:val="00E66D39"/>
    <w:rsid w:val="00E675E0"/>
    <w:rsid w:val="00E7035B"/>
    <w:rsid w:val="00E70E84"/>
    <w:rsid w:val="00E71720"/>
    <w:rsid w:val="00E72ABB"/>
    <w:rsid w:val="00E747AE"/>
    <w:rsid w:val="00E74BB1"/>
    <w:rsid w:val="00E755D8"/>
    <w:rsid w:val="00E75FAD"/>
    <w:rsid w:val="00E76D53"/>
    <w:rsid w:val="00E777B2"/>
    <w:rsid w:val="00E80D07"/>
    <w:rsid w:val="00E817D6"/>
    <w:rsid w:val="00E835F0"/>
    <w:rsid w:val="00E83AEC"/>
    <w:rsid w:val="00E85654"/>
    <w:rsid w:val="00E90AC0"/>
    <w:rsid w:val="00E940CD"/>
    <w:rsid w:val="00E941B2"/>
    <w:rsid w:val="00E94D80"/>
    <w:rsid w:val="00E95B05"/>
    <w:rsid w:val="00E96030"/>
    <w:rsid w:val="00EA32D3"/>
    <w:rsid w:val="00EA3B49"/>
    <w:rsid w:val="00EA4AFC"/>
    <w:rsid w:val="00EB2C85"/>
    <w:rsid w:val="00EB3476"/>
    <w:rsid w:val="00EB3E13"/>
    <w:rsid w:val="00EB4D14"/>
    <w:rsid w:val="00EB5BAD"/>
    <w:rsid w:val="00EB6097"/>
    <w:rsid w:val="00EC2CC8"/>
    <w:rsid w:val="00EC706B"/>
    <w:rsid w:val="00EC75D9"/>
    <w:rsid w:val="00ED00E0"/>
    <w:rsid w:val="00ED283E"/>
    <w:rsid w:val="00ED2949"/>
    <w:rsid w:val="00ED440C"/>
    <w:rsid w:val="00ED6E08"/>
    <w:rsid w:val="00EE3315"/>
    <w:rsid w:val="00EE3AEF"/>
    <w:rsid w:val="00EE6544"/>
    <w:rsid w:val="00EF179E"/>
    <w:rsid w:val="00EF271B"/>
    <w:rsid w:val="00EF3A70"/>
    <w:rsid w:val="00EF3DB1"/>
    <w:rsid w:val="00EF50CB"/>
    <w:rsid w:val="00EF6B6E"/>
    <w:rsid w:val="00EF7380"/>
    <w:rsid w:val="00F00C84"/>
    <w:rsid w:val="00F0118B"/>
    <w:rsid w:val="00F01EE0"/>
    <w:rsid w:val="00F040EF"/>
    <w:rsid w:val="00F043FD"/>
    <w:rsid w:val="00F04893"/>
    <w:rsid w:val="00F076E6"/>
    <w:rsid w:val="00F07BC9"/>
    <w:rsid w:val="00F13709"/>
    <w:rsid w:val="00F23442"/>
    <w:rsid w:val="00F239AB"/>
    <w:rsid w:val="00F23B69"/>
    <w:rsid w:val="00F2566C"/>
    <w:rsid w:val="00F26A7E"/>
    <w:rsid w:val="00F306C4"/>
    <w:rsid w:val="00F37627"/>
    <w:rsid w:val="00F37BDA"/>
    <w:rsid w:val="00F40A5A"/>
    <w:rsid w:val="00F40CA7"/>
    <w:rsid w:val="00F418A0"/>
    <w:rsid w:val="00F419DA"/>
    <w:rsid w:val="00F422B4"/>
    <w:rsid w:val="00F440F3"/>
    <w:rsid w:val="00F45EE1"/>
    <w:rsid w:val="00F45F1C"/>
    <w:rsid w:val="00F52717"/>
    <w:rsid w:val="00F5377C"/>
    <w:rsid w:val="00F57736"/>
    <w:rsid w:val="00F60D8B"/>
    <w:rsid w:val="00F60E35"/>
    <w:rsid w:val="00F61689"/>
    <w:rsid w:val="00F63547"/>
    <w:rsid w:val="00F64821"/>
    <w:rsid w:val="00F75702"/>
    <w:rsid w:val="00F76097"/>
    <w:rsid w:val="00F76C3B"/>
    <w:rsid w:val="00F81AAC"/>
    <w:rsid w:val="00F83581"/>
    <w:rsid w:val="00F8437C"/>
    <w:rsid w:val="00F8522E"/>
    <w:rsid w:val="00F86A0D"/>
    <w:rsid w:val="00F8797D"/>
    <w:rsid w:val="00F9179E"/>
    <w:rsid w:val="00F93E72"/>
    <w:rsid w:val="00F948AB"/>
    <w:rsid w:val="00F9515A"/>
    <w:rsid w:val="00F962C8"/>
    <w:rsid w:val="00F97E0C"/>
    <w:rsid w:val="00FA0FEB"/>
    <w:rsid w:val="00FA2BB4"/>
    <w:rsid w:val="00FB0117"/>
    <w:rsid w:val="00FB08F8"/>
    <w:rsid w:val="00FB18DC"/>
    <w:rsid w:val="00FB216D"/>
    <w:rsid w:val="00FB2287"/>
    <w:rsid w:val="00FB256F"/>
    <w:rsid w:val="00FB484D"/>
    <w:rsid w:val="00FB5794"/>
    <w:rsid w:val="00FB5922"/>
    <w:rsid w:val="00FB5ADC"/>
    <w:rsid w:val="00FB6595"/>
    <w:rsid w:val="00FC2474"/>
    <w:rsid w:val="00FC7D4B"/>
    <w:rsid w:val="00FE17A3"/>
    <w:rsid w:val="00FE331E"/>
    <w:rsid w:val="00FE464E"/>
    <w:rsid w:val="00FE5A9B"/>
    <w:rsid w:val="00FE6E65"/>
    <w:rsid w:val="00FF179F"/>
    <w:rsid w:val="00FF22C6"/>
    <w:rsid w:val="00FF2A1A"/>
    <w:rsid w:val="00FF3F61"/>
    <w:rsid w:val="00FF5F5E"/>
    <w:rsid w:val="00FF6E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ja-JP"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34F"/>
    <w:rPr>
      <w:lang w:val="en-NZ"/>
    </w:rPr>
  </w:style>
  <w:style w:type="paragraph" w:styleId="Heading1">
    <w:name w:val="heading 1"/>
    <w:basedOn w:val="Normal"/>
    <w:next w:val="Normal"/>
    <w:link w:val="Heading1Char"/>
    <w:uiPriority w:val="9"/>
    <w:qFormat/>
    <w:rsid w:val="00C9234F"/>
    <w:pPr>
      <w:keepNext/>
      <w:keepLines/>
      <w:pBdr>
        <w:bottom w:val="single" w:sz="4" w:space="2" w:color="009DD9"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unhideWhenUsed/>
    <w:qFormat/>
    <w:rsid w:val="00FB2287"/>
    <w:pPr>
      <w:keepNext/>
      <w:keepLines/>
      <w:spacing w:before="120" w:after="120" w:line="240" w:lineRule="auto"/>
      <w:outlineLvl w:val="1"/>
    </w:pPr>
    <w:rPr>
      <w:rFonts w:asciiTheme="majorHAnsi" w:eastAsiaTheme="majorEastAsia" w:hAnsiTheme="majorHAnsi" w:cstheme="majorBidi"/>
      <w:color w:val="009DD9" w:themeColor="accent2"/>
      <w:sz w:val="36"/>
      <w:szCs w:val="36"/>
    </w:rPr>
  </w:style>
  <w:style w:type="paragraph" w:styleId="Heading3">
    <w:name w:val="heading 3"/>
    <w:basedOn w:val="Normal"/>
    <w:next w:val="Normal"/>
    <w:link w:val="Heading3Char"/>
    <w:uiPriority w:val="9"/>
    <w:unhideWhenUsed/>
    <w:qFormat/>
    <w:rsid w:val="00DB6226"/>
    <w:pPr>
      <w:keepNext/>
      <w:keepLines/>
      <w:spacing w:before="160" w:after="80" w:line="240" w:lineRule="auto"/>
      <w:outlineLvl w:val="2"/>
    </w:pPr>
    <w:rPr>
      <w:rFonts w:asciiTheme="majorHAnsi" w:eastAsiaTheme="majorEastAsia" w:hAnsiTheme="majorHAnsi" w:cstheme="majorBidi"/>
      <w:color w:val="0F6FC6" w:themeColor="accent1"/>
      <w:sz w:val="28"/>
      <w:szCs w:val="32"/>
    </w:rPr>
  </w:style>
  <w:style w:type="paragraph" w:styleId="Heading4">
    <w:name w:val="heading 4"/>
    <w:basedOn w:val="Normal"/>
    <w:next w:val="Normal"/>
    <w:link w:val="Heading4Char"/>
    <w:uiPriority w:val="9"/>
    <w:unhideWhenUsed/>
    <w:qFormat/>
    <w:rsid w:val="00C9234F"/>
    <w:pPr>
      <w:keepNext/>
      <w:keepLines/>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Heading5Char"/>
    <w:uiPriority w:val="9"/>
    <w:unhideWhenUsed/>
    <w:qFormat/>
    <w:rsid w:val="00C9234F"/>
    <w:pPr>
      <w:keepNext/>
      <w:keepLines/>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Heading6Char"/>
    <w:uiPriority w:val="9"/>
    <w:semiHidden/>
    <w:unhideWhenUsed/>
    <w:qFormat/>
    <w:rsid w:val="00C9234F"/>
    <w:pPr>
      <w:keepNext/>
      <w:keepLines/>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Heading7Char"/>
    <w:uiPriority w:val="9"/>
    <w:semiHidden/>
    <w:unhideWhenUsed/>
    <w:qFormat/>
    <w:rsid w:val="00C9234F"/>
    <w:pPr>
      <w:keepNext/>
      <w:keepLines/>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Heading8Char"/>
    <w:uiPriority w:val="9"/>
    <w:semiHidden/>
    <w:unhideWhenUsed/>
    <w:qFormat/>
    <w:rsid w:val="00C9234F"/>
    <w:pPr>
      <w:keepNext/>
      <w:keepLines/>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Heading9Char"/>
    <w:uiPriority w:val="9"/>
    <w:semiHidden/>
    <w:unhideWhenUsed/>
    <w:qFormat/>
    <w:rsid w:val="00C9234F"/>
    <w:pPr>
      <w:keepNext/>
      <w:keepLines/>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uiPriority w:val="99"/>
    <w:unhideWhenUsed/>
    <w:pPr>
      <w:spacing w:before="600"/>
    </w:pPr>
  </w:style>
  <w:style w:type="character" w:styleId="PlaceholderText">
    <w:name w:val="Placeholder Text"/>
    <w:basedOn w:val="DefaultParagraphFont"/>
    <w:uiPriority w:val="99"/>
    <w:semiHidden/>
    <w:rPr>
      <w:color w:val="0F6FC6" w:themeColor="accent1"/>
    </w:rPr>
  </w:style>
  <w:style w:type="paragraph" w:styleId="Title">
    <w:name w:val="Title"/>
    <w:basedOn w:val="Normal"/>
    <w:next w:val="Normal"/>
    <w:link w:val="TitleChar"/>
    <w:uiPriority w:val="10"/>
    <w:qFormat/>
    <w:rsid w:val="00C9234F"/>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C9234F"/>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C9234F"/>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C9234F"/>
    <w:rPr>
      <w:caps/>
      <w:color w:val="404040" w:themeColor="text1" w:themeTint="BF"/>
      <w:spacing w:val="20"/>
      <w:sz w:val="28"/>
      <w:szCs w:val="28"/>
    </w:rPr>
  </w:style>
  <w:style w:type="paragraph" w:styleId="NoSpacing">
    <w:name w:val="No Spacing"/>
    <w:link w:val="NoSpacingChar"/>
    <w:uiPriority w:val="1"/>
    <w:qFormat/>
    <w:rsid w:val="00C9234F"/>
    <w:pPr>
      <w:spacing w:after="0" w:line="240" w:lineRule="auto"/>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actInfo">
    <w:name w:val="Contact Info"/>
    <w:basedOn w:val="NoSpacing"/>
    <w:uiPriority w:val="5"/>
    <w:rPr>
      <w:color w:val="FFFFFF" w:themeColor="background1"/>
      <w:sz w:val="22"/>
      <w:szCs w:val="22"/>
    </w:rPr>
  </w:style>
  <w:style w:type="character" w:customStyle="1" w:styleId="Heading5Char">
    <w:name w:val="Heading 5 Char"/>
    <w:basedOn w:val="DefaultParagraphFont"/>
    <w:link w:val="Heading5"/>
    <w:uiPriority w:val="9"/>
    <w:rsid w:val="00C9234F"/>
    <w:rPr>
      <w:rFonts w:asciiTheme="majorHAnsi" w:eastAsiaTheme="majorEastAsia" w:hAnsiTheme="majorHAnsi" w:cstheme="majorBidi"/>
      <w:color w:val="0075A2" w:themeColor="accent2" w:themeShade="BF"/>
      <w:sz w:val="24"/>
      <w:szCs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rPr>
      <w:rFonts w:asciiTheme="majorHAnsi" w:eastAsiaTheme="majorEastAsia" w:hAnsiTheme="majorHAnsi" w:cstheme="majorBidi"/>
      <w:caps/>
      <w:color w:val="0F6FC6" w:themeColor="accent1"/>
      <w:sz w:val="16"/>
      <w:szCs w:val="16"/>
    </w:rPr>
  </w:style>
  <w:style w:type="character" w:customStyle="1" w:styleId="FooterChar">
    <w:name w:val="Footer Char"/>
    <w:basedOn w:val="DefaultParagraphFont"/>
    <w:link w:val="Footer"/>
    <w:uiPriority w:val="99"/>
    <w:rPr>
      <w:rFonts w:asciiTheme="majorHAnsi" w:eastAsiaTheme="majorEastAsia" w:hAnsiTheme="majorHAnsi" w:cstheme="majorBidi"/>
      <w:caps/>
      <w:color w:val="0F6FC6" w:themeColor="accent1"/>
      <w:sz w:val="16"/>
      <w:szCs w:val="16"/>
    </w:rPr>
  </w:style>
  <w:style w:type="character" w:customStyle="1" w:styleId="Heading1Char">
    <w:name w:val="Heading 1 Char"/>
    <w:basedOn w:val="DefaultParagraphFont"/>
    <w:link w:val="Heading1"/>
    <w:uiPriority w:val="9"/>
    <w:rsid w:val="00C9234F"/>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rsid w:val="00FB2287"/>
    <w:rPr>
      <w:rFonts w:asciiTheme="majorHAnsi" w:eastAsiaTheme="majorEastAsia" w:hAnsiTheme="majorHAnsi" w:cstheme="majorBidi"/>
      <w:color w:val="009DD9" w:themeColor="accent2"/>
      <w:sz w:val="36"/>
      <w:szCs w:val="36"/>
      <w:lang w:val="en-NZ"/>
    </w:rPr>
  </w:style>
  <w:style w:type="paragraph" w:styleId="TOCHeading">
    <w:name w:val="TOC Heading"/>
    <w:basedOn w:val="Heading1"/>
    <w:next w:val="Normal"/>
    <w:uiPriority w:val="39"/>
    <w:unhideWhenUsed/>
    <w:qFormat/>
    <w:rsid w:val="00C9234F"/>
    <w:pPr>
      <w:outlineLvl w:val="9"/>
    </w:pPr>
  </w:style>
  <w:style w:type="paragraph" w:styleId="TOC1">
    <w:name w:val="toc 1"/>
    <w:basedOn w:val="Normal"/>
    <w:next w:val="Normal"/>
    <w:autoRedefine/>
    <w:uiPriority w:val="39"/>
    <w:unhideWhenUsed/>
    <w:rsid w:val="00B24635"/>
    <w:pPr>
      <w:spacing w:before="360" w:after="0"/>
    </w:pPr>
    <w:rPr>
      <w:rFonts w:asciiTheme="majorHAnsi" w:hAnsiTheme="majorHAnsi"/>
      <w:b/>
      <w:bCs/>
      <w:caps/>
      <w:sz w:val="24"/>
      <w:szCs w:val="24"/>
    </w:rPr>
  </w:style>
  <w:style w:type="character" w:customStyle="1" w:styleId="NoSpacingChar">
    <w:name w:val="No Spacing Char"/>
    <w:basedOn w:val="DefaultParagraphFont"/>
    <w:link w:val="NoSpacing"/>
    <w:uiPriority w:val="1"/>
  </w:style>
  <w:style w:type="character" w:styleId="Hyperlink">
    <w:name w:val="Hyperlink"/>
    <w:basedOn w:val="DefaultParagraphFont"/>
    <w:uiPriority w:val="99"/>
    <w:unhideWhenUsed/>
    <w:rPr>
      <w:color w:val="F49100" w:themeColor="hyperlink"/>
      <w:u w:val="single"/>
    </w:rPr>
  </w:style>
  <w:style w:type="character" w:customStyle="1" w:styleId="Heading3Char">
    <w:name w:val="Heading 3 Char"/>
    <w:basedOn w:val="DefaultParagraphFont"/>
    <w:link w:val="Heading3"/>
    <w:uiPriority w:val="9"/>
    <w:rsid w:val="00DB6226"/>
    <w:rPr>
      <w:rFonts w:asciiTheme="majorHAnsi" w:eastAsiaTheme="majorEastAsia" w:hAnsiTheme="majorHAnsi" w:cstheme="majorBidi"/>
      <w:color w:val="0F6FC6" w:themeColor="accent1"/>
      <w:sz w:val="28"/>
      <w:szCs w:val="32"/>
      <w:lang w:val="en-NZ"/>
    </w:rPr>
  </w:style>
  <w:style w:type="table" w:customStyle="1" w:styleId="TipTable">
    <w:name w:val="Tip Table"/>
    <w:basedOn w:val="TableNormal"/>
    <w:uiPriority w:val="99"/>
    <w:pPr>
      <w:spacing w:after="0" w:line="240" w:lineRule="auto"/>
    </w:pPr>
    <w:rPr>
      <w:color w:val="404040" w:themeColor="text1" w:themeTint="BF"/>
      <w:sz w:val="18"/>
      <w:szCs w:val="18"/>
    </w:rPr>
    <w:tblPr>
      <w:tblInd w:w="0" w:type="dxa"/>
      <w:tblCellMar>
        <w:top w:w="144" w:type="dxa"/>
        <w:left w:w="0" w:type="dxa"/>
        <w:bottom w:w="0" w:type="dxa"/>
        <w:right w:w="0" w:type="dxa"/>
      </w:tblCellMar>
    </w:tblPr>
    <w:tcPr>
      <w:shd w:val="clear" w:color="auto" w:fill="C7E2FA" w:themeFill="accent1" w:themeFillTint="33"/>
    </w:tcPr>
    <w:tblStylePr w:type="firstCol">
      <w:pPr>
        <w:wordWrap/>
        <w:jc w:val="center"/>
      </w:pPr>
    </w:tblStylePr>
  </w:style>
  <w:style w:type="paragraph" w:customStyle="1" w:styleId="TipText">
    <w:name w:val="Tip Text"/>
    <w:basedOn w:val="Normal"/>
    <w:uiPriority w:val="99"/>
    <w:pPr>
      <w:spacing w:before="160" w:line="264" w:lineRule="auto"/>
      <w:ind w:right="576"/>
    </w:pPr>
    <w:rPr>
      <w:rFonts w:asciiTheme="majorHAnsi" w:eastAsiaTheme="majorEastAsia" w:hAnsiTheme="majorHAnsi" w:cstheme="majorBidi"/>
      <w:i/>
      <w:iCs/>
      <w:sz w:val="16"/>
      <w:szCs w:val="16"/>
    </w:rPr>
  </w:style>
  <w:style w:type="paragraph" w:customStyle="1" w:styleId="Icon">
    <w:name w:val="Icon"/>
    <w:basedOn w:val="Normal"/>
    <w:uiPriority w:val="99"/>
    <w:unhideWhenUsed/>
    <w:pPr>
      <w:spacing w:before="160" w:line="240" w:lineRule="auto"/>
      <w:jc w:val="center"/>
    </w:pPr>
  </w:style>
  <w:style w:type="character" w:customStyle="1" w:styleId="Heading4Char">
    <w:name w:val="Heading 4 Char"/>
    <w:basedOn w:val="DefaultParagraphFont"/>
    <w:link w:val="Heading4"/>
    <w:uiPriority w:val="9"/>
    <w:rsid w:val="00C9234F"/>
    <w:rPr>
      <w:rFonts w:asciiTheme="majorHAnsi" w:eastAsiaTheme="majorEastAsia" w:hAnsiTheme="majorHAnsi" w:cstheme="majorBidi"/>
      <w:i/>
      <w:iCs/>
      <w:color w:val="004E6C" w:themeColor="accent2" w:themeShade="80"/>
      <w:sz w:val="28"/>
      <w:szCs w:val="28"/>
    </w:rPr>
  </w:style>
  <w:style w:type="table" w:customStyle="1" w:styleId="ReportTable">
    <w:name w:val="Report Table"/>
    <w:basedOn w:val="TableNormal"/>
    <w:uiPriority w:val="99"/>
    <w:pPr>
      <w:spacing w:before="60" w:after="60" w:line="240" w:lineRule="auto"/>
    </w:pPr>
    <w:tblPr>
      <w:tblStyleRowBandSize w:val="1"/>
      <w:tblInd w:w="0" w:type="dxa"/>
      <w:tblBorders>
        <w:top w:val="single" w:sz="4" w:space="0" w:color="82B0E4" w:themeColor="text2" w:themeTint="66"/>
        <w:left w:val="single" w:sz="4" w:space="0" w:color="82B0E4" w:themeColor="text2" w:themeTint="66"/>
        <w:bottom w:val="single" w:sz="4" w:space="0" w:color="82B0E4" w:themeColor="text2" w:themeTint="66"/>
        <w:right w:val="single" w:sz="4" w:space="0" w:color="82B0E4" w:themeColor="text2" w:themeTint="66"/>
        <w:insideV w:val="single" w:sz="4" w:space="0" w:color="82B0E4" w:themeColor="text2" w:themeTint="66"/>
      </w:tblBorders>
      <w:tblCellMar>
        <w:top w:w="0" w:type="dxa"/>
        <w:left w:w="108" w:type="dxa"/>
        <w:bottom w:w="0" w:type="dxa"/>
        <w:right w:w="108" w:type="dxa"/>
      </w:tblCellMar>
    </w:tblPr>
    <w:tblStylePr w:type="firstRow">
      <w:rPr>
        <w:rFonts w:asciiTheme="majorHAnsi" w:hAnsiTheme="majorHAnsi"/>
        <w:color w:val="FFFFFF" w:themeColor="background1"/>
        <w:sz w:val="16"/>
      </w:rPr>
      <w:tblPr/>
      <w:tcPr>
        <w:shd w:val="clear" w:color="auto" w:fill="0F6FC6" w:themeFill="accent1"/>
      </w:tcPr>
    </w:tblStylePr>
    <w:tblStylePr w:type="lastRow">
      <w:rPr>
        <w:rFonts w:asciiTheme="majorHAnsi" w:hAnsiTheme="majorHAnsi"/>
        <w:b/>
        <w:caps/>
        <w:smallCaps w:val="0"/>
        <w:color w:val="0F6FC6" w:themeColor="accent1"/>
        <w:sz w:val="16"/>
      </w:rPr>
      <w:tblPr/>
      <w:tcPr>
        <w:tcBorders>
          <w:top w:val="nil"/>
        </w:tcBorders>
      </w:tcPr>
    </w:tblStylePr>
    <w:tblStylePr w:type="firstCol">
      <w:rPr>
        <w:rFonts w:asciiTheme="majorHAnsi" w:hAnsiTheme="majorHAnsi"/>
        <w:sz w:val="16"/>
      </w:rPr>
    </w:tblStylePr>
    <w:tblStylePr w:type="band2Horz">
      <w:tblPr/>
      <w:tcPr>
        <w:shd w:val="clear" w:color="auto" w:fill="C0D7F1" w:themeFill="text2" w:themeFillTint="33"/>
      </w:tcPr>
    </w:tblStylePr>
  </w:style>
  <w:style w:type="paragraph" w:styleId="TOC3">
    <w:name w:val="toc 3"/>
    <w:basedOn w:val="Normal"/>
    <w:next w:val="Normal"/>
    <w:autoRedefine/>
    <w:uiPriority w:val="39"/>
    <w:unhideWhenUsed/>
    <w:pPr>
      <w:spacing w:after="0"/>
      <w:ind w:left="210"/>
    </w:pPr>
    <w:rPr>
      <w:sz w:val="20"/>
      <w:szCs w:val="20"/>
    </w:rPr>
  </w:style>
  <w:style w:type="paragraph" w:styleId="TOC4">
    <w:name w:val="toc 4"/>
    <w:basedOn w:val="Normal"/>
    <w:next w:val="Normal"/>
    <w:autoRedefine/>
    <w:uiPriority w:val="99"/>
    <w:unhideWhenUsed/>
    <w:pPr>
      <w:spacing w:after="0"/>
      <w:ind w:left="420"/>
    </w:pPr>
    <w:rPr>
      <w:sz w:val="20"/>
      <w:szCs w:val="20"/>
    </w:rPr>
  </w:style>
  <w:style w:type="paragraph" w:styleId="ListBullet">
    <w:name w:val="List Bullet"/>
    <w:basedOn w:val="Normal"/>
    <w:uiPriority w:val="2"/>
    <w:unhideWhenUsed/>
    <w:pPr>
      <w:numPr>
        <w:numId w:val="4"/>
      </w:numPr>
      <w:spacing w:after="240"/>
      <w:contextualSpacing/>
    </w:pPr>
  </w:style>
  <w:style w:type="paragraph" w:styleId="ListBullet2">
    <w:name w:val="List Bullet 2"/>
    <w:basedOn w:val="Normal"/>
    <w:uiPriority w:val="2"/>
    <w:unhideWhenUsed/>
    <w:pPr>
      <w:numPr>
        <w:numId w:val="5"/>
      </w:numPr>
      <w:spacing w:after="240"/>
      <w:contextualSpacing/>
    </w:pPr>
  </w:style>
  <w:style w:type="character" w:styleId="Strong">
    <w:name w:val="Strong"/>
    <w:basedOn w:val="DefaultParagraphFont"/>
    <w:uiPriority w:val="22"/>
    <w:qFormat/>
    <w:rsid w:val="00C9234F"/>
    <w:rPr>
      <w:b/>
      <w:bCs/>
    </w:rPr>
  </w:style>
  <w:style w:type="paragraph" w:customStyle="1" w:styleId="Checkbox">
    <w:name w:val="Checkbox"/>
    <w:basedOn w:val="Normal"/>
    <w:link w:val="CheckboxChar"/>
    <w:uiPriority w:val="3"/>
    <w:pPr>
      <w:spacing w:after="80" w:line="240" w:lineRule="auto"/>
    </w:pPr>
    <w:rPr>
      <w:color w:val="0F6FC6" w:themeColor="accent1"/>
    </w:rPr>
  </w:style>
  <w:style w:type="table" w:customStyle="1" w:styleId="SurveyTable">
    <w:name w:val="Survey Table"/>
    <w:basedOn w:val="TableNormal"/>
    <w:uiPriority w:val="99"/>
    <w:pPr>
      <w:spacing w:after="80" w:line="240" w:lineRule="auto"/>
    </w:pPr>
    <w:tblPr>
      <w:tblInd w:w="0" w:type="dxa"/>
      <w:tblBorders>
        <w:top w:val="single" w:sz="4" w:space="0" w:color="82B0E4" w:themeColor="text2" w:themeTint="66"/>
      </w:tblBorders>
      <w:tblCellMar>
        <w:top w:w="0" w:type="dxa"/>
        <w:left w:w="0" w:type="dxa"/>
        <w:bottom w:w="0" w:type="dxa"/>
        <w:right w:w="144" w:type="dxa"/>
      </w:tblCellMar>
    </w:tblPr>
  </w:style>
  <w:style w:type="character" w:customStyle="1" w:styleId="Heading6Char">
    <w:name w:val="Heading 6 Char"/>
    <w:basedOn w:val="DefaultParagraphFont"/>
    <w:link w:val="Heading6"/>
    <w:uiPriority w:val="9"/>
    <w:semiHidden/>
    <w:rsid w:val="00C9234F"/>
    <w:rPr>
      <w:rFonts w:asciiTheme="majorHAnsi" w:eastAsiaTheme="majorEastAsia" w:hAnsiTheme="majorHAnsi" w:cstheme="majorBidi"/>
      <w:i/>
      <w:iCs/>
      <w:color w:val="004E6C" w:themeColor="accent2" w:themeShade="80"/>
      <w:sz w:val="24"/>
      <w:szCs w:val="24"/>
    </w:rPr>
  </w:style>
  <w:style w:type="character" w:customStyle="1" w:styleId="CheckboxChar">
    <w:name w:val="Checkbox Char"/>
    <w:basedOn w:val="DefaultParagraphFont"/>
    <w:link w:val="Checkbox"/>
    <w:uiPriority w:val="3"/>
    <w:rPr>
      <w:color w:val="0F6FC6" w:themeColor="accent1"/>
    </w:rPr>
  </w:style>
  <w:style w:type="paragraph" w:styleId="Closing">
    <w:name w:val="Closing"/>
    <w:basedOn w:val="Normal"/>
    <w:link w:val="ClosingChar"/>
    <w:uiPriority w:val="99"/>
    <w:unhideWhenUsed/>
    <w:pPr>
      <w:spacing w:before="960"/>
    </w:pPr>
  </w:style>
  <w:style w:type="character" w:customStyle="1" w:styleId="ClosingChar">
    <w:name w:val="Closing Char"/>
    <w:basedOn w:val="DefaultParagraphFont"/>
    <w:link w:val="Closing"/>
    <w:uiPriority w:val="99"/>
  </w:style>
  <w:style w:type="paragraph" w:styleId="DocumentMap">
    <w:name w:val="Document Map"/>
    <w:basedOn w:val="Normal"/>
    <w:link w:val="DocumentMapChar"/>
    <w:uiPriority w:val="99"/>
    <w:semiHidden/>
    <w:unhideWhenUse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sz w:val="16"/>
      <w:szCs w:val="16"/>
    </w:rPr>
  </w:style>
  <w:style w:type="character" w:customStyle="1" w:styleId="Heading7Char">
    <w:name w:val="Heading 7 Char"/>
    <w:basedOn w:val="DefaultParagraphFont"/>
    <w:link w:val="Heading7"/>
    <w:uiPriority w:val="9"/>
    <w:semiHidden/>
    <w:rsid w:val="00C9234F"/>
    <w:rPr>
      <w:rFonts w:asciiTheme="majorHAnsi" w:eastAsiaTheme="majorEastAsia" w:hAnsiTheme="majorHAnsi" w:cstheme="majorBidi"/>
      <w:b/>
      <w:bCs/>
      <w:color w:val="004E6C" w:themeColor="accent2" w:themeShade="80"/>
      <w:sz w:val="22"/>
      <w:szCs w:val="22"/>
    </w:rPr>
  </w:style>
  <w:style w:type="character" w:customStyle="1" w:styleId="Heading8Char">
    <w:name w:val="Heading 8 Char"/>
    <w:basedOn w:val="DefaultParagraphFont"/>
    <w:link w:val="Heading8"/>
    <w:uiPriority w:val="9"/>
    <w:semiHidden/>
    <w:rsid w:val="00C9234F"/>
    <w:rPr>
      <w:rFonts w:asciiTheme="majorHAnsi" w:eastAsiaTheme="majorEastAsia" w:hAnsiTheme="majorHAnsi" w:cstheme="majorBidi"/>
      <w:color w:val="004E6C" w:themeColor="accent2" w:themeShade="80"/>
      <w:sz w:val="22"/>
      <w:szCs w:val="22"/>
    </w:rPr>
  </w:style>
  <w:style w:type="character" w:customStyle="1" w:styleId="Heading9Char">
    <w:name w:val="Heading 9 Char"/>
    <w:basedOn w:val="DefaultParagraphFont"/>
    <w:link w:val="Heading9"/>
    <w:uiPriority w:val="9"/>
    <w:semiHidden/>
    <w:rsid w:val="00C9234F"/>
    <w:rPr>
      <w:rFonts w:asciiTheme="majorHAnsi" w:eastAsiaTheme="majorEastAsia" w:hAnsiTheme="majorHAnsi" w:cstheme="majorBidi"/>
      <w:i/>
      <w:iCs/>
      <w:color w:val="004E6C" w:themeColor="accent2" w:themeShade="80"/>
      <w:sz w:val="22"/>
      <w:szCs w:val="22"/>
    </w:rPr>
  </w:style>
  <w:style w:type="paragraph" w:styleId="Caption">
    <w:name w:val="caption"/>
    <w:basedOn w:val="Normal"/>
    <w:next w:val="Normal"/>
    <w:uiPriority w:val="35"/>
    <w:unhideWhenUsed/>
    <w:qFormat/>
    <w:rsid w:val="00C9234F"/>
    <w:pPr>
      <w:spacing w:line="240" w:lineRule="auto"/>
    </w:pPr>
    <w:rPr>
      <w:b/>
      <w:bCs/>
      <w:color w:val="404040" w:themeColor="text1" w:themeTint="BF"/>
      <w:sz w:val="16"/>
      <w:szCs w:val="16"/>
    </w:rPr>
  </w:style>
  <w:style w:type="character" w:styleId="Emphasis">
    <w:name w:val="Emphasis"/>
    <w:basedOn w:val="DefaultParagraphFont"/>
    <w:uiPriority w:val="20"/>
    <w:qFormat/>
    <w:rsid w:val="00C9234F"/>
    <w:rPr>
      <w:i/>
      <w:iCs/>
      <w:color w:val="000000" w:themeColor="text1"/>
    </w:rPr>
  </w:style>
  <w:style w:type="paragraph" w:styleId="Quote">
    <w:name w:val="Quote"/>
    <w:basedOn w:val="Normal"/>
    <w:next w:val="Normal"/>
    <w:link w:val="QuoteChar"/>
    <w:uiPriority w:val="29"/>
    <w:qFormat/>
    <w:rsid w:val="00C9234F"/>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C9234F"/>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C9234F"/>
    <w:pPr>
      <w:pBdr>
        <w:top w:val="single" w:sz="24" w:space="4" w:color="009DD9"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C9234F"/>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C9234F"/>
    <w:rPr>
      <w:i/>
      <w:iCs/>
      <w:color w:val="595959" w:themeColor="text1" w:themeTint="A6"/>
    </w:rPr>
  </w:style>
  <w:style w:type="character" w:styleId="IntenseEmphasis">
    <w:name w:val="Intense Emphasis"/>
    <w:basedOn w:val="DefaultParagraphFont"/>
    <w:uiPriority w:val="21"/>
    <w:qFormat/>
    <w:rsid w:val="00C9234F"/>
    <w:rPr>
      <w:b/>
      <w:bCs/>
      <w:i/>
      <w:iCs/>
      <w:caps w:val="0"/>
      <w:smallCaps w:val="0"/>
      <w:strike w:val="0"/>
      <w:dstrike w:val="0"/>
      <w:color w:val="009DD9" w:themeColor="accent2"/>
    </w:rPr>
  </w:style>
  <w:style w:type="character" w:styleId="SubtleReference">
    <w:name w:val="Subtle Reference"/>
    <w:basedOn w:val="DefaultParagraphFont"/>
    <w:uiPriority w:val="31"/>
    <w:qFormat/>
    <w:rsid w:val="00C9234F"/>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C9234F"/>
    <w:rPr>
      <w:b/>
      <w:bCs/>
      <w:caps w:val="0"/>
      <w:smallCaps/>
      <w:color w:val="auto"/>
      <w:spacing w:val="0"/>
      <w:u w:val="single"/>
    </w:rPr>
  </w:style>
  <w:style w:type="character" w:styleId="BookTitle">
    <w:name w:val="Book Title"/>
    <w:basedOn w:val="DefaultParagraphFont"/>
    <w:uiPriority w:val="33"/>
    <w:qFormat/>
    <w:rsid w:val="00C9234F"/>
    <w:rPr>
      <w:b/>
      <w:bCs/>
      <w:caps w:val="0"/>
      <w:smallCaps/>
      <w:spacing w:val="0"/>
    </w:rPr>
  </w:style>
  <w:style w:type="paragraph" w:styleId="TOC2">
    <w:name w:val="toc 2"/>
    <w:basedOn w:val="Normal"/>
    <w:next w:val="Normal"/>
    <w:autoRedefine/>
    <w:uiPriority w:val="39"/>
    <w:unhideWhenUsed/>
    <w:rsid w:val="00F01EE0"/>
    <w:pPr>
      <w:spacing w:before="240" w:after="0"/>
    </w:pPr>
    <w:rPr>
      <w:b/>
      <w:bCs/>
      <w:sz w:val="20"/>
      <w:szCs w:val="20"/>
    </w:rPr>
  </w:style>
  <w:style w:type="table" w:styleId="GridTable1Light-Accent3">
    <w:name w:val="Grid Table 1 Light Accent 3"/>
    <w:basedOn w:val="TableNormal"/>
    <w:uiPriority w:val="46"/>
    <w:rsid w:val="00E71720"/>
    <w:pPr>
      <w:spacing w:after="0" w:line="240" w:lineRule="auto"/>
    </w:pPr>
    <w:tblPr>
      <w:tblStyleRowBandSize w:val="1"/>
      <w:tblStyleColBandSize w:val="1"/>
      <w:tblInd w:w="0" w:type="dxa"/>
      <w:tblBorders>
        <w:top w:val="single" w:sz="4" w:space="0" w:color="93F4F9" w:themeColor="accent3" w:themeTint="66"/>
        <w:left w:val="single" w:sz="4" w:space="0" w:color="93F4F9" w:themeColor="accent3" w:themeTint="66"/>
        <w:bottom w:val="single" w:sz="4" w:space="0" w:color="93F4F9" w:themeColor="accent3" w:themeTint="66"/>
        <w:right w:val="single" w:sz="4" w:space="0" w:color="93F4F9" w:themeColor="accent3" w:themeTint="66"/>
        <w:insideH w:val="single" w:sz="4" w:space="0" w:color="93F4F9" w:themeColor="accent3" w:themeTint="66"/>
        <w:insideV w:val="single" w:sz="4" w:space="0" w:color="93F4F9" w:themeColor="accent3" w:themeTint="66"/>
      </w:tblBorders>
      <w:tblCellMar>
        <w:top w:w="0" w:type="dxa"/>
        <w:left w:w="108" w:type="dxa"/>
        <w:bottom w:w="0" w:type="dxa"/>
        <w:right w:w="108" w:type="dxa"/>
      </w:tblCellMar>
    </w:tblPr>
    <w:tblStylePr w:type="firstRow">
      <w:rPr>
        <w:b/>
        <w:bCs/>
      </w:rPr>
      <w:tblPr/>
      <w:tcPr>
        <w:tcBorders>
          <w:bottom w:val="single" w:sz="12" w:space="0" w:color="5DEFF6" w:themeColor="accent3" w:themeTint="99"/>
        </w:tcBorders>
      </w:tcPr>
    </w:tblStylePr>
    <w:tblStylePr w:type="lastRow">
      <w:rPr>
        <w:b/>
        <w:bCs/>
      </w:rPr>
      <w:tblPr/>
      <w:tcPr>
        <w:tcBorders>
          <w:top w:val="double" w:sz="2" w:space="0" w:color="5DEFF6" w:themeColor="accent3"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DB6F79"/>
    <w:pPr>
      <w:ind w:left="720"/>
      <w:contextualSpacing/>
    </w:pPr>
  </w:style>
  <w:style w:type="paragraph" w:styleId="FootnoteText">
    <w:name w:val="footnote text"/>
    <w:basedOn w:val="Normal"/>
    <w:link w:val="FootnoteTextChar"/>
    <w:uiPriority w:val="99"/>
    <w:semiHidden/>
    <w:unhideWhenUsed/>
    <w:rsid w:val="00276B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6BDF"/>
    <w:rPr>
      <w:sz w:val="20"/>
      <w:szCs w:val="20"/>
      <w:lang w:val="en-NZ"/>
    </w:rPr>
  </w:style>
  <w:style w:type="character" w:styleId="FootnoteReference">
    <w:name w:val="footnote reference"/>
    <w:basedOn w:val="DefaultParagraphFont"/>
    <w:uiPriority w:val="99"/>
    <w:semiHidden/>
    <w:unhideWhenUsed/>
    <w:rsid w:val="00276BDF"/>
    <w:rPr>
      <w:vertAlign w:val="superscript"/>
    </w:rPr>
  </w:style>
  <w:style w:type="character" w:styleId="CommentReference">
    <w:name w:val="annotation reference"/>
    <w:basedOn w:val="DefaultParagraphFont"/>
    <w:uiPriority w:val="99"/>
    <w:semiHidden/>
    <w:unhideWhenUsed/>
    <w:rsid w:val="00381238"/>
    <w:rPr>
      <w:sz w:val="16"/>
      <w:szCs w:val="16"/>
    </w:rPr>
  </w:style>
  <w:style w:type="paragraph" w:styleId="CommentText">
    <w:name w:val="annotation text"/>
    <w:basedOn w:val="Normal"/>
    <w:link w:val="CommentTextChar"/>
    <w:uiPriority w:val="99"/>
    <w:semiHidden/>
    <w:unhideWhenUsed/>
    <w:rsid w:val="00381238"/>
    <w:pPr>
      <w:spacing w:line="240" w:lineRule="auto"/>
    </w:pPr>
    <w:rPr>
      <w:sz w:val="20"/>
      <w:szCs w:val="20"/>
    </w:rPr>
  </w:style>
  <w:style w:type="character" w:customStyle="1" w:styleId="CommentTextChar">
    <w:name w:val="Comment Text Char"/>
    <w:basedOn w:val="DefaultParagraphFont"/>
    <w:link w:val="CommentText"/>
    <w:uiPriority w:val="99"/>
    <w:semiHidden/>
    <w:rsid w:val="00381238"/>
    <w:rPr>
      <w:sz w:val="20"/>
      <w:szCs w:val="20"/>
      <w:lang w:val="en-NZ"/>
    </w:rPr>
  </w:style>
  <w:style w:type="paragraph" w:styleId="BalloonText">
    <w:name w:val="Balloon Text"/>
    <w:basedOn w:val="Normal"/>
    <w:link w:val="BalloonTextChar"/>
    <w:uiPriority w:val="99"/>
    <w:semiHidden/>
    <w:unhideWhenUsed/>
    <w:rsid w:val="003812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238"/>
    <w:rPr>
      <w:rFonts w:ascii="Segoe UI" w:hAnsi="Segoe UI" w:cs="Segoe UI"/>
      <w:sz w:val="18"/>
      <w:szCs w:val="18"/>
      <w:lang w:val="en-NZ"/>
    </w:rPr>
  </w:style>
  <w:style w:type="paragraph" w:styleId="CommentSubject">
    <w:name w:val="annotation subject"/>
    <w:basedOn w:val="CommentText"/>
    <w:next w:val="CommentText"/>
    <w:link w:val="CommentSubjectChar"/>
    <w:uiPriority w:val="99"/>
    <w:semiHidden/>
    <w:unhideWhenUsed/>
    <w:rsid w:val="005F2FA6"/>
    <w:rPr>
      <w:b/>
      <w:bCs/>
    </w:rPr>
  </w:style>
  <w:style w:type="character" w:customStyle="1" w:styleId="CommentSubjectChar">
    <w:name w:val="Comment Subject Char"/>
    <w:basedOn w:val="CommentTextChar"/>
    <w:link w:val="CommentSubject"/>
    <w:uiPriority w:val="99"/>
    <w:semiHidden/>
    <w:rsid w:val="005F2FA6"/>
    <w:rPr>
      <w:b/>
      <w:bCs/>
      <w:sz w:val="20"/>
      <w:szCs w:val="20"/>
      <w:lang w:val="en-NZ"/>
    </w:rPr>
  </w:style>
  <w:style w:type="paragraph" w:styleId="Revision">
    <w:name w:val="Revision"/>
    <w:hidden/>
    <w:uiPriority w:val="99"/>
    <w:semiHidden/>
    <w:rsid w:val="005F2FA6"/>
    <w:pPr>
      <w:spacing w:after="0" w:line="240" w:lineRule="auto"/>
    </w:pPr>
    <w:rPr>
      <w:lang w:val="en-NZ"/>
    </w:rPr>
  </w:style>
  <w:style w:type="table" w:customStyle="1" w:styleId="cog-table">
    <w:name w:val="cog-table"/>
    <w:basedOn w:val="TableNormal"/>
    <w:uiPriority w:val="99"/>
    <w:rsid w:val="00685E61"/>
    <w:pPr>
      <w:spacing w:after="0" w:line="240" w:lineRule="auto"/>
    </w:pPr>
    <w:rPr>
      <w:rFonts w:ascii="Calibri" w:eastAsiaTheme="minorHAnsi" w:hAnsi="Calibri"/>
      <w:sz w:val="20"/>
      <w:szCs w:val="22"/>
      <w:lang w:val="en-NZ" w:eastAsia="en-US"/>
    </w:rPr>
    <w:tblPr>
      <w:tblInd w:w="0" w:type="dxa"/>
      <w:tblBorders>
        <w:insideH w:val="single" w:sz="4" w:space="0" w:color="17406D" w:themeColor="text2"/>
        <w:insideV w:val="single" w:sz="4" w:space="0" w:color="17406D" w:themeColor="text2"/>
      </w:tblBorders>
      <w:tblCellMar>
        <w:top w:w="113" w:type="dxa"/>
        <w:left w:w="108" w:type="dxa"/>
        <w:bottom w:w="113" w:type="dxa"/>
        <w:right w:w="108" w:type="dxa"/>
      </w:tblCellMar>
    </w:tblPr>
    <w:tcPr>
      <w:shd w:val="clear" w:color="auto" w:fill="FFFFFF" w:themeFill="background1"/>
    </w:tcPr>
    <w:tblStylePr w:type="firstRow">
      <w:pPr>
        <w:wordWrap/>
        <w:spacing w:beforeLines="0" w:beforeAutospacing="0" w:afterLines="0" w:afterAutospacing="0" w:line="240" w:lineRule="auto"/>
        <w:jc w:val="left"/>
      </w:pPr>
      <w:rPr>
        <w:rFonts w:ascii="Calibri Light" w:hAnsi="Calibri Light"/>
        <w:b/>
        <w:color w:val="0F6FC6" w:themeColor="accent1"/>
        <w:sz w:val="22"/>
      </w:rPr>
      <w:tblPr/>
      <w:tcPr>
        <w:tcBorders>
          <w:top w:val="nil"/>
          <w:left w:val="nil"/>
          <w:bottom w:val="single" w:sz="12" w:space="0" w:color="0F6FC6" w:themeColor="accent1"/>
          <w:right w:val="nil"/>
          <w:insideH w:val="nil"/>
          <w:insideV w:val="nil"/>
          <w:tl2br w:val="nil"/>
          <w:tr2bl w:val="nil"/>
        </w:tcBorders>
        <w:shd w:val="clear" w:color="auto" w:fill="DBEFF9" w:themeFill="background2"/>
      </w:tcPr>
    </w:tblStylePr>
    <w:tblStylePr w:type="lastRow">
      <w:tblPr/>
      <w:tcPr>
        <w:tcBorders>
          <w:bottom w:val="nil"/>
          <w:insideH w:val="single" w:sz="4" w:space="0" w:color="17406D" w:themeColor="text2"/>
          <w:insideV w:val="single" w:sz="4" w:space="0" w:color="17406D" w:themeColor="text2"/>
        </w:tcBorders>
        <w:shd w:val="clear" w:color="auto" w:fill="FFFFFF" w:themeFill="background1"/>
      </w:tcPr>
    </w:tblStylePr>
  </w:style>
  <w:style w:type="paragraph" w:customStyle="1" w:styleId="Tableheader">
    <w:name w:val="Table header"/>
    <w:basedOn w:val="Normal"/>
    <w:link w:val="TableheaderChar"/>
    <w:autoRedefine/>
    <w:qFormat/>
    <w:rsid w:val="00685E61"/>
    <w:pPr>
      <w:spacing w:after="0" w:line="240" w:lineRule="auto"/>
    </w:pPr>
    <w:rPr>
      <w:rFonts w:ascii="Calibri" w:eastAsiaTheme="minorHAnsi" w:hAnsi="Calibri" w:cs="Times New Roman"/>
      <w:color w:val="0F6FC6" w:themeColor="accent1"/>
      <w:sz w:val="22"/>
      <w:szCs w:val="22"/>
      <w:lang w:eastAsia="en-US"/>
    </w:rPr>
  </w:style>
  <w:style w:type="character" w:customStyle="1" w:styleId="TableheaderChar">
    <w:name w:val="Table header Char"/>
    <w:basedOn w:val="DefaultParagraphFont"/>
    <w:link w:val="Tableheader"/>
    <w:rsid w:val="00685E61"/>
    <w:rPr>
      <w:rFonts w:ascii="Calibri" w:eastAsiaTheme="minorHAnsi" w:hAnsi="Calibri" w:cs="Times New Roman"/>
      <w:color w:val="0F6FC6" w:themeColor="accent1"/>
      <w:sz w:val="22"/>
      <w:szCs w:val="22"/>
      <w:lang w:val="en-NZ" w:eastAsia="en-US"/>
    </w:rPr>
  </w:style>
  <w:style w:type="paragraph" w:customStyle="1" w:styleId="Tablesubheading">
    <w:name w:val="Table sub heading"/>
    <w:basedOn w:val="Normal"/>
    <w:link w:val="TablesubheadingChar"/>
    <w:qFormat/>
    <w:rsid w:val="00685E61"/>
    <w:pPr>
      <w:spacing w:after="0" w:line="240" w:lineRule="auto"/>
    </w:pPr>
    <w:rPr>
      <w:rFonts w:ascii="Calibri" w:eastAsiaTheme="minorHAnsi" w:hAnsi="Calibri" w:cs="Times New Roman"/>
      <w:color w:val="F07820"/>
      <w:sz w:val="22"/>
      <w:szCs w:val="22"/>
      <w:lang w:eastAsia="en-US"/>
    </w:rPr>
  </w:style>
  <w:style w:type="character" w:customStyle="1" w:styleId="TablesubheadingChar">
    <w:name w:val="Table sub heading Char"/>
    <w:basedOn w:val="DefaultParagraphFont"/>
    <w:link w:val="Tablesubheading"/>
    <w:rsid w:val="00685E61"/>
    <w:rPr>
      <w:rFonts w:ascii="Calibri" w:eastAsiaTheme="minorHAnsi" w:hAnsi="Calibri" w:cs="Times New Roman"/>
      <w:color w:val="F07820"/>
      <w:sz w:val="22"/>
      <w:szCs w:val="22"/>
      <w:lang w:val="en-NZ" w:eastAsia="en-US"/>
    </w:rPr>
  </w:style>
  <w:style w:type="paragraph" w:styleId="TOC5">
    <w:name w:val="toc 5"/>
    <w:basedOn w:val="Normal"/>
    <w:next w:val="Normal"/>
    <w:autoRedefine/>
    <w:uiPriority w:val="99"/>
    <w:unhideWhenUsed/>
    <w:rsid w:val="00B24635"/>
    <w:pPr>
      <w:spacing w:after="0"/>
      <w:ind w:left="630"/>
    </w:pPr>
    <w:rPr>
      <w:sz w:val="20"/>
      <w:szCs w:val="20"/>
    </w:rPr>
  </w:style>
  <w:style w:type="paragraph" w:styleId="TOC6">
    <w:name w:val="toc 6"/>
    <w:basedOn w:val="Normal"/>
    <w:next w:val="Normal"/>
    <w:autoRedefine/>
    <w:uiPriority w:val="99"/>
    <w:unhideWhenUsed/>
    <w:rsid w:val="00B24635"/>
    <w:pPr>
      <w:spacing w:after="0"/>
      <w:ind w:left="840"/>
    </w:pPr>
    <w:rPr>
      <w:sz w:val="20"/>
      <w:szCs w:val="20"/>
    </w:rPr>
  </w:style>
  <w:style w:type="paragraph" w:styleId="TOC7">
    <w:name w:val="toc 7"/>
    <w:basedOn w:val="Normal"/>
    <w:next w:val="Normal"/>
    <w:autoRedefine/>
    <w:uiPriority w:val="99"/>
    <w:unhideWhenUsed/>
    <w:rsid w:val="00B24635"/>
    <w:pPr>
      <w:spacing w:after="0"/>
      <w:ind w:left="1050"/>
    </w:pPr>
    <w:rPr>
      <w:sz w:val="20"/>
      <w:szCs w:val="20"/>
    </w:rPr>
  </w:style>
  <w:style w:type="paragraph" w:styleId="TOC8">
    <w:name w:val="toc 8"/>
    <w:basedOn w:val="Normal"/>
    <w:next w:val="Normal"/>
    <w:autoRedefine/>
    <w:uiPriority w:val="99"/>
    <w:unhideWhenUsed/>
    <w:rsid w:val="00B24635"/>
    <w:pPr>
      <w:spacing w:after="0"/>
      <w:ind w:left="1260"/>
    </w:pPr>
    <w:rPr>
      <w:sz w:val="20"/>
      <w:szCs w:val="20"/>
    </w:rPr>
  </w:style>
  <w:style w:type="paragraph" w:styleId="TOC9">
    <w:name w:val="toc 9"/>
    <w:basedOn w:val="Normal"/>
    <w:next w:val="Normal"/>
    <w:autoRedefine/>
    <w:uiPriority w:val="99"/>
    <w:unhideWhenUsed/>
    <w:rsid w:val="00B24635"/>
    <w:pPr>
      <w:spacing w:after="0"/>
      <w:ind w:left="1470"/>
    </w:pPr>
    <w:rPr>
      <w:sz w:val="20"/>
      <w:szCs w:val="20"/>
    </w:rPr>
  </w:style>
  <w:style w:type="character" w:customStyle="1" w:styleId="nlmstring-name">
    <w:name w:val="nlm_string-name"/>
    <w:basedOn w:val="DefaultParagraphFont"/>
    <w:rsid w:val="00527F45"/>
  </w:style>
  <w:style w:type="character" w:customStyle="1" w:styleId="nlmyear">
    <w:name w:val="nlm_year"/>
    <w:basedOn w:val="DefaultParagraphFont"/>
    <w:rsid w:val="00527F45"/>
  </w:style>
  <w:style w:type="character" w:customStyle="1" w:styleId="nlmarticle-title">
    <w:name w:val="nlm_article-title"/>
    <w:basedOn w:val="DefaultParagraphFont"/>
    <w:rsid w:val="00527F45"/>
  </w:style>
  <w:style w:type="character" w:customStyle="1" w:styleId="nlmfpage">
    <w:name w:val="nlm_fpage"/>
    <w:basedOn w:val="DefaultParagraphFont"/>
    <w:rsid w:val="00527F45"/>
  </w:style>
  <w:style w:type="character" w:customStyle="1" w:styleId="nlmlpage">
    <w:name w:val="nlm_lpage"/>
    <w:basedOn w:val="DefaultParagraphFont"/>
    <w:rsid w:val="00527F45"/>
  </w:style>
  <w:style w:type="character" w:customStyle="1" w:styleId="nlmpublisher-name">
    <w:name w:val="nlm_publisher-name"/>
    <w:basedOn w:val="DefaultParagraphFont"/>
    <w:rsid w:val="00527F45"/>
  </w:style>
  <w:style w:type="character" w:customStyle="1" w:styleId="nlmpublisher-loc">
    <w:name w:val="nlm_publisher-loc"/>
    <w:basedOn w:val="DefaultParagraphFont"/>
    <w:rsid w:val="00527F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89989">
      <w:bodyDiv w:val="1"/>
      <w:marLeft w:val="0"/>
      <w:marRight w:val="0"/>
      <w:marTop w:val="0"/>
      <w:marBottom w:val="0"/>
      <w:divBdr>
        <w:top w:val="none" w:sz="0" w:space="0" w:color="auto"/>
        <w:left w:val="none" w:sz="0" w:space="0" w:color="auto"/>
        <w:bottom w:val="none" w:sz="0" w:space="0" w:color="auto"/>
        <w:right w:val="none" w:sz="0" w:space="0" w:color="auto"/>
      </w:divBdr>
    </w:div>
    <w:div w:id="415245397">
      <w:bodyDiv w:val="1"/>
      <w:marLeft w:val="0"/>
      <w:marRight w:val="0"/>
      <w:marTop w:val="0"/>
      <w:marBottom w:val="0"/>
      <w:divBdr>
        <w:top w:val="none" w:sz="0" w:space="0" w:color="auto"/>
        <w:left w:val="none" w:sz="0" w:space="0" w:color="auto"/>
        <w:bottom w:val="none" w:sz="0" w:space="0" w:color="auto"/>
        <w:right w:val="none" w:sz="0" w:space="0" w:color="auto"/>
      </w:divBdr>
    </w:div>
    <w:div w:id="751125125">
      <w:bodyDiv w:val="1"/>
      <w:marLeft w:val="0"/>
      <w:marRight w:val="0"/>
      <w:marTop w:val="0"/>
      <w:marBottom w:val="0"/>
      <w:divBdr>
        <w:top w:val="none" w:sz="0" w:space="0" w:color="auto"/>
        <w:left w:val="none" w:sz="0" w:space="0" w:color="auto"/>
        <w:bottom w:val="none" w:sz="0" w:space="0" w:color="auto"/>
        <w:right w:val="none" w:sz="0" w:space="0" w:color="auto"/>
      </w:divBdr>
    </w:div>
    <w:div w:id="795371847">
      <w:bodyDiv w:val="1"/>
      <w:marLeft w:val="0"/>
      <w:marRight w:val="0"/>
      <w:marTop w:val="0"/>
      <w:marBottom w:val="0"/>
      <w:divBdr>
        <w:top w:val="none" w:sz="0" w:space="0" w:color="auto"/>
        <w:left w:val="none" w:sz="0" w:space="0" w:color="auto"/>
        <w:bottom w:val="none" w:sz="0" w:space="0" w:color="auto"/>
        <w:right w:val="none" w:sz="0" w:space="0" w:color="auto"/>
      </w:divBdr>
    </w:div>
    <w:div w:id="1065373410">
      <w:bodyDiv w:val="1"/>
      <w:marLeft w:val="0"/>
      <w:marRight w:val="0"/>
      <w:marTop w:val="0"/>
      <w:marBottom w:val="0"/>
      <w:divBdr>
        <w:top w:val="none" w:sz="0" w:space="0" w:color="auto"/>
        <w:left w:val="none" w:sz="0" w:space="0" w:color="auto"/>
        <w:bottom w:val="none" w:sz="0" w:space="0" w:color="auto"/>
        <w:right w:val="none" w:sz="0" w:space="0" w:color="auto"/>
      </w:divBdr>
    </w:div>
    <w:div w:id="1376734743">
      <w:bodyDiv w:val="1"/>
      <w:marLeft w:val="0"/>
      <w:marRight w:val="0"/>
      <w:marTop w:val="0"/>
      <w:marBottom w:val="0"/>
      <w:divBdr>
        <w:top w:val="none" w:sz="0" w:space="0" w:color="auto"/>
        <w:left w:val="none" w:sz="0" w:space="0" w:color="auto"/>
        <w:bottom w:val="none" w:sz="0" w:space="0" w:color="auto"/>
        <w:right w:val="none" w:sz="0" w:space="0" w:color="auto"/>
      </w:divBdr>
    </w:div>
    <w:div w:id="1395160651">
      <w:bodyDiv w:val="1"/>
      <w:marLeft w:val="0"/>
      <w:marRight w:val="0"/>
      <w:marTop w:val="0"/>
      <w:marBottom w:val="0"/>
      <w:divBdr>
        <w:top w:val="none" w:sz="0" w:space="0" w:color="auto"/>
        <w:left w:val="none" w:sz="0" w:space="0" w:color="auto"/>
        <w:bottom w:val="none" w:sz="0" w:space="0" w:color="auto"/>
        <w:right w:val="none" w:sz="0" w:space="0" w:color="auto"/>
      </w:divBdr>
    </w:div>
    <w:div w:id="1431774094">
      <w:bodyDiv w:val="1"/>
      <w:marLeft w:val="0"/>
      <w:marRight w:val="0"/>
      <w:marTop w:val="0"/>
      <w:marBottom w:val="0"/>
      <w:divBdr>
        <w:top w:val="none" w:sz="0" w:space="0" w:color="auto"/>
        <w:left w:val="none" w:sz="0" w:space="0" w:color="auto"/>
        <w:bottom w:val="none" w:sz="0" w:space="0" w:color="auto"/>
        <w:right w:val="none" w:sz="0" w:space="0" w:color="auto"/>
      </w:divBdr>
    </w:div>
    <w:div w:id="1484002801">
      <w:bodyDiv w:val="1"/>
      <w:marLeft w:val="0"/>
      <w:marRight w:val="0"/>
      <w:marTop w:val="0"/>
      <w:marBottom w:val="0"/>
      <w:divBdr>
        <w:top w:val="none" w:sz="0" w:space="0" w:color="auto"/>
        <w:left w:val="none" w:sz="0" w:space="0" w:color="auto"/>
        <w:bottom w:val="none" w:sz="0" w:space="0" w:color="auto"/>
        <w:right w:val="none" w:sz="0" w:space="0" w:color="auto"/>
      </w:divBdr>
    </w:div>
    <w:div w:id="1516114522">
      <w:bodyDiv w:val="1"/>
      <w:marLeft w:val="0"/>
      <w:marRight w:val="0"/>
      <w:marTop w:val="0"/>
      <w:marBottom w:val="0"/>
      <w:divBdr>
        <w:top w:val="none" w:sz="0" w:space="0" w:color="auto"/>
        <w:left w:val="none" w:sz="0" w:space="0" w:color="auto"/>
        <w:bottom w:val="none" w:sz="0" w:space="0" w:color="auto"/>
        <w:right w:val="none" w:sz="0" w:space="0" w:color="auto"/>
      </w:divBdr>
    </w:div>
    <w:div w:id="1635673001">
      <w:bodyDiv w:val="1"/>
      <w:marLeft w:val="0"/>
      <w:marRight w:val="0"/>
      <w:marTop w:val="0"/>
      <w:marBottom w:val="0"/>
      <w:divBdr>
        <w:top w:val="none" w:sz="0" w:space="0" w:color="auto"/>
        <w:left w:val="none" w:sz="0" w:space="0" w:color="auto"/>
        <w:bottom w:val="none" w:sz="0" w:space="0" w:color="auto"/>
        <w:right w:val="none" w:sz="0" w:space="0" w:color="auto"/>
      </w:divBdr>
    </w:div>
    <w:div w:id="1891840946">
      <w:bodyDiv w:val="1"/>
      <w:marLeft w:val="0"/>
      <w:marRight w:val="0"/>
      <w:marTop w:val="0"/>
      <w:marBottom w:val="0"/>
      <w:divBdr>
        <w:top w:val="none" w:sz="0" w:space="0" w:color="auto"/>
        <w:left w:val="none" w:sz="0" w:space="0" w:color="auto"/>
        <w:bottom w:val="none" w:sz="0" w:space="0" w:color="auto"/>
        <w:right w:val="none" w:sz="0" w:space="0" w:color="auto"/>
      </w:divBdr>
    </w:div>
    <w:div w:id="212935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http://journals.sfu.ca/ijepl/index.php/ijepl/article/view/400/125" TargetMode="External"/><Relationship Id="rId26" Type="http://schemas.openxmlformats.org/officeDocument/2006/relationships/hyperlink" Target="http://apps.who.int/iris/bitstream/10665/255625/1/WHO-NMH-PND-17.3-eng.pdf?ua=1" TargetMode="External"/><Relationship Id="rId3" Type="http://schemas.openxmlformats.org/officeDocument/2006/relationships/numbering" Target="numbering.xml"/><Relationship Id="rId21" Type="http://schemas.openxmlformats.org/officeDocument/2006/relationships/hyperlink" Target="http://cep.lse.ac.uk/pubs/download/dp1302.pdf"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educationalleaders.govt.nz/Leadership-development/Principals-sabbatical-reports/Report-archives-for-2007-2015/Primary-award-recipients-2013/Laws-Bruce" TargetMode="External"/><Relationship Id="rId25" Type="http://schemas.openxmlformats.org/officeDocument/2006/relationships/hyperlink" Target="http://onlinelibrary.wiley.com/doi/10.1002/14651858.CD008958.pub2/pdf" TargetMode="External"/><Relationship Id="rId2" Type="http://schemas.openxmlformats.org/officeDocument/2006/relationships/customXml" Target="../customXml/item2.xml"/><Relationship Id="rId16" Type="http://schemas.openxmlformats.org/officeDocument/2006/relationships/hyperlink" Target="https://www.researchgate.net/publication/254863068_Student_Attendance_and_Educational_Outcomes_Every_Day_Counts" TargetMode="External"/><Relationship Id="rId20" Type="http://schemas.openxmlformats.org/officeDocument/2006/relationships/hyperlink" Target="https://www.dss.gov.au/sites/default/files/documents/10_2014/attendance_in_primary_school_accessibleword_doc_revised.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hyperlink" Target="http://www.educationcounts.govt.nz/__data/assets/pdf_file/0020/147503/Transient-Students-Indicator-2015.pdf" TargetMode="External"/><Relationship Id="rId5" Type="http://schemas.openxmlformats.org/officeDocument/2006/relationships/settings" Target="settings.xml"/><Relationship Id="rId15" Type="http://schemas.openxmlformats.org/officeDocument/2006/relationships/hyperlink" Target="http://www.aihw.gov.au/uploadedFiles/ClosingTheGap/Content/Publications/2010/ctg-ip01.pdf" TargetMode="External"/><Relationship Id="rId23" Type="http://schemas.openxmlformats.org/officeDocument/2006/relationships/hyperlink" Target="http://www.educationcounts.govt.nz/__data/assets/pdf_file/0011/147764/SSEE-Indicator-Report-2015-Data.pdf"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journals.plos.org/plosone/article/file?id=10.1371/journal.pone.0070601&amp;type=printabl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files.eric.ed.gov/fulltext/ED525312.pdf" TargetMode="External"/><Relationship Id="rId22" Type="http://schemas.openxmlformats.org/officeDocument/2006/relationships/hyperlink" Target="http://www.attendanceworks.org/wordpress/wp-content/uploads/2016/11/ReadOnAZReport-by-Robert-Vagi-Final-08-15-16.pdf" TargetMode="External"/><Relationship Id="rId27" Type="http://schemas.openxmlformats.org/officeDocument/2006/relationships/hyperlink" Target="http://hps.tki.org.nz/HPS-workforce/HPS-Approach"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mj-lt"/>
                <a:ea typeface="+mn-ea"/>
                <a:cs typeface="+mn-cs"/>
              </a:defRPr>
            </a:pPr>
            <a:r>
              <a:rPr lang="en-US" sz="1200">
                <a:solidFill>
                  <a:sysClr val="windowText" lastClr="000000"/>
                </a:solidFill>
                <a:latin typeface="+mj-lt"/>
              </a:rPr>
              <a:t>HPS Primary &amp; Intermediate Schools</a:t>
            </a:r>
            <a:r>
              <a:rPr lang="en-US" sz="1200" baseline="0">
                <a:solidFill>
                  <a:sysClr val="windowText" lastClr="000000"/>
                </a:solidFill>
                <a:latin typeface="+mj-lt"/>
              </a:rPr>
              <a:t> by Level of Inquiry</a:t>
            </a:r>
            <a:endParaRPr lang="en-US" sz="1200">
              <a:solidFill>
                <a:sysClr val="windowText" lastClr="000000"/>
              </a:solidFill>
              <a:latin typeface="+mj-lt"/>
            </a:endParaRPr>
          </a:p>
        </c:rich>
      </c:tx>
      <c:layout>
        <c:manualLayout>
          <c:xMode val="edge"/>
          <c:yMode val="edge"/>
          <c:x val="0.15645299145299146"/>
          <c:y val="7.7380952380952384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mj-lt"/>
              <a:ea typeface="+mn-ea"/>
              <a:cs typeface="+mn-cs"/>
            </a:defRPr>
          </a:pPr>
          <a:endParaRPr lang="en-US"/>
        </a:p>
      </c:txPr>
    </c:title>
    <c:autoTitleDeleted val="0"/>
    <c:plotArea>
      <c:layout>
        <c:manualLayout>
          <c:layoutTarget val="inner"/>
          <c:xMode val="edge"/>
          <c:yMode val="edge"/>
          <c:x val="0.11905444511743725"/>
          <c:y val="0.26758355205599299"/>
          <c:w val="0.7384825694865067"/>
          <c:h val="0.61133333333333328"/>
        </c:manualLayout>
      </c:layout>
      <c:barChart>
        <c:barDir val="col"/>
        <c:grouping val="clustered"/>
        <c:varyColors val="0"/>
        <c:ser>
          <c:idx val="0"/>
          <c:order val="0"/>
          <c:tx>
            <c:strRef>
              <c:f>Sheet1!$B$1</c:f>
              <c:strCache>
                <c:ptCount val="1"/>
                <c:pt idx="0">
                  <c:v>Level 1</c:v>
                </c:pt>
              </c:strCache>
            </c:strRef>
          </c:tx>
          <c:spPr>
            <a:solidFill>
              <a:schemeClr val="accent1">
                <a:shade val="65000"/>
              </a:schemeClr>
            </a:solidFill>
            <a:ln>
              <a:noFill/>
            </a:ln>
            <a:effectLst/>
          </c:spPr>
          <c:invertIfNegative val="0"/>
          <c:cat>
            <c:strRef>
              <c:f>Sheet1!$A$2:$A$4</c:f>
              <c:strCache>
                <c:ptCount val="3"/>
                <c:pt idx="0">
                  <c:v>Full Primary</c:v>
                </c:pt>
                <c:pt idx="1">
                  <c:v>Contributing Primary</c:v>
                </c:pt>
                <c:pt idx="2">
                  <c:v>Intermediate</c:v>
                </c:pt>
              </c:strCache>
            </c:strRef>
          </c:cat>
          <c:val>
            <c:numRef>
              <c:f>Sheet1!$B$2:$B$4</c:f>
              <c:numCache>
                <c:formatCode>General</c:formatCode>
                <c:ptCount val="3"/>
                <c:pt idx="0">
                  <c:v>67</c:v>
                </c:pt>
                <c:pt idx="1">
                  <c:v>42</c:v>
                </c:pt>
                <c:pt idx="2">
                  <c:v>10</c:v>
                </c:pt>
              </c:numCache>
            </c:numRef>
          </c:val>
          <c:extLst xmlns:c16r2="http://schemas.microsoft.com/office/drawing/2015/06/chart">
            <c:ext xmlns:c16="http://schemas.microsoft.com/office/drawing/2014/chart" uri="{C3380CC4-5D6E-409C-BE32-E72D297353CC}">
              <c16:uniqueId val="{00000000-7CB0-4B1A-8BD8-C1A4C2CF181D}"/>
            </c:ext>
          </c:extLst>
        </c:ser>
        <c:ser>
          <c:idx val="1"/>
          <c:order val="1"/>
          <c:tx>
            <c:strRef>
              <c:f>Sheet1!$C$1</c:f>
              <c:strCache>
                <c:ptCount val="1"/>
                <c:pt idx="0">
                  <c:v>Level 2</c:v>
                </c:pt>
              </c:strCache>
            </c:strRef>
          </c:tx>
          <c:spPr>
            <a:solidFill>
              <a:schemeClr val="accent1"/>
            </a:solidFill>
            <a:ln>
              <a:noFill/>
            </a:ln>
            <a:effectLst/>
          </c:spPr>
          <c:invertIfNegative val="0"/>
          <c:cat>
            <c:strRef>
              <c:f>Sheet1!$A$2:$A$4</c:f>
              <c:strCache>
                <c:ptCount val="3"/>
                <c:pt idx="0">
                  <c:v>Full Primary</c:v>
                </c:pt>
                <c:pt idx="1">
                  <c:v>Contributing Primary</c:v>
                </c:pt>
                <c:pt idx="2">
                  <c:v>Intermediate</c:v>
                </c:pt>
              </c:strCache>
            </c:strRef>
          </c:cat>
          <c:val>
            <c:numRef>
              <c:f>Sheet1!$C$2:$C$4</c:f>
              <c:numCache>
                <c:formatCode>General</c:formatCode>
                <c:ptCount val="3"/>
                <c:pt idx="0">
                  <c:v>242</c:v>
                </c:pt>
                <c:pt idx="1">
                  <c:v>223</c:v>
                </c:pt>
                <c:pt idx="2">
                  <c:v>30</c:v>
                </c:pt>
              </c:numCache>
            </c:numRef>
          </c:val>
          <c:extLst xmlns:c16r2="http://schemas.microsoft.com/office/drawing/2015/06/chart">
            <c:ext xmlns:c16="http://schemas.microsoft.com/office/drawing/2014/chart" uri="{C3380CC4-5D6E-409C-BE32-E72D297353CC}">
              <c16:uniqueId val="{00000001-7CB0-4B1A-8BD8-C1A4C2CF181D}"/>
            </c:ext>
          </c:extLst>
        </c:ser>
        <c:ser>
          <c:idx val="2"/>
          <c:order val="2"/>
          <c:tx>
            <c:strRef>
              <c:f>Sheet1!$D$1</c:f>
              <c:strCache>
                <c:ptCount val="1"/>
                <c:pt idx="0">
                  <c:v>Level 3</c:v>
                </c:pt>
              </c:strCache>
            </c:strRef>
          </c:tx>
          <c:spPr>
            <a:solidFill>
              <a:schemeClr val="accent1">
                <a:tint val="65000"/>
              </a:schemeClr>
            </a:solidFill>
            <a:ln>
              <a:noFill/>
            </a:ln>
            <a:effectLst/>
          </c:spPr>
          <c:invertIfNegative val="0"/>
          <c:cat>
            <c:strRef>
              <c:f>Sheet1!$A$2:$A$4</c:f>
              <c:strCache>
                <c:ptCount val="3"/>
                <c:pt idx="0">
                  <c:v>Full Primary</c:v>
                </c:pt>
                <c:pt idx="1">
                  <c:v>Contributing Primary</c:v>
                </c:pt>
                <c:pt idx="2">
                  <c:v>Intermediate</c:v>
                </c:pt>
              </c:strCache>
            </c:strRef>
          </c:cat>
          <c:val>
            <c:numRef>
              <c:f>Sheet1!$D$2:$D$4</c:f>
              <c:numCache>
                <c:formatCode>General</c:formatCode>
                <c:ptCount val="3"/>
                <c:pt idx="0">
                  <c:v>96</c:v>
                </c:pt>
                <c:pt idx="1">
                  <c:v>88</c:v>
                </c:pt>
                <c:pt idx="2">
                  <c:v>9</c:v>
                </c:pt>
              </c:numCache>
            </c:numRef>
          </c:val>
          <c:extLst xmlns:c16r2="http://schemas.microsoft.com/office/drawing/2015/06/chart">
            <c:ext xmlns:c16="http://schemas.microsoft.com/office/drawing/2014/chart" uri="{C3380CC4-5D6E-409C-BE32-E72D297353CC}">
              <c16:uniqueId val="{00000002-7CB0-4B1A-8BD8-C1A4C2CF181D}"/>
            </c:ext>
          </c:extLst>
        </c:ser>
        <c:dLbls>
          <c:showLegendKey val="0"/>
          <c:showVal val="0"/>
          <c:showCatName val="0"/>
          <c:showSerName val="0"/>
          <c:showPercent val="0"/>
          <c:showBubbleSize val="0"/>
        </c:dLbls>
        <c:gapWidth val="100"/>
        <c:axId val="292579216"/>
        <c:axId val="281257048"/>
      </c:barChart>
      <c:catAx>
        <c:axId val="292579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1257048"/>
        <c:crosses val="autoZero"/>
        <c:auto val="1"/>
        <c:lblAlgn val="ctr"/>
        <c:lblOffset val="100"/>
        <c:noMultiLvlLbl val="0"/>
      </c:catAx>
      <c:valAx>
        <c:axId val="28125704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2579216"/>
        <c:crosses val="autoZero"/>
        <c:crossBetween val="between"/>
      </c:valAx>
      <c:spPr>
        <a:noFill/>
        <a:ln>
          <a:noFill/>
        </a:ln>
        <a:effectLst/>
      </c:spPr>
    </c:plotArea>
    <c:legend>
      <c:legendPos val="r"/>
      <c:layout>
        <c:manualLayout>
          <c:xMode val="edge"/>
          <c:yMode val="edge"/>
          <c:x val="0.87837034793727686"/>
          <c:y val="0.23359405074365705"/>
          <c:w val="9.0270543105188769E-2"/>
          <c:h val="0.3013413948256468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Red Business Set">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1E11DD8-194A-43A9-8C3D-D6515B7BE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3E1C1A11</Template>
  <TotalTime>0</TotalTime>
  <Pages>35</Pages>
  <Words>10703</Words>
  <Characters>61013</Characters>
  <Application>Microsoft Office Word</Application>
  <DocSecurity>8</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Promoting Schools Impact on Targeted Student Outcomes: Analysis Report</dc:title>
  <dc:subject/>
  <dc:creator/>
  <cp:keywords/>
  <dc:description/>
  <cp:lastModifiedBy/>
  <cp:revision>1</cp:revision>
  <dcterms:created xsi:type="dcterms:W3CDTF">2017-09-07T02:08:00Z</dcterms:created>
  <dcterms:modified xsi:type="dcterms:W3CDTF">2017-09-07T02:12:00Z</dcterms:modified>
  <cp:contentStatus/>
  <cp:version/>
</cp:coreProperties>
</file>