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9AA67" w14:textId="77777777" w:rsidR="00B7169D" w:rsidRDefault="00B7169D" w:rsidP="00CC3994">
      <w:pPr>
        <w:pStyle w:val="VRGFBodycontent"/>
      </w:pPr>
      <w:bookmarkStart w:id="0" w:name="_Toc283813343"/>
      <w:bookmarkStart w:id="1" w:name="_Toc283813412"/>
      <w:bookmarkStart w:id="2" w:name="_Toc285109103"/>
      <w:bookmarkStart w:id="3" w:name="_Toc430172931"/>
      <w:bookmarkStart w:id="4" w:name="_GoBack"/>
      <w:bookmarkEnd w:id="4"/>
    </w:p>
    <w:p w14:paraId="685AF7A0" w14:textId="77777777" w:rsidR="00B7169D" w:rsidRDefault="00B7169D" w:rsidP="00CC3994">
      <w:pPr>
        <w:pStyle w:val="VRGFBodycontent"/>
      </w:pPr>
    </w:p>
    <w:p w14:paraId="24A548D7" w14:textId="3EFB96F5" w:rsidR="00CC3994" w:rsidRPr="003F2DAD" w:rsidRDefault="00975655" w:rsidP="00CC3994">
      <w:pPr>
        <w:pStyle w:val="VRGFBodycontent"/>
        <w:rPr>
          <w:b/>
          <w:sz w:val="48"/>
        </w:rPr>
      </w:pPr>
      <w:r>
        <w:rPr>
          <w:b/>
          <w:sz w:val="48"/>
        </w:rPr>
        <w:t>Measuring the Burden of Gambling Harm in New Zealand</w:t>
      </w:r>
    </w:p>
    <w:p w14:paraId="2BE2544C" w14:textId="77777777" w:rsidR="00E47C92" w:rsidRDefault="00E47C92" w:rsidP="00CC3994">
      <w:pPr>
        <w:pStyle w:val="VRGFBodycontent"/>
      </w:pPr>
    </w:p>
    <w:p w14:paraId="3BBB3170" w14:textId="195D0298" w:rsidR="003F2DAD" w:rsidRDefault="00975655" w:rsidP="003F2DAD">
      <w:pPr>
        <w:pStyle w:val="VRGFBodycontent"/>
        <w:spacing w:before="0" w:after="60" w:line="240" w:lineRule="auto"/>
        <w:rPr>
          <w:sz w:val="28"/>
        </w:rPr>
      </w:pPr>
      <w:r>
        <w:rPr>
          <w:sz w:val="28"/>
        </w:rPr>
        <w:t>Matthew Browne</w:t>
      </w:r>
    </w:p>
    <w:p w14:paraId="1AADBB3E" w14:textId="77777777" w:rsidR="00EF36DD" w:rsidRDefault="00EF36DD" w:rsidP="00EF36DD">
      <w:pPr>
        <w:pStyle w:val="VRGFBodycontent"/>
        <w:spacing w:before="0" w:after="60" w:line="240" w:lineRule="auto"/>
        <w:rPr>
          <w:sz w:val="28"/>
        </w:rPr>
      </w:pPr>
      <w:r>
        <w:rPr>
          <w:sz w:val="28"/>
        </w:rPr>
        <w:t>Maria Bellringer</w:t>
      </w:r>
    </w:p>
    <w:p w14:paraId="20392D6E" w14:textId="1C60EB0E" w:rsidR="00975655" w:rsidRDefault="00975655" w:rsidP="003F2DAD">
      <w:pPr>
        <w:pStyle w:val="VRGFBodycontent"/>
        <w:spacing w:before="0" w:after="60" w:line="240" w:lineRule="auto"/>
        <w:rPr>
          <w:sz w:val="28"/>
        </w:rPr>
      </w:pPr>
      <w:r>
        <w:rPr>
          <w:sz w:val="28"/>
        </w:rPr>
        <w:t>Nancy Greer</w:t>
      </w:r>
    </w:p>
    <w:p w14:paraId="5B891B2A" w14:textId="43B13D01" w:rsidR="00975655" w:rsidRDefault="00975655" w:rsidP="003F2DAD">
      <w:pPr>
        <w:pStyle w:val="VRGFBodycontent"/>
        <w:spacing w:before="0" w:after="60" w:line="240" w:lineRule="auto"/>
        <w:rPr>
          <w:sz w:val="28"/>
        </w:rPr>
      </w:pPr>
      <w:r>
        <w:rPr>
          <w:sz w:val="28"/>
        </w:rPr>
        <w:t>Komathi Kolandai-Matchett</w:t>
      </w:r>
    </w:p>
    <w:p w14:paraId="1D10EC68" w14:textId="77777777" w:rsidR="00274C5E" w:rsidRDefault="00274C5E" w:rsidP="00274C5E">
      <w:pPr>
        <w:pStyle w:val="VRGFBodycontent"/>
        <w:spacing w:before="0" w:after="60" w:line="240" w:lineRule="auto"/>
        <w:rPr>
          <w:sz w:val="28"/>
        </w:rPr>
      </w:pPr>
      <w:r>
        <w:rPr>
          <w:sz w:val="28"/>
        </w:rPr>
        <w:t xml:space="preserve">Vijay Rawat </w:t>
      </w:r>
    </w:p>
    <w:p w14:paraId="57E29A1C" w14:textId="77777777" w:rsidR="00EF36DD" w:rsidRDefault="00EF36DD" w:rsidP="00EF36DD">
      <w:pPr>
        <w:pStyle w:val="VRGFBodycontent"/>
        <w:spacing w:before="0" w:after="60" w:line="240" w:lineRule="auto"/>
        <w:rPr>
          <w:sz w:val="28"/>
        </w:rPr>
      </w:pPr>
      <w:r>
        <w:rPr>
          <w:sz w:val="28"/>
        </w:rPr>
        <w:t>Erika Langham</w:t>
      </w:r>
    </w:p>
    <w:p w14:paraId="7C5C9103" w14:textId="77777777" w:rsidR="00EF36DD" w:rsidRDefault="00EF36DD" w:rsidP="00EF36DD">
      <w:pPr>
        <w:pStyle w:val="VRGFBodycontent"/>
        <w:spacing w:before="0" w:after="60" w:line="240" w:lineRule="auto"/>
        <w:rPr>
          <w:sz w:val="28"/>
        </w:rPr>
      </w:pPr>
      <w:r>
        <w:rPr>
          <w:sz w:val="28"/>
        </w:rPr>
        <w:t>Matthew Rockloff</w:t>
      </w:r>
    </w:p>
    <w:p w14:paraId="6C06A658" w14:textId="7B554596" w:rsidR="00975655" w:rsidRDefault="00975655" w:rsidP="003F2DAD">
      <w:pPr>
        <w:pStyle w:val="VRGFBodycontent"/>
        <w:spacing w:before="0" w:after="60" w:line="240" w:lineRule="auto"/>
        <w:rPr>
          <w:sz w:val="28"/>
        </w:rPr>
      </w:pPr>
      <w:r>
        <w:rPr>
          <w:sz w:val="28"/>
        </w:rPr>
        <w:t>Katie Palmer Du Preez</w:t>
      </w:r>
    </w:p>
    <w:p w14:paraId="0B1F22F3" w14:textId="3E018DF1" w:rsidR="003F2DAD" w:rsidRPr="0040769F" w:rsidRDefault="00975655" w:rsidP="003F2DAD">
      <w:pPr>
        <w:pStyle w:val="VRGFBodycontent"/>
        <w:spacing w:before="0" w:after="60" w:line="240" w:lineRule="auto"/>
        <w:rPr>
          <w:sz w:val="28"/>
        </w:rPr>
      </w:pPr>
      <w:r>
        <w:rPr>
          <w:sz w:val="28"/>
        </w:rPr>
        <w:t>Max Abbott</w:t>
      </w:r>
      <w:r w:rsidR="00EF36DD">
        <w:rPr>
          <w:sz w:val="28"/>
        </w:rPr>
        <w:t xml:space="preserve"> </w:t>
      </w:r>
    </w:p>
    <w:p w14:paraId="21CD5FB8" w14:textId="77777777" w:rsidR="003F2DAD" w:rsidRPr="00B7169D" w:rsidRDefault="003F2DAD" w:rsidP="00B7169D">
      <w:pPr>
        <w:pStyle w:val="VRGFBodycontent"/>
      </w:pPr>
    </w:p>
    <w:p w14:paraId="0AA69475" w14:textId="77777777" w:rsidR="00B7169D" w:rsidRDefault="00B7169D" w:rsidP="00CC3994">
      <w:pPr>
        <w:pStyle w:val="VRGFBodycontent"/>
      </w:pPr>
    </w:p>
    <w:p w14:paraId="651F6603" w14:textId="1B1076C9" w:rsidR="00B7169D" w:rsidRPr="00D57E67" w:rsidRDefault="00B7169D" w:rsidP="00CC3994">
      <w:pPr>
        <w:pStyle w:val="VRGFBodycontent"/>
        <w:rPr>
          <w:sz w:val="28"/>
        </w:rPr>
      </w:pPr>
      <w:r w:rsidRPr="00D57E67">
        <w:rPr>
          <w:sz w:val="28"/>
        </w:rPr>
        <w:t>Central Queensland University and Auckland University of Technology</w:t>
      </w:r>
    </w:p>
    <w:p w14:paraId="32B70946" w14:textId="15129EE8" w:rsidR="00D57E67" w:rsidRPr="00D57E67" w:rsidRDefault="00023453" w:rsidP="00CC3994">
      <w:pPr>
        <w:pStyle w:val="VRGFBodycontent"/>
        <w:rPr>
          <w:sz w:val="28"/>
        </w:rPr>
      </w:pPr>
      <w:r>
        <w:rPr>
          <w:sz w:val="28"/>
        </w:rPr>
        <w:t>May 2017</w:t>
      </w:r>
    </w:p>
    <w:p w14:paraId="32EB90CE" w14:textId="77777777" w:rsidR="00D57E67" w:rsidRDefault="00D57E67" w:rsidP="00CC3994">
      <w:pPr>
        <w:pStyle w:val="VRGFBodycontent"/>
      </w:pPr>
    </w:p>
    <w:p w14:paraId="121F0887" w14:textId="77777777" w:rsidR="00D57E67" w:rsidRDefault="00D57E67" w:rsidP="00CC3994">
      <w:pPr>
        <w:pStyle w:val="VRGFBodycontent"/>
      </w:pPr>
    </w:p>
    <w:p w14:paraId="772041EC" w14:textId="77777777" w:rsidR="00D57E67" w:rsidRDefault="00D57E67" w:rsidP="00CC3994">
      <w:pPr>
        <w:pStyle w:val="VRGFBodycontent"/>
      </w:pPr>
    </w:p>
    <w:p w14:paraId="00997B01" w14:textId="68E703D5" w:rsidR="00B7169D" w:rsidRDefault="00D57E67" w:rsidP="00D57E67">
      <w:pPr>
        <w:pStyle w:val="VRGFBodycontent"/>
        <w:jc w:val="center"/>
      </w:pPr>
      <w:r>
        <w:rPr>
          <w:rFonts w:cs="Arial"/>
          <w:noProof/>
          <w:sz w:val="32"/>
          <w:szCs w:val="32"/>
          <w:lang w:val="en-NZ" w:eastAsia="en-NZ"/>
        </w:rPr>
        <w:drawing>
          <wp:inline distT="0" distB="0" distL="0" distR="0" wp14:anchorId="2FC05593" wp14:editId="009FB548">
            <wp:extent cx="2047240" cy="1258477"/>
            <wp:effectExtent l="0" t="0" r="10160" b="12065"/>
            <wp:docPr id="11" name="Picture 11" descr="Macintosh HD:Users:brownem:Desktop:1280px-CQUniversity_Australi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ownem:Desktop:1280px-CQUniversity_Australia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69" cy="1258864"/>
                    </a:xfrm>
                    <a:prstGeom prst="rect">
                      <a:avLst/>
                    </a:prstGeom>
                    <a:noFill/>
                    <a:ln>
                      <a:noFill/>
                    </a:ln>
                  </pic:spPr>
                </pic:pic>
              </a:graphicData>
            </a:graphic>
          </wp:inline>
        </w:drawing>
      </w:r>
      <w:r>
        <w:rPr>
          <w:noProof/>
          <w:lang w:val="en-NZ" w:eastAsia="en-NZ"/>
        </w:rPr>
        <w:drawing>
          <wp:inline distT="0" distB="0" distL="0" distR="0" wp14:anchorId="018ADE65" wp14:editId="47827E44">
            <wp:extent cx="1875003" cy="1152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793" t="22758" r="10093" b="57439"/>
                    <a:stretch/>
                  </pic:blipFill>
                  <pic:spPr bwMode="auto">
                    <a:xfrm>
                      <a:off x="0" y="0"/>
                      <a:ext cx="1880129" cy="11556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DDEF22" w14:textId="77777777" w:rsidR="00D57E67" w:rsidRDefault="00D57E67" w:rsidP="00CC3994">
      <w:pPr>
        <w:pStyle w:val="VRGFBodycontent"/>
      </w:pPr>
      <w:r>
        <w:rPr>
          <w:rFonts w:cs="Arial"/>
          <w:noProof/>
          <w:sz w:val="32"/>
          <w:szCs w:val="32"/>
          <w:lang w:val="en-NZ" w:eastAsia="en-NZ"/>
        </w:rPr>
        <w:drawing>
          <wp:inline distT="0" distB="0" distL="0" distR="0" wp14:anchorId="0137E28D" wp14:editId="1481B71F">
            <wp:extent cx="5973775" cy="391886"/>
            <wp:effectExtent l="0" t="0" r="0" b="0"/>
            <wp:docPr id="12" name="Picture 12" descr="Macintosh HD:Users:brownem:Desktop:GARC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ownem:Desktop:GARC High 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5641" cy="407753"/>
                    </a:xfrm>
                    <a:prstGeom prst="rect">
                      <a:avLst/>
                    </a:prstGeom>
                    <a:noFill/>
                    <a:ln>
                      <a:noFill/>
                    </a:ln>
                  </pic:spPr>
                </pic:pic>
              </a:graphicData>
            </a:graphic>
          </wp:inline>
        </w:drawing>
      </w:r>
    </w:p>
    <w:p w14:paraId="0C203596" w14:textId="0C1F9B0D" w:rsidR="00CC3994" w:rsidRDefault="00CC3994" w:rsidP="00CC3994">
      <w:pPr>
        <w:pStyle w:val="VRGFHead1"/>
      </w:pPr>
      <w:bookmarkStart w:id="5" w:name="_Toc462737972"/>
      <w:r>
        <w:lastRenderedPageBreak/>
        <w:t>Acknowledgements</w:t>
      </w:r>
      <w:bookmarkEnd w:id="5"/>
    </w:p>
    <w:p w14:paraId="35D8E2EB" w14:textId="278D9AB4" w:rsidR="006E3146" w:rsidRDefault="00B7169D" w:rsidP="00ED41B9">
      <w:pPr>
        <w:pStyle w:val="VRGFBodycontent"/>
      </w:pPr>
      <w:r>
        <w:t xml:space="preserve">The authors wish to express their gratitude to the participants </w:t>
      </w:r>
      <w:r w:rsidR="00EB0499">
        <w:t>of this</w:t>
      </w:r>
      <w:r>
        <w:t xml:space="preserve"> study, including the gambling treatment and </w:t>
      </w:r>
      <w:r w:rsidR="00D26693">
        <w:t xml:space="preserve">other </w:t>
      </w:r>
      <w:r>
        <w:t>professionals who gave their time and experience</w:t>
      </w:r>
      <w:r w:rsidR="00D26693">
        <w:t>,</w:t>
      </w:r>
      <w:r>
        <w:t xml:space="preserve"> </w:t>
      </w:r>
      <w:r w:rsidR="00795AF0">
        <w:t xml:space="preserve">and </w:t>
      </w:r>
      <w:r w:rsidR="00ED41B9">
        <w:t xml:space="preserve">people who gamble and </w:t>
      </w:r>
      <w:r w:rsidR="00167A8F">
        <w:t xml:space="preserve">people affected by </w:t>
      </w:r>
      <w:r w:rsidR="00A259BB">
        <w:t>others</w:t>
      </w:r>
      <w:r w:rsidR="00167A8F">
        <w:t>’ gambling</w:t>
      </w:r>
      <w:r w:rsidR="00ED41B9">
        <w:t xml:space="preserve"> who were prepared to share their stories and experiences</w:t>
      </w:r>
      <w:r w:rsidR="00025B8A">
        <w:t xml:space="preserve"> in focus group interviews.</w:t>
      </w:r>
      <w:r w:rsidR="008610D3">
        <w:t xml:space="preserve"> </w:t>
      </w:r>
      <w:r w:rsidR="00025B8A">
        <w:t>We thank</w:t>
      </w:r>
      <w:r w:rsidR="00301C55">
        <w:t xml:space="preserve"> </w:t>
      </w:r>
      <w:r w:rsidR="00F31617">
        <w:t xml:space="preserve">individuals from the general public </w:t>
      </w:r>
      <w:r w:rsidR="001B3063">
        <w:t xml:space="preserve">and </w:t>
      </w:r>
      <w:r w:rsidR="00F31617">
        <w:t xml:space="preserve">the many </w:t>
      </w:r>
      <w:r w:rsidR="00495EC3">
        <w:t xml:space="preserve">professionals </w:t>
      </w:r>
      <w:r w:rsidR="00C26C1C" w:rsidRPr="00C26C1C">
        <w:rPr>
          <w:lang w:val="en-NZ"/>
        </w:rPr>
        <w:t>with expertise in the field of problem gambling</w:t>
      </w:r>
      <w:r w:rsidR="00C26C1C">
        <w:rPr>
          <w:lang w:val="en-NZ"/>
        </w:rPr>
        <w:t>,</w:t>
      </w:r>
      <w:r w:rsidR="001B3063">
        <w:t xml:space="preserve"> </w:t>
      </w:r>
      <w:r w:rsidR="00301C55">
        <w:t>who took time to respond to our surveys</w:t>
      </w:r>
      <w:r w:rsidR="00ED41B9">
        <w:t>. Their input was invaluable to this study.</w:t>
      </w:r>
      <w:r w:rsidR="008610D3">
        <w:t xml:space="preserve"> </w:t>
      </w:r>
    </w:p>
    <w:p w14:paraId="61A9B0F2" w14:textId="4AA016C3" w:rsidR="00B7169D" w:rsidRDefault="0037133E" w:rsidP="00ED41B9">
      <w:pPr>
        <w:pStyle w:val="VRGFBodycontent"/>
        <w:rPr>
          <w:lang w:val="en-NZ"/>
        </w:rPr>
      </w:pPr>
      <w:r>
        <w:t>We are grateful to Ruth Herd and Mahina Rerehau-</w:t>
      </w:r>
      <w:r w:rsidRPr="0037133E">
        <w:t>Richards</w:t>
      </w:r>
      <w:r w:rsidR="00D443F3">
        <w:t xml:space="preserve"> </w:t>
      </w:r>
      <w:r>
        <w:t xml:space="preserve">for the skilful manner in which they facilitated </w:t>
      </w:r>
      <w:r w:rsidR="002A0EBA">
        <w:t>focus group discussions</w:t>
      </w:r>
      <w:r w:rsidR="0012396C">
        <w:t xml:space="preserve"> with Māori participants </w:t>
      </w:r>
      <w:r w:rsidR="002A0EBA">
        <w:t>complying</w:t>
      </w:r>
      <w:r w:rsidR="0012396C">
        <w:t xml:space="preserve"> </w:t>
      </w:r>
      <w:r w:rsidR="002A0EBA">
        <w:t xml:space="preserve">with </w:t>
      </w:r>
      <w:r w:rsidR="0012396C" w:rsidRPr="0012396C">
        <w:t>kaupapa Māori protocols</w:t>
      </w:r>
      <w:r w:rsidR="002A0EBA">
        <w:t>.</w:t>
      </w:r>
      <w:r w:rsidR="008610D3">
        <w:t xml:space="preserve"> </w:t>
      </w:r>
      <w:r w:rsidR="00AE4B6A">
        <w:t xml:space="preserve">We are also grateful to Dr Grace Wang for facilitating the Asian focus group. </w:t>
      </w:r>
      <w:r w:rsidR="000604E9">
        <w:t xml:space="preserve">We thank </w:t>
      </w:r>
      <w:r w:rsidR="00D26693">
        <w:t xml:space="preserve">Dr </w:t>
      </w:r>
      <w:r w:rsidR="000604E9">
        <w:t xml:space="preserve">Nick Garrett </w:t>
      </w:r>
      <w:r w:rsidR="00AE4B6A">
        <w:t>for</w:t>
      </w:r>
      <w:r w:rsidR="000604E9">
        <w:t xml:space="preserve"> suppl</w:t>
      </w:r>
      <w:r w:rsidR="00AE4B6A">
        <w:t>ying</w:t>
      </w:r>
      <w:r w:rsidR="000604E9">
        <w:t xml:space="preserve"> data</w:t>
      </w:r>
      <w:r w:rsidR="00134577">
        <w:t xml:space="preserve"> </w:t>
      </w:r>
      <w:r w:rsidR="00D26693">
        <w:t xml:space="preserve">and information </w:t>
      </w:r>
      <w:r w:rsidR="000604E9">
        <w:t xml:space="preserve">from the </w:t>
      </w:r>
      <w:r w:rsidR="00134577">
        <w:t xml:space="preserve">New Zealand </w:t>
      </w:r>
      <w:r w:rsidR="000604E9">
        <w:t xml:space="preserve">National Gambling </w:t>
      </w:r>
      <w:r w:rsidR="00364560">
        <w:t>S</w:t>
      </w:r>
      <w:r w:rsidR="000604E9">
        <w:t xml:space="preserve">tudy and </w:t>
      </w:r>
      <w:r w:rsidR="00E37B73">
        <w:t>assist</w:t>
      </w:r>
      <w:r w:rsidR="00AE4B6A">
        <w:t>ing</w:t>
      </w:r>
      <w:r w:rsidR="000604E9">
        <w:t xml:space="preserve"> the team in effectively </w:t>
      </w:r>
      <w:r w:rsidR="00E37B73">
        <w:t>using that</w:t>
      </w:r>
      <w:r w:rsidR="000604E9">
        <w:t xml:space="preserve"> data</w:t>
      </w:r>
      <w:r w:rsidR="00134577">
        <w:t xml:space="preserve"> </w:t>
      </w:r>
      <w:r w:rsidR="00E37B73">
        <w:t xml:space="preserve">to support </w:t>
      </w:r>
      <w:r w:rsidR="00134577">
        <w:t>the current study</w:t>
      </w:r>
      <w:r w:rsidR="000604E9">
        <w:t xml:space="preserve">. </w:t>
      </w:r>
      <w:r w:rsidR="00ED41B9">
        <w:t xml:space="preserve">We also wish to thank </w:t>
      </w:r>
      <w:r w:rsidR="00B7169D">
        <w:t>Christine Hanley for her assistance</w:t>
      </w:r>
      <w:r w:rsidR="00ED41B9">
        <w:t xml:space="preserve"> with the hosting and management </w:t>
      </w:r>
      <w:r w:rsidR="00B7169D">
        <w:t xml:space="preserve">of </w:t>
      </w:r>
      <w:r w:rsidR="00ED41B9">
        <w:t xml:space="preserve">the two online surveys. </w:t>
      </w:r>
      <w:r w:rsidR="00AE4B6A">
        <w:t>We are very appreciative of the time that Professor Denise Wilson</w:t>
      </w:r>
      <w:r w:rsidR="00364560">
        <w:t xml:space="preserve"> and</w:t>
      </w:r>
      <w:r w:rsidR="00AE4B6A">
        <w:t xml:space="preserve"> Dr Nick Garrett gave to scanning different parts of the report for appropriate language and interpretations in their various areas of expertise.</w:t>
      </w:r>
      <w:r w:rsidR="002A0EBA">
        <w:t xml:space="preserve"> </w:t>
      </w:r>
      <w:r w:rsidR="00D26693">
        <w:t>Finally,</w:t>
      </w:r>
      <w:r w:rsidR="000F17CC">
        <w:t xml:space="preserve"> we thank </w:t>
      </w:r>
      <w:r w:rsidR="000F17CC" w:rsidRPr="000F17CC">
        <w:rPr>
          <w:lang w:val="en-NZ"/>
        </w:rPr>
        <w:t xml:space="preserve">the New Zealand Ministry of Health who provided the funding for this </w:t>
      </w:r>
      <w:r w:rsidR="000F17CC">
        <w:rPr>
          <w:lang w:val="en-NZ"/>
        </w:rPr>
        <w:t>study.</w:t>
      </w:r>
    </w:p>
    <w:p w14:paraId="7D070DEB" w14:textId="77777777" w:rsidR="0095569A" w:rsidRPr="004B45AC" w:rsidRDefault="0095569A" w:rsidP="00ED41B9">
      <w:pPr>
        <w:pStyle w:val="VRGFBodycontent"/>
        <w:rPr>
          <w:lang w:val="en-NZ"/>
        </w:rPr>
      </w:pPr>
    </w:p>
    <w:p w14:paraId="06BE2CF0" w14:textId="77777777" w:rsidR="00003FCC" w:rsidRPr="004B45AC" w:rsidRDefault="00003FCC" w:rsidP="00003FCC">
      <w:pPr>
        <w:pStyle w:val="VRGFBodycontent"/>
        <w:rPr>
          <w:lang w:val="en-NZ"/>
        </w:rPr>
      </w:pPr>
      <w:r w:rsidRPr="004B45AC">
        <w:rPr>
          <w:b/>
          <w:lang w:val="en-NZ"/>
        </w:rPr>
        <w:t>Disclaimer</w:t>
      </w:r>
    </w:p>
    <w:p w14:paraId="3CDC4269" w14:textId="5A2D2A78" w:rsidR="00003FCC" w:rsidRPr="00003FCC" w:rsidRDefault="00003FCC" w:rsidP="00003FCC">
      <w:pPr>
        <w:pStyle w:val="VRGFBodycontent"/>
        <w:rPr>
          <w:lang w:val="en-NZ"/>
        </w:rPr>
      </w:pPr>
      <w:r w:rsidRPr="00003FCC">
        <w:rPr>
          <w:lang w:val="en-NZ"/>
        </w:rPr>
        <w:t xml:space="preserve">This report was prepared under contract to the New Zealand Ministry of Health. The copyright in this article is owned by the Crown and administered by the Ministry. </w:t>
      </w:r>
      <w:r w:rsidR="000F17CC">
        <w:t xml:space="preserve">The content is solely the responsibility of the authors and does not necessarily represent the official views </w:t>
      </w:r>
      <w:r w:rsidR="00364C8D">
        <w:t xml:space="preserve">or policies </w:t>
      </w:r>
      <w:r w:rsidR="000F17CC">
        <w:t xml:space="preserve">of the New Zealand Ministry of Health. </w:t>
      </w:r>
      <w:r w:rsidRPr="00003FCC">
        <w:rPr>
          <w:lang w:val="en-NZ"/>
        </w:rPr>
        <w:t>The Ministry makes no warranty, express or implied, nor assumes any liability or responsibility for use of or reliance on the contents of this report.</w:t>
      </w:r>
    </w:p>
    <w:p w14:paraId="4C42B7CD" w14:textId="369206DE" w:rsidR="00CC3994" w:rsidRDefault="00CC3994" w:rsidP="00CC3994">
      <w:pPr>
        <w:pStyle w:val="VRGFHead1"/>
      </w:pPr>
      <w:bookmarkStart w:id="6" w:name="_Toc462737973"/>
      <w:r>
        <w:lastRenderedPageBreak/>
        <w:t>Table of contents</w:t>
      </w:r>
      <w:bookmarkEnd w:id="6"/>
    </w:p>
    <w:p w14:paraId="1894587B" w14:textId="77777777" w:rsidR="00BA49F6" w:rsidRDefault="00370D70">
      <w:pPr>
        <w:pStyle w:val="TOC1"/>
        <w:rPr>
          <w:rFonts w:asciiTheme="minorHAnsi" w:eastAsiaTheme="minorEastAsia" w:hAnsiTheme="minorHAnsi" w:cstheme="minorBidi"/>
          <w:b w:val="0"/>
          <w:bCs w:val="0"/>
          <w:color w:val="auto"/>
          <w:sz w:val="22"/>
          <w:szCs w:val="22"/>
          <w:lang w:eastAsia="ja-JP"/>
        </w:rPr>
      </w:pPr>
      <w:r>
        <w:fldChar w:fldCharType="begin"/>
      </w:r>
      <w:r>
        <w:instrText xml:space="preserve"> TOC \o "1-3" \h \z \u </w:instrText>
      </w:r>
      <w:r>
        <w:fldChar w:fldCharType="separate"/>
      </w:r>
      <w:hyperlink w:anchor="_Toc462737972" w:history="1">
        <w:r w:rsidR="00BA49F6" w:rsidRPr="00C04923">
          <w:rPr>
            <w:rStyle w:val="Hyperlink"/>
          </w:rPr>
          <w:t>Acknowledgements</w:t>
        </w:r>
        <w:r w:rsidR="00BA49F6">
          <w:rPr>
            <w:webHidden/>
          </w:rPr>
          <w:tab/>
        </w:r>
        <w:r w:rsidR="00BA49F6">
          <w:rPr>
            <w:webHidden/>
          </w:rPr>
          <w:fldChar w:fldCharType="begin"/>
        </w:r>
        <w:r w:rsidR="00BA49F6">
          <w:rPr>
            <w:webHidden/>
          </w:rPr>
          <w:instrText xml:space="preserve"> PAGEREF _Toc462737972 \h </w:instrText>
        </w:r>
        <w:r w:rsidR="00BA49F6">
          <w:rPr>
            <w:webHidden/>
          </w:rPr>
        </w:r>
        <w:r w:rsidR="00BA49F6">
          <w:rPr>
            <w:webHidden/>
          </w:rPr>
          <w:fldChar w:fldCharType="separate"/>
        </w:r>
        <w:r w:rsidR="0006479A">
          <w:rPr>
            <w:webHidden/>
          </w:rPr>
          <w:t>1</w:t>
        </w:r>
        <w:r w:rsidR="00BA49F6">
          <w:rPr>
            <w:webHidden/>
          </w:rPr>
          <w:fldChar w:fldCharType="end"/>
        </w:r>
      </w:hyperlink>
    </w:p>
    <w:p w14:paraId="0E131C43"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7973" w:history="1">
        <w:r w:rsidR="00BA49F6" w:rsidRPr="00C04923">
          <w:rPr>
            <w:rStyle w:val="Hyperlink"/>
          </w:rPr>
          <w:t>Table of contents</w:t>
        </w:r>
        <w:r w:rsidR="00BA49F6">
          <w:rPr>
            <w:webHidden/>
          </w:rPr>
          <w:tab/>
        </w:r>
        <w:r w:rsidR="00BA49F6">
          <w:rPr>
            <w:webHidden/>
          </w:rPr>
          <w:fldChar w:fldCharType="begin"/>
        </w:r>
        <w:r w:rsidR="00BA49F6">
          <w:rPr>
            <w:webHidden/>
          </w:rPr>
          <w:instrText xml:space="preserve"> PAGEREF _Toc462737973 \h </w:instrText>
        </w:r>
        <w:r w:rsidR="00BA49F6">
          <w:rPr>
            <w:webHidden/>
          </w:rPr>
        </w:r>
        <w:r w:rsidR="00BA49F6">
          <w:rPr>
            <w:webHidden/>
          </w:rPr>
          <w:fldChar w:fldCharType="separate"/>
        </w:r>
        <w:r>
          <w:rPr>
            <w:webHidden/>
          </w:rPr>
          <w:t>2</w:t>
        </w:r>
        <w:r w:rsidR="00BA49F6">
          <w:rPr>
            <w:webHidden/>
          </w:rPr>
          <w:fldChar w:fldCharType="end"/>
        </w:r>
      </w:hyperlink>
    </w:p>
    <w:p w14:paraId="0E2FE4F3"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7974" w:history="1">
        <w:r w:rsidR="00BA49F6" w:rsidRPr="00C04923">
          <w:rPr>
            <w:rStyle w:val="Hyperlink"/>
          </w:rPr>
          <w:t>List of figures</w:t>
        </w:r>
        <w:r w:rsidR="00BA49F6">
          <w:rPr>
            <w:webHidden/>
          </w:rPr>
          <w:tab/>
        </w:r>
        <w:r w:rsidR="00BA49F6">
          <w:rPr>
            <w:webHidden/>
          </w:rPr>
          <w:fldChar w:fldCharType="begin"/>
        </w:r>
        <w:r w:rsidR="00BA49F6">
          <w:rPr>
            <w:webHidden/>
          </w:rPr>
          <w:instrText xml:space="preserve"> PAGEREF _Toc462737974 \h </w:instrText>
        </w:r>
        <w:r w:rsidR="00BA49F6">
          <w:rPr>
            <w:webHidden/>
          </w:rPr>
        </w:r>
        <w:r w:rsidR="00BA49F6">
          <w:rPr>
            <w:webHidden/>
          </w:rPr>
          <w:fldChar w:fldCharType="separate"/>
        </w:r>
        <w:r>
          <w:rPr>
            <w:webHidden/>
          </w:rPr>
          <w:t>6</w:t>
        </w:r>
        <w:r w:rsidR="00BA49F6">
          <w:rPr>
            <w:webHidden/>
          </w:rPr>
          <w:fldChar w:fldCharType="end"/>
        </w:r>
      </w:hyperlink>
    </w:p>
    <w:p w14:paraId="5E6EF101"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7975" w:history="1">
        <w:r w:rsidR="00BA49F6" w:rsidRPr="00C04923">
          <w:rPr>
            <w:rStyle w:val="Hyperlink"/>
          </w:rPr>
          <w:t>List of tables</w:t>
        </w:r>
        <w:r w:rsidR="00BA49F6">
          <w:rPr>
            <w:webHidden/>
          </w:rPr>
          <w:tab/>
        </w:r>
        <w:r w:rsidR="00BA49F6">
          <w:rPr>
            <w:webHidden/>
          </w:rPr>
          <w:fldChar w:fldCharType="begin"/>
        </w:r>
        <w:r w:rsidR="00BA49F6">
          <w:rPr>
            <w:webHidden/>
          </w:rPr>
          <w:instrText xml:space="preserve"> PAGEREF _Toc462737975 \h </w:instrText>
        </w:r>
        <w:r w:rsidR="00BA49F6">
          <w:rPr>
            <w:webHidden/>
          </w:rPr>
        </w:r>
        <w:r w:rsidR="00BA49F6">
          <w:rPr>
            <w:webHidden/>
          </w:rPr>
          <w:fldChar w:fldCharType="separate"/>
        </w:r>
        <w:r>
          <w:rPr>
            <w:webHidden/>
          </w:rPr>
          <w:t>7</w:t>
        </w:r>
        <w:r w:rsidR="00BA49F6">
          <w:rPr>
            <w:webHidden/>
          </w:rPr>
          <w:fldChar w:fldCharType="end"/>
        </w:r>
      </w:hyperlink>
    </w:p>
    <w:p w14:paraId="61208C14"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7976" w:history="1">
        <w:r w:rsidR="00BA49F6" w:rsidRPr="00C04923">
          <w:rPr>
            <w:rStyle w:val="Hyperlink"/>
          </w:rPr>
          <w:t>List of appendices</w:t>
        </w:r>
        <w:r w:rsidR="00BA49F6">
          <w:rPr>
            <w:webHidden/>
          </w:rPr>
          <w:tab/>
        </w:r>
        <w:r w:rsidR="00BA49F6">
          <w:rPr>
            <w:webHidden/>
          </w:rPr>
          <w:fldChar w:fldCharType="begin"/>
        </w:r>
        <w:r w:rsidR="00BA49F6">
          <w:rPr>
            <w:webHidden/>
          </w:rPr>
          <w:instrText xml:space="preserve"> PAGEREF _Toc462737976 \h </w:instrText>
        </w:r>
        <w:r w:rsidR="00BA49F6">
          <w:rPr>
            <w:webHidden/>
          </w:rPr>
        </w:r>
        <w:r w:rsidR="00BA49F6">
          <w:rPr>
            <w:webHidden/>
          </w:rPr>
          <w:fldChar w:fldCharType="separate"/>
        </w:r>
        <w:r>
          <w:rPr>
            <w:webHidden/>
          </w:rPr>
          <w:t>9</w:t>
        </w:r>
        <w:r w:rsidR="00BA49F6">
          <w:rPr>
            <w:webHidden/>
          </w:rPr>
          <w:fldChar w:fldCharType="end"/>
        </w:r>
      </w:hyperlink>
    </w:p>
    <w:p w14:paraId="38AAB781"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7977" w:history="1">
        <w:r w:rsidR="00BA49F6" w:rsidRPr="00C04923">
          <w:rPr>
            <w:rStyle w:val="Hyperlink"/>
          </w:rPr>
          <w:t>Executive Summary</w:t>
        </w:r>
        <w:r w:rsidR="00BA49F6">
          <w:rPr>
            <w:webHidden/>
          </w:rPr>
          <w:tab/>
        </w:r>
        <w:r w:rsidR="00BA49F6">
          <w:rPr>
            <w:webHidden/>
          </w:rPr>
          <w:fldChar w:fldCharType="begin"/>
        </w:r>
        <w:r w:rsidR="00BA49F6">
          <w:rPr>
            <w:webHidden/>
          </w:rPr>
          <w:instrText xml:space="preserve"> PAGEREF _Toc462737977 \h </w:instrText>
        </w:r>
        <w:r w:rsidR="00BA49F6">
          <w:rPr>
            <w:webHidden/>
          </w:rPr>
        </w:r>
        <w:r w:rsidR="00BA49F6">
          <w:rPr>
            <w:webHidden/>
          </w:rPr>
          <w:fldChar w:fldCharType="separate"/>
        </w:r>
        <w:r>
          <w:rPr>
            <w:webHidden/>
          </w:rPr>
          <w:t>10</w:t>
        </w:r>
        <w:r w:rsidR="00BA49F6">
          <w:rPr>
            <w:webHidden/>
          </w:rPr>
          <w:fldChar w:fldCharType="end"/>
        </w:r>
      </w:hyperlink>
    </w:p>
    <w:p w14:paraId="084E9A59"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7978" w:history="1">
        <w:r w:rsidR="00BA49F6" w:rsidRPr="00C04923">
          <w:rPr>
            <w:rStyle w:val="Hyperlink"/>
            <w:noProof/>
          </w:rPr>
          <w:t>Project overview</w:t>
        </w:r>
        <w:r w:rsidR="00BA49F6">
          <w:rPr>
            <w:noProof/>
            <w:webHidden/>
          </w:rPr>
          <w:tab/>
        </w:r>
        <w:r w:rsidR="00BA49F6">
          <w:rPr>
            <w:noProof/>
            <w:webHidden/>
          </w:rPr>
          <w:fldChar w:fldCharType="begin"/>
        </w:r>
        <w:r w:rsidR="00BA49F6">
          <w:rPr>
            <w:noProof/>
            <w:webHidden/>
          </w:rPr>
          <w:instrText xml:space="preserve"> PAGEREF _Toc462737978 \h </w:instrText>
        </w:r>
        <w:r w:rsidR="00BA49F6">
          <w:rPr>
            <w:noProof/>
            <w:webHidden/>
          </w:rPr>
        </w:r>
        <w:r w:rsidR="00BA49F6">
          <w:rPr>
            <w:noProof/>
            <w:webHidden/>
          </w:rPr>
          <w:fldChar w:fldCharType="separate"/>
        </w:r>
        <w:r>
          <w:rPr>
            <w:noProof/>
            <w:webHidden/>
          </w:rPr>
          <w:t>10</w:t>
        </w:r>
        <w:r w:rsidR="00BA49F6">
          <w:rPr>
            <w:noProof/>
            <w:webHidden/>
          </w:rPr>
          <w:fldChar w:fldCharType="end"/>
        </w:r>
      </w:hyperlink>
    </w:p>
    <w:p w14:paraId="4A83EA93"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7979" w:history="1">
        <w:r w:rsidR="00BA49F6" w:rsidRPr="00C04923">
          <w:rPr>
            <w:rStyle w:val="Hyperlink"/>
            <w:noProof/>
          </w:rPr>
          <w:t>Background</w:t>
        </w:r>
        <w:r w:rsidR="00BA49F6">
          <w:rPr>
            <w:noProof/>
            <w:webHidden/>
          </w:rPr>
          <w:tab/>
        </w:r>
        <w:r w:rsidR="00BA49F6">
          <w:rPr>
            <w:noProof/>
            <w:webHidden/>
          </w:rPr>
          <w:fldChar w:fldCharType="begin"/>
        </w:r>
        <w:r w:rsidR="00BA49F6">
          <w:rPr>
            <w:noProof/>
            <w:webHidden/>
          </w:rPr>
          <w:instrText xml:space="preserve"> PAGEREF _Toc462737979 \h </w:instrText>
        </w:r>
        <w:r w:rsidR="00BA49F6">
          <w:rPr>
            <w:noProof/>
            <w:webHidden/>
          </w:rPr>
        </w:r>
        <w:r w:rsidR="00BA49F6">
          <w:rPr>
            <w:noProof/>
            <w:webHidden/>
          </w:rPr>
          <w:fldChar w:fldCharType="separate"/>
        </w:r>
        <w:r>
          <w:rPr>
            <w:noProof/>
            <w:webHidden/>
          </w:rPr>
          <w:t>10</w:t>
        </w:r>
        <w:r w:rsidR="00BA49F6">
          <w:rPr>
            <w:noProof/>
            <w:webHidden/>
          </w:rPr>
          <w:fldChar w:fldCharType="end"/>
        </w:r>
      </w:hyperlink>
    </w:p>
    <w:p w14:paraId="41CAE39E"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7980" w:history="1">
        <w:r w:rsidR="00BA49F6" w:rsidRPr="00C04923">
          <w:rPr>
            <w:rStyle w:val="Hyperlink"/>
            <w:noProof/>
          </w:rPr>
          <w:t>Methodology</w:t>
        </w:r>
        <w:r w:rsidR="00BA49F6">
          <w:rPr>
            <w:noProof/>
            <w:webHidden/>
          </w:rPr>
          <w:tab/>
        </w:r>
        <w:r w:rsidR="00BA49F6">
          <w:rPr>
            <w:noProof/>
            <w:webHidden/>
          </w:rPr>
          <w:fldChar w:fldCharType="begin"/>
        </w:r>
        <w:r w:rsidR="00BA49F6">
          <w:rPr>
            <w:noProof/>
            <w:webHidden/>
          </w:rPr>
          <w:instrText xml:space="preserve"> PAGEREF _Toc462737980 \h </w:instrText>
        </w:r>
        <w:r w:rsidR="00BA49F6">
          <w:rPr>
            <w:noProof/>
            <w:webHidden/>
          </w:rPr>
        </w:r>
        <w:r w:rsidR="00BA49F6">
          <w:rPr>
            <w:noProof/>
            <w:webHidden/>
          </w:rPr>
          <w:fldChar w:fldCharType="separate"/>
        </w:r>
        <w:r>
          <w:rPr>
            <w:noProof/>
            <w:webHidden/>
          </w:rPr>
          <w:t>11</w:t>
        </w:r>
        <w:r w:rsidR="00BA49F6">
          <w:rPr>
            <w:noProof/>
            <w:webHidden/>
          </w:rPr>
          <w:fldChar w:fldCharType="end"/>
        </w:r>
      </w:hyperlink>
    </w:p>
    <w:p w14:paraId="1F8AF28D"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7981" w:history="1">
        <w:r w:rsidR="00BA49F6" w:rsidRPr="00C04923">
          <w:rPr>
            <w:rStyle w:val="Hyperlink"/>
            <w:noProof/>
          </w:rPr>
          <w:t>Results</w:t>
        </w:r>
        <w:r w:rsidR="00BA49F6">
          <w:rPr>
            <w:noProof/>
            <w:webHidden/>
          </w:rPr>
          <w:tab/>
        </w:r>
        <w:r w:rsidR="00BA49F6">
          <w:rPr>
            <w:noProof/>
            <w:webHidden/>
          </w:rPr>
          <w:fldChar w:fldCharType="begin"/>
        </w:r>
        <w:r w:rsidR="00BA49F6">
          <w:rPr>
            <w:noProof/>
            <w:webHidden/>
          </w:rPr>
          <w:instrText xml:space="preserve"> PAGEREF _Toc462737981 \h </w:instrText>
        </w:r>
        <w:r w:rsidR="00BA49F6">
          <w:rPr>
            <w:noProof/>
            <w:webHidden/>
          </w:rPr>
        </w:r>
        <w:r w:rsidR="00BA49F6">
          <w:rPr>
            <w:noProof/>
            <w:webHidden/>
          </w:rPr>
          <w:fldChar w:fldCharType="separate"/>
        </w:r>
        <w:r>
          <w:rPr>
            <w:noProof/>
            <w:webHidden/>
          </w:rPr>
          <w:t>12</w:t>
        </w:r>
        <w:r w:rsidR="00BA49F6">
          <w:rPr>
            <w:noProof/>
            <w:webHidden/>
          </w:rPr>
          <w:fldChar w:fldCharType="end"/>
        </w:r>
      </w:hyperlink>
    </w:p>
    <w:p w14:paraId="3087D002"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7982" w:history="1">
        <w:r w:rsidR="00BA49F6" w:rsidRPr="00C04923">
          <w:rPr>
            <w:rStyle w:val="Hyperlink"/>
            <w:noProof/>
          </w:rPr>
          <w:t>Discussion</w:t>
        </w:r>
        <w:r w:rsidR="00BA49F6">
          <w:rPr>
            <w:noProof/>
            <w:webHidden/>
          </w:rPr>
          <w:tab/>
        </w:r>
        <w:r w:rsidR="00BA49F6">
          <w:rPr>
            <w:noProof/>
            <w:webHidden/>
          </w:rPr>
          <w:fldChar w:fldCharType="begin"/>
        </w:r>
        <w:r w:rsidR="00BA49F6">
          <w:rPr>
            <w:noProof/>
            <w:webHidden/>
          </w:rPr>
          <w:instrText xml:space="preserve"> PAGEREF _Toc462737982 \h </w:instrText>
        </w:r>
        <w:r w:rsidR="00BA49F6">
          <w:rPr>
            <w:noProof/>
            <w:webHidden/>
          </w:rPr>
        </w:r>
        <w:r w:rsidR="00BA49F6">
          <w:rPr>
            <w:noProof/>
            <w:webHidden/>
          </w:rPr>
          <w:fldChar w:fldCharType="separate"/>
        </w:r>
        <w:r>
          <w:rPr>
            <w:noProof/>
            <w:webHidden/>
          </w:rPr>
          <w:t>13</w:t>
        </w:r>
        <w:r w:rsidR="00BA49F6">
          <w:rPr>
            <w:noProof/>
            <w:webHidden/>
          </w:rPr>
          <w:fldChar w:fldCharType="end"/>
        </w:r>
      </w:hyperlink>
    </w:p>
    <w:p w14:paraId="6543ACD3"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7983" w:history="1">
        <w:r w:rsidR="00BA49F6" w:rsidRPr="00C04923">
          <w:rPr>
            <w:rStyle w:val="Hyperlink"/>
          </w:rPr>
          <w:t>Literature review</w:t>
        </w:r>
        <w:r w:rsidR="00BA49F6">
          <w:rPr>
            <w:webHidden/>
          </w:rPr>
          <w:tab/>
        </w:r>
        <w:r w:rsidR="00BA49F6">
          <w:rPr>
            <w:webHidden/>
          </w:rPr>
          <w:fldChar w:fldCharType="begin"/>
        </w:r>
        <w:r w:rsidR="00BA49F6">
          <w:rPr>
            <w:webHidden/>
          </w:rPr>
          <w:instrText xml:space="preserve"> PAGEREF _Toc462737983 \h </w:instrText>
        </w:r>
        <w:r w:rsidR="00BA49F6">
          <w:rPr>
            <w:webHidden/>
          </w:rPr>
        </w:r>
        <w:r w:rsidR="00BA49F6">
          <w:rPr>
            <w:webHidden/>
          </w:rPr>
          <w:fldChar w:fldCharType="separate"/>
        </w:r>
        <w:r>
          <w:rPr>
            <w:webHidden/>
          </w:rPr>
          <w:t>14</w:t>
        </w:r>
        <w:r w:rsidR="00BA49F6">
          <w:rPr>
            <w:webHidden/>
          </w:rPr>
          <w:fldChar w:fldCharType="end"/>
        </w:r>
      </w:hyperlink>
    </w:p>
    <w:p w14:paraId="7049FB28"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7984" w:history="1">
        <w:r w:rsidR="00BA49F6" w:rsidRPr="00C04923">
          <w:rPr>
            <w:rStyle w:val="Hyperlink"/>
            <w:noProof/>
          </w:rPr>
          <w:t>Literature review objectives and method</w:t>
        </w:r>
        <w:r w:rsidR="00BA49F6">
          <w:rPr>
            <w:noProof/>
            <w:webHidden/>
          </w:rPr>
          <w:tab/>
        </w:r>
        <w:r w:rsidR="00BA49F6">
          <w:rPr>
            <w:noProof/>
            <w:webHidden/>
          </w:rPr>
          <w:fldChar w:fldCharType="begin"/>
        </w:r>
        <w:r w:rsidR="00BA49F6">
          <w:rPr>
            <w:noProof/>
            <w:webHidden/>
          </w:rPr>
          <w:instrText xml:space="preserve"> PAGEREF _Toc462737984 \h </w:instrText>
        </w:r>
        <w:r w:rsidR="00BA49F6">
          <w:rPr>
            <w:noProof/>
            <w:webHidden/>
          </w:rPr>
        </w:r>
        <w:r w:rsidR="00BA49F6">
          <w:rPr>
            <w:noProof/>
            <w:webHidden/>
          </w:rPr>
          <w:fldChar w:fldCharType="separate"/>
        </w:r>
        <w:r>
          <w:rPr>
            <w:noProof/>
            <w:webHidden/>
          </w:rPr>
          <w:t>14</w:t>
        </w:r>
        <w:r w:rsidR="00BA49F6">
          <w:rPr>
            <w:noProof/>
            <w:webHidden/>
          </w:rPr>
          <w:fldChar w:fldCharType="end"/>
        </w:r>
      </w:hyperlink>
    </w:p>
    <w:p w14:paraId="61352BEF"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7985" w:history="1">
        <w:r w:rsidR="00BA49F6" w:rsidRPr="00C04923">
          <w:rPr>
            <w:rStyle w:val="Hyperlink"/>
            <w:noProof/>
          </w:rPr>
          <w:t>Definitions of gambling-related harm</w:t>
        </w:r>
        <w:r w:rsidR="00BA49F6">
          <w:rPr>
            <w:noProof/>
            <w:webHidden/>
          </w:rPr>
          <w:tab/>
        </w:r>
        <w:r w:rsidR="00BA49F6">
          <w:rPr>
            <w:noProof/>
            <w:webHidden/>
          </w:rPr>
          <w:fldChar w:fldCharType="begin"/>
        </w:r>
        <w:r w:rsidR="00BA49F6">
          <w:rPr>
            <w:noProof/>
            <w:webHidden/>
          </w:rPr>
          <w:instrText xml:space="preserve"> PAGEREF _Toc462737985 \h </w:instrText>
        </w:r>
        <w:r w:rsidR="00BA49F6">
          <w:rPr>
            <w:noProof/>
            <w:webHidden/>
          </w:rPr>
        </w:r>
        <w:r w:rsidR="00BA49F6">
          <w:rPr>
            <w:noProof/>
            <w:webHidden/>
          </w:rPr>
          <w:fldChar w:fldCharType="separate"/>
        </w:r>
        <w:r>
          <w:rPr>
            <w:noProof/>
            <w:webHidden/>
          </w:rPr>
          <w:t>14</w:t>
        </w:r>
        <w:r w:rsidR="00BA49F6">
          <w:rPr>
            <w:noProof/>
            <w:webHidden/>
          </w:rPr>
          <w:fldChar w:fldCharType="end"/>
        </w:r>
      </w:hyperlink>
    </w:p>
    <w:p w14:paraId="4FE35A26"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7986" w:history="1">
        <w:r w:rsidR="00BA49F6" w:rsidRPr="00C04923">
          <w:rPr>
            <w:rStyle w:val="Hyperlink"/>
            <w:noProof/>
          </w:rPr>
          <w:t>Theoretical treatments of gambling-related harm</w:t>
        </w:r>
        <w:r w:rsidR="00BA49F6">
          <w:rPr>
            <w:noProof/>
            <w:webHidden/>
          </w:rPr>
          <w:tab/>
        </w:r>
        <w:r w:rsidR="00BA49F6">
          <w:rPr>
            <w:noProof/>
            <w:webHidden/>
          </w:rPr>
          <w:fldChar w:fldCharType="begin"/>
        </w:r>
        <w:r w:rsidR="00BA49F6">
          <w:rPr>
            <w:noProof/>
            <w:webHidden/>
          </w:rPr>
          <w:instrText xml:space="preserve"> PAGEREF _Toc462737986 \h </w:instrText>
        </w:r>
        <w:r w:rsidR="00BA49F6">
          <w:rPr>
            <w:noProof/>
            <w:webHidden/>
          </w:rPr>
        </w:r>
        <w:r w:rsidR="00BA49F6">
          <w:rPr>
            <w:noProof/>
            <w:webHidden/>
          </w:rPr>
          <w:fldChar w:fldCharType="separate"/>
        </w:r>
        <w:r>
          <w:rPr>
            <w:noProof/>
            <w:webHidden/>
          </w:rPr>
          <w:t>17</w:t>
        </w:r>
        <w:r w:rsidR="00BA49F6">
          <w:rPr>
            <w:noProof/>
            <w:webHidden/>
          </w:rPr>
          <w:fldChar w:fldCharType="end"/>
        </w:r>
      </w:hyperlink>
    </w:p>
    <w:p w14:paraId="600633FA" w14:textId="77777777" w:rsidR="00BA49F6" w:rsidRDefault="0006479A">
      <w:pPr>
        <w:pStyle w:val="TOC3"/>
        <w:rPr>
          <w:rFonts w:asciiTheme="minorHAnsi" w:eastAsiaTheme="minorEastAsia" w:hAnsiTheme="minorHAnsi" w:cstheme="minorBidi"/>
          <w:noProof/>
          <w:sz w:val="22"/>
          <w:szCs w:val="22"/>
          <w:lang w:eastAsia="ja-JP"/>
        </w:rPr>
      </w:pPr>
      <w:hyperlink w:anchor="_Toc462737987" w:history="1">
        <w:r w:rsidR="00BA49F6" w:rsidRPr="00C04923">
          <w:rPr>
            <w:rStyle w:val="Hyperlink"/>
            <w:noProof/>
          </w:rPr>
          <w:t>Consumer/Economic</w:t>
        </w:r>
        <w:r w:rsidR="00BA49F6">
          <w:rPr>
            <w:noProof/>
            <w:webHidden/>
          </w:rPr>
          <w:tab/>
        </w:r>
        <w:r w:rsidR="00BA49F6">
          <w:rPr>
            <w:noProof/>
            <w:webHidden/>
          </w:rPr>
          <w:fldChar w:fldCharType="begin"/>
        </w:r>
        <w:r w:rsidR="00BA49F6">
          <w:rPr>
            <w:noProof/>
            <w:webHidden/>
          </w:rPr>
          <w:instrText xml:space="preserve"> PAGEREF _Toc462737987 \h </w:instrText>
        </w:r>
        <w:r w:rsidR="00BA49F6">
          <w:rPr>
            <w:noProof/>
            <w:webHidden/>
          </w:rPr>
        </w:r>
        <w:r w:rsidR="00BA49F6">
          <w:rPr>
            <w:noProof/>
            <w:webHidden/>
          </w:rPr>
          <w:fldChar w:fldCharType="separate"/>
        </w:r>
        <w:r>
          <w:rPr>
            <w:noProof/>
            <w:webHidden/>
          </w:rPr>
          <w:t>17</w:t>
        </w:r>
        <w:r w:rsidR="00BA49F6">
          <w:rPr>
            <w:noProof/>
            <w:webHidden/>
          </w:rPr>
          <w:fldChar w:fldCharType="end"/>
        </w:r>
      </w:hyperlink>
    </w:p>
    <w:p w14:paraId="6904E54B" w14:textId="77777777" w:rsidR="00BA49F6" w:rsidRDefault="0006479A">
      <w:pPr>
        <w:pStyle w:val="TOC3"/>
        <w:rPr>
          <w:rFonts w:asciiTheme="minorHAnsi" w:eastAsiaTheme="minorEastAsia" w:hAnsiTheme="minorHAnsi" w:cstheme="minorBidi"/>
          <w:noProof/>
          <w:sz w:val="22"/>
          <w:szCs w:val="22"/>
          <w:lang w:eastAsia="ja-JP"/>
        </w:rPr>
      </w:pPr>
      <w:hyperlink w:anchor="_Toc462737988" w:history="1">
        <w:r w:rsidR="00BA49F6" w:rsidRPr="00C04923">
          <w:rPr>
            <w:rStyle w:val="Hyperlink"/>
            <w:noProof/>
          </w:rPr>
          <w:t>Pathological/Medical</w:t>
        </w:r>
        <w:r w:rsidR="00BA49F6">
          <w:rPr>
            <w:noProof/>
            <w:webHidden/>
          </w:rPr>
          <w:tab/>
        </w:r>
        <w:r w:rsidR="00BA49F6">
          <w:rPr>
            <w:noProof/>
            <w:webHidden/>
          </w:rPr>
          <w:fldChar w:fldCharType="begin"/>
        </w:r>
        <w:r w:rsidR="00BA49F6">
          <w:rPr>
            <w:noProof/>
            <w:webHidden/>
          </w:rPr>
          <w:instrText xml:space="preserve"> PAGEREF _Toc462737988 \h </w:instrText>
        </w:r>
        <w:r w:rsidR="00BA49F6">
          <w:rPr>
            <w:noProof/>
            <w:webHidden/>
          </w:rPr>
        </w:r>
        <w:r w:rsidR="00BA49F6">
          <w:rPr>
            <w:noProof/>
            <w:webHidden/>
          </w:rPr>
          <w:fldChar w:fldCharType="separate"/>
        </w:r>
        <w:r>
          <w:rPr>
            <w:noProof/>
            <w:webHidden/>
          </w:rPr>
          <w:t>19</w:t>
        </w:r>
        <w:r w:rsidR="00BA49F6">
          <w:rPr>
            <w:noProof/>
            <w:webHidden/>
          </w:rPr>
          <w:fldChar w:fldCharType="end"/>
        </w:r>
      </w:hyperlink>
    </w:p>
    <w:p w14:paraId="7BDD6887" w14:textId="77777777" w:rsidR="00BA49F6" w:rsidRDefault="0006479A">
      <w:pPr>
        <w:pStyle w:val="TOC3"/>
        <w:rPr>
          <w:rFonts w:asciiTheme="minorHAnsi" w:eastAsiaTheme="minorEastAsia" w:hAnsiTheme="minorHAnsi" w:cstheme="minorBidi"/>
          <w:noProof/>
          <w:sz w:val="22"/>
          <w:szCs w:val="22"/>
          <w:lang w:eastAsia="ja-JP"/>
        </w:rPr>
      </w:pPr>
      <w:hyperlink w:anchor="_Toc462737989" w:history="1">
        <w:r w:rsidR="00BA49F6" w:rsidRPr="00C04923">
          <w:rPr>
            <w:rStyle w:val="Hyperlink"/>
            <w:noProof/>
          </w:rPr>
          <w:t>Harm reduction</w:t>
        </w:r>
        <w:r w:rsidR="00BA49F6">
          <w:rPr>
            <w:noProof/>
            <w:webHidden/>
          </w:rPr>
          <w:tab/>
        </w:r>
        <w:r w:rsidR="00BA49F6">
          <w:rPr>
            <w:noProof/>
            <w:webHidden/>
          </w:rPr>
          <w:fldChar w:fldCharType="begin"/>
        </w:r>
        <w:r w:rsidR="00BA49F6">
          <w:rPr>
            <w:noProof/>
            <w:webHidden/>
          </w:rPr>
          <w:instrText xml:space="preserve"> PAGEREF _Toc462737989 \h </w:instrText>
        </w:r>
        <w:r w:rsidR="00BA49F6">
          <w:rPr>
            <w:noProof/>
            <w:webHidden/>
          </w:rPr>
        </w:r>
        <w:r w:rsidR="00BA49F6">
          <w:rPr>
            <w:noProof/>
            <w:webHidden/>
          </w:rPr>
          <w:fldChar w:fldCharType="separate"/>
        </w:r>
        <w:r>
          <w:rPr>
            <w:noProof/>
            <w:webHidden/>
          </w:rPr>
          <w:t>20</w:t>
        </w:r>
        <w:r w:rsidR="00BA49F6">
          <w:rPr>
            <w:noProof/>
            <w:webHidden/>
          </w:rPr>
          <w:fldChar w:fldCharType="end"/>
        </w:r>
      </w:hyperlink>
    </w:p>
    <w:p w14:paraId="77FFEDAA" w14:textId="77777777" w:rsidR="00BA49F6" w:rsidRDefault="0006479A">
      <w:pPr>
        <w:pStyle w:val="TOC3"/>
        <w:rPr>
          <w:rFonts w:asciiTheme="minorHAnsi" w:eastAsiaTheme="minorEastAsia" w:hAnsiTheme="minorHAnsi" w:cstheme="minorBidi"/>
          <w:noProof/>
          <w:sz w:val="22"/>
          <w:szCs w:val="22"/>
          <w:lang w:eastAsia="ja-JP"/>
        </w:rPr>
      </w:pPr>
      <w:hyperlink w:anchor="_Toc462737990" w:history="1">
        <w:r w:rsidR="00BA49F6" w:rsidRPr="00C04923">
          <w:rPr>
            <w:rStyle w:val="Hyperlink"/>
            <w:noProof/>
          </w:rPr>
          <w:t>Public health</w:t>
        </w:r>
        <w:r w:rsidR="00BA49F6">
          <w:rPr>
            <w:noProof/>
            <w:webHidden/>
          </w:rPr>
          <w:tab/>
        </w:r>
        <w:r w:rsidR="00BA49F6">
          <w:rPr>
            <w:noProof/>
            <w:webHidden/>
          </w:rPr>
          <w:fldChar w:fldCharType="begin"/>
        </w:r>
        <w:r w:rsidR="00BA49F6">
          <w:rPr>
            <w:noProof/>
            <w:webHidden/>
          </w:rPr>
          <w:instrText xml:space="preserve"> PAGEREF _Toc462737990 \h </w:instrText>
        </w:r>
        <w:r w:rsidR="00BA49F6">
          <w:rPr>
            <w:noProof/>
            <w:webHidden/>
          </w:rPr>
        </w:r>
        <w:r w:rsidR="00BA49F6">
          <w:rPr>
            <w:noProof/>
            <w:webHidden/>
          </w:rPr>
          <w:fldChar w:fldCharType="separate"/>
        </w:r>
        <w:r>
          <w:rPr>
            <w:noProof/>
            <w:webHidden/>
          </w:rPr>
          <w:t>21</w:t>
        </w:r>
        <w:r w:rsidR="00BA49F6">
          <w:rPr>
            <w:noProof/>
            <w:webHidden/>
          </w:rPr>
          <w:fldChar w:fldCharType="end"/>
        </w:r>
      </w:hyperlink>
    </w:p>
    <w:p w14:paraId="304D7EE1"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7991" w:history="1">
        <w:r w:rsidR="00BA49F6" w:rsidRPr="00C04923">
          <w:rPr>
            <w:rStyle w:val="Hyperlink"/>
            <w:noProof/>
          </w:rPr>
          <w:t>How harm is manifested</w:t>
        </w:r>
        <w:r w:rsidR="00BA49F6">
          <w:rPr>
            <w:noProof/>
            <w:webHidden/>
          </w:rPr>
          <w:tab/>
        </w:r>
        <w:r w:rsidR="00BA49F6">
          <w:rPr>
            <w:noProof/>
            <w:webHidden/>
          </w:rPr>
          <w:fldChar w:fldCharType="begin"/>
        </w:r>
        <w:r w:rsidR="00BA49F6">
          <w:rPr>
            <w:noProof/>
            <w:webHidden/>
          </w:rPr>
          <w:instrText xml:space="preserve"> PAGEREF _Toc462737991 \h </w:instrText>
        </w:r>
        <w:r w:rsidR="00BA49F6">
          <w:rPr>
            <w:noProof/>
            <w:webHidden/>
          </w:rPr>
        </w:r>
        <w:r w:rsidR="00BA49F6">
          <w:rPr>
            <w:noProof/>
            <w:webHidden/>
          </w:rPr>
          <w:fldChar w:fldCharType="separate"/>
        </w:r>
        <w:r>
          <w:rPr>
            <w:noProof/>
            <w:webHidden/>
          </w:rPr>
          <w:t>23</w:t>
        </w:r>
        <w:r w:rsidR="00BA49F6">
          <w:rPr>
            <w:noProof/>
            <w:webHidden/>
          </w:rPr>
          <w:fldChar w:fldCharType="end"/>
        </w:r>
      </w:hyperlink>
    </w:p>
    <w:p w14:paraId="28095BC6" w14:textId="77777777" w:rsidR="00BA49F6" w:rsidRDefault="0006479A">
      <w:pPr>
        <w:pStyle w:val="TOC3"/>
        <w:rPr>
          <w:rFonts w:asciiTheme="minorHAnsi" w:eastAsiaTheme="minorEastAsia" w:hAnsiTheme="minorHAnsi" w:cstheme="minorBidi"/>
          <w:noProof/>
          <w:sz w:val="22"/>
          <w:szCs w:val="22"/>
          <w:lang w:eastAsia="ja-JP"/>
        </w:rPr>
      </w:pPr>
      <w:hyperlink w:anchor="_Toc462737992" w:history="1">
        <w:r w:rsidR="00BA49F6" w:rsidRPr="00C04923">
          <w:rPr>
            <w:rStyle w:val="Hyperlink"/>
            <w:noProof/>
          </w:rPr>
          <w:t>Harm to the individual</w:t>
        </w:r>
        <w:r w:rsidR="00BA49F6">
          <w:rPr>
            <w:noProof/>
            <w:webHidden/>
          </w:rPr>
          <w:tab/>
        </w:r>
        <w:r w:rsidR="00BA49F6">
          <w:rPr>
            <w:noProof/>
            <w:webHidden/>
          </w:rPr>
          <w:fldChar w:fldCharType="begin"/>
        </w:r>
        <w:r w:rsidR="00BA49F6">
          <w:rPr>
            <w:noProof/>
            <w:webHidden/>
          </w:rPr>
          <w:instrText xml:space="preserve"> PAGEREF _Toc462737992 \h </w:instrText>
        </w:r>
        <w:r w:rsidR="00BA49F6">
          <w:rPr>
            <w:noProof/>
            <w:webHidden/>
          </w:rPr>
        </w:r>
        <w:r w:rsidR="00BA49F6">
          <w:rPr>
            <w:noProof/>
            <w:webHidden/>
          </w:rPr>
          <w:fldChar w:fldCharType="separate"/>
        </w:r>
        <w:r>
          <w:rPr>
            <w:noProof/>
            <w:webHidden/>
          </w:rPr>
          <w:t>24</w:t>
        </w:r>
        <w:r w:rsidR="00BA49F6">
          <w:rPr>
            <w:noProof/>
            <w:webHidden/>
          </w:rPr>
          <w:fldChar w:fldCharType="end"/>
        </w:r>
      </w:hyperlink>
    </w:p>
    <w:p w14:paraId="0A129333" w14:textId="77777777" w:rsidR="00BA49F6" w:rsidRDefault="0006479A">
      <w:pPr>
        <w:pStyle w:val="TOC3"/>
        <w:rPr>
          <w:rFonts w:asciiTheme="minorHAnsi" w:eastAsiaTheme="minorEastAsia" w:hAnsiTheme="minorHAnsi" w:cstheme="minorBidi"/>
          <w:noProof/>
          <w:sz w:val="22"/>
          <w:szCs w:val="22"/>
          <w:lang w:eastAsia="ja-JP"/>
        </w:rPr>
      </w:pPr>
      <w:hyperlink w:anchor="_Toc462737993" w:history="1">
        <w:r w:rsidR="00BA49F6" w:rsidRPr="00C04923">
          <w:rPr>
            <w:rStyle w:val="Hyperlink"/>
            <w:noProof/>
          </w:rPr>
          <w:t>Harm to family and significant others</w:t>
        </w:r>
        <w:r w:rsidR="00BA49F6">
          <w:rPr>
            <w:noProof/>
            <w:webHidden/>
          </w:rPr>
          <w:tab/>
        </w:r>
        <w:r w:rsidR="00BA49F6">
          <w:rPr>
            <w:noProof/>
            <w:webHidden/>
          </w:rPr>
          <w:fldChar w:fldCharType="begin"/>
        </w:r>
        <w:r w:rsidR="00BA49F6">
          <w:rPr>
            <w:noProof/>
            <w:webHidden/>
          </w:rPr>
          <w:instrText xml:space="preserve"> PAGEREF _Toc462737993 \h </w:instrText>
        </w:r>
        <w:r w:rsidR="00BA49F6">
          <w:rPr>
            <w:noProof/>
            <w:webHidden/>
          </w:rPr>
        </w:r>
        <w:r w:rsidR="00BA49F6">
          <w:rPr>
            <w:noProof/>
            <w:webHidden/>
          </w:rPr>
          <w:fldChar w:fldCharType="separate"/>
        </w:r>
        <w:r>
          <w:rPr>
            <w:noProof/>
            <w:webHidden/>
          </w:rPr>
          <w:t>32</w:t>
        </w:r>
        <w:r w:rsidR="00BA49F6">
          <w:rPr>
            <w:noProof/>
            <w:webHidden/>
          </w:rPr>
          <w:fldChar w:fldCharType="end"/>
        </w:r>
      </w:hyperlink>
    </w:p>
    <w:p w14:paraId="05A5BDF5" w14:textId="77777777" w:rsidR="00BA49F6" w:rsidRDefault="0006479A">
      <w:pPr>
        <w:pStyle w:val="TOC3"/>
        <w:rPr>
          <w:rFonts w:asciiTheme="minorHAnsi" w:eastAsiaTheme="minorEastAsia" w:hAnsiTheme="minorHAnsi" w:cstheme="minorBidi"/>
          <w:noProof/>
          <w:sz w:val="22"/>
          <w:szCs w:val="22"/>
          <w:lang w:eastAsia="ja-JP"/>
        </w:rPr>
      </w:pPr>
      <w:hyperlink w:anchor="_Toc462737994" w:history="1">
        <w:r w:rsidR="00BA49F6" w:rsidRPr="00C04923">
          <w:rPr>
            <w:rStyle w:val="Hyperlink"/>
            <w:noProof/>
          </w:rPr>
          <w:t>Harms to the broader community</w:t>
        </w:r>
        <w:r w:rsidR="00BA49F6">
          <w:rPr>
            <w:noProof/>
            <w:webHidden/>
          </w:rPr>
          <w:tab/>
        </w:r>
        <w:r w:rsidR="00BA49F6">
          <w:rPr>
            <w:noProof/>
            <w:webHidden/>
          </w:rPr>
          <w:fldChar w:fldCharType="begin"/>
        </w:r>
        <w:r w:rsidR="00BA49F6">
          <w:rPr>
            <w:noProof/>
            <w:webHidden/>
          </w:rPr>
          <w:instrText xml:space="preserve"> PAGEREF _Toc462737994 \h </w:instrText>
        </w:r>
        <w:r w:rsidR="00BA49F6">
          <w:rPr>
            <w:noProof/>
            <w:webHidden/>
          </w:rPr>
        </w:r>
        <w:r w:rsidR="00BA49F6">
          <w:rPr>
            <w:noProof/>
            <w:webHidden/>
          </w:rPr>
          <w:fldChar w:fldCharType="separate"/>
        </w:r>
        <w:r>
          <w:rPr>
            <w:noProof/>
            <w:webHidden/>
          </w:rPr>
          <w:t>37</w:t>
        </w:r>
        <w:r w:rsidR="00BA49F6">
          <w:rPr>
            <w:noProof/>
            <w:webHidden/>
          </w:rPr>
          <w:fldChar w:fldCharType="end"/>
        </w:r>
      </w:hyperlink>
    </w:p>
    <w:p w14:paraId="42751CD9" w14:textId="77777777" w:rsidR="00BA49F6" w:rsidRDefault="0006479A">
      <w:pPr>
        <w:pStyle w:val="TOC3"/>
        <w:rPr>
          <w:rFonts w:asciiTheme="minorHAnsi" w:eastAsiaTheme="minorEastAsia" w:hAnsiTheme="minorHAnsi" w:cstheme="minorBidi"/>
          <w:noProof/>
          <w:sz w:val="22"/>
          <w:szCs w:val="22"/>
          <w:lang w:eastAsia="ja-JP"/>
        </w:rPr>
      </w:pPr>
      <w:hyperlink w:anchor="_Toc462737995" w:history="1">
        <w:r w:rsidR="00BA49F6" w:rsidRPr="00C04923">
          <w:rPr>
            <w:rStyle w:val="Hyperlink"/>
            <w:noProof/>
          </w:rPr>
          <w:t>Harms in Māori and other New Zealand communities</w:t>
        </w:r>
        <w:r w:rsidR="00BA49F6">
          <w:rPr>
            <w:noProof/>
            <w:webHidden/>
          </w:rPr>
          <w:tab/>
        </w:r>
        <w:r w:rsidR="00BA49F6">
          <w:rPr>
            <w:noProof/>
            <w:webHidden/>
          </w:rPr>
          <w:fldChar w:fldCharType="begin"/>
        </w:r>
        <w:r w:rsidR="00BA49F6">
          <w:rPr>
            <w:noProof/>
            <w:webHidden/>
          </w:rPr>
          <w:instrText xml:space="preserve"> PAGEREF _Toc462737995 \h </w:instrText>
        </w:r>
        <w:r w:rsidR="00BA49F6">
          <w:rPr>
            <w:noProof/>
            <w:webHidden/>
          </w:rPr>
        </w:r>
        <w:r w:rsidR="00BA49F6">
          <w:rPr>
            <w:noProof/>
            <w:webHidden/>
          </w:rPr>
          <w:fldChar w:fldCharType="separate"/>
        </w:r>
        <w:r>
          <w:rPr>
            <w:noProof/>
            <w:webHidden/>
          </w:rPr>
          <w:t>39</w:t>
        </w:r>
        <w:r w:rsidR="00BA49F6">
          <w:rPr>
            <w:noProof/>
            <w:webHidden/>
          </w:rPr>
          <w:fldChar w:fldCharType="end"/>
        </w:r>
      </w:hyperlink>
    </w:p>
    <w:p w14:paraId="21E07731" w14:textId="77777777" w:rsidR="00BA49F6" w:rsidRDefault="0006479A">
      <w:pPr>
        <w:pStyle w:val="TOC3"/>
        <w:rPr>
          <w:rFonts w:asciiTheme="minorHAnsi" w:eastAsiaTheme="minorEastAsia" w:hAnsiTheme="minorHAnsi" w:cstheme="minorBidi"/>
          <w:noProof/>
          <w:sz w:val="22"/>
          <w:szCs w:val="22"/>
          <w:lang w:eastAsia="ja-JP"/>
        </w:rPr>
      </w:pPr>
      <w:hyperlink w:anchor="_Toc462737996" w:history="1">
        <w:r w:rsidR="00BA49F6" w:rsidRPr="00C04923">
          <w:rPr>
            <w:rStyle w:val="Hyperlink"/>
            <w:noProof/>
          </w:rPr>
          <w:t>Māori</w:t>
        </w:r>
        <w:r w:rsidR="00BA49F6">
          <w:rPr>
            <w:noProof/>
            <w:webHidden/>
          </w:rPr>
          <w:tab/>
        </w:r>
        <w:r w:rsidR="00BA49F6">
          <w:rPr>
            <w:noProof/>
            <w:webHidden/>
          </w:rPr>
          <w:fldChar w:fldCharType="begin"/>
        </w:r>
        <w:r w:rsidR="00BA49F6">
          <w:rPr>
            <w:noProof/>
            <w:webHidden/>
          </w:rPr>
          <w:instrText xml:space="preserve"> PAGEREF _Toc462737996 \h </w:instrText>
        </w:r>
        <w:r w:rsidR="00BA49F6">
          <w:rPr>
            <w:noProof/>
            <w:webHidden/>
          </w:rPr>
        </w:r>
        <w:r w:rsidR="00BA49F6">
          <w:rPr>
            <w:noProof/>
            <w:webHidden/>
          </w:rPr>
          <w:fldChar w:fldCharType="separate"/>
        </w:r>
        <w:r>
          <w:rPr>
            <w:noProof/>
            <w:webHidden/>
          </w:rPr>
          <w:t>40</w:t>
        </w:r>
        <w:r w:rsidR="00BA49F6">
          <w:rPr>
            <w:noProof/>
            <w:webHidden/>
          </w:rPr>
          <w:fldChar w:fldCharType="end"/>
        </w:r>
      </w:hyperlink>
    </w:p>
    <w:p w14:paraId="3B495BC8" w14:textId="77777777" w:rsidR="00BA49F6" w:rsidRDefault="0006479A">
      <w:pPr>
        <w:pStyle w:val="TOC3"/>
        <w:rPr>
          <w:rFonts w:asciiTheme="minorHAnsi" w:eastAsiaTheme="minorEastAsia" w:hAnsiTheme="minorHAnsi" w:cstheme="minorBidi"/>
          <w:noProof/>
          <w:sz w:val="22"/>
          <w:szCs w:val="22"/>
          <w:lang w:eastAsia="ja-JP"/>
        </w:rPr>
      </w:pPr>
      <w:hyperlink w:anchor="_Toc462737997" w:history="1">
        <w:r w:rsidR="00BA49F6" w:rsidRPr="00C04923">
          <w:rPr>
            <w:rStyle w:val="Hyperlink"/>
            <w:noProof/>
          </w:rPr>
          <w:t>Pacific people</w:t>
        </w:r>
        <w:r w:rsidR="00BA49F6">
          <w:rPr>
            <w:noProof/>
            <w:webHidden/>
          </w:rPr>
          <w:tab/>
        </w:r>
        <w:r w:rsidR="00BA49F6">
          <w:rPr>
            <w:noProof/>
            <w:webHidden/>
          </w:rPr>
          <w:fldChar w:fldCharType="begin"/>
        </w:r>
        <w:r w:rsidR="00BA49F6">
          <w:rPr>
            <w:noProof/>
            <w:webHidden/>
          </w:rPr>
          <w:instrText xml:space="preserve"> PAGEREF _Toc462737997 \h </w:instrText>
        </w:r>
        <w:r w:rsidR="00BA49F6">
          <w:rPr>
            <w:noProof/>
            <w:webHidden/>
          </w:rPr>
        </w:r>
        <w:r w:rsidR="00BA49F6">
          <w:rPr>
            <w:noProof/>
            <w:webHidden/>
          </w:rPr>
          <w:fldChar w:fldCharType="separate"/>
        </w:r>
        <w:r>
          <w:rPr>
            <w:noProof/>
            <w:webHidden/>
          </w:rPr>
          <w:t>42</w:t>
        </w:r>
        <w:r w:rsidR="00BA49F6">
          <w:rPr>
            <w:noProof/>
            <w:webHidden/>
          </w:rPr>
          <w:fldChar w:fldCharType="end"/>
        </w:r>
      </w:hyperlink>
    </w:p>
    <w:p w14:paraId="0852DE5A" w14:textId="77777777" w:rsidR="00BA49F6" w:rsidRDefault="0006479A">
      <w:pPr>
        <w:pStyle w:val="TOC3"/>
        <w:rPr>
          <w:rFonts w:asciiTheme="minorHAnsi" w:eastAsiaTheme="minorEastAsia" w:hAnsiTheme="minorHAnsi" w:cstheme="minorBidi"/>
          <w:noProof/>
          <w:sz w:val="22"/>
          <w:szCs w:val="22"/>
          <w:lang w:eastAsia="ja-JP"/>
        </w:rPr>
      </w:pPr>
      <w:hyperlink w:anchor="_Toc462737998" w:history="1">
        <w:r w:rsidR="00BA49F6" w:rsidRPr="00C04923">
          <w:rPr>
            <w:rStyle w:val="Hyperlink"/>
            <w:noProof/>
          </w:rPr>
          <w:t>Asian people</w:t>
        </w:r>
        <w:r w:rsidR="00BA49F6">
          <w:rPr>
            <w:noProof/>
            <w:webHidden/>
          </w:rPr>
          <w:tab/>
        </w:r>
        <w:r w:rsidR="00BA49F6">
          <w:rPr>
            <w:noProof/>
            <w:webHidden/>
          </w:rPr>
          <w:fldChar w:fldCharType="begin"/>
        </w:r>
        <w:r w:rsidR="00BA49F6">
          <w:rPr>
            <w:noProof/>
            <w:webHidden/>
          </w:rPr>
          <w:instrText xml:space="preserve"> PAGEREF _Toc462737998 \h </w:instrText>
        </w:r>
        <w:r w:rsidR="00BA49F6">
          <w:rPr>
            <w:noProof/>
            <w:webHidden/>
          </w:rPr>
        </w:r>
        <w:r w:rsidR="00BA49F6">
          <w:rPr>
            <w:noProof/>
            <w:webHidden/>
          </w:rPr>
          <w:fldChar w:fldCharType="separate"/>
        </w:r>
        <w:r>
          <w:rPr>
            <w:noProof/>
            <w:webHidden/>
          </w:rPr>
          <w:t>43</w:t>
        </w:r>
        <w:r w:rsidR="00BA49F6">
          <w:rPr>
            <w:noProof/>
            <w:webHidden/>
          </w:rPr>
          <w:fldChar w:fldCharType="end"/>
        </w:r>
      </w:hyperlink>
    </w:p>
    <w:p w14:paraId="6E28DC3D" w14:textId="77777777" w:rsidR="00BA49F6" w:rsidRDefault="0006479A">
      <w:pPr>
        <w:pStyle w:val="TOC3"/>
        <w:rPr>
          <w:rFonts w:asciiTheme="minorHAnsi" w:eastAsiaTheme="minorEastAsia" w:hAnsiTheme="minorHAnsi" w:cstheme="minorBidi"/>
          <w:noProof/>
          <w:sz w:val="22"/>
          <w:szCs w:val="22"/>
          <w:lang w:eastAsia="ja-JP"/>
        </w:rPr>
      </w:pPr>
      <w:hyperlink w:anchor="_Toc462737999" w:history="1">
        <w:r w:rsidR="00BA49F6" w:rsidRPr="00C04923">
          <w:rPr>
            <w:rStyle w:val="Hyperlink"/>
            <w:noProof/>
          </w:rPr>
          <w:t>Social influences on the experience of harm</w:t>
        </w:r>
        <w:r w:rsidR="00BA49F6">
          <w:rPr>
            <w:noProof/>
            <w:webHidden/>
          </w:rPr>
          <w:tab/>
        </w:r>
        <w:r w:rsidR="00BA49F6">
          <w:rPr>
            <w:noProof/>
            <w:webHidden/>
          </w:rPr>
          <w:fldChar w:fldCharType="begin"/>
        </w:r>
        <w:r w:rsidR="00BA49F6">
          <w:rPr>
            <w:noProof/>
            <w:webHidden/>
          </w:rPr>
          <w:instrText xml:space="preserve"> PAGEREF _Toc462737999 \h </w:instrText>
        </w:r>
        <w:r w:rsidR="00BA49F6">
          <w:rPr>
            <w:noProof/>
            <w:webHidden/>
          </w:rPr>
        </w:r>
        <w:r w:rsidR="00BA49F6">
          <w:rPr>
            <w:noProof/>
            <w:webHidden/>
          </w:rPr>
          <w:fldChar w:fldCharType="separate"/>
        </w:r>
        <w:r>
          <w:rPr>
            <w:noProof/>
            <w:webHidden/>
          </w:rPr>
          <w:t>44</w:t>
        </w:r>
        <w:r w:rsidR="00BA49F6">
          <w:rPr>
            <w:noProof/>
            <w:webHidden/>
          </w:rPr>
          <w:fldChar w:fldCharType="end"/>
        </w:r>
      </w:hyperlink>
    </w:p>
    <w:p w14:paraId="3095FD2F"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00" w:history="1">
        <w:r w:rsidR="00BA49F6" w:rsidRPr="00C04923">
          <w:rPr>
            <w:rStyle w:val="Hyperlink"/>
            <w:noProof/>
          </w:rPr>
          <w:t>A conceptual framework for gambling harm</w:t>
        </w:r>
        <w:r w:rsidR="00BA49F6">
          <w:rPr>
            <w:noProof/>
            <w:webHidden/>
          </w:rPr>
          <w:tab/>
        </w:r>
        <w:r w:rsidR="00BA49F6">
          <w:rPr>
            <w:noProof/>
            <w:webHidden/>
          </w:rPr>
          <w:fldChar w:fldCharType="begin"/>
        </w:r>
        <w:r w:rsidR="00BA49F6">
          <w:rPr>
            <w:noProof/>
            <w:webHidden/>
          </w:rPr>
          <w:instrText xml:space="preserve"> PAGEREF _Toc462738000 \h </w:instrText>
        </w:r>
        <w:r w:rsidR="00BA49F6">
          <w:rPr>
            <w:noProof/>
            <w:webHidden/>
          </w:rPr>
        </w:r>
        <w:r w:rsidR="00BA49F6">
          <w:rPr>
            <w:noProof/>
            <w:webHidden/>
          </w:rPr>
          <w:fldChar w:fldCharType="separate"/>
        </w:r>
        <w:r>
          <w:rPr>
            <w:noProof/>
            <w:webHidden/>
          </w:rPr>
          <w:t>47</w:t>
        </w:r>
        <w:r w:rsidR="00BA49F6">
          <w:rPr>
            <w:noProof/>
            <w:webHidden/>
          </w:rPr>
          <w:fldChar w:fldCharType="end"/>
        </w:r>
      </w:hyperlink>
    </w:p>
    <w:p w14:paraId="051EB2A5"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01" w:history="1">
        <w:r w:rsidR="00BA49F6" w:rsidRPr="00C04923">
          <w:rPr>
            <w:rStyle w:val="Hyperlink"/>
            <w:noProof/>
          </w:rPr>
          <w:t>Measurement of harm</w:t>
        </w:r>
        <w:r w:rsidR="00BA49F6">
          <w:rPr>
            <w:noProof/>
            <w:webHidden/>
          </w:rPr>
          <w:tab/>
        </w:r>
        <w:r w:rsidR="00BA49F6">
          <w:rPr>
            <w:noProof/>
            <w:webHidden/>
          </w:rPr>
          <w:fldChar w:fldCharType="begin"/>
        </w:r>
        <w:r w:rsidR="00BA49F6">
          <w:rPr>
            <w:noProof/>
            <w:webHidden/>
          </w:rPr>
          <w:instrText xml:space="preserve"> PAGEREF _Toc462738001 \h </w:instrText>
        </w:r>
        <w:r w:rsidR="00BA49F6">
          <w:rPr>
            <w:noProof/>
            <w:webHidden/>
          </w:rPr>
        </w:r>
        <w:r w:rsidR="00BA49F6">
          <w:rPr>
            <w:noProof/>
            <w:webHidden/>
          </w:rPr>
          <w:fldChar w:fldCharType="separate"/>
        </w:r>
        <w:r>
          <w:rPr>
            <w:noProof/>
            <w:webHidden/>
          </w:rPr>
          <w:t>48</w:t>
        </w:r>
        <w:r w:rsidR="00BA49F6">
          <w:rPr>
            <w:noProof/>
            <w:webHidden/>
          </w:rPr>
          <w:fldChar w:fldCharType="end"/>
        </w:r>
      </w:hyperlink>
    </w:p>
    <w:p w14:paraId="05B80AC2" w14:textId="77777777" w:rsidR="00BA49F6" w:rsidRDefault="0006479A">
      <w:pPr>
        <w:pStyle w:val="TOC3"/>
        <w:rPr>
          <w:rFonts w:asciiTheme="minorHAnsi" w:eastAsiaTheme="minorEastAsia" w:hAnsiTheme="minorHAnsi" w:cstheme="minorBidi"/>
          <w:noProof/>
          <w:sz w:val="22"/>
          <w:szCs w:val="22"/>
          <w:lang w:eastAsia="ja-JP"/>
        </w:rPr>
      </w:pPr>
      <w:hyperlink w:anchor="_Toc462738002" w:history="1">
        <w:r w:rsidR="00BA49F6" w:rsidRPr="00C04923">
          <w:rPr>
            <w:rStyle w:val="Hyperlink"/>
            <w:noProof/>
          </w:rPr>
          <w:t>Diagnostic criteria</w:t>
        </w:r>
        <w:r w:rsidR="00BA49F6">
          <w:rPr>
            <w:noProof/>
            <w:webHidden/>
          </w:rPr>
          <w:tab/>
        </w:r>
        <w:r w:rsidR="00BA49F6">
          <w:rPr>
            <w:noProof/>
            <w:webHidden/>
          </w:rPr>
          <w:fldChar w:fldCharType="begin"/>
        </w:r>
        <w:r w:rsidR="00BA49F6">
          <w:rPr>
            <w:noProof/>
            <w:webHidden/>
          </w:rPr>
          <w:instrText xml:space="preserve"> PAGEREF _Toc462738002 \h </w:instrText>
        </w:r>
        <w:r w:rsidR="00BA49F6">
          <w:rPr>
            <w:noProof/>
            <w:webHidden/>
          </w:rPr>
        </w:r>
        <w:r w:rsidR="00BA49F6">
          <w:rPr>
            <w:noProof/>
            <w:webHidden/>
          </w:rPr>
          <w:fldChar w:fldCharType="separate"/>
        </w:r>
        <w:r>
          <w:rPr>
            <w:noProof/>
            <w:webHidden/>
          </w:rPr>
          <w:t>49</w:t>
        </w:r>
        <w:r w:rsidR="00BA49F6">
          <w:rPr>
            <w:noProof/>
            <w:webHidden/>
          </w:rPr>
          <w:fldChar w:fldCharType="end"/>
        </w:r>
      </w:hyperlink>
    </w:p>
    <w:p w14:paraId="00816B67" w14:textId="77777777" w:rsidR="00BA49F6" w:rsidRDefault="0006479A">
      <w:pPr>
        <w:pStyle w:val="TOC3"/>
        <w:rPr>
          <w:rFonts w:asciiTheme="minorHAnsi" w:eastAsiaTheme="minorEastAsia" w:hAnsiTheme="minorHAnsi" w:cstheme="minorBidi"/>
          <w:noProof/>
          <w:sz w:val="22"/>
          <w:szCs w:val="22"/>
          <w:lang w:eastAsia="ja-JP"/>
        </w:rPr>
      </w:pPr>
      <w:hyperlink w:anchor="_Toc462738003" w:history="1">
        <w:r w:rsidR="00BA49F6" w:rsidRPr="00C04923">
          <w:rPr>
            <w:rStyle w:val="Hyperlink"/>
            <w:noProof/>
          </w:rPr>
          <w:t>Behavioural indicators</w:t>
        </w:r>
        <w:r w:rsidR="00BA49F6">
          <w:rPr>
            <w:noProof/>
            <w:webHidden/>
          </w:rPr>
          <w:tab/>
        </w:r>
        <w:r w:rsidR="00BA49F6">
          <w:rPr>
            <w:noProof/>
            <w:webHidden/>
          </w:rPr>
          <w:fldChar w:fldCharType="begin"/>
        </w:r>
        <w:r w:rsidR="00BA49F6">
          <w:rPr>
            <w:noProof/>
            <w:webHidden/>
          </w:rPr>
          <w:instrText xml:space="preserve"> PAGEREF _Toc462738003 \h </w:instrText>
        </w:r>
        <w:r w:rsidR="00BA49F6">
          <w:rPr>
            <w:noProof/>
            <w:webHidden/>
          </w:rPr>
        </w:r>
        <w:r w:rsidR="00BA49F6">
          <w:rPr>
            <w:noProof/>
            <w:webHidden/>
          </w:rPr>
          <w:fldChar w:fldCharType="separate"/>
        </w:r>
        <w:r>
          <w:rPr>
            <w:noProof/>
            <w:webHidden/>
          </w:rPr>
          <w:t>50</w:t>
        </w:r>
        <w:r w:rsidR="00BA49F6">
          <w:rPr>
            <w:noProof/>
            <w:webHidden/>
          </w:rPr>
          <w:fldChar w:fldCharType="end"/>
        </w:r>
      </w:hyperlink>
    </w:p>
    <w:p w14:paraId="0002075E" w14:textId="77777777" w:rsidR="00BA49F6" w:rsidRDefault="0006479A">
      <w:pPr>
        <w:pStyle w:val="TOC3"/>
        <w:rPr>
          <w:rFonts w:asciiTheme="minorHAnsi" w:eastAsiaTheme="minorEastAsia" w:hAnsiTheme="minorHAnsi" w:cstheme="minorBidi"/>
          <w:noProof/>
          <w:sz w:val="22"/>
          <w:szCs w:val="22"/>
          <w:lang w:eastAsia="ja-JP"/>
        </w:rPr>
      </w:pPr>
      <w:hyperlink w:anchor="_Toc462738004" w:history="1">
        <w:r w:rsidR="00BA49F6" w:rsidRPr="00C04923">
          <w:rPr>
            <w:rStyle w:val="Hyperlink"/>
            <w:noProof/>
          </w:rPr>
          <w:t>Negative consequences</w:t>
        </w:r>
        <w:r w:rsidR="00BA49F6">
          <w:rPr>
            <w:noProof/>
            <w:webHidden/>
          </w:rPr>
          <w:tab/>
        </w:r>
        <w:r w:rsidR="00BA49F6">
          <w:rPr>
            <w:noProof/>
            <w:webHidden/>
          </w:rPr>
          <w:fldChar w:fldCharType="begin"/>
        </w:r>
        <w:r w:rsidR="00BA49F6">
          <w:rPr>
            <w:noProof/>
            <w:webHidden/>
          </w:rPr>
          <w:instrText xml:space="preserve"> PAGEREF _Toc462738004 \h </w:instrText>
        </w:r>
        <w:r w:rsidR="00BA49F6">
          <w:rPr>
            <w:noProof/>
            <w:webHidden/>
          </w:rPr>
        </w:r>
        <w:r w:rsidR="00BA49F6">
          <w:rPr>
            <w:noProof/>
            <w:webHidden/>
          </w:rPr>
          <w:fldChar w:fldCharType="separate"/>
        </w:r>
        <w:r>
          <w:rPr>
            <w:noProof/>
            <w:webHidden/>
          </w:rPr>
          <w:t>51</w:t>
        </w:r>
        <w:r w:rsidR="00BA49F6">
          <w:rPr>
            <w:noProof/>
            <w:webHidden/>
          </w:rPr>
          <w:fldChar w:fldCharType="end"/>
        </w:r>
      </w:hyperlink>
    </w:p>
    <w:p w14:paraId="68E1566C" w14:textId="77777777" w:rsidR="00BA49F6" w:rsidRDefault="0006479A">
      <w:pPr>
        <w:pStyle w:val="TOC3"/>
        <w:rPr>
          <w:rFonts w:asciiTheme="minorHAnsi" w:eastAsiaTheme="minorEastAsia" w:hAnsiTheme="minorHAnsi" w:cstheme="minorBidi"/>
          <w:noProof/>
          <w:sz w:val="22"/>
          <w:szCs w:val="22"/>
          <w:lang w:eastAsia="ja-JP"/>
        </w:rPr>
      </w:pPr>
      <w:hyperlink w:anchor="_Toc462738005" w:history="1">
        <w:r w:rsidR="00BA49F6" w:rsidRPr="00C04923">
          <w:rPr>
            <w:rStyle w:val="Hyperlink"/>
            <w:noProof/>
          </w:rPr>
          <w:t>How should we be measuring harm?</w:t>
        </w:r>
        <w:r w:rsidR="00BA49F6">
          <w:rPr>
            <w:noProof/>
            <w:webHidden/>
          </w:rPr>
          <w:tab/>
        </w:r>
        <w:r w:rsidR="00BA49F6">
          <w:rPr>
            <w:noProof/>
            <w:webHidden/>
          </w:rPr>
          <w:fldChar w:fldCharType="begin"/>
        </w:r>
        <w:r w:rsidR="00BA49F6">
          <w:rPr>
            <w:noProof/>
            <w:webHidden/>
          </w:rPr>
          <w:instrText xml:space="preserve"> PAGEREF _Toc462738005 \h </w:instrText>
        </w:r>
        <w:r w:rsidR="00BA49F6">
          <w:rPr>
            <w:noProof/>
            <w:webHidden/>
          </w:rPr>
        </w:r>
        <w:r w:rsidR="00BA49F6">
          <w:rPr>
            <w:noProof/>
            <w:webHidden/>
          </w:rPr>
          <w:fldChar w:fldCharType="separate"/>
        </w:r>
        <w:r>
          <w:rPr>
            <w:noProof/>
            <w:webHidden/>
          </w:rPr>
          <w:t>52</w:t>
        </w:r>
        <w:r w:rsidR="00BA49F6">
          <w:rPr>
            <w:noProof/>
            <w:webHidden/>
          </w:rPr>
          <w:fldChar w:fldCharType="end"/>
        </w:r>
      </w:hyperlink>
    </w:p>
    <w:p w14:paraId="27BD5832"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06" w:history="1">
        <w:r w:rsidR="00BA49F6" w:rsidRPr="00C04923">
          <w:rPr>
            <w:rStyle w:val="Hyperlink"/>
            <w:noProof/>
          </w:rPr>
          <w:t>Summary</w:t>
        </w:r>
        <w:r w:rsidR="00BA49F6">
          <w:rPr>
            <w:noProof/>
            <w:webHidden/>
          </w:rPr>
          <w:tab/>
        </w:r>
        <w:r w:rsidR="00BA49F6">
          <w:rPr>
            <w:noProof/>
            <w:webHidden/>
          </w:rPr>
          <w:fldChar w:fldCharType="begin"/>
        </w:r>
        <w:r w:rsidR="00BA49F6">
          <w:rPr>
            <w:noProof/>
            <w:webHidden/>
          </w:rPr>
          <w:instrText xml:space="preserve"> PAGEREF _Toc462738006 \h </w:instrText>
        </w:r>
        <w:r w:rsidR="00BA49F6">
          <w:rPr>
            <w:noProof/>
            <w:webHidden/>
          </w:rPr>
        </w:r>
        <w:r w:rsidR="00BA49F6">
          <w:rPr>
            <w:noProof/>
            <w:webHidden/>
          </w:rPr>
          <w:fldChar w:fldCharType="separate"/>
        </w:r>
        <w:r>
          <w:rPr>
            <w:noProof/>
            <w:webHidden/>
          </w:rPr>
          <w:t>54</w:t>
        </w:r>
        <w:r w:rsidR="00BA49F6">
          <w:rPr>
            <w:noProof/>
            <w:webHidden/>
          </w:rPr>
          <w:fldChar w:fldCharType="end"/>
        </w:r>
      </w:hyperlink>
    </w:p>
    <w:p w14:paraId="25ED3362"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8007" w:history="1">
        <w:r w:rsidR="00BA49F6" w:rsidRPr="00C04923">
          <w:rPr>
            <w:rStyle w:val="Hyperlink"/>
          </w:rPr>
          <w:t>A definition, conceptual framework, and taxonomy of harms</w:t>
        </w:r>
        <w:r w:rsidR="00BA49F6">
          <w:rPr>
            <w:webHidden/>
          </w:rPr>
          <w:tab/>
        </w:r>
        <w:r w:rsidR="00BA49F6">
          <w:rPr>
            <w:webHidden/>
          </w:rPr>
          <w:fldChar w:fldCharType="begin"/>
        </w:r>
        <w:r w:rsidR="00BA49F6">
          <w:rPr>
            <w:webHidden/>
          </w:rPr>
          <w:instrText xml:space="preserve"> PAGEREF _Toc462738007 \h </w:instrText>
        </w:r>
        <w:r w:rsidR="00BA49F6">
          <w:rPr>
            <w:webHidden/>
          </w:rPr>
        </w:r>
        <w:r w:rsidR="00BA49F6">
          <w:rPr>
            <w:webHidden/>
          </w:rPr>
          <w:fldChar w:fldCharType="separate"/>
        </w:r>
        <w:r>
          <w:rPr>
            <w:webHidden/>
          </w:rPr>
          <w:t>55</w:t>
        </w:r>
        <w:r w:rsidR="00BA49F6">
          <w:rPr>
            <w:webHidden/>
          </w:rPr>
          <w:fldChar w:fldCharType="end"/>
        </w:r>
      </w:hyperlink>
    </w:p>
    <w:p w14:paraId="17D8F971"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08" w:history="1">
        <w:r w:rsidR="00BA49F6" w:rsidRPr="00C04923">
          <w:rPr>
            <w:rStyle w:val="Hyperlink"/>
            <w:noProof/>
          </w:rPr>
          <w:t>Aims and objectives</w:t>
        </w:r>
        <w:r w:rsidR="00BA49F6">
          <w:rPr>
            <w:noProof/>
            <w:webHidden/>
          </w:rPr>
          <w:tab/>
        </w:r>
        <w:r w:rsidR="00BA49F6">
          <w:rPr>
            <w:noProof/>
            <w:webHidden/>
          </w:rPr>
          <w:fldChar w:fldCharType="begin"/>
        </w:r>
        <w:r w:rsidR="00BA49F6">
          <w:rPr>
            <w:noProof/>
            <w:webHidden/>
          </w:rPr>
          <w:instrText xml:space="preserve"> PAGEREF _Toc462738008 \h </w:instrText>
        </w:r>
        <w:r w:rsidR="00BA49F6">
          <w:rPr>
            <w:noProof/>
            <w:webHidden/>
          </w:rPr>
        </w:r>
        <w:r w:rsidR="00BA49F6">
          <w:rPr>
            <w:noProof/>
            <w:webHidden/>
          </w:rPr>
          <w:fldChar w:fldCharType="separate"/>
        </w:r>
        <w:r>
          <w:rPr>
            <w:noProof/>
            <w:webHidden/>
          </w:rPr>
          <w:t>55</w:t>
        </w:r>
        <w:r w:rsidR="00BA49F6">
          <w:rPr>
            <w:noProof/>
            <w:webHidden/>
          </w:rPr>
          <w:fldChar w:fldCharType="end"/>
        </w:r>
      </w:hyperlink>
    </w:p>
    <w:p w14:paraId="79E6186C"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09" w:history="1">
        <w:r w:rsidR="00BA49F6" w:rsidRPr="00C04923">
          <w:rPr>
            <w:rStyle w:val="Hyperlink"/>
            <w:noProof/>
          </w:rPr>
          <w:t>Background</w:t>
        </w:r>
        <w:r w:rsidR="00BA49F6">
          <w:rPr>
            <w:noProof/>
            <w:webHidden/>
          </w:rPr>
          <w:tab/>
        </w:r>
        <w:r w:rsidR="00BA49F6">
          <w:rPr>
            <w:noProof/>
            <w:webHidden/>
          </w:rPr>
          <w:fldChar w:fldCharType="begin"/>
        </w:r>
        <w:r w:rsidR="00BA49F6">
          <w:rPr>
            <w:noProof/>
            <w:webHidden/>
          </w:rPr>
          <w:instrText xml:space="preserve"> PAGEREF _Toc462738009 \h </w:instrText>
        </w:r>
        <w:r w:rsidR="00BA49F6">
          <w:rPr>
            <w:noProof/>
            <w:webHidden/>
          </w:rPr>
        </w:r>
        <w:r w:rsidR="00BA49F6">
          <w:rPr>
            <w:noProof/>
            <w:webHidden/>
          </w:rPr>
          <w:fldChar w:fldCharType="separate"/>
        </w:r>
        <w:r>
          <w:rPr>
            <w:noProof/>
            <w:webHidden/>
          </w:rPr>
          <w:t>55</w:t>
        </w:r>
        <w:r w:rsidR="00BA49F6">
          <w:rPr>
            <w:noProof/>
            <w:webHidden/>
          </w:rPr>
          <w:fldChar w:fldCharType="end"/>
        </w:r>
      </w:hyperlink>
    </w:p>
    <w:p w14:paraId="0B43E62B" w14:textId="77777777" w:rsidR="00BA49F6" w:rsidRDefault="0006479A">
      <w:pPr>
        <w:pStyle w:val="TOC3"/>
        <w:rPr>
          <w:rFonts w:asciiTheme="minorHAnsi" w:eastAsiaTheme="minorEastAsia" w:hAnsiTheme="minorHAnsi" w:cstheme="minorBidi"/>
          <w:noProof/>
          <w:sz w:val="22"/>
          <w:szCs w:val="22"/>
          <w:lang w:eastAsia="ja-JP"/>
        </w:rPr>
      </w:pPr>
      <w:hyperlink w:anchor="_Toc462738010" w:history="1">
        <w:r w:rsidR="00BA49F6" w:rsidRPr="00C04923">
          <w:rPr>
            <w:rStyle w:val="Hyperlink"/>
            <w:noProof/>
          </w:rPr>
          <w:t>Positioning gambling-related harm as an outcome</w:t>
        </w:r>
        <w:r w:rsidR="00BA49F6">
          <w:rPr>
            <w:noProof/>
            <w:webHidden/>
          </w:rPr>
          <w:tab/>
        </w:r>
        <w:r w:rsidR="00BA49F6">
          <w:rPr>
            <w:noProof/>
            <w:webHidden/>
          </w:rPr>
          <w:fldChar w:fldCharType="begin"/>
        </w:r>
        <w:r w:rsidR="00BA49F6">
          <w:rPr>
            <w:noProof/>
            <w:webHidden/>
          </w:rPr>
          <w:instrText xml:space="preserve"> PAGEREF _Toc462738010 \h </w:instrText>
        </w:r>
        <w:r w:rsidR="00BA49F6">
          <w:rPr>
            <w:noProof/>
            <w:webHidden/>
          </w:rPr>
        </w:r>
        <w:r w:rsidR="00BA49F6">
          <w:rPr>
            <w:noProof/>
            <w:webHidden/>
          </w:rPr>
          <w:fldChar w:fldCharType="separate"/>
        </w:r>
        <w:r>
          <w:rPr>
            <w:noProof/>
            <w:webHidden/>
          </w:rPr>
          <w:t>56</w:t>
        </w:r>
        <w:r w:rsidR="00BA49F6">
          <w:rPr>
            <w:noProof/>
            <w:webHidden/>
          </w:rPr>
          <w:fldChar w:fldCharType="end"/>
        </w:r>
      </w:hyperlink>
    </w:p>
    <w:p w14:paraId="46E1A7B5" w14:textId="77777777" w:rsidR="00BA49F6" w:rsidRDefault="0006479A">
      <w:pPr>
        <w:pStyle w:val="TOC3"/>
        <w:rPr>
          <w:rFonts w:asciiTheme="minorHAnsi" w:eastAsiaTheme="minorEastAsia" w:hAnsiTheme="minorHAnsi" w:cstheme="minorBidi"/>
          <w:noProof/>
          <w:sz w:val="22"/>
          <w:szCs w:val="22"/>
          <w:lang w:eastAsia="ja-JP"/>
        </w:rPr>
      </w:pPr>
      <w:hyperlink w:anchor="_Toc462738011" w:history="1">
        <w:r w:rsidR="00BA49F6" w:rsidRPr="00C04923">
          <w:rPr>
            <w:rStyle w:val="Hyperlink"/>
            <w:noProof/>
          </w:rPr>
          <w:t>Measuring gambling-related harm by its levels and mechanisms</w:t>
        </w:r>
        <w:r w:rsidR="00BA49F6">
          <w:rPr>
            <w:noProof/>
            <w:webHidden/>
          </w:rPr>
          <w:tab/>
        </w:r>
        <w:r w:rsidR="00BA49F6">
          <w:rPr>
            <w:noProof/>
            <w:webHidden/>
          </w:rPr>
          <w:fldChar w:fldCharType="begin"/>
        </w:r>
        <w:r w:rsidR="00BA49F6">
          <w:rPr>
            <w:noProof/>
            <w:webHidden/>
          </w:rPr>
          <w:instrText xml:space="preserve"> PAGEREF _Toc462738011 \h </w:instrText>
        </w:r>
        <w:r w:rsidR="00BA49F6">
          <w:rPr>
            <w:noProof/>
            <w:webHidden/>
          </w:rPr>
        </w:r>
        <w:r w:rsidR="00BA49F6">
          <w:rPr>
            <w:noProof/>
            <w:webHidden/>
          </w:rPr>
          <w:fldChar w:fldCharType="separate"/>
        </w:r>
        <w:r>
          <w:rPr>
            <w:noProof/>
            <w:webHidden/>
          </w:rPr>
          <w:t>56</w:t>
        </w:r>
        <w:r w:rsidR="00BA49F6">
          <w:rPr>
            <w:noProof/>
            <w:webHidden/>
          </w:rPr>
          <w:fldChar w:fldCharType="end"/>
        </w:r>
      </w:hyperlink>
    </w:p>
    <w:p w14:paraId="59EBAB69" w14:textId="77777777" w:rsidR="00BA49F6" w:rsidRDefault="0006479A">
      <w:pPr>
        <w:pStyle w:val="TOC3"/>
        <w:rPr>
          <w:rFonts w:asciiTheme="minorHAnsi" w:eastAsiaTheme="minorEastAsia" w:hAnsiTheme="minorHAnsi" w:cstheme="minorBidi"/>
          <w:noProof/>
          <w:sz w:val="22"/>
          <w:szCs w:val="22"/>
          <w:lang w:eastAsia="ja-JP"/>
        </w:rPr>
      </w:pPr>
      <w:hyperlink w:anchor="_Toc462738012" w:history="1">
        <w:r w:rsidR="00BA49F6" w:rsidRPr="00C04923">
          <w:rPr>
            <w:rStyle w:val="Hyperlink"/>
            <w:noProof/>
          </w:rPr>
          <w:t>Defining gambling-related harm</w:t>
        </w:r>
        <w:r w:rsidR="00BA49F6">
          <w:rPr>
            <w:noProof/>
            <w:webHidden/>
          </w:rPr>
          <w:tab/>
        </w:r>
        <w:r w:rsidR="00BA49F6">
          <w:rPr>
            <w:noProof/>
            <w:webHidden/>
          </w:rPr>
          <w:fldChar w:fldCharType="begin"/>
        </w:r>
        <w:r w:rsidR="00BA49F6">
          <w:rPr>
            <w:noProof/>
            <w:webHidden/>
          </w:rPr>
          <w:instrText xml:space="preserve"> PAGEREF _Toc462738012 \h </w:instrText>
        </w:r>
        <w:r w:rsidR="00BA49F6">
          <w:rPr>
            <w:noProof/>
            <w:webHidden/>
          </w:rPr>
        </w:r>
        <w:r w:rsidR="00BA49F6">
          <w:rPr>
            <w:noProof/>
            <w:webHidden/>
          </w:rPr>
          <w:fldChar w:fldCharType="separate"/>
        </w:r>
        <w:r>
          <w:rPr>
            <w:noProof/>
            <w:webHidden/>
          </w:rPr>
          <w:t>57</w:t>
        </w:r>
        <w:r w:rsidR="00BA49F6">
          <w:rPr>
            <w:noProof/>
            <w:webHidden/>
          </w:rPr>
          <w:fldChar w:fldCharType="end"/>
        </w:r>
      </w:hyperlink>
    </w:p>
    <w:p w14:paraId="411BC11F" w14:textId="77777777" w:rsidR="00BA49F6" w:rsidRDefault="0006479A">
      <w:pPr>
        <w:pStyle w:val="TOC3"/>
        <w:rPr>
          <w:rFonts w:asciiTheme="minorHAnsi" w:eastAsiaTheme="minorEastAsia" w:hAnsiTheme="minorHAnsi" w:cstheme="minorBidi"/>
          <w:noProof/>
          <w:sz w:val="22"/>
          <w:szCs w:val="22"/>
          <w:lang w:eastAsia="ja-JP"/>
        </w:rPr>
      </w:pPr>
      <w:hyperlink w:anchor="_Toc462738013" w:history="1">
        <w:r w:rsidR="00BA49F6" w:rsidRPr="00C04923">
          <w:rPr>
            <w:rStyle w:val="Hyperlink"/>
            <w:noProof/>
          </w:rPr>
          <w:t>Conceptualising gambling-related harm</w:t>
        </w:r>
        <w:r w:rsidR="00BA49F6">
          <w:rPr>
            <w:noProof/>
            <w:webHidden/>
          </w:rPr>
          <w:tab/>
        </w:r>
        <w:r w:rsidR="00BA49F6">
          <w:rPr>
            <w:noProof/>
            <w:webHidden/>
          </w:rPr>
          <w:fldChar w:fldCharType="begin"/>
        </w:r>
        <w:r w:rsidR="00BA49F6">
          <w:rPr>
            <w:noProof/>
            <w:webHidden/>
          </w:rPr>
          <w:instrText xml:space="preserve"> PAGEREF _Toc462738013 \h </w:instrText>
        </w:r>
        <w:r w:rsidR="00BA49F6">
          <w:rPr>
            <w:noProof/>
            <w:webHidden/>
          </w:rPr>
        </w:r>
        <w:r w:rsidR="00BA49F6">
          <w:rPr>
            <w:noProof/>
            <w:webHidden/>
          </w:rPr>
          <w:fldChar w:fldCharType="separate"/>
        </w:r>
        <w:r>
          <w:rPr>
            <w:noProof/>
            <w:webHidden/>
          </w:rPr>
          <w:t>57</w:t>
        </w:r>
        <w:r w:rsidR="00BA49F6">
          <w:rPr>
            <w:noProof/>
            <w:webHidden/>
          </w:rPr>
          <w:fldChar w:fldCharType="end"/>
        </w:r>
      </w:hyperlink>
    </w:p>
    <w:p w14:paraId="60CCA444" w14:textId="77777777" w:rsidR="00BA49F6" w:rsidRDefault="0006479A">
      <w:pPr>
        <w:pStyle w:val="TOC3"/>
        <w:rPr>
          <w:rFonts w:asciiTheme="minorHAnsi" w:eastAsiaTheme="minorEastAsia" w:hAnsiTheme="minorHAnsi" w:cstheme="minorBidi"/>
          <w:noProof/>
          <w:sz w:val="22"/>
          <w:szCs w:val="22"/>
          <w:lang w:eastAsia="ja-JP"/>
        </w:rPr>
      </w:pPr>
      <w:hyperlink w:anchor="_Toc462738014" w:history="1">
        <w:r w:rsidR="00BA49F6" w:rsidRPr="00C04923">
          <w:rPr>
            <w:rStyle w:val="Hyperlink"/>
            <w:noProof/>
          </w:rPr>
          <w:t>Enumerating gambling-related harm</w:t>
        </w:r>
        <w:r w:rsidR="00BA49F6">
          <w:rPr>
            <w:noProof/>
            <w:webHidden/>
          </w:rPr>
          <w:tab/>
        </w:r>
        <w:r w:rsidR="00BA49F6">
          <w:rPr>
            <w:noProof/>
            <w:webHidden/>
          </w:rPr>
          <w:fldChar w:fldCharType="begin"/>
        </w:r>
        <w:r w:rsidR="00BA49F6">
          <w:rPr>
            <w:noProof/>
            <w:webHidden/>
          </w:rPr>
          <w:instrText xml:space="preserve"> PAGEREF _Toc462738014 \h </w:instrText>
        </w:r>
        <w:r w:rsidR="00BA49F6">
          <w:rPr>
            <w:noProof/>
            <w:webHidden/>
          </w:rPr>
        </w:r>
        <w:r w:rsidR="00BA49F6">
          <w:rPr>
            <w:noProof/>
            <w:webHidden/>
          </w:rPr>
          <w:fldChar w:fldCharType="separate"/>
        </w:r>
        <w:r>
          <w:rPr>
            <w:noProof/>
            <w:webHidden/>
          </w:rPr>
          <w:t>59</w:t>
        </w:r>
        <w:r w:rsidR="00BA49F6">
          <w:rPr>
            <w:noProof/>
            <w:webHidden/>
          </w:rPr>
          <w:fldChar w:fldCharType="end"/>
        </w:r>
      </w:hyperlink>
    </w:p>
    <w:p w14:paraId="25C6B506"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15" w:history="1">
        <w:r w:rsidR="00BA49F6" w:rsidRPr="00C04923">
          <w:rPr>
            <w:rStyle w:val="Hyperlink"/>
            <w:noProof/>
          </w:rPr>
          <w:t>Methods</w:t>
        </w:r>
        <w:r w:rsidR="00BA49F6">
          <w:rPr>
            <w:noProof/>
            <w:webHidden/>
          </w:rPr>
          <w:tab/>
        </w:r>
        <w:r w:rsidR="00BA49F6">
          <w:rPr>
            <w:noProof/>
            <w:webHidden/>
          </w:rPr>
          <w:fldChar w:fldCharType="begin"/>
        </w:r>
        <w:r w:rsidR="00BA49F6">
          <w:rPr>
            <w:noProof/>
            <w:webHidden/>
          </w:rPr>
          <w:instrText xml:space="preserve"> PAGEREF _Toc462738015 \h </w:instrText>
        </w:r>
        <w:r w:rsidR="00BA49F6">
          <w:rPr>
            <w:noProof/>
            <w:webHidden/>
          </w:rPr>
        </w:r>
        <w:r w:rsidR="00BA49F6">
          <w:rPr>
            <w:noProof/>
            <w:webHidden/>
          </w:rPr>
          <w:fldChar w:fldCharType="separate"/>
        </w:r>
        <w:r>
          <w:rPr>
            <w:noProof/>
            <w:webHidden/>
          </w:rPr>
          <w:t>59</w:t>
        </w:r>
        <w:r w:rsidR="00BA49F6">
          <w:rPr>
            <w:noProof/>
            <w:webHidden/>
          </w:rPr>
          <w:fldChar w:fldCharType="end"/>
        </w:r>
      </w:hyperlink>
    </w:p>
    <w:p w14:paraId="531B655F" w14:textId="77777777" w:rsidR="00BA49F6" w:rsidRDefault="0006479A">
      <w:pPr>
        <w:pStyle w:val="TOC3"/>
        <w:rPr>
          <w:rFonts w:asciiTheme="minorHAnsi" w:eastAsiaTheme="minorEastAsia" w:hAnsiTheme="minorHAnsi" w:cstheme="minorBidi"/>
          <w:noProof/>
          <w:sz w:val="22"/>
          <w:szCs w:val="22"/>
          <w:lang w:eastAsia="ja-JP"/>
        </w:rPr>
      </w:pPr>
      <w:hyperlink w:anchor="_Toc462738016" w:history="1">
        <w:r w:rsidR="00BA49F6" w:rsidRPr="00C04923">
          <w:rPr>
            <w:rStyle w:val="Hyperlink"/>
            <w:noProof/>
          </w:rPr>
          <w:t>Study method</w:t>
        </w:r>
        <w:r w:rsidR="00BA49F6">
          <w:rPr>
            <w:noProof/>
            <w:webHidden/>
          </w:rPr>
          <w:tab/>
        </w:r>
        <w:r w:rsidR="00BA49F6">
          <w:rPr>
            <w:noProof/>
            <w:webHidden/>
          </w:rPr>
          <w:fldChar w:fldCharType="begin"/>
        </w:r>
        <w:r w:rsidR="00BA49F6">
          <w:rPr>
            <w:noProof/>
            <w:webHidden/>
          </w:rPr>
          <w:instrText xml:space="preserve"> PAGEREF _Toc462738016 \h </w:instrText>
        </w:r>
        <w:r w:rsidR="00BA49F6">
          <w:rPr>
            <w:noProof/>
            <w:webHidden/>
          </w:rPr>
        </w:r>
        <w:r w:rsidR="00BA49F6">
          <w:rPr>
            <w:noProof/>
            <w:webHidden/>
          </w:rPr>
          <w:fldChar w:fldCharType="separate"/>
        </w:r>
        <w:r>
          <w:rPr>
            <w:noProof/>
            <w:webHidden/>
          </w:rPr>
          <w:t>59</w:t>
        </w:r>
        <w:r w:rsidR="00BA49F6">
          <w:rPr>
            <w:noProof/>
            <w:webHidden/>
          </w:rPr>
          <w:fldChar w:fldCharType="end"/>
        </w:r>
      </w:hyperlink>
    </w:p>
    <w:p w14:paraId="5D0CBE35" w14:textId="77777777" w:rsidR="00BA49F6" w:rsidRDefault="0006479A">
      <w:pPr>
        <w:pStyle w:val="TOC3"/>
        <w:rPr>
          <w:rFonts w:asciiTheme="minorHAnsi" w:eastAsiaTheme="minorEastAsia" w:hAnsiTheme="minorHAnsi" w:cstheme="minorBidi"/>
          <w:noProof/>
          <w:sz w:val="22"/>
          <w:szCs w:val="22"/>
          <w:lang w:eastAsia="ja-JP"/>
        </w:rPr>
      </w:pPr>
      <w:hyperlink w:anchor="_Toc462738017" w:history="1">
        <w:r w:rsidR="00BA49F6" w:rsidRPr="00C04923">
          <w:rPr>
            <w:rStyle w:val="Hyperlink"/>
            <w:noProof/>
          </w:rPr>
          <w:t>Participant recruitment</w:t>
        </w:r>
        <w:r w:rsidR="00BA49F6">
          <w:rPr>
            <w:noProof/>
            <w:webHidden/>
          </w:rPr>
          <w:tab/>
        </w:r>
        <w:r w:rsidR="00BA49F6">
          <w:rPr>
            <w:noProof/>
            <w:webHidden/>
          </w:rPr>
          <w:fldChar w:fldCharType="begin"/>
        </w:r>
        <w:r w:rsidR="00BA49F6">
          <w:rPr>
            <w:noProof/>
            <w:webHidden/>
          </w:rPr>
          <w:instrText xml:space="preserve"> PAGEREF _Toc462738017 \h </w:instrText>
        </w:r>
        <w:r w:rsidR="00BA49F6">
          <w:rPr>
            <w:noProof/>
            <w:webHidden/>
          </w:rPr>
        </w:r>
        <w:r w:rsidR="00BA49F6">
          <w:rPr>
            <w:noProof/>
            <w:webHidden/>
          </w:rPr>
          <w:fldChar w:fldCharType="separate"/>
        </w:r>
        <w:r>
          <w:rPr>
            <w:noProof/>
            <w:webHidden/>
          </w:rPr>
          <w:t>59</w:t>
        </w:r>
        <w:r w:rsidR="00BA49F6">
          <w:rPr>
            <w:noProof/>
            <w:webHidden/>
          </w:rPr>
          <w:fldChar w:fldCharType="end"/>
        </w:r>
      </w:hyperlink>
    </w:p>
    <w:p w14:paraId="4CE9E925" w14:textId="77777777" w:rsidR="00BA49F6" w:rsidRDefault="0006479A">
      <w:pPr>
        <w:pStyle w:val="TOC3"/>
        <w:rPr>
          <w:rFonts w:asciiTheme="minorHAnsi" w:eastAsiaTheme="minorEastAsia" w:hAnsiTheme="minorHAnsi" w:cstheme="minorBidi"/>
          <w:noProof/>
          <w:sz w:val="22"/>
          <w:szCs w:val="22"/>
          <w:lang w:eastAsia="ja-JP"/>
        </w:rPr>
      </w:pPr>
      <w:hyperlink w:anchor="_Toc462738018" w:history="1">
        <w:r w:rsidR="00BA49F6" w:rsidRPr="00C04923">
          <w:rPr>
            <w:rStyle w:val="Hyperlink"/>
            <w:noProof/>
          </w:rPr>
          <w:t>Analysis</w:t>
        </w:r>
        <w:r w:rsidR="00BA49F6">
          <w:rPr>
            <w:noProof/>
            <w:webHidden/>
          </w:rPr>
          <w:tab/>
        </w:r>
        <w:r w:rsidR="00BA49F6">
          <w:rPr>
            <w:noProof/>
            <w:webHidden/>
          </w:rPr>
          <w:fldChar w:fldCharType="begin"/>
        </w:r>
        <w:r w:rsidR="00BA49F6">
          <w:rPr>
            <w:noProof/>
            <w:webHidden/>
          </w:rPr>
          <w:instrText xml:space="preserve"> PAGEREF _Toc462738018 \h </w:instrText>
        </w:r>
        <w:r w:rsidR="00BA49F6">
          <w:rPr>
            <w:noProof/>
            <w:webHidden/>
          </w:rPr>
        </w:r>
        <w:r w:rsidR="00BA49F6">
          <w:rPr>
            <w:noProof/>
            <w:webHidden/>
          </w:rPr>
          <w:fldChar w:fldCharType="separate"/>
        </w:r>
        <w:r>
          <w:rPr>
            <w:noProof/>
            <w:webHidden/>
          </w:rPr>
          <w:t>62</w:t>
        </w:r>
        <w:r w:rsidR="00BA49F6">
          <w:rPr>
            <w:noProof/>
            <w:webHidden/>
          </w:rPr>
          <w:fldChar w:fldCharType="end"/>
        </w:r>
      </w:hyperlink>
    </w:p>
    <w:p w14:paraId="44A20DE1"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19" w:history="1">
        <w:r w:rsidR="00BA49F6" w:rsidRPr="00C04923">
          <w:rPr>
            <w:rStyle w:val="Hyperlink"/>
            <w:noProof/>
          </w:rPr>
          <w:t>Findings specific to the objectives for this phase:</w:t>
        </w:r>
        <w:r w:rsidR="00BA49F6">
          <w:rPr>
            <w:noProof/>
            <w:webHidden/>
          </w:rPr>
          <w:tab/>
        </w:r>
        <w:r w:rsidR="00BA49F6">
          <w:rPr>
            <w:noProof/>
            <w:webHidden/>
          </w:rPr>
          <w:fldChar w:fldCharType="begin"/>
        </w:r>
        <w:r w:rsidR="00BA49F6">
          <w:rPr>
            <w:noProof/>
            <w:webHidden/>
          </w:rPr>
          <w:instrText xml:space="preserve"> PAGEREF _Toc462738019 \h </w:instrText>
        </w:r>
        <w:r w:rsidR="00BA49F6">
          <w:rPr>
            <w:noProof/>
            <w:webHidden/>
          </w:rPr>
        </w:r>
        <w:r w:rsidR="00BA49F6">
          <w:rPr>
            <w:noProof/>
            <w:webHidden/>
          </w:rPr>
          <w:fldChar w:fldCharType="separate"/>
        </w:r>
        <w:r>
          <w:rPr>
            <w:noProof/>
            <w:webHidden/>
          </w:rPr>
          <w:t>64</w:t>
        </w:r>
        <w:r w:rsidR="00BA49F6">
          <w:rPr>
            <w:noProof/>
            <w:webHidden/>
          </w:rPr>
          <w:fldChar w:fldCharType="end"/>
        </w:r>
      </w:hyperlink>
    </w:p>
    <w:p w14:paraId="17FB37A0" w14:textId="77777777" w:rsidR="00BA49F6" w:rsidRDefault="0006479A">
      <w:pPr>
        <w:pStyle w:val="TOC3"/>
        <w:rPr>
          <w:rFonts w:asciiTheme="minorHAnsi" w:eastAsiaTheme="minorEastAsia" w:hAnsiTheme="minorHAnsi" w:cstheme="minorBidi"/>
          <w:noProof/>
          <w:sz w:val="22"/>
          <w:szCs w:val="22"/>
          <w:lang w:eastAsia="ja-JP"/>
        </w:rPr>
      </w:pPr>
      <w:hyperlink w:anchor="_Toc462738020" w:history="1">
        <w:r w:rsidR="00BA49F6" w:rsidRPr="00C04923">
          <w:rPr>
            <w:rStyle w:val="Hyperlink"/>
            <w:noProof/>
          </w:rPr>
          <w:t>Definition of gambling-related harm</w:t>
        </w:r>
        <w:r w:rsidR="00BA49F6">
          <w:rPr>
            <w:noProof/>
            <w:webHidden/>
          </w:rPr>
          <w:tab/>
        </w:r>
        <w:r w:rsidR="00BA49F6">
          <w:rPr>
            <w:noProof/>
            <w:webHidden/>
          </w:rPr>
          <w:fldChar w:fldCharType="begin"/>
        </w:r>
        <w:r w:rsidR="00BA49F6">
          <w:rPr>
            <w:noProof/>
            <w:webHidden/>
          </w:rPr>
          <w:instrText xml:space="preserve"> PAGEREF _Toc462738020 \h </w:instrText>
        </w:r>
        <w:r w:rsidR="00BA49F6">
          <w:rPr>
            <w:noProof/>
            <w:webHidden/>
          </w:rPr>
        </w:r>
        <w:r w:rsidR="00BA49F6">
          <w:rPr>
            <w:noProof/>
            <w:webHidden/>
          </w:rPr>
          <w:fldChar w:fldCharType="separate"/>
        </w:r>
        <w:r>
          <w:rPr>
            <w:noProof/>
            <w:webHidden/>
          </w:rPr>
          <w:t>64</w:t>
        </w:r>
        <w:r w:rsidR="00BA49F6">
          <w:rPr>
            <w:noProof/>
            <w:webHidden/>
          </w:rPr>
          <w:fldChar w:fldCharType="end"/>
        </w:r>
      </w:hyperlink>
    </w:p>
    <w:p w14:paraId="1B91A229" w14:textId="77777777" w:rsidR="00BA49F6" w:rsidRDefault="0006479A">
      <w:pPr>
        <w:pStyle w:val="TOC3"/>
        <w:rPr>
          <w:rFonts w:asciiTheme="minorHAnsi" w:eastAsiaTheme="minorEastAsia" w:hAnsiTheme="minorHAnsi" w:cstheme="minorBidi"/>
          <w:noProof/>
          <w:sz w:val="22"/>
          <w:szCs w:val="22"/>
          <w:lang w:eastAsia="ja-JP"/>
        </w:rPr>
      </w:pPr>
      <w:hyperlink w:anchor="_Toc462738021" w:history="1">
        <w:r w:rsidR="00BA49F6" w:rsidRPr="00C04923">
          <w:rPr>
            <w:rStyle w:val="Hyperlink"/>
            <w:noProof/>
          </w:rPr>
          <w:t>Refinement of the conceptual framework and development of a taxonomy of harms</w:t>
        </w:r>
        <w:r w:rsidR="00BA49F6">
          <w:rPr>
            <w:noProof/>
            <w:webHidden/>
          </w:rPr>
          <w:tab/>
        </w:r>
        <w:r w:rsidR="00BA49F6">
          <w:rPr>
            <w:noProof/>
            <w:webHidden/>
          </w:rPr>
          <w:fldChar w:fldCharType="begin"/>
        </w:r>
        <w:r w:rsidR="00BA49F6">
          <w:rPr>
            <w:noProof/>
            <w:webHidden/>
          </w:rPr>
          <w:instrText xml:space="preserve"> PAGEREF _Toc462738021 \h </w:instrText>
        </w:r>
        <w:r w:rsidR="00BA49F6">
          <w:rPr>
            <w:noProof/>
            <w:webHidden/>
          </w:rPr>
        </w:r>
        <w:r w:rsidR="00BA49F6">
          <w:rPr>
            <w:noProof/>
            <w:webHidden/>
          </w:rPr>
          <w:fldChar w:fldCharType="separate"/>
        </w:r>
        <w:r>
          <w:rPr>
            <w:noProof/>
            <w:webHidden/>
          </w:rPr>
          <w:t>64</w:t>
        </w:r>
        <w:r w:rsidR="00BA49F6">
          <w:rPr>
            <w:noProof/>
            <w:webHidden/>
          </w:rPr>
          <w:fldChar w:fldCharType="end"/>
        </w:r>
      </w:hyperlink>
    </w:p>
    <w:p w14:paraId="3D06B8BD" w14:textId="77777777" w:rsidR="00BA49F6" w:rsidRDefault="0006479A">
      <w:pPr>
        <w:pStyle w:val="TOC3"/>
        <w:rPr>
          <w:rFonts w:asciiTheme="minorHAnsi" w:eastAsiaTheme="minorEastAsia" w:hAnsiTheme="minorHAnsi" w:cstheme="minorBidi"/>
          <w:noProof/>
          <w:sz w:val="22"/>
          <w:szCs w:val="22"/>
          <w:lang w:eastAsia="ja-JP"/>
        </w:rPr>
      </w:pPr>
      <w:hyperlink w:anchor="_Toc462738022" w:history="1">
        <w:r w:rsidR="00BA49F6" w:rsidRPr="00C04923">
          <w:rPr>
            <w:rStyle w:val="Hyperlink"/>
            <w:noProof/>
          </w:rPr>
          <w:t>Gambling harms experienced in New Zealand</w:t>
        </w:r>
        <w:r w:rsidR="00BA49F6">
          <w:rPr>
            <w:noProof/>
            <w:webHidden/>
          </w:rPr>
          <w:tab/>
        </w:r>
        <w:r w:rsidR="00BA49F6">
          <w:rPr>
            <w:noProof/>
            <w:webHidden/>
          </w:rPr>
          <w:fldChar w:fldCharType="begin"/>
        </w:r>
        <w:r w:rsidR="00BA49F6">
          <w:rPr>
            <w:noProof/>
            <w:webHidden/>
          </w:rPr>
          <w:instrText xml:space="preserve"> PAGEREF _Toc462738022 \h </w:instrText>
        </w:r>
        <w:r w:rsidR="00BA49F6">
          <w:rPr>
            <w:noProof/>
            <w:webHidden/>
          </w:rPr>
        </w:r>
        <w:r w:rsidR="00BA49F6">
          <w:rPr>
            <w:noProof/>
            <w:webHidden/>
          </w:rPr>
          <w:fldChar w:fldCharType="separate"/>
        </w:r>
        <w:r>
          <w:rPr>
            <w:noProof/>
            <w:webHidden/>
          </w:rPr>
          <w:t>66</w:t>
        </w:r>
        <w:r w:rsidR="00BA49F6">
          <w:rPr>
            <w:noProof/>
            <w:webHidden/>
          </w:rPr>
          <w:fldChar w:fldCharType="end"/>
        </w:r>
      </w:hyperlink>
    </w:p>
    <w:p w14:paraId="45EA0D31"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23" w:history="1">
        <w:r w:rsidR="00BA49F6" w:rsidRPr="00C04923">
          <w:rPr>
            <w:rStyle w:val="Hyperlink"/>
            <w:noProof/>
          </w:rPr>
          <w:t>Cultural differences in the experience of gambling harm</w:t>
        </w:r>
        <w:r w:rsidR="00BA49F6">
          <w:rPr>
            <w:noProof/>
            <w:webHidden/>
          </w:rPr>
          <w:tab/>
        </w:r>
        <w:r w:rsidR="00BA49F6">
          <w:rPr>
            <w:noProof/>
            <w:webHidden/>
          </w:rPr>
          <w:fldChar w:fldCharType="begin"/>
        </w:r>
        <w:r w:rsidR="00BA49F6">
          <w:rPr>
            <w:noProof/>
            <w:webHidden/>
          </w:rPr>
          <w:instrText xml:space="preserve"> PAGEREF _Toc462738023 \h </w:instrText>
        </w:r>
        <w:r w:rsidR="00BA49F6">
          <w:rPr>
            <w:noProof/>
            <w:webHidden/>
          </w:rPr>
        </w:r>
        <w:r w:rsidR="00BA49F6">
          <w:rPr>
            <w:noProof/>
            <w:webHidden/>
          </w:rPr>
          <w:fldChar w:fldCharType="separate"/>
        </w:r>
        <w:r>
          <w:rPr>
            <w:noProof/>
            <w:webHidden/>
          </w:rPr>
          <w:t>110</w:t>
        </w:r>
        <w:r w:rsidR="00BA49F6">
          <w:rPr>
            <w:noProof/>
            <w:webHidden/>
          </w:rPr>
          <w:fldChar w:fldCharType="end"/>
        </w:r>
      </w:hyperlink>
    </w:p>
    <w:p w14:paraId="3F08E52C" w14:textId="77777777" w:rsidR="00BA49F6" w:rsidRDefault="0006479A">
      <w:pPr>
        <w:pStyle w:val="TOC3"/>
        <w:rPr>
          <w:rFonts w:asciiTheme="minorHAnsi" w:eastAsiaTheme="minorEastAsia" w:hAnsiTheme="minorHAnsi" w:cstheme="minorBidi"/>
          <w:noProof/>
          <w:sz w:val="22"/>
          <w:szCs w:val="22"/>
          <w:lang w:eastAsia="ja-JP"/>
        </w:rPr>
      </w:pPr>
      <w:hyperlink w:anchor="_Toc462738024" w:history="1">
        <w:r w:rsidR="00BA49F6" w:rsidRPr="00C04923">
          <w:rPr>
            <w:rStyle w:val="Hyperlink"/>
            <w:noProof/>
          </w:rPr>
          <w:t>Inadvertent creation or enhancement of risk resulting from aspects of culture</w:t>
        </w:r>
        <w:r w:rsidR="00BA49F6">
          <w:rPr>
            <w:noProof/>
            <w:webHidden/>
          </w:rPr>
          <w:tab/>
        </w:r>
        <w:r w:rsidR="00BA49F6">
          <w:rPr>
            <w:noProof/>
            <w:webHidden/>
          </w:rPr>
          <w:fldChar w:fldCharType="begin"/>
        </w:r>
        <w:r w:rsidR="00BA49F6">
          <w:rPr>
            <w:noProof/>
            <w:webHidden/>
          </w:rPr>
          <w:instrText xml:space="preserve"> PAGEREF _Toc462738024 \h </w:instrText>
        </w:r>
        <w:r w:rsidR="00BA49F6">
          <w:rPr>
            <w:noProof/>
            <w:webHidden/>
          </w:rPr>
        </w:r>
        <w:r w:rsidR="00BA49F6">
          <w:rPr>
            <w:noProof/>
            <w:webHidden/>
          </w:rPr>
          <w:fldChar w:fldCharType="separate"/>
        </w:r>
        <w:r>
          <w:rPr>
            <w:noProof/>
            <w:webHidden/>
          </w:rPr>
          <w:t>110</w:t>
        </w:r>
        <w:r w:rsidR="00BA49F6">
          <w:rPr>
            <w:noProof/>
            <w:webHidden/>
          </w:rPr>
          <w:fldChar w:fldCharType="end"/>
        </w:r>
      </w:hyperlink>
    </w:p>
    <w:p w14:paraId="534C90B1" w14:textId="77777777" w:rsidR="00BA49F6" w:rsidRDefault="0006479A">
      <w:pPr>
        <w:pStyle w:val="TOC3"/>
        <w:rPr>
          <w:rFonts w:asciiTheme="minorHAnsi" w:eastAsiaTheme="minorEastAsia" w:hAnsiTheme="minorHAnsi" w:cstheme="minorBidi"/>
          <w:noProof/>
          <w:sz w:val="22"/>
          <w:szCs w:val="22"/>
          <w:lang w:eastAsia="ja-JP"/>
        </w:rPr>
      </w:pPr>
      <w:hyperlink w:anchor="_Toc462738025" w:history="1">
        <w:r w:rsidR="00BA49F6" w:rsidRPr="00C04923">
          <w:rPr>
            <w:rStyle w:val="Hyperlink"/>
            <w:noProof/>
          </w:rPr>
          <w:t>Contribution of culture to the meaning and experience of harm</w:t>
        </w:r>
        <w:r w:rsidR="00BA49F6">
          <w:rPr>
            <w:noProof/>
            <w:webHidden/>
          </w:rPr>
          <w:tab/>
        </w:r>
        <w:r w:rsidR="00BA49F6">
          <w:rPr>
            <w:noProof/>
            <w:webHidden/>
          </w:rPr>
          <w:fldChar w:fldCharType="begin"/>
        </w:r>
        <w:r w:rsidR="00BA49F6">
          <w:rPr>
            <w:noProof/>
            <w:webHidden/>
          </w:rPr>
          <w:instrText xml:space="preserve"> PAGEREF _Toc462738025 \h </w:instrText>
        </w:r>
        <w:r w:rsidR="00BA49F6">
          <w:rPr>
            <w:noProof/>
            <w:webHidden/>
          </w:rPr>
        </w:r>
        <w:r w:rsidR="00BA49F6">
          <w:rPr>
            <w:noProof/>
            <w:webHidden/>
          </w:rPr>
          <w:fldChar w:fldCharType="separate"/>
        </w:r>
        <w:r>
          <w:rPr>
            <w:noProof/>
            <w:webHidden/>
          </w:rPr>
          <w:t>112</w:t>
        </w:r>
        <w:r w:rsidR="00BA49F6">
          <w:rPr>
            <w:noProof/>
            <w:webHidden/>
          </w:rPr>
          <w:fldChar w:fldCharType="end"/>
        </w:r>
      </w:hyperlink>
    </w:p>
    <w:p w14:paraId="3B57A99F"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26" w:history="1">
        <w:r w:rsidR="00BA49F6" w:rsidRPr="00C04923">
          <w:rPr>
            <w:rStyle w:val="Hyperlink"/>
            <w:noProof/>
          </w:rPr>
          <w:t>Conclusion</w:t>
        </w:r>
        <w:r w:rsidR="00BA49F6">
          <w:rPr>
            <w:noProof/>
            <w:webHidden/>
          </w:rPr>
          <w:tab/>
        </w:r>
        <w:r w:rsidR="00BA49F6">
          <w:rPr>
            <w:noProof/>
            <w:webHidden/>
          </w:rPr>
          <w:fldChar w:fldCharType="begin"/>
        </w:r>
        <w:r w:rsidR="00BA49F6">
          <w:rPr>
            <w:noProof/>
            <w:webHidden/>
          </w:rPr>
          <w:instrText xml:space="preserve"> PAGEREF _Toc462738026 \h </w:instrText>
        </w:r>
        <w:r w:rsidR="00BA49F6">
          <w:rPr>
            <w:noProof/>
            <w:webHidden/>
          </w:rPr>
        </w:r>
        <w:r w:rsidR="00BA49F6">
          <w:rPr>
            <w:noProof/>
            <w:webHidden/>
          </w:rPr>
          <w:fldChar w:fldCharType="separate"/>
        </w:r>
        <w:r>
          <w:rPr>
            <w:noProof/>
            <w:webHidden/>
          </w:rPr>
          <w:t>113</w:t>
        </w:r>
        <w:r w:rsidR="00BA49F6">
          <w:rPr>
            <w:noProof/>
            <w:webHidden/>
          </w:rPr>
          <w:fldChar w:fldCharType="end"/>
        </w:r>
      </w:hyperlink>
    </w:p>
    <w:p w14:paraId="2D131201"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8027" w:history="1">
        <w:r w:rsidR="00BA49F6" w:rsidRPr="00C04923">
          <w:rPr>
            <w:rStyle w:val="Hyperlink"/>
          </w:rPr>
          <w:t>A national survey of harms arising from gambling</w:t>
        </w:r>
        <w:r w:rsidR="00BA49F6">
          <w:rPr>
            <w:webHidden/>
          </w:rPr>
          <w:tab/>
        </w:r>
        <w:r w:rsidR="00BA49F6">
          <w:rPr>
            <w:webHidden/>
          </w:rPr>
          <w:fldChar w:fldCharType="begin"/>
        </w:r>
        <w:r w:rsidR="00BA49F6">
          <w:rPr>
            <w:webHidden/>
          </w:rPr>
          <w:instrText xml:space="preserve"> PAGEREF _Toc462738027 \h </w:instrText>
        </w:r>
        <w:r w:rsidR="00BA49F6">
          <w:rPr>
            <w:webHidden/>
          </w:rPr>
        </w:r>
        <w:r w:rsidR="00BA49F6">
          <w:rPr>
            <w:webHidden/>
          </w:rPr>
          <w:fldChar w:fldCharType="separate"/>
        </w:r>
        <w:r>
          <w:rPr>
            <w:webHidden/>
          </w:rPr>
          <w:t>129</w:t>
        </w:r>
        <w:r w:rsidR="00BA49F6">
          <w:rPr>
            <w:webHidden/>
          </w:rPr>
          <w:fldChar w:fldCharType="end"/>
        </w:r>
      </w:hyperlink>
    </w:p>
    <w:p w14:paraId="4FA670A7" w14:textId="77777777" w:rsidR="00BA49F6" w:rsidRDefault="0006479A">
      <w:pPr>
        <w:pStyle w:val="TOC3"/>
        <w:rPr>
          <w:rFonts w:asciiTheme="minorHAnsi" w:eastAsiaTheme="minorEastAsia" w:hAnsiTheme="minorHAnsi" w:cstheme="minorBidi"/>
          <w:noProof/>
          <w:sz w:val="22"/>
          <w:szCs w:val="22"/>
          <w:lang w:eastAsia="ja-JP"/>
        </w:rPr>
      </w:pPr>
      <w:hyperlink w:anchor="_Toc462738028" w:history="1">
        <w:r w:rsidR="00BA49F6" w:rsidRPr="00C04923">
          <w:rPr>
            <w:rStyle w:val="Hyperlink"/>
            <w:noProof/>
          </w:rPr>
          <w:t>Measuring gambling-related harms</w:t>
        </w:r>
        <w:r w:rsidR="00BA49F6">
          <w:rPr>
            <w:noProof/>
            <w:webHidden/>
          </w:rPr>
          <w:tab/>
        </w:r>
        <w:r w:rsidR="00BA49F6">
          <w:rPr>
            <w:noProof/>
            <w:webHidden/>
          </w:rPr>
          <w:fldChar w:fldCharType="begin"/>
        </w:r>
        <w:r w:rsidR="00BA49F6">
          <w:rPr>
            <w:noProof/>
            <w:webHidden/>
          </w:rPr>
          <w:instrText xml:space="preserve"> PAGEREF _Toc462738028 \h </w:instrText>
        </w:r>
        <w:r w:rsidR="00BA49F6">
          <w:rPr>
            <w:noProof/>
            <w:webHidden/>
          </w:rPr>
        </w:r>
        <w:r w:rsidR="00BA49F6">
          <w:rPr>
            <w:noProof/>
            <w:webHidden/>
          </w:rPr>
          <w:fldChar w:fldCharType="separate"/>
        </w:r>
        <w:r>
          <w:rPr>
            <w:noProof/>
            <w:webHidden/>
          </w:rPr>
          <w:t>129</w:t>
        </w:r>
        <w:r w:rsidR="00BA49F6">
          <w:rPr>
            <w:noProof/>
            <w:webHidden/>
          </w:rPr>
          <w:fldChar w:fldCharType="end"/>
        </w:r>
      </w:hyperlink>
    </w:p>
    <w:p w14:paraId="3F3C8AAA" w14:textId="77777777" w:rsidR="00BA49F6" w:rsidRDefault="0006479A">
      <w:pPr>
        <w:pStyle w:val="TOC3"/>
        <w:rPr>
          <w:rFonts w:asciiTheme="minorHAnsi" w:eastAsiaTheme="minorEastAsia" w:hAnsiTheme="minorHAnsi" w:cstheme="minorBidi"/>
          <w:noProof/>
          <w:sz w:val="22"/>
          <w:szCs w:val="22"/>
          <w:lang w:eastAsia="ja-JP"/>
        </w:rPr>
      </w:pPr>
      <w:hyperlink w:anchor="_Toc462738029" w:history="1">
        <w:r w:rsidR="00BA49F6" w:rsidRPr="00C04923">
          <w:rPr>
            <w:rStyle w:val="Hyperlink"/>
            <w:noProof/>
          </w:rPr>
          <w:t>Aims</w:t>
        </w:r>
        <w:r w:rsidR="00BA49F6">
          <w:rPr>
            <w:noProof/>
            <w:webHidden/>
          </w:rPr>
          <w:tab/>
        </w:r>
        <w:r w:rsidR="00BA49F6">
          <w:rPr>
            <w:noProof/>
            <w:webHidden/>
          </w:rPr>
          <w:fldChar w:fldCharType="begin"/>
        </w:r>
        <w:r w:rsidR="00BA49F6">
          <w:rPr>
            <w:noProof/>
            <w:webHidden/>
          </w:rPr>
          <w:instrText xml:space="preserve"> PAGEREF _Toc462738029 \h </w:instrText>
        </w:r>
        <w:r w:rsidR="00BA49F6">
          <w:rPr>
            <w:noProof/>
            <w:webHidden/>
          </w:rPr>
        </w:r>
        <w:r w:rsidR="00BA49F6">
          <w:rPr>
            <w:noProof/>
            <w:webHidden/>
          </w:rPr>
          <w:fldChar w:fldCharType="separate"/>
        </w:r>
        <w:r>
          <w:rPr>
            <w:noProof/>
            <w:webHidden/>
          </w:rPr>
          <w:t>130</w:t>
        </w:r>
        <w:r w:rsidR="00BA49F6">
          <w:rPr>
            <w:noProof/>
            <w:webHidden/>
          </w:rPr>
          <w:fldChar w:fldCharType="end"/>
        </w:r>
      </w:hyperlink>
    </w:p>
    <w:p w14:paraId="10A066FD"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30" w:history="1">
        <w:r w:rsidR="00BA49F6" w:rsidRPr="00C04923">
          <w:rPr>
            <w:rStyle w:val="Hyperlink"/>
            <w:noProof/>
          </w:rPr>
          <w:t>Method</w:t>
        </w:r>
        <w:r w:rsidR="00BA49F6">
          <w:rPr>
            <w:noProof/>
            <w:webHidden/>
          </w:rPr>
          <w:tab/>
        </w:r>
        <w:r w:rsidR="00BA49F6">
          <w:rPr>
            <w:noProof/>
            <w:webHidden/>
          </w:rPr>
          <w:fldChar w:fldCharType="begin"/>
        </w:r>
        <w:r w:rsidR="00BA49F6">
          <w:rPr>
            <w:noProof/>
            <w:webHidden/>
          </w:rPr>
          <w:instrText xml:space="preserve"> PAGEREF _Toc462738030 \h </w:instrText>
        </w:r>
        <w:r w:rsidR="00BA49F6">
          <w:rPr>
            <w:noProof/>
            <w:webHidden/>
          </w:rPr>
        </w:r>
        <w:r w:rsidR="00BA49F6">
          <w:rPr>
            <w:noProof/>
            <w:webHidden/>
          </w:rPr>
          <w:fldChar w:fldCharType="separate"/>
        </w:r>
        <w:r>
          <w:rPr>
            <w:noProof/>
            <w:webHidden/>
          </w:rPr>
          <w:t>130</w:t>
        </w:r>
        <w:r w:rsidR="00BA49F6">
          <w:rPr>
            <w:noProof/>
            <w:webHidden/>
          </w:rPr>
          <w:fldChar w:fldCharType="end"/>
        </w:r>
      </w:hyperlink>
    </w:p>
    <w:p w14:paraId="749BB978" w14:textId="77777777" w:rsidR="00BA49F6" w:rsidRDefault="0006479A">
      <w:pPr>
        <w:pStyle w:val="TOC3"/>
        <w:rPr>
          <w:rFonts w:asciiTheme="minorHAnsi" w:eastAsiaTheme="minorEastAsia" w:hAnsiTheme="minorHAnsi" w:cstheme="minorBidi"/>
          <w:noProof/>
          <w:sz w:val="22"/>
          <w:szCs w:val="22"/>
          <w:lang w:eastAsia="ja-JP"/>
        </w:rPr>
      </w:pPr>
      <w:hyperlink w:anchor="_Toc462738031" w:history="1">
        <w:r w:rsidR="00BA49F6" w:rsidRPr="00C04923">
          <w:rPr>
            <w:rStyle w:val="Hyperlink"/>
            <w:noProof/>
          </w:rPr>
          <w:t>Development of harms checklists</w:t>
        </w:r>
        <w:r w:rsidR="00BA49F6">
          <w:rPr>
            <w:noProof/>
            <w:webHidden/>
          </w:rPr>
          <w:tab/>
        </w:r>
        <w:r w:rsidR="00BA49F6">
          <w:rPr>
            <w:noProof/>
            <w:webHidden/>
          </w:rPr>
          <w:fldChar w:fldCharType="begin"/>
        </w:r>
        <w:r w:rsidR="00BA49F6">
          <w:rPr>
            <w:noProof/>
            <w:webHidden/>
          </w:rPr>
          <w:instrText xml:space="preserve"> PAGEREF _Toc462738031 \h </w:instrText>
        </w:r>
        <w:r w:rsidR="00BA49F6">
          <w:rPr>
            <w:noProof/>
            <w:webHidden/>
          </w:rPr>
        </w:r>
        <w:r w:rsidR="00BA49F6">
          <w:rPr>
            <w:noProof/>
            <w:webHidden/>
          </w:rPr>
          <w:fldChar w:fldCharType="separate"/>
        </w:r>
        <w:r>
          <w:rPr>
            <w:noProof/>
            <w:webHidden/>
          </w:rPr>
          <w:t>130</w:t>
        </w:r>
        <w:r w:rsidR="00BA49F6">
          <w:rPr>
            <w:noProof/>
            <w:webHidden/>
          </w:rPr>
          <w:fldChar w:fldCharType="end"/>
        </w:r>
      </w:hyperlink>
    </w:p>
    <w:p w14:paraId="15272E54" w14:textId="77777777" w:rsidR="00BA49F6" w:rsidRDefault="0006479A">
      <w:pPr>
        <w:pStyle w:val="TOC3"/>
        <w:rPr>
          <w:rFonts w:asciiTheme="minorHAnsi" w:eastAsiaTheme="minorEastAsia" w:hAnsiTheme="minorHAnsi" w:cstheme="minorBidi"/>
          <w:noProof/>
          <w:sz w:val="22"/>
          <w:szCs w:val="22"/>
          <w:lang w:eastAsia="ja-JP"/>
        </w:rPr>
      </w:pPr>
      <w:hyperlink w:anchor="_Toc462738032" w:history="1">
        <w:r w:rsidR="00BA49F6" w:rsidRPr="00C04923">
          <w:rPr>
            <w:rStyle w:val="Hyperlink"/>
            <w:noProof/>
          </w:rPr>
          <w:t>Survey design</w:t>
        </w:r>
        <w:r w:rsidR="00BA49F6">
          <w:rPr>
            <w:noProof/>
            <w:webHidden/>
          </w:rPr>
          <w:tab/>
        </w:r>
        <w:r w:rsidR="00BA49F6">
          <w:rPr>
            <w:noProof/>
            <w:webHidden/>
          </w:rPr>
          <w:fldChar w:fldCharType="begin"/>
        </w:r>
        <w:r w:rsidR="00BA49F6">
          <w:rPr>
            <w:noProof/>
            <w:webHidden/>
          </w:rPr>
          <w:instrText xml:space="preserve"> PAGEREF _Toc462738032 \h </w:instrText>
        </w:r>
        <w:r w:rsidR="00BA49F6">
          <w:rPr>
            <w:noProof/>
            <w:webHidden/>
          </w:rPr>
        </w:r>
        <w:r w:rsidR="00BA49F6">
          <w:rPr>
            <w:noProof/>
            <w:webHidden/>
          </w:rPr>
          <w:fldChar w:fldCharType="separate"/>
        </w:r>
        <w:r>
          <w:rPr>
            <w:noProof/>
            <w:webHidden/>
          </w:rPr>
          <w:t>131</w:t>
        </w:r>
        <w:r w:rsidR="00BA49F6">
          <w:rPr>
            <w:noProof/>
            <w:webHidden/>
          </w:rPr>
          <w:fldChar w:fldCharType="end"/>
        </w:r>
      </w:hyperlink>
    </w:p>
    <w:p w14:paraId="1B28F834" w14:textId="77777777" w:rsidR="00BA49F6" w:rsidRDefault="0006479A">
      <w:pPr>
        <w:pStyle w:val="TOC3"/>
        <w:rPr>
          <w:rFonts w:asciiTheme="minorHAnsi" w:eastAsiaTheme="minorEastAsia" w:hAnsiTheme="minorHAnsi" w:cstheme="minorBidi"/>
          <w:noProof/>
          <w:sz w:val="22"/>
          <w:szCs w:val="22"/>
          <w:lang w:eastAsia="ja-JP"/>
        </w:rPr>
      </w:pPr>
      <w:hyperlink w:anchor="_Toc462738033" w:history="1">
        <w:r w:rsidR="00BA49F6" w:rsidRPr="00C04923">
          <w:rPr>
            <w:rStyle w:val="Hyperlink"/>
            <w:noProof/>
          </w:rPr>
          <w:t>Recruitment of participants</w:t>
        </w:r>
        <w:r w:rsidR="00BA49F6">
          <w:rPr>
            <w:noProof/>
            <w:webHidden/>
          </w:rPr>
          <w:tab/>
        </w:r>
        <w:r w:rsidR="00BA49F6">
          <w:rPr>
            <w:noProof/>
            <w:webHidden/>
          </w:rPr>
          <w:fldChar w:fldCharType="begin"/>
        </w:r>
        <w:r w:rsidR="00BA49F6">
          <w:rPr>
            <w:noProof/>
            <w:webHidden/>
          </w:rPr>
          <w:instrText xml:space="preserve"> PAGEREF _Toc462738033 \h </w:instrText>
        </w:r>
        <w:r w:rsidR="00BA49F6">
          <w:rPr>
            <w:noProof/>
            <w:webHidden/>
          </w:rPr>
        </w:r>
        <w:r w:rsidR="00BA49F6">
          <w:rPr>
            <w:noProof/>
            <w:webHidden/>
          </w:rPr>
          <w:fldChar w:fldCharType="separate"/>
        </w:r>
        <w:r>
          <w:rPr>
            <w:noProof/>
            <w:webHidden/>
          </w:rPr>
          <w:t>132</w:t>
        </w:r>
        <w:r w:rsidR="00BA49F6">
          <w:rPr>
            <w:noProof/>
            <w:webHidden/>
          </w:rPr>
          <w:fldChar w:fldCharType="end"/>
        </w:r>
      </w:hyperlink>
    </w:p>
    <w:p w14:paraId="0DC69266" w14:textId="77777777" w:rsidR="00BA49F6" w:rsidRDefault="0006479A">
      <w:pPr>
        <w:pStyle w:val="TOC3"/>
        <w:rPr>
          <w:rFonts w:asciiTheme="minorHAnsi" w:eastAsiaTheme="minorEastAsia" w:hAnsiTheme="minorHAnsi" w:cstheme="minorBidi"/>
          <w:noProof/>
          <w:sz w:val="22"/>
          <w:szCs w:val="22"/>
          <w:lang w:eastAsia="ja-JP"/>
        </w:rPr>
      </w:pPr>
      <w:hyperlink w:anchor="_Toc462738034" w:history="1">
        <w:r w:rsidR="00BA49F6" w:rsidRPr="00C04923">
          <w:rPr>
            <w:rStyle w:val="Hyperlink"/>
            <w:noProof/>
          </w:rPr>
          <w:t>Data analyses</w:t>
        </w:r>
        <w:r w:rsidR="00BA49F6">
          <w:rPr>
            <w:noProof/>
            <w:webHidden/>
          </w:rPr>
          <w:tab/>
        </w:r>
        <w:r w:rsidR="00BA49F6">
          <w:rPr>
            <w:noProof/>
            <w:webHidden/>
          </w:rPr>
          <w:fldChar w:fldCharType="begin"/>
        </w:r>
        <w:r w:rsidR="00BA49F6">
          <w:rPr>
            <w:noProof/>
            <w:webHidden/>
          </w:rPr>
          <w:instrText xml:space="preserve"> PAGEREF _Toc462738034 \h </w:instrText>
        </w:r>
        <w:r w:rsidR="00BA49F6">
          <w:rPr>
            <w:noProof/>
            <w:webHidden/>
          </w:rPr>
        </w:r>
        <w:r w:rsidR="00BA49F6">
          <w:rPr>
            <w:noProof/>
            <w:webHidden/>
          </w:rPr>
          <w:fldChar w:fldCharType="separate"/>
        </w:r>
        <w:r>
          <w:rPr>
            <w:noProof/>
            <w:webHidden/>
          </w:rPr>
          <w:t>134</w:t>
        </w:r>
        <w:r w:rsidR="00BA49F6">
          <w:rPr>
            <w:noProof/>
            <w:webHidden/>
          </w:rPr>
          <w:fldChar w:fldCharType="end"/>
        </w:r>
      </w:hyperlink>
    </w:p>
    <w:p w14:paraId="15EB0CAD"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35" w:history="1">
        <w:r w:rsidR="00BA49F6" w:rsidRPr="00C04923">
          <w:rPr>
            <w:rStyle w:val="Hyperlink"/>
            <w:noProof/>
          </w:rPr>
          <w:t>Results</w:t>
        </w:r>
        <w:r w:rsidR="00BA49F6">
          <w:rPr>
            <w:noProof/>
            <w:webHidden/>
          </w:rPr>
          <w:tab/>
        </w:r>
        <w:r w:rsidR="00BA49F6">
          <w:rPr>
            <w:noProof/>
            <w:webHidden/>
          </w:rPr>
          <w:fldChar w:fldCharType="begin"/>
        </w:r>
        <w:r w:rsidR="00BA49F6">
          <w:rPr>
            <w:noProof/>
            <w:webHidden/>
          </w:rPr>
          <w:instrText xml:space="preserve"> PAGEREF _Toc462738035 \h </w:instrText>
        </w:r>
        <w:r w:rsidR="00BA49F6">
          <w:rPr>
            <w:noProof/>
            <w:webHidden/>
          </w:rPr>
        </w:r>
        <w:r w:rsidR="00BA49F6">
          <w:rPr>
            <w:noProof/>
            <w:webHidden/>
          </w:rPr>
          <w:fldChar w:fldCharType="separate"/>
        </w:r>
        <w:r>
          <w:rPr>
            <w:noProof/>
            <w:webHidden/>
          </w:rPr>
          <w:t>135</w:t>
        </w:r>
        <w:r w:rsidR="00BA49F6">
          <w:rPr>
            <w:noProof/>
            <w:webHidden/>
          </w:rPr>
          <w:fldChar w:fldCharType="end"/>
        </w:r>
      </w:hyperlink>
    </w:p>
    <w:p w14:paraId="75521678" w14:textId="77777777" w:rsidR="00BA49F6" w:rsidRDefault="0006479A">
      <w:pPr>
        <w:pStyle w:val="TOC3"/>
        <w:rPr>
          <w:rFonts w:asciiTheme="minorHAnsi" w:eastAsiaTheme="minorEastAsia" w:hAnsiTheme="minorHAnsi" w:cstheme="minorBidi"/>
          <w:noProof/>
          <w:sz w:val="22"/>
          <w:szCs w:val="22"/>
          <w:lang w:eastAsia="ja-JP"/>
        </w:rPr>
      </w:pPr>
      <w:hyperlink w:anchor="_Toc462738036" w:history="1">
        <w:r w:rsidR="00BA49F6" w:rsidRPr="00C04923">
          <w:rPr>
            <w:rStyle w:val="Hyperlink"/>
            <w:noProof/>
          </w:rPr>
          <w:t>PGSI functioning across measurement groups</w:t>
        </w:r>
        <w:r w:rsidR="00BA49F6">
          <w:rPr>
            <w:noProof/>
            <w:webHidden/>
          </w:rPr>
          <w:tab/>
        </w:r>
        <w:r w:rsidR="00BA49F6">
          <w:rPr>
            <w:noProof/>
            <w:webHidden/>
          </w:rPr>
          <w:fldChar w:fldCharType="begin"/>
        </w:r>
        <w:r w:rsidR="00BA49F6">
          <w:rPr>
            <w:noProof/>
            <w:webHidden/>
          </w:rPr>
          <w:instrText xml:space="preserve"> PAGEREF _Toc462738036 \h </w:instrText>
        </w:r>
        <w:r w:rsidR="00BA49F6">
          <w:rPr>
            <w:noProof/>
            <w:webHidden/>
          </w:rPr>
        </w:r>
        <w:r w:rsidR="00BA49F6">
          <w:rPr>
            <w:noProof/>
            <w:webHidden/>
          </w:rPr>
          <w:fldChar w:fldCharType="separate"/>
        </w:r>
        <w:r>
          <w:rPr>
            <w:noProof/>
            <w:webHidden/>
          </w:rPr>
          <w:t>135</w:t>
        </w:r>
        <w:r w:rsidR="00BA49F6">
          <w:rPr>
            <w:noProof/>
            <w:webHidden/>
          </w:rPr>
          <w:fldChar w:fldCharType="end"/>
        </w:r>
      </w:hyperlink>
    </w:p>
    <w:p w14:paraId="693500B0" w14:textId="77777777" w:rsidR="00BA49F6" w:rsidRDefault="0006479A">
      <w:pPr>
        <w:pStyle w:val="TOC3"/>
        <w:rPr>
          <w:rFonts w:asciiTheme="minorHAnsi" w:eastAsiaTheme="minorEastAsia" w:hAnsiTheme="minorHAnsi" w:cstheme="minorBidi"/>
          <w:noProof/>
          <w:sz w:val="22"/>
          <w:szCs w:val="22"/>
          <w:lang w:eastAsia="ja-JP"/>
        </w:rPr>
      </w:pPr>
      <w:hyperlink w:anchor="_Toc462738037" w:history="1">
        <w:r w:rsidR="00BA49F6" w:rsidRPr="00C04923">
          <w:rPr>
            <w:rStyle w:val="Hyperlink"/>
            <w:noProof/>
          </w:rPr>
          <w:t>Socio-demographic factors and PGSI</w:t>
        </w:r>
        <w:r w:rsidR="00BA49F6">
          <w:rPr>
            <w:noProof/>
            <w:webHidden/>
          </w:rPr>
          <w:tab/>
        </w:r>
        <w:r w:rsidR="00BA49F6">
          <w:rPr>
            <w:noProof/>
            <w:webHidden/>
          </w:rPr>
          <w:fldChar w:fldCharType="begin"/>
        </w:r>
        <w:r w:rsidR="00BA49F6">
          <w:rPr>
            <w:noProof/>
            <w:webHidden/>
          </w:rPr>
          <w:instrText xml:space="preserve"> PAGEREF _Toc462738037 \h </w:instrText>
        </w:r>
        <w:r w:rsidR="00BA49F6">
          <w:rPr>
            <w:noProof/>
            <w:webHidden/>
          </w:rPr>
        </w:r>
        <w:r w:rsidR="00BA49F6">
          <w:rPr>
            <w:noProof/>
            <w:webHidden/>
          </w:rPr>
          <w:fldChar w:fldCharType="separate"/>
        </w:r>
        <w:r>
          <w:rPr>
            <w:noProof/>
            <w:webHidden/>
          </w:rPr>
          <w:t>137</w:t>
        </w:r>
        <w:r w:rsidR="00BA49F6">
          <w:rPr>
            <w:noProof/>
            <w:webHidden/>
          </w:rPr>
          <w:fldChar w:fldCharType="end"/>
        </w:r>
      </w:hyperlink>
    </w:p>
    <w:p w14:paraId="31684CF6" w14:textId="77777777" w:rsidR="00BA49F6" w:rsidRDefault="0006479A">
      <w:pPr>
        <w:pStyle w:val="TOC3"/>
        <w:rPr>
          <w:rFonts w:asciiTheme="minorHAnsi" w:eastAsiaTheme="minorEastAsia" w:hAnsiTheme="minorHAnsi" w:cstheme="minorBidi"/>
          <w:noProof/>
          <w:sz w:val="22"/>
          <w:szCs w:val="22"/>
          <w:lang w:eastAsia="ja-JP"/>
        </w:rPr>
      </w:pPr>
      <w:hyperlink w:anchor="_Toc462738038" w:history="1">
        <w:r w:rsidR="00BA49F6" w:rsidRPr="00C04923">
          <w:rPr>
            <w:rStyle w:val="Hyperlink"/>
            <w:noProof/>
          </w:rPr>
          <w:t>Ethnic differences across harm domains</w:t>
        </w:r>
        <w:r w:rsidR="00BA49F6">
          <w:rPr>
            <w:noProof/>
            <w:webHidden/>
          </w:rPr>
          <w:tab/>
        </w:r>
        <w:r w:rsidR="00BA49F6">
          <w:rPr>
            <w:noProof/>
            <w:webHidden/>
          </w:rPr>
          <w:fldChar w:fldCharType="begin"/>
        </w:r>
        <w:r w:rsidR="00BA49F6">
          <w:rPr>
            <w:noProof/>
            <w:webHidden/>
          </w:rPr>
          <w:instrText xml:space="preserve"> PAGEREF _Toc462738038 \h </w:instrText>
        </w:r>
        <w:r w:rsidR="00BA49F6">
          <w:rPr>
            <w:noProof/>
            <w:webHidden/>
          </w:rPr>
        </w:r>
        <w:r w:rsidR="00BA49F6">
          <w:rPr>
            <w:noProof/>
            <w:webHidden/>
          </w:rPr>
          <w:fldChar w:fldCharType="separate"/>
        </w:r>
        <w:r>
          <w:rPr>
            <w:noProof/>
            <w:webHidden/>
          </w:rPr>
          <w:t>137</w:t>
        </w:r>
        <w:r w:rsidR="00BA49F6">
          <w:rPr>
            <w:noProof/>
            <w:webHidden/>
          </w:rPr>
          <w:fldChar w:fldCharType="end"/>
        </w:r>
      </w:hyperlink>
    </w:p>
    <w:p w14:paraId="095D37DC" w14:textId="77777777" w:rsidR="00BA49F6" w:rsidRDefault="0006479A">
      <w:pPr>
        <w:pStyle w:val="TOC3"/>
        <w:rPr>
          <w:rFonts w:asciiTheme="minorHAnsi" w:eastAsiaTheme="minorEastAsia" w:hAnsiTheme="minorHAnsi" w:cstheme="minorBidi"/>
          <w:noProof/>
          <w:sz w:val="22"/>
          <w:szCs w:val="22"/>
          <w:lang w:eastAsia="ja-JP"/>
        </w:rPr>
      </w:pPr>
      <w:hyperlink w:anchor="_Toc462738039" w:history="1">
        <w:r w:rsidR="00BA49F6" w:rsidRPr="00C04923">
          <w:rPr>
            <w:rStyle w:val="Hyperlink"/>
            <w:noProof/>
          </w:rPr>
          <w:t>IRT parameters, PGSI categories, and correlations</w:t>
        </w:r>
        <w:r w:rsidR="00BA49F6">
          <w:rPr>
            <w:noProof/>
            <w:webHidden/>
          </w:rPr>
          <w:tab/>
        </w:r>
        <w:r w:rsidR="00BA49F6">
          <w:rPr>
            <w:noProof/>
            <w:webHidden/>
          </w:rPr>
          <w:fldChar w:fldCharType="begin"/>
        </w:r>
        <w:r w:rsidR="00BA49F6">
          <w:rPr>
            <w:noProof/>
            <w:webHidden/>
          </w:rPr>
          <w:instrText xml:space="preserve"> PAGEREF _Toc462738039 \h </w:instrText>
        </w:r>
        <w:r w:rsidR="00BA49F6">
          <w:rPr>
            <w:noProof/>
            <w:webHidden/>
          </w:rPr>
        </w:r>
        <w:r w:rsidR="00BA49F6">
          <w:rPr>
            <w:noProof/>
            <w:webHidden/>
          </w:rPr>
          <w:fldChar w:fldCharType="separate"/>
        </w:r>
        <w:r>
          <w:rPr>
            <w:noProof/>
            <w:webHidden/>
          </w:rPr>
          <w:t>139</w:t>
        </w:r>
        <w:r w:rsidR="00BA49F6">
          <w:rPr>
            <w:noProof/>
            <w:webHidden/>
          </w:rPr>
          <w:fldChar w:fldCharType="end"/>
        </w:r>
      </w:hyperlink>
    </w:p>
    <w:p w14:paraId="5834B921"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40" w:history="1">
        <w:r w:rsidR="00BA49F6" w:rsidRPr="00C04923">
          <w:rPr>
            <w:rStyle w:val="Hyperlink"/>
            <w:noProof/>
          </w:rPr>
          <w:t>Discussion</w:t>
        </w:r>
        <w:r w:rsidR="00BA49F6">
          <w:rPr>
            <w:noProof/>
            <w:webHidden/>
          </w:rPr>
          <w:tab/>
        </w:r>
        <w:r w:rsidR="00BA49F6">
          <w:rPr>
            <w:noProof/>
            <w:webHidden/>
          </w:rPr>
          <w:fldChar w:fldCharType="begin"/>
        </w:r>
        <w:r w:rsidR="00BA49F6">
          <w:rPr>
            <w:noProof/>
            <w:webHidden/>
          </w:rPr>
          <w:instrText xml:space="preserve"> PAGEREF _Toc462738040 \h </w:instrText>
        </w:r>
        <w:r w:rsidR="00BA49F6">
          <w:rPr>
            <w:noProof/>
            <w:webHidden/>
          </w:rPr>
        </w:r>
        <w:r w:rsidR="00BA49F6">
          <w:rPr>
            <w:noProof/>
            <w:webHidden/>
          </w:rPr>
          <w:fldChar w:fldCharType="separate"/>
        </w:r>
        <w:r>
          <w:rPr>
            <w:noProof/>
            <w:webHidden/>
          </w:rPr>
          <w:t>147</w:t>
        </w:r>
        <w:r w:rsidR="00BA49F6">
          <w:rPr>
            <w:noProof/>
            <w:webHidden/>
          </w:rPr>
          <w:fldChar w:fldCharType="end"/>
        </w:r>
      </w:hyperlink>
    </w:p>
    <w:p w14:paraId="79AF0864" w14:textId="77777777" w:rsidR="00BA49F6" w:rsidRDefault="0006479A">
      <w:pPr>
        <w:pStyle w:val="TOC3"/>
        <w:rPr>
          <w:rFonts w:asciiTheme="minorHAnsi" w:eastAsiaTheme="minorEastAsia" w:hAnsiTheme="minorHAnsi" w:cstheme="minorBidi"/>
          <w:noProof/>
          <w:sz w:val="22"/>
          <w:szCs w:val="22"/>
          <w:lang w:eastAsia="ja-JP"/>
        </w:rPr>
      </w:pPr>
      <w:hyperlink w:anchor="_Toc462738041" w:history="1">
        <w:r w:rsidR="00BA49F6" w:rsidRPr="00C04923">
          <w:rPr>
            <w:rStyle w:val="Hyperlink"/>
            <w:noProof/>
          </w:rPr>
          <w:t>Financial</w:t>
        </w:r>
        <w:r w:rsidR="00BA49F6">
          <w:rPr>
            <w:noProof/>
            <w:webHidden/>
          </w:rPr>
          <w:tab/>
        </w:r>
        <w:r w:rsidR="00BA49F6">
          <w:rPr>
            <w:noProof/>
            <w:webHidden/>
          </w:rPr>
          <w:fldChar w:fldCharType="begin"/>
        </w:r>
        <w:r w:rsidR="00BA49F6">
          <w:rPr>
            <w:noProof/>
            <w:webHidden/>
          </w:rPr>
          <w:instrText xml:space="preserve"> PAGEREF _Toc462738041 \h </w:instrText>
        </w:r>
        <w:r w:rsidR="00BA49F6">
          <w:rPr>
            <w:noProof/>
            <w:webHidden/>
          </w:rPr>
        </w:r>
        <w:r w:rsidR="00BA49F6">
          <w:rPr>
            <w:noProof/>
            <w:webHidden/>
          </w:rPr>
          <w:fldChar w:fldCharType="separate"/>
        </w:r>
        <w:r>
          <w:rPr>
            <w:noProof/>
            <w:webHidden/>
          </w:rPr>
          <w:t>147</w:t>
        </w:r>
        <w:r w:rsidR="00BA49F6">
          <w:rPr>
            <w:noProof/>
            <w:webHidden/>
          </w:rPr>
          <w:fldChar w:fldCharType="end"/>
        </w:r>
      </w:hyperlink>
    </w:p>
    <w:p w14:paraId="4AE1E9A0" w14:textId="77777777" w:rsidR="00BA49F6" w:rsidRDefault="0006479A">
      <w:pPr>
        <w:pStyle w:val="TOC3"/>
        <w:rPr>
          <w:rFonts w:asciiTheme="minorHAnsi" w:eastAsiaTheme="minorEastAsia" w:hAnsiTheme="minorHAnsi" w:cstheme="minorBidi"/>
          <w:noProof/>
          <w:sz w:val="22"/>
          <w:szCs w:val="22"/>
          <w:lang w:eastAsia="ja-JP"/>
        </w:rPr>
      </w:pPr>
      <w:hyperlink w:anchor="_Toc462738042" w:history="1">
        <w:r w:rsidR="00BA49F6" w:rsidRPr="00C04923">
          <w:rPr>
            <w:rStyle w:val="Hyperlink"/>
            <w:noProof/>
          </w:rPr>
          <w:t>Work/Study</w:t>
        </w:r>
        <w:r w:rsidR="00BA49F6">
          <w:rPr>
            <w:noProof/>
            <w:webHidden/>
          </w:rPr>
          <w:tab/>
        </w:r>
        <w:r w:rsidR="00BA49F6">
          <w:rPr>
            <w:noProof/>
            <w:webHidden/>
          </w:rPr>
          <w:fldChar w:fldCharType="begin"/>
        </w:r>
        <w:r w:rsidR="00BA49F6">
          <w:rPr>
            <w:noProof/>
            <w:webHidden/>
          </w:rPr>
          <w:instrText xml:space="preserve"> PAGEREF _Toc462738042 \h </w:instrText>
        </w:r>
        <w:r w:rsidR="00BA49F6">
          <w:rPr>
            <w:noProof/>
            <w:webHidden/>
          </w:rPr>
        </w:r>
        <w:r w:rsidR="00BA49F6">
          <w:rPr>
            <w:noProof/>
            <w:webHidden/>
          </w:rPr>
          <w:fldChar w:fldCharType="separate"/>
        </w:r>
        <w:r>
          <w:rPr>
            <w:noProof/>
            <w:webHidden/>
          </w:rPr>
          <w:t>148</w:t>
        </w:r>
        <w:r w:rsidR="00BA49F6">
          <w:rPr>
            <w:noProof/>
            <w:webHidden/>
          </w:rPr>
          <w:fldChar w:fldCharType="end"/>
        </w:r>
      </w:hyperlink>
    </w:p>
    <w:p w14:paraId="57CC7E5C" w14:textId="77777777" w:rsidR="00BA49F6" w:rsidRDefault="0006479A">
      <w:pPr>
        <w:pStyle w:val="TOC3"/>
        <w:rPr>
          <w:rFonts w:asciiTheme="minorHAnsi" w:eastAsiaTheme="minorEastAsia" w:hAnsiTheme="minorHAnsi" w:cstheme="minorBidi"/>
          <w:noProof/>
          <w:sz w:val="22"/>
          <w:szCs w:val="22"/>
          <w:lang w:eastAsia="ja-JP"/>
        </w:rPr>
      </w:pPr>
      <w:hyperlink w:anchor="_Toc462738043" w:history="1">
        <w:r w:rsidR="00BA49F6" w:rsidRPr="00C04923">
          <w:rPr>
            <w:rStyle w:val="Hyperlink"/>
            <w:noProof/>
          </w:rPr>
          <w:t>Health</w:t>
        </w:r>
        <w:r w:rsidR="00BA49F6">
          <w:rPr>
            <w:noProof/>
            <w:webHidden/>
          </w:rPr>
          <w:tab/>
        </w:r>
        <w:r w:rsidR="00BA49F6">
          <w:rPr>
            <w:noProof/>
            <w:webHidden/>
          </w:rPr>
          <w:fldChar w:fldCharType="begin"/>
        </w:r>
        <w:r w:rsidR="00BA49F6">
          <w:rPr>
            <w:noProof/>
            <w:webHidden/>
          </w:rPr>
          <w:instrText xml:space="preserve"> PAGEREF _Toc462738043 \h </w:instrText>
        </w:r>
        <w:r w:rsidR="00BA49F6">
          <w:rPr>
            <w:noProof/>
            <w:webHidden/>
          </w:rPr>
        </w:r>
        <w:r w:rsidR="00BA49F6">
          <w:rPr>
            <w:noProof/>
            <w:webHidden/>
          </w:rPr>
          <w:fldChar w:fldCharType="separate"/>
        </w:r>
        <w:r>
          <w:rPr>
            <w:noProof/>
            <w:webHidden/>
          </w:rPr>
          <w:t>148</w:t>
        </w:r>
        <w:r w:rsidR="00BA49F6">
          <w:rPr>
            <w:noProof/>
            <w:webHidden/>
          </w:rPr>
          <w:fldChar w:fldCharType="end"/>
        </w:r>
      </w:hyperlink>
    </w:p>
    <w:p w14:paraId="5B186417" w14:textId="77777777" w:rsidR="00BA49F6" w:rsidRDefault="0006479A">
      <w:pPr>
        <w:pStyle w:val="TOC3"/>
        <w:rPr>
          <w:rFonts w:asciiTheme="minorHAnsi" w:eastAsiaTheme="minorEastAsia" w:hAnsiTheme="minorHAnsi" w:cstheme="minorBidi"/>
          <w:noProof/>
          <w:sz w:val="22"/>
          <w:szCs w:val="22"/>
          <w:lang w:eastAsia="ja-JP"/>
        </w:rPr>
      </w:pPr>
      <w:hyperlink w:anchor="_Toc462738044" w:history="1">
        <w:r w:rsidR="00BA49F6" w:rsidRPr="00C04923">
          <w:rPr>
            <w:rStyle w:val="Hyperlink"/>
            <w:noProof/>
          </w:rPr>
          <w:t>Emotional/Psychological</w:t>
        </w:r>
        <w:r w:rsidR="00BA49F6">
          <w:rPr>
            <w:noProof/>
            <w:webHidden/>
          </w:rPr>
          <w:tab/>
        </w:r>
        <w:r w:rsidR="00BA49F6">
          <w:rPr>
            <w:noProof/>
            <w:webHidden/>
          </w:rPr>
          <w:fldChar w:fldCharType="begin"/>
        </w:r>
        <w:r w:rsidR="00BA49F6">
          <w:rPr>
            <w:noProof/>
            <w:webHidden/>
          </w:rPr>
          <w:instrText xml:space="preserve"> PAGEREF _Toc462738044 \h </w:instrText>
        </w:r>
        <w:r w:rsidR="00BA49F6">
          <w:rPr>
            <w:noProof/>
            <w:webHidden/>
          </w:rPr>
        </w:r>
        <w:r w:rsidR="00BA49F6">
          <w:rPr>
            <w:noProof/>
            <w:webHidden/>
          </w:rPr>
          <w:fldChar w:fldCharType="separate"/>
        </w:r>
        <w:r>
          <w:rPr>
            <w:noProof/>
            <w:webHidden/>
          </w:rPr>
          <w:t>148</w:t>
        </w:r>
        <w:r w:rsidR="00BA49F6">
          <w:rPr>
            <w:noProof/>
            <w:webHidden/>
          </w:rPr>
          <w:fldChar w:fldCharType="end"/>
        </w:r>
      </w:hyperlink>
    </w:p>
    <w:p w14:paraId="51C4A9EF" w14:textId="77777777" w:rsidR="00BA49F6" w:rsidRDefault="0006479A">
      <w:pPr>
        <w:pStyle w:val="TOC3"/>
        <w:rPr>
          <w:rFonts w:asciiTheme="minorHAnsi" w:eastAsiaTheme="minorEastAsia" w:hAnsiTheme="minorHAnsi" w:cstheme="minorBidi"/>
          <w:noProof/>
          <w:sz w:val="22"/>
          <w:szCs w:val="22"/>
          <w:lang w:eastAsia="ja-JP"/>
        </w:rPr>
      </w:pPr>
      <w:hyperlink w:anchor="_Toc462738045" w:history="1">
        <w:r w:rsidR="00BA49F6" w:rsidRPr="00C04923">
          <w:rPr>
            <w:rStyle w:val="Hyperlink"/>
            <w:noProof/>
          </w:rPr>
          <w:t>Relationships</w:t>
        </w:r>
        <w:r w:rsidR="00BA49F6">
          <w:rPr>
            <w:noProof/>
            <w:webHidden/>
          </w:rPr>
          <w:tab/>
        </w:r>
        <w:r w:rsidR="00BA49F6">
          <w:rPr>
            <w:noProof/>
            <w:webHidden/>
          </w:rPr>
          <w:fldChar w:fldCharType="begin"/>
        </w:r>
        <w:r w:rsidR="00BA49F6">
          <w:rPr>
            <w:noProof/>
            <w:webHidden/>
          </w:rPr>
          <w:instrText xml:space="preserve"> PAGEREF _Toc462738045 \h </w:instrText>
        </w:r>
        <w:r w:rsidR="00BA49F6">
          <w:rPr>
            <w:noProof/>
            <w:webHidden/>
          </w:rPr>
        </w:r>
        <w:r w:rsidR="00BA49F6">
          <w:rPr>
            <w:noProof/>
            <w:webHidden/>
          </w:rPr>
          <w:fldChar w:fldCharType="separate"/>
        </w:r>
        <w:r>
          <w:rPr>
            <w:noProof/>
            <w:webHidden/>
          </w:rPr>
          <w:t>148</w:t>
        </w:r>
        <w:r w:rsidR="00BA49F6">
          <w:rPr>
            <w:noProof/>
            <w:webHidden/>
          </w:rPr>
          <w:fldChar w:fldCharType="end"/>
        </w:r>
      </w:hyperlink>
    </w:p>
    <w:p w14:paraId="00B81F07" w14:textId="77777777" w:rsidR="00BA49F6" w:rsidRDefault="0006479A">
      <w:pPr>
        <w:pStyle w:val="TOC3"/>
        <w:rPr>
          <w:rFonts w:asciiTheme="minorHAnsi" w:eastAsiaTheme="minorEastAsia" w:hAnsiTheme="minorHAnsi" w:cstheme="minorBidi"/>
          <w:noProof/>
          <w:sz w:val="22"/>
          <w:szCs w:val="22"/>
          <w:lang w:eastAsia="ja-JP"/>
        </w:rPr>
      </w:pPr>
      <w:hyperlink w:anchor="_Toc462738046" w:history="1">
        <w:r w:rsidR="00BA49F6" w:rsidRPr="00C04923">
          <w:rPr>
            <w:rStyle w:val="Hyperlink"/>
            <w:noProof/>
          </w:rPr>
          <w:t>Other</w:t>
        </w:r>
        <w:r w:rsidR="00BA49F6">
          <w:rPr>
            <w:noProof/>
            <w:webHidden/>
          </w:rPr>
          <w:tab/>
        </w:r>
        <w:r w:rsidR="00BA49F6">
          <w:rPr>
            <w:noProof/>
            <w:webHidden/>
          </w:rPr>
          <w:fldChar w:fldCharType="begin"/>
        </w:r>
        <w:r w:rsidR="00BA49F6">
          <w:rPr>
            <w:noProof/>
            <w:webHidden/>
          </w:rPr>
          <w:instrText xml:space="preserve"> PAGEREF _Toc462738046 \h </w:instrText>
        </w:r>
        <w:r w:rsidR="00BA49F6">
          <w:rPr>
            <w:noProof/>
            <w:webHidden/>
          </w:rPr>
        </w:r>
        <w:r w:rsidR="00BA49F6">
          <w:rPr>
            <w:noProof/>
            <w:webHidden/>
          </w:rPr>
          <w:fldChar w:fldCharType="separate"/>
        </w:r>
        <w:r>
          <w:rPr>
            <w:noProof/>
            <w:webHidden/>
          </w:rPr>
          <w:t>149</w:t>
        </w:r>
        <w:r w:rsidR="00BA49F6">
          <w:rPr>
            <w:noProof/>
            <w:webHidden/>
          </w:rPr>
          <w:fldChar w:fldCharType="end"/>
        </w:r>
      </w:hyperlink>
    </w:p>
    <w:p w14:paraId="328B03EB" w14:textId="77777777" w:rsidR="00BA49F6" w:rsidRDefault="0006479A">
      <w:pPr>
        <w:pStyle w:val="TOC3"/>
        <w:rPr>
          <w:rFonts w:asciiTheme="minorHAnsi" w:eastAsiaTheme="minorEastAsia" w:hAnsiTheme="minorHAnsi" w:cstheme="minorBidi"/>
          <w:noProof/>
          <w:sz w:val="22"/>
          <w:szCs w:val="22"/>
          <w:lang w:eastAsia="ja-JP"/>
        </w:rPr>
      </w:pPr>
      <w:hyperlink w:anchor="_Toc462738047" w:history="1">
        <w:r w:rsidR="00BA49F6" w:rsidRPr="00C04923">
          <w:rPr>
            <w:rStyle w:val="Hyperlink"/>
            <w:noProof/>
          </w:rPr>
          <w:t>Conclusions</w:t>
        </w:r>
        <w:r w:rsidR="00BA49F6">
          <w:rPr>
            <w:noProof/>
            <w:webHidden/>
          </w:rPr>
          <w:tab/>
        </w:r>
        <w:r w:rsidR="00BA49F6">
          <w:rPr>
            <w:noProof/>
            <w:webHidden/>
          </w:rPr>
          <w:fldChar w:fldCharType="begin"/>
        </w:r>
        <w:r w:rsidR="00BA49F6">
          <w:rPr>
            <w:noProof/>
            <w:webHidden/>
          </w:rPr>
          <w:instrText xml:space="preserve"> PAGEREF _Toc462738047 \h </w:instrText>
        </w:r>
        <w:r w:rsidR="00BA49F6">
          <w:rPr>
            <w:noProof/>
            <w:webHidden/>
          </w:rPr>
        </w:r>
        <w:r w:rsidR="00BA49F6">
          <w:rPr>
            <w:noProof/>
            <w:webHidden/>
          </w:rPr>
          <w:fldChar w:fldCharType="separate"/>
        </w:r>
        <w:r>
          <w:rPr>
            <w:noProof/>
            <w:webHidden/>
          </w:rPr>
          <w:t>149</w:t>
        </w:r>
        <w:r w:rsidR="00BA49F6">
          <w:rPr>
            <w:noProof/>
            <w:webHidden/>
          </w:rPr>
          <w:fldChar w:fldCharType="end"/>
        </w:r>
      </w:hyperlink>
    </w:p>
    <w:p w14:paraId="1A2226F1"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8048" w:history="1">
        <w:r w:rsidR="00BA49F6" w:rsidRPr="00C04923">
          <w:rPr>
            <w:rStyle w:val="Hyperlink"/>
          </w:rPr>
          <w:t>Assessing individual level harm from gambling via HRQL weights</w:t>
        </w:r>
        <w:r w:rsidR="00BA49F6">
          <w:rPr>
            <w:webHidden/>
          </w:rPr>
          <w:tab/>
        </w:r>
        <w:r w:rsidR="00BA49F6">
          <w:rPr>
            <w:webHidden/>
          </w:rPr>
          <w:fldChar w:fldCharType="begin"/>
        </w:r>
        <w:r w:rsidR="00BA49F6">
          <w:rPr>
            <w:webHidden/>
          </w:rPr>
          <w:instrText xml:space="preserve"> PAGEREF _Toc462738048 \h </w:instrText>
        </w:r>
        <w:r w:rsidR="00BA49F6">
          <w:rPr>
            <w:webHidden/>
          </w:rPr>
        </w:r>
        <w:r w:rsidR="00BA49F6">
          <w:rPr>
            <w:webHidden/>
          </w:rPr>
          <w:fldChar w:fldCharType="separate"/>
        </w:r>
        <w:r>
          <w:rPr>
            <w:webHidden/>
          </w:rPr>
          <w:t>150</w:t>
        </w:r>
        <w:r w:rsidR="00BA49F6">
          <w:rPr>
            <w:webHidden/>
          </w:rPr>
          <w:fldChar w:fldCharType="end"/>
        </w:r>
      </w:hyperlink>
    </w:p>
    <w:p w14:paraId="2B3C9EFE" w14:textId="77777777" w:rsidR="00BA49F6" w:rsidRDefault="0006479A">
      <w:pPr>
        <w:pStyle w:val="TOC3"/>
        <w:rPr>
          <w:rFonts w:asciiTheme="minorHAnsi" w:eastAsiaTheme="minorEastAsia" w:hAnsiTheme="minorHAnsi" w:cstheme="minorBidi"/>
          <w:noProof/>
          <w:sz w:val="22"/>
          <w:szCs w:val="22"/>
          <w:lang w:eastAsia="ja-JP"/>
        </w:rPr>
      </w:pPr>
      <w:hyperlink w:anchor="_Toc462738049" w:history="1">
        <w:r w:rsidR="00BA49F6" w:rsidRPr="00C04923">
          <w:rPr>
            <w:rStyle w:val="Hyperlink"/>
            <w:noProof/>
          </w:rPr>
          <w:t>The importance of a cardinal scale for measuring gambling harm</w:t>
        </w:r>
        <w:r w:rsidR="00BA49F6">
          <w:rPr>
            <w:noProof/>
            <w:webHidden/>
          </w:rPr>
          <w:tab/>
        </w:r>
        <w:r w:rsidR="00BA49F6">
          <w:rPr>
            <w:noProof/>
            <w:webHidden/>
          </w:rPr>
          <w:fldChar w:fldCharType="begin"/>
        </w:r>
        <w:r w:rsidR="00BA49F6">
          <w:rPr>
            <w:noProof/>
            <w:webHidden/>
          </w:rPr>
          <w:instrText xml:space="preserve"> PAGEREF _Toc462738049 \h </w:instrText>
        </w:r>
        <w:r w:rsidR="00BA49F6">
          <w:rPr>
            <w:noProof/>
            <w:webHidden/>
          </w:rPr>
        </w:r>
        <w:r w:rsidR="00BA49F6">
          <w:rPr>
            <w:noProof/>
            <w:webHidden/>
          </w:rPr>
          <w:fldChar w:fldCharType="separate"/>
        </w:r>
        <w:r>
          <w:rPr>
            <w:noProof/>
            <w:webHidden/>
          </w:rPr>
          <w:t>150</w:t>
        </w:r>
        <w:r w:rsidR="00BA49F6">
          <w:rPr>
            <w:noProof/>
            <w:webHidden/>
          </w:rPr>
          <w:fldChar w:fldCharType="end"/>
        </w:r>
      </w:hyperlink>
    </w:p>
    <w:p w14:paraId="4FAC3147" w14:textId="77777777" w:rsidR="00BA49F6" w:rsidRDefault="0006479A">
      <w:pPr>
        <w:pStyle w:val="TOC3"/>
        <w:rPr>
          <w:rFonts w:asciiTheme="minorHAnsi" w:eastAsiaTheme="minorEastAsia" w:hAnsiTheme="minorHAnsi" w:cstheme="minorBidi"/>
          <w:noProof/>
          <w:sz w:val="22"/>
          <w:szCs w:val="22"/>
          <w:lang w:eastAsia="ja-JP"/>
        </w:rPr>
      </w:pPr>
      <w:hyperlink w:anchor="_Toc462738050" w:history="1">
        <w:r w:rsidR="00BA49F6" w:rsidRPr="00C04923">
          <w:rPr>
            <w:rStyle w:val="Hyperlink"/>
            <w:noProof/>
          </w:rPr>
          <w:t>Summary measures of population health</w:t>
        </w:r>
        <w:r w:rsidR="00BA49F6">
          <w:rPr>
            <w:noProof/>
            <w:webHidden/>
          </w:rPr>
          <w:tab/>
        </w:r>
        <w:r w:rsidR="00BA49F6">
          <w:rPr>
            <w:noProof/>
            <w:webHidden/>
          </w:rPr>
          <w:fldChar w:fldCharType="begin"/>
        </w:r>
        <w:r w:rsidR="00BA49F6">
          <w:rPr>
            <w:noProof/>
            <w:webHidden/>
          </w:rPr>
          <w:instrText xml:space="preserve"> PAGEREF _Toc462738050 \h </w:instrText>
        </w:r>
        <w:r w:rsidR="00BA49F6">
          <w:rPr>
            <w:noProof/>
            <w:webHidden/>
          </w:rPr>
        </w:r>
        <w:r w:rsidR="00BA49F6">
          <w:rPr>
            <w:noProof/>
            <w:webHidden/>
          </w:rPr>
          <w:fldChar w:fldCharType="separate"/>
        </w:r>
        <w:r>
          <w:rPr>
            <w:noProof/>
            <w:webHidden/>
          </w:rPr>
          <w:t>151</w:t>
        </w:r>
        <w:r w:rsidR="00BA49F6">
          <w:rPr>
            <w:noProof/>
            <w:webHidden/>
          </w:rPr>
          <w:fldChar w:fldCharType="end"/>
        </w:r>
      </w:hyperlink>
    </w:p>
    <w:p w14:paraId="1BEB5F6D" w14:textId="77777777" w:rsidR="00BA49F6" w:rsidRDefault="0006479A">
      <w:pPr>
        <w:pStyle w:val="TOC3"/>
        <w:rPr>
          <w:rFonts w:asciiTheme="minorHAnsi" w:eastAsiaTheme="minorEastAsia" w:hAnsiTheme="minorHAnsi" w:cstheme="minorBidi"/>
          <w:noProof/>
          <w:sz w:val="22"/>
          <w:szCs w:val="22"/>
          <w:lang w:eastAsia="ja-JP"/>
        </w:rPr>
      </w:pPr>
      <w:hyperlink w:anchor="_Toc462738051" w:history="1">
        <w:r w:rsidR="00BA49F6" w:rsidRPr="00C04923">
          <w:rPr>
            <w:rStyle w:val="Hyperlink"/>
            <w:noProof/>
          </w:rPr>
          <w:t>Health Related Quality of Life (HRQL) weights</w:t>
        </w:r>
        <w:r w:rsidR="00BA49F6">
          <w:rPr>
            <w:noProof/>
            <w:webHidden/>
          </w:rPr>
          <w:tab/>
        </w:r>
        <w:r w:rsidR="00BA49F6">
          <w:rPr>
            <w:noProof/>
            <w:webHidden/>
          </w:rPr>
          <w:fldChar w:fldCharType="begin"/>
        </w:r>
        <w:r w:rsidR="00BA49F6">
          <w:rPr>
            <w:noProof/>
            <w:webHidden/>
          </w:rPr>
          <w:instrText xml:space="preserve"> PAGEREF _Toc462738051 \h </w:instrText>
        </w:r>
        <w:r w:rsidR="00BA49F6">
          <w:rPr>
            <w:noProof/>
            <w:webHidden/>
          </w:rPr>
        </w:r>
        <w:r w:rsidR="00BA49F6">
          <w:rPr>
            <w:noProof/>
            <w:webHidden/>
          </w:rPr>
          <w:fldChar w:fldCharType="separate"/>
        </w:r>
        <w:r>
          <w:rPr>
            <w:noProof/>
            <w:webHidden/>
          </w:rPr>
          <w:t>151</w:t>
        </w:r>
        <w:r w:rsidR="00BA49F6">
          <w:rPr>
            <w:noProof/>
            <w:webHidden/>
          </w:rPr>
          <w:fldChar w:fldCharType="end"/>
        </w:r>
      </w:hyperlink>
    </w:p>
    <w:p w14:paraId="2FB8A6AD" w14:textId="77777777" w:rsidR="00BA49F6" w:rsidRDefault="0006479A">
      <w:pPr>
        <w:pStyle w:val="TOC3"/>
        <w:rPr>
          <w:rFonts w:asciiTheme="minorHAnsi" w:eastAsiaTheme="minorEastAsia" w:hAnsiTheme="minorHAnsi" w:cstheme="minorBidi"/>
          <w:noProof/>
          <w:sz w:val="22"/>
          <w:szCs w:val="22"/>
          <w:lang w:eastAsia="ja-JP"/>
        </w:rPr>
      </w:pPr>
      <w:hyperlink w:anchor="_Toc462738052" w:history="1">
        <w:r w:rsidR="00BA49F6" w:rsidRPr="00C04923">
          <w:rPr>
            <w:rStyle w:val="Hyperlink"/>
            <w:noProof/>
          </w:rPr>
          <w:t>Measuring HRQL</w:t>
        </w:r>
        <w:r w:rsidR="00BA49F6">
          <w:rPr>
            <w:noProof/>
            <w:webHidden/>
          </w:rPr>
          <w:tab/>
        </w:r>
        <w:r w:rsidR="00BA49F6">
          <w:rPr>
            <w:noProof/>
            <w:webHidden/>
          </w:rPr>
          <w:fldChar w:fldCharType="begin"/>
        </w:r>
        <w:r w:rsidR="00BA49F6">
          <w:rPr>
            <w:noProof/>
            <w:webHidden/>
          </w:rPr>
          <w:instrText xml:space="preserve"> PAGEREF _Toc462738052 \h </w:instrText>
        </w:r>
        <w:r w:rsidR="00BA49F6">
          <w:rPr>
            <w:noProof/>
            <w:webHidden/>
          </w:rPr>
        </w:r>
        <w:r w:rsidR="00BA49F6">
          <w:rPr>
            <w:noProof/>
            <w:webHidden/>
          </w:rPr>
          <w:fldChar w:fldCharType="separate"/>
        </w:r>
        <w:r>
          <w:rPr>
            <w:noProof/>
            <w:webHidden/>
          </w:rPr>
          <w:t>152</w:t>
        </w:r>
        <w:r w:rsidR="00BA49F6">
          <w:rPr>
            <w:noProof/>
            <w:webHidden/>
          </w:rPr>
          <w:fldChar w:fldCharType="end"/>
        </w:r>
      </w:hyperlink>
    </w:p>
    <w:p w14:paraId="59DEF8AA" w14:textId="77777777" w:rsidR="00BA49F6" w:rsidRDefault="0006479A">
      <w:pPr>
        <w:pStyle w:val="TOC3"/>
        <w:rPr>
          <w:rFonts w:asciiTheme="minorHAnsi" w:eastAsiaTheme="minorEastAsia" w:hAnsiTheme="minorHAnsi" w:cstheme="minorBidi"/>
          <w:noProof/>
          <w:sz w:val="22"/>
          <w:szCs w:val="22"/>
          <w:lang w:eastAsia="ja-JP"/>
        </w:rPr>
      </w:pPr>
      <w:hyperlink w:anchor="_Toc462738053" w:history="1">
        <w:r w:rsidR="00BA49F6" w:rsidRPr="00C04923">
          <w:rPr>
            <w:rStyle w:val="Hyperlink"/>
            <w:noProof/>
          </w:rPr>
          <w:t>Valuation methods for HRQL utility elicitation</w:t>
        </w:r>
        <w:r w:rsidR="00BA49F6">
          <w:rPr>
            <w:noProof/>
            <w:webHidden/>
          </w:rPr>
          <w:tab/>
        </w:r>
        <w:r w:rsidR="00BA49F6">
          <w:rPr>
            <w:noProof/>
            <w:webHidden/>
          </w:rPr>
          <w:fldChar w:fldCharType="begin"/>
        </w:r>
        <w:r w:rsidR="00BA49F6">
          <w:rPr>
            <w:noProof/>
            <w:webHidden/>
          </w:rPr>
          <w:instrText xml:space="preserve"> PAGEREF _Toc462738053 \h </w:instrText>
        </w:r>
        <w:r w:rsidR="00BA49F6">
          <w:rPr>
            <w:noProof/>
            <w:webHidden/>
          </w:rPr>
        </w:r>
        <w:r w:rsidR="00BA49F6">
          <w:rPr>
            <w:noProof/>
            <w:webHidden/>
          </w:rPr>
          <w:fldChar w:fldCharType="separate"/>
        </w:r>
        <w:r>
          <w:rPr>
            <w:noProof/>
            <w:webHidden/>
          </w:rPr>
          <w:t>154</w:t>
        </w:r>
        <w:r w:rsidR="00BA49F6">
          <w:rPr>
            <w:noProof/>
            <w:webHidden/>
          </w:rPr>
          <w:fldChar w:fldCharType="end"/>
        </w:r>
      </w:hyperlink>
    </w:p>
    <w:p w14:paraId="59F665FA" w14:textId="77777777" w:rsidR="00BA49F6" w:rsidRDefault="0006479A">
      <w:pPr>
        <w:pStyle w:val="TOC3"/>
        <w:rPr>
          <w:rFonts w:asciiTheme="minorHAnsi" w:eastAsiaTheme="minorEastAsia" w:hAnsiTheme="minorHAnsi" w:cstheme="minorBidi"/>
          <w:noProof/>
          <w:sz w:val="22"/>
          <w:szCs w:val="22"/>
          <w:lang w:eastAsia="ja-JP"/>
        </w:rPr>
      </w:pPr>
      <w:hyperlink w:anchor="_Toc462738054" w:history="1">
        <w:r w:rsidR="00BA49F6" w:rsidRPr="00C04923">
          <w:rPr>
            <w:rStyle w:val="Hyperlink"/>
            <w:noProof/>
          </w:rPr>
          <w:t>Applying summary measures to the current research</w:t>
        </w:r>
        <w:r w:rsidR="00BA49F6">
          <w:rPr>
            <w:noProof/>
            <w:webHidden/>
          </w:rPr>
          <w:tab/>
        </w:r>
        <w:r w:rsidR="00BA49F6">
          <w:rPr>
            <w:noProof/>
            <w:webHidden/>
          </w:rPr>
          <w:fldChar w:fldCharType="begin"/>
        </w:r>
        <w:r w:rsidR="00BA49F6">
          <w:rPr>
            <w:noProof/>
            <w:webHidden/>
          </w:rPr>
          <w:instrText xml:space="preserve"> PAGEREF _Toc462738054 \h </w:instrText>
        </w:r>
        <w:r w:rsidR="00BA49F6">
          <w:rPr>
            <w:noProof/>
            <w:webHidden/>
          </w:rPr>
        </w:r>
        <w:r w:rsidR="00BA49F6">
          <w:rPr>
            <w:noProof/>
            <w:webHidden/>
          </w:rPr>
          <w:fldChar w:fldCharType="separate"/>
        </w:r>
        <w:r>
          <w:rPr>
            <w:noProof/>
            <w:webHidden/>
          </w:rPr>
          <w:t>158</w:t>
        </w:r>
        <w:r w:rsidR="00BA49F6">
          <w:rPr>
            <w:noProof/>
            <w:webHidden/>
          </w:rPr>
          <w:fldChar w:fldCharType="end"/>
        </w:r>
      </w:hyperlink>
    </w:p>
    <w:p w14:paraId="5CB307F4" w14:textId="77777777" w:rsidR="00BA49F6" w:rsidRDefault="0006479A">
      <w:pPr>
        <w:pStyle w:val="TOC3"/>
        <w:rPr>
          <w:rFonts w:asciiTheme="minorHAnsi" w:eastAsiaTheme="minorEastAsia" w:hAnsiTheme="minorHAnsi" w:cstheme="minorBidi"/>
          <w:noProof/>
          <w:sz w:val="22"/>
          <w:szCs w:val="22"/>
          <w:lang w:eastAsia="ja-JP"/>
        </w:rPr>
      </w:pPr>
      <w:hyperlink w:anchor="_Toc462738055" w:history="1">
        <w:r w:rsidR="00BA49F6" w:rsidRPr="00C04923">
          <w:rPr>
            <w:rStyle w:val="Hyperlink"/>
            <w:noProof/>
          </w:rPr>
          <w:t>Limitations / considerations to choice of measure for gambling-related harm</w:t>
        </w:r>
        <w:r w:rsidR="00BA49F6">
          <w:rPr>
            <w:noProof/>
            <w:webHidden/>
          </w:rPr>
          <w:tab/>
        </w:r>
        <w:r w:rsidR="00BA49F6">
          <w:rPr>
            <w:noProof/>
            <w:webHidden/>
          </w:rPr>
          <w:fldChar w:fldCharType="begin"/>
        </w:r>
        <w:r w:rsidR="00BA49F6">
          <w:rPr>
            <w:noProof/>
            <w:webHidden/>
          </w:rPr>
          <w:instrText xml:space="preserve"> PAGEREF _Toc462738055 \h </w:instrText>
        </w:r>
        <w:r w:rsidR="00BA49F6">
          <w:rPr>
            <w:noProof/>
            <w:webHidden/>
          </w:rPr>
        </w:r>
        <w:r w:rsidR="00BA49F6">
          <w:rPr>
            <w:noProof/>
            <w:webHidden/>
          </w:rPr>
          <w:fldChar w:fldCharType="separate"/>
        </w:r>
        <w:r>
          <w:rPr>
            <w:noProof/>
            <w:webHidden/>
          </w:rPr>
          <w:t>159</w:t>
        </w:r>
        <w:r w:rsidR="00BA49F6">
          <w:rPr>
            <w:noProof/>
            <w:webHidden/>
          </w:rPr>
          <w:fldChar w:fldCharType="end"/>
        </w:r>
      </w:hyperlink>
    </w:p>
    <w:p w14:paraId="5B44F734" w14:textId="77777777" w:rsidR="00BA49F6" w:rsidRDefault="0006479A">
      <w:pPr>
        <w:pStyle w:val="TOC3"/>
        <w:rPr>
          <w:rFonts w:asciiTheme="minorHAnsi" w:eastAsiaTheme="minorEastAsia" w:hAnsiTheme="minorHAnsi" w:cstheme="minorBidi"/>
          <w:noProof/>
          <w:sz w:val="22"/>
          <w:szCs w:val="22"/>
          <w:lang w:eastAsia="ja-JP"/>
        </w:rPr>
      </w:pPr>
      <w:hyperlink w:anchor="_Toc462738056" w:history="1">
        <w:r w:rsidR="00BA49F6" w:rsidRPr="00C04923">
          <w:rPr>
            <w:rStyle w:val="Hyperlink"/>
            <w:noProof/>
          </w:rPr>
          <w:t>Summary and implications for assessing gambling harm</w:t>
        </w:r>
        <w:r w:rsidR="00BA49F6">
          <w:rPr>
            <w:noProof/>
            <w:webHidden/>
          </w:rPr>
          <w:tab/>
        </w:r>
        <w:r w:rsidR="00BA49F6">
          <w:rPr>
            <w:noProof/>
            <w:webHidden/>
          </w:rPr>
          <w:fldChar w:fldCharType="begin"/>
        </w:r>
        <w:r w:rsidR="00BA49F6">
          <w:rPr>
            <w:noProof/>
            <w:webHidden/>
          </w:rPr>
          <w:instrText xml:space="preserve"> PAGEREF _Toc462738056 \h </w:instrText>
        </w:r>
        <w:r w:rsidR="00BA49F6">
          <w:rPr>
            <w:noProof/>
            <w:webHidden/>
          </w:rPr>
        </w:r>
        <w:r w:rsidR="00BA49F6">
          <w:rPr>
            <w:noProof/>
            <w:webHidden/>
          </w:rPr>
          <w:fldChar w:fldCharType="separate"/>
        </w:r>
        <w:r>
          <w:rPr>
            <w:noProof/>
            <w:webHidden/>
          </w:rPr>
          <w:t>160</w:t>
        </w:r>
        <w:r w:rsidR="00BA49F6">
          <w:rPr>
            <w:noProof/>
            <w:webHidden/>
          </w:rPr>
          <w:fldChar w:fldCharType="end"/>
        </w:r>
      </w:hyperlink>
    </w:p>
    <w:p w14:paraId="7FCC5E61"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57" w:history="1">
        <w:r w:rsidR="00BA49F6" w:rsidRPr="00C04923">
          <w:rPr>
            <w:rStyle w:val="Hyperlink"/>
            <w:noProof/>
          </w:rPr>
          <w:t>Method</w:t>
        </w:r>
        <w:r w:rsidR="00BA49F6">
          <w:rPr>
            <w:noProof/>
            <w:webHidden/>
          </w:rPr>
          <w:tab/>
        </w:r>
        <w:r w:rsidR="00BA49F6">
          <w:rPr>
            <w:noProof/>
            <w:webHidden/>
          </w:rPr>
          <w:fldChar w:fldCharType="begin"/>
        </w:r>
        <w:r w:rsidR="00BA49F6">
          <w:rPr>
            <w:noProof/>
            <w:webHidden/>
          </w:rPr>
          <w:instrText xml:space="preserve"> PAGEREF _Toc462738057 \h </w:instrText>
        </w:r>
        <w:r w:rsidR="00BA49F6">
          <w:rPr>
            <w:noProof/>
            <w:webHidden/>
          </w:rPr>
        </w:r>
        <w:r w:rsidR="00BA49F6">
          <w:rPr>
            <w:noProof/>
            <w:webHidden/>
          </w:rPr>
          <w:fldChar w:fldCharType="separate"/>
        </w:r>
        <w:r>
          <w:rPr>
            <w:noProof/>
            <w:webHidden/>
          </w:rPr>
          <w:t>161</w:t>
        </w:r>
        <w:r w:rsidR="00BA49F6">
          <w:rPr>
            <w:noProof/>
            <w:webHidden/>
          </w:rPr>
          <w:fldChar w:fldCharType="end"/>
        </w:r>
      </w:hyperlink>
    </w:p>
    <w:p w14:paraId="5E4D9CEF" w14:textId="77777777" w:rsidR="00BA49F6" w:rsidRDefault="0006479A">
      <w:pPr>
        <w:pStyle w:val="TOC3"/>
        <w:rPr>
          <w:rFonts w:asciiTheme="minorHAnsi" w:eastAsiaTheme="minorEastAsia" w:hAnsiTheme="minorHAnsi" w:cstheme="minorBidi"/>
          <w:noProof/>
          <w:sz w:val="22"/>
          <w:szCs w:val="22"/>
          <w:lang w:eastAsia="ja-JP"/>
        </w:rPr>
      </w:pPr>
      <w:hyperlink w:anchor="_Toc462738058" w:history="1">
        <w:r w:rsidR="00BA49F6" w:rsidRPr="00C04923">
          <w:rPr>
            <w:rStyle w:val="Hyperlink"/>
            <w:noProof/>
          </w:rPr>
          <w:t>Materials</w:t>
        </w:r>
        <w:r w:rsidR="00BA49F6">
          <w:rPr>
            <w:noProof/>
            <w:webHidden/>
          </w:rPr>
          <w:tab/>
        </w:r>
        <w:r w:rsidR="00BA49F6">
          <w:rPr>
            <w:noProof/>
            <w:webHidden/>
          </w:rPr>
          <w:fldChar w:fldCharType="begin"/>
        </w:r>
        <w:r w:rsidR="00BA49F6">
          <w:rPr>
            <w:noProof/>
            <w:webHidden/>
          </w:rPr>
          <w:instrText xml:space="preserve"> PAGEREF _Toc462738058 \h </w:instrText>
        </w:r>
        <w:r w:rsidR="00BA49F6">
          <w:rPr>
            <w:noProof/>
            <w:webHidden/>
          </w:rPr>
        </w:r>
        <w:r w:rsidR="00BA49F6">
          <w:rPr>
            <w:noProof/>
            <w:webHidden/>
          </w:rPr>
          <w:fldChar w:fldCharType="separate"/>
        </w:r>
        <w:r>
          <w:rPr>
            <w:noProof/>
            <w:webHidden/>
          </w:rPr>
          <w:t>161</w:t>
        </w:r>
        <w:r w:rsidR="00BA49F6">
          <w:rPr>
            <w:noProof/>
            <w:webHidden/>
          </w:rPr>
          <w:fldChar w:fldCharType="end"/>
        </w:r>
      </w:hyperlink>
    </w:p>
    <w:p w14:paraId="628A53AA" w14:textId="77777777" w:rsidR="00BA49F6" w:rsidRDefault="0006479A">
      <w:pPr>
        <w:pStyle w:val="TOC3"/>
        <w:rPr>
          <w:rFonts w:asciiTheme="minorHAnsi" w:eastAsiaTheme="minorEastAsia" w:hAnsiTheme="minorHAnsi" w:cstheme="minorBidi"/>
          <w:noProof/>
          <w:sz w:val="22"/>
          <w:szCs w:val="22"/>
          <w:lang w:eastAsia="ja-JP"/>
        </w:rPr>
      </w:pPr>
      <w:hyperlink w:anchor="_Toc462738059" w:history="1">
        <w:r w:rsidR="00BA49F6" w:rsidRPr="00C04923">
          <w:rPr>
            <w:rStyle w:val="Hyperlink"/>
            <w:rFonts w:eastAsia="Calibri"/>
            <w:noProof/>
          </w:rPr>
          <w:t>Participants</w:t>
        </w:r>
        <w:r w:rsidR="00BA49F6">
          <w:rPr>
            <w:noProof/>
            <w:webHidden/>
          </w:rPr>
          <w:tab/>
        </w:r>
        <w:r w:rsidR="00BA49F6">
          <w:rPr>
            <w:noProof/>
            <w:webHidden/>
          </w:rPr>
          <w:fldChar w:fldCharType="begin"/>
        </w:r>
        <w:r w:rsidR="00BA49F6">
          <w:rPr>
            <w:noProof/>
            <w:webHidden/>
          </w:rPr>
          <w:instrText xml:space="preserve"> PAGEREF _Toc462738059 \h </w:instrText>
        </w:r>
        <w:r w:rsidR="00BA49F6">
          <w:rPr>
            <w:noProof/>
            <w:webHidden/>
          </w:rPr>
        </w:r>
        <w:r w:rsidR="00BA49F6">
          <w:rPr>
            <w:noProof/>
            <w:webHidden/>
          </w:rPr>
          <w:fldChar w:fldCharType="separate"/>
        </w:r>
        <w:r>
          <w:rPr>
            <w:noProof/>
            <w:webHidden/>
          </w:rPr>
          <w:t>165</w:t>
        </w:r>
        <w:r w:rsidR="00BA49F6">
          <w:rPr>
            <w:noProof/>
            <w:webHidden/>
          </w:rPr>
          <w:fldChar w:fldCharType="end"/>
        </w:r>
      </w:hyperlink>
    </w:p>
    <w:p w14:paraId="6FB88E9A" w14:textId="77777777" w:rsidR="00BA49F6" w:rsidRDefault="0006479A">
      <w:pPr>
        <w:pStyle w:val="TOC3"/>
        <w:rPr>
          <w:rFonts w:asciiTheme="minorHAnsi" w:eastAsiaTheme="minorEastAsia" w:hAnsiTheme="minorHAnsi" w:cstheme="minorBidi"/>
          <w:noProof/>
          <w:sz w:val="22"/>
          <w:szCs w:val="22"/>
          <w:lang w:eastAsia="ja-JP"/>
        </w:rPr>
      </w:pPr>
      <w:hyperlink w:anchor="_Toc462738060" w:history="1">
        <w:r w:rsidR="00BA49F6" w:rsidRPr="00C04923">
          <w:rPr>
            <w:rStyle w:val="Hyperlink"/>
            <w:rFonts w:eastAsia="Calibri"/>
            <w:noProof/>
          </w:rPr>
          <w:t>Analysis</w:t>
        </w:r>
        <w:r w:rsidR="00BA49F6">
          <w:rPr>
            <w:noProof/>
            <w:webHidden/>
          </w:rPr>
          <w:tab/>
        </w:r>
        <w:r w:rsidR="00BA49F6">
          <w:rPr>
            <w:noProof/>
            <w:webHidden/>
          </w:rPr>
          <w:fldChar w:fldCharType="begin"/>
        </w:r>
        <w:r w:rsidR="00BA49F6">
          <w:rPr>
            <w:noProof/>
            <w:webHidden/>
          </w:rPr>
          <w:instrText xml:space="preserve"> PAGEREF _Toc462738060 \h </w:instrText>
        </w:r>
        <w:r w:rsidR="00BA49F6">
          <w:rPr>
            <w:noProof/>
            <w:webHidden/>
          </w:rPr>
        </w:r>
        <w:r w:rsidR="00BA49F6">
          <w:rPr>
            <w:noProof/>
            <w:webHidden/>
          </w:rPr>
          <w:fldChar w:fldCharType="separate"/>
        </w:r>
        <w:r>
          <w:rPr>
            <w:noProof/>
            <w:webHidden/>
          </w:rPr>
          <w:t>168</w:t>
        </w:r>
        <w:r w:rsidR="00BA49F6">
          <w:rPr>
            <w:noProof/>
            <w:webHidden/>
          </w:rPr>
          <w:fldChar w:fldCharType="end"/>
        </w:r>
      </w:hyperlink>
    </w:p>
    <w:p w14:paraId="16438EBA"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61" w:history="1">
        <w:r w:rsidR="00BA49F6" w:rsidRPr="00C04923">
          <w:rPr>
            <w:rStyle w:val="Hyperlink"/>
            <w:noProof/>
          </w:rPr>
          <w:t>Results</w:t>
        </w:r>
        <w:r w:rsidR="00BA49F6">
          <w:rPr>
            <w:noProof/>
            <w:webHidden/>
          </w:rPr>
          <w:tab/>
        </w:r>
        <w:r w:rsidR="00BA49F6">
          <w:rPr>
            <w:noProof/>
            <w:webHidden/>
          </w:rPr>
          <w:fldChar w:fldCharType="begin"/>
        </w:r>
        <w:r w:rsidR="00BA49F6">
          <w:rPr>
            <w:noProof/>
            <w:webHidden/>
          </w:rPr>
          <w:instrText xml:space="preserve"> PAGEREF _Toc462738061 \h </w:instrText>
        </w:r>
        <w:r w:rsidR="00BA49F6">
          <w:rPr>
            <w:noProof/>
            <w:webHidden/>
          </w:rPr>
        </w:r>
        <w:r w:rsidR="00BA49F6">
          <w:rPr>
            <w:noProof/>
            <w:webHidden/>
          </w:rPr>
          <w:fldChar w:fldCharType="separate"/>
        </w:r>
        <w:r>
          <w:rPr>
            <w:noProof/>
            <w:webHidden/>
          </w:rPr>
          <w:t>171</w:t>
        </w:r>
        <w:r w:rsidR="00BA49F6">
          <w:rPr>
            <w:noProof/>
            <w:webHidden/>
          </w:rPr>
          <w:fldChar w:fldCharType="end"/>
        </w:r>
      </w:hyperlink>
    </w:p>
    <w:p w14:paraId="38C734E3"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62" w:history="1">
        <w:r w:rsidR="00BA49F6" w:rsidRPr="00C04923">
          <w:rPr>
            <w:rStyle w:val="Hyperlink"/>
            <w:noProof/>
          </w:rPr>
          <w:t>Discussion</w:t>
        </w:r>
        <w:r w:rsidR="00BA49F6">
          <w:rPr>
            <w:noProof/>
            <w:webHidden/>
          </w:rPr>
          <w:tab/>
        </w:r>
        <w:r w:rsidR="00BA49F6">
          <w:rPr>
            <w:noProof/>
            <w:webHidden/>
          </w:rPr>
          <w:fldChar w:fldCharType="begin"/>
        </w:r>
        <w:r w:rsidR="00BA49F6">
          <w:rPr>
            <w:noProof/>
            <w:webHidden/>
          </w:rPr>
          <w:instrText xml:space="preserve"> PAGEREF _Toc462738062 \h </w:instrText>
        </w:r>
        <w:r w:rsidR="00BA49F6">
          <w:rPr>
            <w:noProof/>
            <w:webHidden/>
          </w:rPr>
        </w:r>
        <w:r w:rsidR="00BA49F6">
          <w:rPr>
            <w:noProof/>
            <w:webHidden/>
          </w:rPr>
          <w:fldChar w:fldCharType="separate"/>
        </w:r>
        <w:r>
          <w:rPr>
            <w:noProof/>
            <w:webHidden/>
          </w:rPr>
          <w:t>177</w:t>
        </w:r>
        <w:r w:rsidR="00BA49F6">
          <w:rPr>
            <w:noProof/>
            <w:webHidden/>
          </w:rPr>
          <w:fldChar w:fldCharType="end"/>
        </w:r>
      </w:hyperlink>
    </w:p>
    <w:p w14:paraId="4D44AE99" w14:textId="77777777" w:rsidR="00BA49F6" w:rsidRDefault="0006479A">
      <w:pPr>
        <w:pStyle w:val="TOC3"/>
        <w:rPr>
          <w:rFonts w:asciiTheme="minorHAnsi" w:eastAsiaTheme="minorEastAsia" w:hAnsiTheme="minorHAnsi" w:cstheme="minorBidi"/>
          <w:noProof/>
          <w:sz w:val="22"/>
          <w:szCs w:val="22"/>
          <w:lang w:eastAsia="ja-JP"/>
        </w:rPr>
      </w:pPr>
      <w:hyperlink w:anchor="_Toc462738063" w:history="1">
        <w:r w:rsidR="00BA49F6" w:rsidRPr="00C04923">
          <w:rPr>
            <w:rStyle w:val="Hyperlink"/>
            <w:noProof/>
          </w:rPr>
          <w:t>HRQL Utility Estimates for Gambling-Related Harm</w:t>
        </w:r>
        <w:r w:rsidR="00BA49F6">
          <w:rPr>
            <w:noProof/>
            <w:webHidden/>
          </w:rPr>
          <w:tab/>
        </w:r>
        <w:r w:rsidR="00BA49F6">
          <w:rPr>
            <w:noProof/>
            <w:webHidden/>
          </w:rPr>
          <w:fldChar w:fldCharType="begin"/>
        </w:r>
        <w:r w:rsidR="00BA49F6">
          <w:rPr>
            <w:noProof/>
            <w:webHidden/>
          </w:rPr>
          <w:instrText xml:space="preserve"> PAGEREF _Toc462738063 \h </w:instrText>
        </w:r>
        <w:r w:rsidR="00BA49F6">
          <w:rPr>
            <w:noProof/>
            <w:webHidden/>
          </w:rPr>
        </w:r>
        <w:r w:rsidR="00BA49F6">
          <w:rPr>
            <w:noProof/>
            <w:webHidden/>
          </w:rPr>
          <w:fldChar w:fldCharType="separate"/>
        </w:r>
        <w:r>
          <w:rPr>
            <w:noProof/>
            <w:webHidden/>
          </w:rPr>
          <w:t>177</w:t>
        </w:r>
        <w:r w:rsidR="00BA49F6">
          <w:rPr>
            <w:noProof/>
            <w:webHidden/>
          </w:rPr>
          <w:fldChar w:fldCharType="end"/>
        </w:r>
      </w:hyperlink>
    </w:p>
    <w:p w14:paraId="5EEAFE05"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8064" w:history="1">
        <w:r w:rsidR="00BA49F6" w:rsidRPr="00C04923">
          <w:rPr>
            <w:rStyle w:val="Hyperlink"/>
            <w:rFonts w:eastAsia="MS Mincho"/>
          </w:rPr>
          <w:t>Assessing population level harm from gambling in New Zealand</w:t>
        </w:r>
        <w:r w:rsidR="00BA49F6">
          <w:rPr>
            <w:webHidden/>
          </w:rPr>
          <w:tab/>
        </w:r>
        <w:r w:rsidR="00BA49F6">
          <w:rPr>
            <w:webHidden/>
          </w:rPr>
          <w:fldChar w:fldCharType="begin"/>
        </w:r>
        <w:r w:rsidR="00BA49F6">
          <w:rPr>
            <w:webHidden/>
          </w:rPr>
          <w:instrText xml:space="preserve"> PAGEREF _Toc462738064 \h </w:instrText>
        </w:r>
        <w:r w:rsidR="00BA49F6">
          <w:rPr>
            <w:webHidden/>
          </w:rPr>
        </w:r>
        <w:r w:rsidR="00BA49F6">
          <w:rPr>
            <w:webHidden/>
          </w:rPr>
          <w:fldChar w:fldCharType="separate"/>
        </w:r>
        <w:r>
          <w:rPr>
            <w:webHidden/>
          </w:rPr>
          <w:t>180</w:t>
        </w:r>
        <w:r w:rsidR="00BA49F6">
          <w:rPr>
            <w:webHidden/>
          </w:rPr>
          <w:fldChar w:fldCharType="end"/>
        </w:r>
      </w:hyperlink>
    </w:p>
    <w:p w14:paraId="781FE8DE"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65" w:history="1">
        <w:r w:rsidR="00BA49F6" w:rsidRPr="00C04923">
          <w:rPr>
            <w:rStyle w:val="Hyperlink"/>
            <w:rFonts w:eastAsia="MS Mincho"/>
            <w:noProof/>
          </w:rPr>
          <w:t>Method</w:t>
        </w:r>
        <w:r w:rsidR="00BA49F6">
          <w:rPr>
            <w:noProof/>
            <w:webHidden/>
          </w:rPr>
          <w:tab/>
        </w:r>
        <w:r w:rsidR="00BA49F6">
          <w:rPr>
            <w:noProof/>
            <w:webHidden/>
          </w:rPr>
          <w:fldChar w:fldCharType="begin"/>
        </w:r>
        <w:r w:rsidR="00BA49F6">
          <w:rPr>
            <w:noProof/>
            <w:webHidden/>
          </w:rPr>
          <w:instrText xml:space="preserve"> PAGEREF _Toc462738065 \h </w:instrText>
        </w:r>
        <w:r w:rsidR="00BA49F6">
          <w:rPr>
            <w:noProof/>
            <w:webHidden/>
          </w:rPr>
        </w:r>
        <w:r w:rsidR="00BA49F6">
          <w:rPr>
            <w:noProof/>
            <w:webHidden/>
          </w:rPr>
          <w:fldChar w:fldCharType="separate"/>
        </w:r>
        <w:r>
          <w:rPr>
            <w:noProof/>
            <w:webHidden/>
          </w:rPr>
          <w:t>180</w:t>
        </w:r>
        <w:r w:rsidR="00BA49F6">
          <w:rPr>
            <w:noProof/>
            <w:webHidden/>
          </w:rPr>
          <w:fldChar w:fldCharType="end"/>
        </w:r>
      </w:hyperlink>
    </w:p>
    <w:p w14:paraId="7B3591CB" w14:textId="77777777" w:rsidR="00BA49F6" w:rsidRDefault="0006479A">
      <w:pPr>
        <w:pStyle w:val="TOC3"/>
        <w:rPr>
          <w:rFonts w:asciiTheme="minorHAnsi" w:eastAsiaTheme="minorEastAsia" w:hAnsiTheme="minorHAnsi" w:cstheme="minorBidi"/>
          <w:noProof/>
          <w:sz w:val="22"/>
          <w:szCs w:val="22"/>
          <w:lang w:eastAsia="ja-JP"/>
        </w:rPr>
      </w:pPr>
      <w:hyperlink w:anchor="_Toc462738066" w:history="1">
        <w:r w:rsidR="00BA49F6" w:rsidRPr="00C04923">
          <w:rPr>
            <w:rStyle w:val="Hyperlink"/>
            <w:noProof/>
          </w:rPr>
          <w:t>Calculating QALY</w:t>
        </w:r>
        <w:r w:rsidR="00BA49F6" w:rsidRPr="00C04923">
          <w:rPr>
            <w:rStyle w:val="Hyperlink"/>
            <w:noProof/>
            <w:vertAlign w:val="subscript"/>
          </w:rPr>
          <w:t>1</w:t>
        </w:r>
        <w:r w:rsidR="00BA49F6" w:rsidRPr="00C04923">
          <w:rPr>
            <w:rStyle w:val="Hyperlink"/>
            <w:noProof/>
          </w:rPr>
          <w:t xml:space="preserve"> – Annual years of healthy life lost</w:t>
        </w:r>
        <w:r w:rsidR="00BA49F6">
          <w:rPr>
            <w:noProof/>
            <w:webHidden/>
          </w:rPr>
          <w:tab/>
        </w:r>
        <w:r w:rsidR="00BA49F6">
          <w:rPr>
            <w:noProof/>
            <w:webHidden/>
          </w:rPr>
          <w:fldChar w:fldCharType="begin"/>
        </w:r>
        <w:r w:rsidR="00BA49F6">
          <w:rPr>
            <w:noProof/>
            <w:webHidden/>
          </w:rPr>
          <w:instrText xml:space="preserve"> PAGEREF _Toc462738066 \h </w:instrText>
        </w:r>
        <w:r w:rsidR="00BA49F6">
          <w:rPr>
            <w:noProof/>
            <w:webHidden/>
          </w:rPr>
        </w:r>
        <w:r w:rsidR="00BA49F6">
          <w:rPr>
            <w:noProof/>
            <w:webHidden/>
          </w:rPr>
          <w:fldChar w:fldCharType="separate"/>
        </w:r>
        <w:r>
          <w:rPr>
            <w:noProof/>
            <w:webHidden/>
          </w:rPr>
          <w:t>180</w:t>
        </w:r>
        <w:r w:rsidR="00BA49F6">
          <w:rPr>
            <w:noProof/>
            <w:webHidden/>
          </w:rPr>
          <w:fldChar w:fldCharType="end"/>
        </w:r>
      </w:hyperlink>
    </w:p>
    <w:p w14:paraId="51271068" w14:textId="77777777" w:rsidR="00BA49F6" w:rsidRDefault="0006479A">
      <w:pPr>
        <w:pStyle w:val="TOC3"/>
        <w:rPr>
          <w:rFonts w:asciiTheme="minorHAnsi" w:eastAsiaTheme="minorEastAsia" w:hAnsiTheme="minorHAnsi" w:cstheme="minorBidi"/>
          <w:noProof/>
          <w:sz w:val="22"/>
          <w:szCs w:val="22"/>
          <w:lang w:eastAsia="ja-JP"/>
        </w:rPr>
      </w:pPr>
      <w:hyperlink w:anchor="_Toc462738067" w:history="1">
        <w:r w:rsidR="00BA49F6" w:rsidRPr="00C04923">
          <w:rPr>
            <w:rStyle w:val="Hyperlink"/>
            <w:noProof/>
          </w:rPr>
          <w:t>Data sources</w:t>
        </w:r>
        <w:r w:rsidR="00BA49F6">
          <w:rPr>
            <w:noProof/>
            <w:webHidden/>
          </w:rPr>
          <w:tab/>
        </w:r>
        <w:r w:rsidR="00BA49F6">
          <w:rPr>
            <w:noProof/>
            <w:webHidden/>
          </w:rPr>
          <w:fldChar w:fldCharType="begin"/>
        </w:r>
        <w:r w:rsidR="00BA49F6">
          <w:rPr>
            <w:noProof/>
            <w:webHidden/>
          </w:rPr>
          <w:instrText xml:space="preserve"> PAGEREF _Toc462738067 \h </w:instrText>
        </w:r>
        <w:r w:rsidR="00BA49F6">
          <w:rPr>
            <w:noProof/>
            <w:webHidden/>
          </w:rPr>
        </w:r>
        <w:r w:rsidR="00BA49F6">
          <w:rPr>
            <w:noProof/>
            <w:webHidden/>
          </w:rPr>
          <w:fldChar w:fldCharType="separate"/>
        </w:r>
        <w:r>
          <w:rPr>
            <w:noProof/>
            <w:webHidden/>
          </w:rPr>
          <w:t>181</w:t>
        </w:r>
        <w:r w:rsidR="00BA49F6">
          <w:rPr>
            <w:noProof/>
            <w:webHidden/>
          </w:rPr>
          <w:fldChar w:fldCharType="end"/>
        </w:r>
      </w:hyperlink>
    </w:p>
    <w:p w14:paraId="62AD42C4"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68" w:history="1">
        <w:r w:rsidR="00BA49F6" w:rsidRPr="00C04923">
          <w:rPr>
            <w:rStyle w:val="Hyperlink"/>
            <w:rFonts w:eastAsia="MS Mincho"/>
            <w:noProof/>
          </w:rPr>
          <w:t>Results</w:t>
        </w:r>
        <w:r w:rsidR="00BA49F6">
          <w:rPr>
            <w:noProof/>
            <w:webHidden/>
          </w:rPr>
          <w:tab/>
        </w:r>
        <w:r w:rsidR="00BA49F6">
          <w:rPr>
            <w:noProof/>
            <w:webHidden/>
          </w:rPr>
          <w:fldChar w:fldCharType="begin"/>
        </w:r>
        <w:r w:rsidR="00BA49F6">
          <w:rPr>
            <w:noProof/>
            <w:webHidden/>
          </w:rPr>
          <w:instrText xml:space="preserve"> PAGEREF _Toc462738068 \h </w:instrText>
        </w:r>
        <w:r w:rsidR="00BA49F6">
          <w:rPr>
            <w:noProof/>
            <w:webHidden/>
          </w:rPr>
        </w:r>
        <w:r w:rsidR="00BA49F6">
          <w:rPr>
            <w:noProof/>
            <w:webHidden/>
          </w:rPr>
          <w:fldChar w:fldCharType="separate"/>
        </w:r>
        <w:r>
          <w:rPr>
            <w:noProof/>
            <w:webHidden/>
          </w:rPr>
          <w:t>182</w:t>
        </w:r>
        <w:r w:rsidR="00BA49F6">
          <w:rPr>
            <w:noProof/>
            <w:webHidden/>
          </w:rPr>
          <w:fldChar w:fldCharType="end"/>
        </w:r>
      </w:hyperlink>
    </w:p>
    <w:p w14:paraId="2BE74301" w14:textId="77777777" w:rsidR="00BA49F6" w:rsidRDefault="0006479A">
      <w:pPr>
        <w:pStyle w:val="TOC3"/>
        <w:rPr>
          <w:rFonts w:asciiTheme="minorHAnsi" w:eastAsiaTheme="minorEastAsia" w:hAnsiTheme="minorHAnsi" w:cstheme="minorBidi"/>
          <w:noProof/>
          <w:sz w:val="22"/>
          <w:szCs w:val="22"/>
          <w:lang w:eastAsia="ja-JP"/>
        </w:rPr>
      </w:pPr>
      <w:hyperlink w:anchor="_Toc462738069" w:history="1">
        <w:r w:rsidR="00BA49F6" w:rsidRPr="00C04923">
          <w:rPr>
            <w:rStyle w:val="Hyperlink"/>
            <w:noProof/>
          </w:rPr>
          <w:t>Prevalence of gambling problems in New Zealand</w:t>
        </w:r>
        <w:r w:rsidR="00BA49F6">
          <w:rPr>
            <w:noProof/>
            <w:webHidden/>
          </w:rPr>
          <w:tab/>
        </w:r>
        <w:r w:rsidR="00BA49F6">
          <w:rPr>
            <w:noProof/>
            <w:webHidden/>
          </w:rPr>
          <w:fldChar w:fldCharType="begin"/>
        </w:r>
        <w:r w:rsidR="00BA49F6">
          <w:rPr>
            <w:noProof/>
            <w:webHidden/>
          </w:rPr>
          <w:instrText xml:space="preserve"> PAGEREF _Toc462738069 \h </w:instrText>
        </w:r>
        <w:r w:rsidR="00BA49F6">
          <w:rPr>
            <w:noProof/>
            <w:webHidden/>
          </w:rPr>
        </w:r>
        <w:r w:rsidR="00BA49F6">
          <w:rPr>
            <w:noProof/>
            <w:webHidden/>
          </w:rPr>
          <w:fldChar w:fldCharType="separate"/>
        </w:r>
        <w:r>
          <w:rPr>
            <w:noProof/>
            <w:webHidden/>
          </w:rPr>
          <w:t>182</w:t>
        </w:r>
        <w:r w:rsidR="00BA49F6">
          <w:rPr>
            <w:noProof/>
            <w:webHidden/>
          </w:rPr>
          <w:fldChar w:fldCharType="end"/>
        </w:r>
      </w:hyperlink>
    </w:p>
    <w:p w14:paraId="6202431F" w14:textId="77777777" w:rsidR="00BA49F6" w:rsidRDefault="0006479A">
      <w:pPr>
        <w:pStyle w:val="TOC3"/>
        <w:rPr>
          <w:rFonts w:asciiTheme="minorHAnsi" w:eastAsiaTheme="minorEastAsia" w:hAnsiTheme="minorHAnsi" w:cstheme="minorBidi"/>
          <w:noProof/>
          <w:sz w:val="22"/>
          <w:szCs w:val="22"/>
          <w:lang w:eastAsia="ja-JP"/>
        </w:rPr>
      </w:pPr>
      <w:hyperlink w:anchor="_Toc462738070" w:history="1">
        <w:r w:rsidR="00BA49F6" w:rsidRPr="00C04923">
          <w:rPr>
            <w:rStyle w:val="Hyperlink"/>
            <w:noProof/>
          </w:rPr>
          <w:t>Harm to self</w:t>
        </w:r>
        <w:r w:rsidR="00BA49F6">
          <w:rPr>
            <w:noProof/>
            <w:webHidden/>
          </w:rPr>
          <w:tab/>
        </w:r>
        <w:r w:rsidR="00BA49F6">
          <w:rPr>
            <w:noProof/>
            <w:webHidden/>
          </w:rPr>
          <w:fldChar w:fldCharType="begin"/>
        </w:r>
        <w:r w:rsidR="00BA49F6">
          <w:rPr>
            <w:noProof/>
            <w:webHidden/>
          </w:rPr>
          <w:instrText xml:space="preserve"> PAGEREF _Toc462738070 \h </w:instrText>
        </w:r>
        <w:r w:rsidR="00BA49F6">
          <w:rPr>
            <w:noProof/>
            <w:webHidden/>
          </w:rPr>
        </w:r>
        <w:r w:rsidR="00BA49F6">
          <w:rPr>
            <w:noProof/>
            <w:webHidden/>
          </w:rPr>
          <w:fldChar w:fldCharType="separate"/>
        </w:r>
        <w:r>
          <w:rPr>
            <w:noProof/>
            <w:webHidden/>
          </w:rPr>
          <w:t>183</w:t>
        </w:r>
        <w:r w:rsidR="00BA49F6">
          <w:rPr>
            <w:noProof/>
            <w:webHidden/>
          </w:rPr>
          <w:fldChar w:fldCharType="end"/>
        </w:r>
      </w:hyperlink>
    </w:p>
    <w:p w14:paraId="0BD5DA3A" w14:textId="77777777" w:rsidR="00BA49F6" w:rsidRDefault="0006479A">
      <w:pPr>
        <w:pStyle w:val="TOC3"/>
        <w:rPr>
          <w:rFonts w:asciiTheme="minorHAnsi" w:eastAsiaTheme="minorEastAsia" w:hAnsiTheme="minorHAnsi" w:cstheme="minorBidi"/>
          <w:noProof/>
          <w:sz w:val="22"/>
          <w:szCs w:val="22"/>
          <w:lang w:eastAsia="ja-JP"/>
        </w:rPr>
      </w:pPr>
      <w:hyperlink w:anchor="_Toc462738071" w:history="1">
        <w:r w:rsidR="00BA49F6" w:rsidRPr="00C04923">
          <w:rPr>
            <w:rStyle w:val="Hyperlink"/>
            <w:noProof/>
          </w:rPr>
          <w:t>Harm to others</w:t>
        </w:r>
        <w:r w:rsidR="00BA49F6">
          <w:rPr>
            <w:noProof/>
            <w:webHidden/>
          </w:rPr>
          <w:tab/>
        </w:r>
        <w:r w:rsidR="00BA49F6">
          <w:rPr>
            <w:noProof/>
            <w:webHidden/>
          </w:rPr>
          <w:fldChar w:fldCharType="begin"/>
        </w:r>
        <w:r w:rsidR="00BA49F6">
          <w:rPr>
            <w:noProof/>
            <w:webHidden/>
          </w:rPr>
          <w:instrText xml:space="preserve"> PAGEREF _Toc462738071 \h </w:instrText>
        </w:r>
        <w:r w:rsidR="00BA49F6">
          <w:rPr>
            <w:noProof/>
            <w:webHidden/>
          </w:rPr>
        </w:r>
        <w:r w:rsidR="00BA49F6">
          <w:rPr>
            <w:noProof/>
            <w:webHidden/>
          </w:rPr>
          <w:fldChar w:fldCharType="separate"/>
        </w:r>
        <w:r>
          <w:rPr>
            <w:noProof/>
            <w:webHidden/>
          </w:rPr>
          <w:t>184</w:t>
        </w:r>
        <w:r w:rsidR="00BA49F6">
          <w:rPr>
            <w:noProof/>
            <w:webHidden/>
          </w:rPr>
          <w:fldChar w:fldCharType="end"/>
        </w:r>
      </w:hyperlink>
    </w:p>
    <w:p w14:paraId="26218E02" w14:textId="77777777" w:rsidR="00BA49F6" w:rsidRDefault="0006479A">
      <w:pPr>
        <w:pStyle w:val="TOC3"/>
        <w:rPr>
          <w:rFonts w:asciiTheme="minorHAnsi" w:eastAsiaTheme="minorEastAsia" w:hAnsiTheme="minorHAnsi" w:cstheme="minorBidi"/>
          <w:noProof/>
          <w:sz w:val="22"/>
          <w:szCs w:val="22"/>
          <w:lang w:eastAsia="ja-JP"/>
        </w:rPr>
      </w:pPr>
      <w:hyperlink w:anchor="_Toc462738072" w:history="1">
        <w:r w:rsidR="00BA49F6" w:rsidRPr="00C04923">
          <w:rPr>
            <w:rStyle w:val="Hyperlink"/>
            <w:noProof/>
          </w:rPr>
          <w:t>Assessing relative impact of the domains of harm</w:t>
        </w:r>
        <w:r w:rsidR="00BA49F6">
          <w:rPr>
            <w:noProof/>
            <w:webHidden/>
          </w:rPr>
          <w:tab/>
        </w:r>
        <w:r w:rsidR="00BA49F6">
          <w:rPr>
            <w:noProof/>
            <w:webHidden/>
          </w:rPr>
          <w:fldChar w:fldCharType="begin"/>
        </w:r>
        <w:r w:rsidR="00BA49F6">
          <w:rPr>
            <w:noProof/>
            <w:webHidden/>
          </w:rPr>
          <w:instrText xml:space="preserve"> PAGEREF _Toc462738072 \h </w:instrText>
        </w:r>
        <w:r w:rsidR="00BA49F6">
          <w:rPr>
            <w:noProof/>
            <w:webHidden/>
          </w:rPr>
        </w:r>
        <w:r w:rsidR="00BA49F6">
          <w:rPr>
            <w:noProof/>
            <w:webHidden/>
          </w:rPr>
          <w:fldChar w:fldCharType="separate"/>
        </w:r>
        <w:r>
          <w:rPr>
            <w:noProof/>
            <w:webHidden/>
          </w:rPr>
          <w:t>186</w:t>
        </w:r>
        <w:r w:rsidR="00BA49F6">
          <w:rPr>
            <w:noProof/>
            <w:webHidden/>
          </w:rPr>
          <w:fldChar w:fldCharType="end"/>
        </w:r>
      </w:hyperlink>
    </w:p>
    <w:p w14:paraId="70519946" w14:textId="77777777" w:rsidR="00BA49F6" w:rsidRDefault="0006479A">
      <w:pPr>
        <w:pStyle w:val="TOC3"/>
        <w:rPr>
          <w:rFonts w:asciiTheme="minorHAnsi" w:eastAsiaTheme="minorEastAsia" w:hAnsiTheme="minorHAnsi" w:cstheme="minorBidi"/>
          <w:noProof/>
          <w:sz w:val="22"/>
          <w:szCs w:val="22"/>
          <w:lang w:eastAsia="ja-JP"/>
        </w:rPr>
      </w:pPr>
      <w:hyperlink w:anchor="_Toc462738073" w:history="1">
        <w:r w:rsidR="00BA49F6" w:rsidRPr="00C04923">
          <w:rPr>
            <w:rStyle w:val="Hyperlink"/>
            <w:noProof/>
          </w:rPr>
          <w:t>Harm compared to other health states</w:t>
        </w:r>
        <w:r w:rsidR="00BA49F6">
          <w:rPr>
            <w:noProof/>
            <w:webHidden/>
          </w:rPr>
          <w:tab/>
        </w:r>
        <w:r w:rsidR="00BA49F6">
          <w:rPr>
            <w:noProof/>
            <w:webHidden/>
          </w:rPr>
          <w:fldChar w:fldCharType="begin"/>
        </w:r>
        <w:r w:rsidR="00BA49F6">
          <w:rPr>
            <w:noProof/>
            <w:webHidden/>
          </w:rPr>
          <w:instrText xml:space="preserve"> PAGEREF _Toc462738073 \h </w:instrText>
        </w:r>
        <w:r w:rsidR="00BA49F6">
          <w:rPr>
            <w:noProof/>
            <w:webHidden/>
          </w:rPr>
        </w:r>
        <w:r w:rsidR="00BA49F6">
          <w:rPr>
            <w:noProof/>
            <w:webHidden/>
          </w:rPr>
          <w:fldChar w:fldCharType="separate"/>
        </w:r>
        <w:r>
          <w:rPr>
            <w:noProof/>
            <w:webHidden/>
          </w:rPr>
          <w:t>187</w:t>
        </w:r>
        <w:r w:rsidR="00BA49F6">
          <w:rPr>
            <w:noProof/>
            <w:webHidden/>
          </w:rPr>
          <w:fldChar w:fldCharType="end"/>
        </w:r>
      </w:hyperlink>
    </w:p>
    <w:p w14:paraId="0571F544" w14:textId="77777777" w:rsidR="00BA49F6" w:rsidRDefault="0006479A">
      <w:pPr>
        <w:pStyle w:val="TOC3"/>
        <w:rPr>
          <w:rFonts w:asciiTheme="minorHAnsi" w:eastAsiaTheme="minorEastAsia" w:hAnsiTheme="minorHAnsi" w:cstheme="minorBidi"/>
          <w:noProof/>
          <w:sz w:val="22"/>
          <w:szCs w:val="22"/>
          <w:lang w:eastAsia="ja-JP"/>
        </w:rPr>
      </w:pPr>
      <w:hyperlink w:anchor="_Toc462738074" w:history="1">
        <w:r w:rsidR="00BA49F6" w:rsidRPr="00C04923">
          <w:rPr>
            <w:rStyle w:val="Hyperlink"/>
            <w:noProof/>
          </w:rPr>
          <w:t>Harm and demographic differences</w:t>
        </w:r>
        <w:r w:rsidR="00BA49F6">
          <w:rPr>
            <w:noProof/>
            <w:webHidden/>
          </w:rPr>
          <w:tab/>
        </w:r>
        <w:r w:rsidR="00BA49F6">
          <w:rPr>
            <w:noProof/>
            <w:webHidden/>
          </w:rPr>
          <w:fldChar w:fldCharType="begin"/>
        </w:r>
        <w:r w:rsidR="00BA49F6">
          <w:rPr>
            <w:noProof/>
            <w:webHidden/>
          </w:rPr>
          <w:instrText xml:space="preserve"> PAGEREF _Toc462738074 \h </w:instrText>
        </w:r>
        <w:r w:rsidR="00BA49F6">
          <w:rPr>
            <w:noProof/>
            <w:webHidden/>
          </w:rPr>
        </w:r>
        <w:r w:rsidR="00BA49F6">
          <w:rPr>
            <w:noProof/>
            <w:webHidden/>
          </w:rPr>
          <w:fldChar w:fldCharType="separate"/>
        </w:r>
        <w:r>
          <w:rPr>
            <w:noProof/>
            <w:webHidden/>
          </w:rPr>
          <w:t>188</w:t>
        </w:r>
        <w:r w:rsidR="00BA49F6">
          <w:rPr>
            <w:noProof/>
            <w:webHidden/>
          </w:rPr>
          <w:fldChar w:fldCharType="end"/>
        </w:r>
      </w:hyperlink>
    </w:p>
    <w:p w14:paraId="7FDAD54A" w14:textId="77777777" w:rsidR="00BA49F6" w:rsidRDefault="0006479A">
      <w:pPr>
        <w:pStyle w:val="TOC2"/>
        <w:rPr>
          <w:rFonts w:asciiTheme="minorHAnsi" w:eastAsiaTheme="minorEastAsia" w:hAnsiTheme="minorHAnsi" w:cstheme="minorBidi"/>
          <w:b w:val="0"/>
          <w:bCs w:val="0"/>
          <w:noProof/>
          <w:color w:val="auto"/>
          <w:sz w:val="22"/>
          <w:szCs w:val="22"/>
          <w:lang w:eastAsia="ja-JP"/>
        </w:rPr>
      </w:pPr>
      <w:hyperlink w:anchor="_Toc462738075" w:history="1">
        <w:r w:rsidR="00BA49F6" w:rsidRPr="00C04923">
          <w:rPr>
            <w:rStyle w:val="Hyperlink"/>
            <w:noProof/>
          </w:rPr>
          <w:t>Discussion</w:t>
        </w:r>
        <w:r w:rsidR="00BA49F6">
          <w:rPr>
            <w:noProof/>
            <w:webHidden/>
          </w:rPr>
          <w:tab/>
        </w:r>
        <w:r w:rsidR="00BA49F6">
          <w:rPr>
            <w:noProof/>
            <w:webHidden/>
          </w:rPr>
          <w:fldChar w:fldCharType="begin"/>
        </w:r>
        <w:r w:rsidR="00BA49F6">
          <w:rPr>
            <w:noProof/>
            <w:webHidden/>
          </w:rPr>
          <w:instrText xml:space="preserve"> PAGEREF _Toc462738075 \h </w:instrText>
        </w:r>
        <w:r w:rsidR="00BA49F6">
          <w:rPr>
            <w:noProof/>
            <w:webHidden/>
          </w:rPr>
        </w:r>
        <w:r w:rsidR="00BA49F6">
          <w:rPr>
            <w:noProof/>
            <w:webHidden/>
          </w:rPr>
          <w:fldChar w:fldCharType="separate"/>
        </w:r>
        <w:r>
          <w:rPr>
            <w:noProof/>
            <w:webHidden/>
          </w:rPr>
          <w:t>195</w:t>
        </w:r>
        <w:r w:rsidR="00BA49F6">
          <w:rPr>
            <w:noProof/>
            <w:webHidden/>
          </w:rPr>
          <w:fldChar w:fldCharType="end"/>
        </w:r>
      </w:hyperlink>
    </w:p>
    <w:p w14:paraId="093582CE" w14:textId="77777777" w:rsidR="00BA49F6" w:rsidRDefault="0006479A">
      <w:pPr>
        <w:pStyle w:val="TOC3"/>
        <w:rPr>
          <w:rFonts w:asciiTheme="minorHAnsi" w:eastAsiaTheme="minorEastAsia" w:hAnsiTheme="minorHAnsi" w:cstheme="minorBidi"/>
          <w:noProof/>
          <w:sz w:val="22"/>
          <w:szCs w:val="22"/>
          <w:lang w:eastAsia="ja-JP"/>
        </w:rPr>
      </w:pPr>
      <w:hyperlink w:anchor="_Toc462738076" w:history="1">
        <w:r w:rsidR="00BA49F6" w:rsidRPr="00C04923">
          <w:rPr>
            <w:rStyle w:val="Hyperlink"/>
            <w:noProof/>
          </w:rPr>
          <w:t>Population level harm from gambling in New Zealand</w:t>
        </w:r>
        <w:r w:rsidR="00BA49F6">
          <w:rPr>
            <w:noProof/>
            <w:webHidden/>
          </w:rPr>
          <w:tab/>
        </w:r>
        <w:r w:rsidR="00BA49F6">
          <w:rPr>
            <w:noProof/>
            <w:webHidden/>
          </w:rPr>
          <w:fldChar w:fldCharType="begin"/>
        </w:r>
        <w:r w:rsidR="00BA49F6">
          <w:rPr>
            <w:noProof/>
            <w:webHidden/>
          </w:rPr>
          <w:instrText xml:space="preserve"> PAGEREF _Toc462738076 \h </w:instrText>
        </w:r>
        <w:r w:rsidR="00BA49F6">
          <w:rPr>
            <w:noProof/>
            <w:webHidden/>
          </w:rPr>
        </w:r>
        <w:r w:rsidR="00BA49F6">
          <w:rPr>
            <w:noProof/>
            <w:webHidden/>
          </w:rPr>
          <w:fldChar w:fldCharType="separate"/>
        </w:r>
        <w:r>
          <w:rPr>
            <w:noProof/>
            <w:webHidden/>
          </w:rPr>
          <w:t>195</w:t>
        </w:r>
        <w:r w:rsidR="00BA49F6">
          <w:rPr>
            <w:noProof/>
            <w:webHidden/>
          </w:rPr>
          <w:fldChar w:fldCharType="end"/>
        </w:r>
      </w:hyperlink>
    </w:p>
    <w:p w14:paraId="64E7C351" w14:textId="77777777" w:rsidR="00BA49F6" w:rsidRDefault="0006479A">
      <w:pPr>
        <w:pStyle w:val="TOC3"/>
        <w:rPr>
          <w:rFonts w:asciiTheme="minorHAnsi" w:eastAsiaTheme="minorEastAsia" w:hAnsiTheme="minorHAnsi" w:cstheme="minorBidi"/>
          <w:noProof/>
          <w:sz w:val="22"/>
          <w:szCs w:val="22"/>
          <w:lang w:eastAsia="ja-JP"/>
        </w:rPr>
      </w:pPr>
      <w:hyperlink w:anchor="_Toc462738077" w:history="1">
        <w:r w:rsidR="00BA49F6" w:rsidRPr="00C04923">
          <w:rPr>
            <w:rStyle w:val="Hyperlink"/>
            <w:noProof/>
          </w:rPr>
          <w:t>Harm caused to self and others</w:t>
        </w:r>
        <w:r w:rsidR="00BA49F6">
          <w:rPr>
            <w:noProof/>
            <w:webHidden/>
          </w:rPr>
          <w:tab/>
        </w:r>
        <w:r w:rsidR="00BA49F6">
          <w:rPr>
            <w:noProof/>
            <w:webHidden/>
          </w:rPr>
          <w:fldChar w:fldCharType="begin"/>
        </w:r>
        <w:r w:rsidR="00BA49F6">
          <w:rPr>
            <w:noProof/>
            <w:webHidden/>
          </w:rPr>
          <w:instrText xml:space="preserve"> PAGEREF _Toc462738077 \h </w:instrText>
        </w:r>
        <w:r w:rsidR="00BA49F6">
          <w:rPr>
            <w:noProof/>
            <w:webHidden/>
          </w:rPr>
        </w:r>
        <w:r w:rsidR="00BA49F6">
          <w:rPr>
            <w:noProof/>
            <w:webHidden/>
          </w:rPr>
          <w:fldChar w:fldCharType="separate"/>
        </w:r>
        <w:r>
          <w:rPr>
            <w:noProof/>
            <w:webHidden/>
          </w:rPr>
          <w:t>195</w:t>
        </w:r>
        <w:r w:rsidR="00BA49F6">
          <w:rPr>
            <w:noProof/>
            <w:webHidden/>
          </w:rPr>
          <w:fldChar w:fldCharType="end"/>
        </w:r>
      </w:hyperlink>
    </w:p>
    <w:p w14:paraId="2A3CFA41" w14:textId="77777777" w:rsidR="00BA49F6" w:rsidRDefault="0006479A">
      <w:pPr>
        <w:pStyle w:val="TOC3"/>
        <w:rPr>
          <w:rFonts w:asciiTheme="minorHAnsi" w:eastAsiaTheme="minorEastAsia" w:hAnsiTheme="minorHAnsi" w:cstheme="minorBidi"/>
          <w:noProof/>
          <w:sz w:val="22"/>
          <w:szCs w:val="22"/>
          <w:lang w:eastAsia="ja-JP"/>
        </w:rPr>
      </w:pPr>
      <w:hyperlink w:anchor="_Toc462738078" w:history="1">
        <w:r w:rsidR="00BA49F6" w:rsidRPr="00C04923">
          <w:rPr>
            <w:rStyle w:val="Hyperlink"/>
            <w:noProof/>
          </w:rPr>
          <w:t>Different domains of gambling-related harm and quality of life</w:t>
        </w:r>
        <w:r w:rsidR="00BA49F6">
          <w:rPr>
            <w:noProof/>
            <w:webHidden/>
          </w:rPr>
          <w:tab/>
        </w:r>
        <w:r w:rsidR="00BA49F6">
          <w:rPr>
            <w:noProof/>
            <w:webHidden/>
          </w:rPr>
          <w:fldChar w:fldCharType="begin"/>
        </w:r>
        <w:r w:rsidR="00BA49F6">
          <w:rPr>
            <w:noProof/>
            <w:webHidden/>
          </w:rPr>
          <w:instrText xml:space="preserve"> PAGEREF _Toc462738078 \h </w:instrText>
        </w:r>
        <w:r w:rsidR="00BA49F6">
          <w:rPr>
            <w:noProof/>
            <w:webHidden/>
          </w:rPr>
        </w:r>
        <w:r w:rsidR="00BA49F6">
          <w:rPr>
            <w:noProof/>
            <w:webHidden/>
          </w:rPr>
          <w:fldChar w:fldCharType="separate"/>
        </w:r>
        <w:r>
          <w:rPr>
            <w:noProof/>
            <w:webHidden/>
          </w:rPr>
          <w:t>196</w:t>
        </w:r>
        <w:r w:rsidR="00BA49F6">
          <w:rPr>
            <w:noProof/>
            <w:webHidden/>
          </w:rPr>
          <w:fldChar w:fldCharType="end"/>
        </w:r>
      </w:hyperlink>
    </w:p>
    <w:p w14:paraId="005964D0" w14:textId="77777777" w:rsidR="00BA49F6" w:rsidRDefault="0006479A">
      <w:pPr>
        <w:pStyle w:val="TOC3"/>
        <w:rPr>
          <w:rFonts w:asciiTheme="minorHAnsi" w:eastAsiaTheme="minorEastAsia" w:hAnsiTheme="minorHAnsi" w:cstheme="minorBidi"/>
          <w:noProof/>
          <w:sz w:val="22"/>
          <w:szCs w:val="22"/>
          <w:lang w:eastAsia="ja-JP"/>
        </w:rPr>
      </w:pPr>
      <w:hyperlink w:anchor="_Toc462738079" w:history="1">
        <w:r w:rsidR="00BA49F6" w:rsidRPr="00C04923">
          <w:rPr>
            <w:rStyle w:val="Hyperlink"/>
            <w:noProof/>
          </w:rPr>
          <w:t>The burden of gambling harm compared to other conditions</w:t>
        </w:r>
        <w:r w:rsidR="00BA49F6">
          <w:rPr>
            <w:noProof/>
            <w:webHidden/>
          </w:rPr>
          <w:tab/>
        </w:r>
        <w:r w:rsidR="00BA49F6">
          <w:rPr>
            <w:noProof/>
            <w:webHidden/>
          </w:rPr>
          <w:fldChar w:fldCharType="begin"/>
        </w:r>
        <w:r w:rsidR="00BA49F6">
          <w:rPr>
            <w:noProof/>
            <w:webHidden/>
          </w:rPr>
          <w:instrText xml:space="preserve"> PAGEREF _Toc462738079 \h </w:instrText>
        </w:r>
        <w:r w:rsidR="00BA49F6">
          <w:rPr>
            <w:noProof/>
            <w:webHidden/>
          </w:rPr>
        </w:r>
        <w:r w:rsidR="00BA49F6">
          <w:rPr>
            <w:noProof/>
            <w:webHidden/>
          </w:rPr>
          <w:fldChar w:fldCharType="separate"/>
        </w:r>
        <w:r>
          <w:rPr>
            <w:noProof/>
            <w:webHidden/>
          </w:rPr>
          <w:t>196</w:t>
        </w:r>
        <w:r w:rsidR="00BA49F6">
          <w:rPr>
            <w:noProof/>
            <w:webHidden/>
          </w:rPr>
          <w:fldChar w:fldCharType="end"/>
        </w:r>
      </w:hyperlink>
    </w:p>
    <w:p w14:paraId="007D20D6" w14:textId="77777777" w:rsidR="00BA49F6" w:rsidRDefault="0006479A">
      <w:pPr>
        <w:pStyle w:val="TOC3"/>
        <w:rPr>
          <w:rFonts w:asciiTheme="minorHAnsi" w:eastAsiaTheme="minorEastAsia" w:hAnsiTheme="minorHAnsi" w:cstheme="minorBidi"/>
          <w:noProof/>
          <w:sz w:val="22"/>
          <w:szCs w:val="22"/>
          <w:lang w:eastAsia="ja-JP"/>
        </w:rPr>
      </w:pPr>
      <w:hyperlink w:anchor="_Toc462738080" w:history="1">
        <w:r w:rsidR="00BA49F6" w:rsidRPr="00C04923">
          <w:rPr>
            <w:rStyle w:val="Hyperlink"/>
            <w:noProof/>
          </w:rPr>
          <w:t>Demographic breakdown of the burden of harm</w:t>
        </w:r>
        <w:r w:rsidR="00BA49F6">
          <w:rPr>
            <w:noProof/>
            <w:webHidden/>
          </w:rPr>
          <w:tab/>
        </w:r>
        <w:r w:rsidR="00BA49F6">
          <w:rPr>
            <w:noProof/>
            <w:webHidden/>
          </w:rPr>
          <w:fldChar w:fldCharType="begin"/>
        </w:r>
        <w:r w:rsidR="00BA49F6">
          <w:rPr>
            <w:noProof/>
            <w:webHidden/>
          </w:rPr>
          <w:instrText xml:space="preserve"> PAGEREF _Toc462738080 \h </w:instrText>
        </w:r>
        <w:r w:rsidR="00BA49F6">
          <w:rPr>
            <w:noProof/>
            <w:webHidden/>
          </w:rPr>
        </w:r>
        <w:r w:rsidR="00BA49F6">
          <w:rPr>
            <w:noProof/>
            <w:webHidden/>
          </w:rPr>
          <w:fldChar w:fldCharType="separate"/>
        </w:r>
        <w:r>
          <w:rPr>
            <w:noProof/>
            <w:webHidden/>
          </w:rPr>
          <w:t>197</w:t>
        </w:r>
        <w:r w:rsidR="00BA49F6">
          <w:rPr>
            <w:noProof/>
            <w:webHidden/>
          </w:rPr>
          <w:fldChar w:fldCharType="end"/>
        </w:r>
      </w:hyperlink>
    </w:p>
    <w:p w14:paraId="5B6157BB"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8081" w:history="1">
        <w:r w:rsidR="00BA49F6" w:rsidRPr="00C04923">
          <w:rPr>
            <w:rStyle w:val="Hyperlink"/>
          </w:rPr>
          <w:t>Discussion</w:t>
        </w:r>
        <w:r w:rsidR="00BA49F6">
          <w:rPr>
            <w:webHidden/>
          </w:rPr>
          <w:tab/>
        </w:r>
        <w:r w:rsidR="00BA49F6">
          <w:rPr>
            <w:webHidden/>
          </w:rPr>
          <w:fldChar w:fldCharType="begin"/>
        </w:r>
        <w:r w:rsidR="00BA49F6">
          <w:rPr>
            <w:webHidden/>
          </w:rPr>
          <w:instrText xml:space="preserve"> PAGEREF _Toc462738081 \h </w:instrText>
        </w:r>
        <w:r w:rsidR="00BA49F6">
          <w:rPr>
            <w:webHidden/>
          </w:rPr>
        </w:r>
        <w:r w:rsidR="00BA49F6">
          <w:rPr>
            <w:webHidden/>
          </w:rPr>
          <w:fldChar w:fldCharType="separate"/>
        </w:r>
        <w:r>
          <w:rPr>
            <w:webHidden/>
          </w:rPr>
          <w:t>198</w:t>
        </w:r>
        <w:r w:rsidR="00BA49F6">
          <w:rPr>
            <w:webHidden/>
          </w:rPr>
          <w:fldChar w:fldCharType="end"/>
        </w:r>
      </w:hyperlink>
    </w:p>
    <w:p w14:paraId="406F8CAB"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8082" w:history="1">
        <w:r w:rsidR="00BA49F6" w:rsidRPr="00C04923">
          <w:rPr>
            <w:rStyle w:val="Hyperlink"/>
          </w:rPr>
          <w:t>References</w:t>
        </w:r>
        <w:r w:rsidR="00BA49F6">
          <w:rPr>
            <w:webHidden/>
          </w:rPr>
          <w:tab/>
        </w:r>
        <w:r w:rsidR="00BA49F6">
          <w:rPr>
            <w:webHidden/>
          </w:rPr>
          <w:fldChar w:fldCharType="begin"/>
        </w:r>
        <w:r w:rsidR="00BA49F6">
          <w:rPr>
            <w:webHidden/>
          </w:rPr>
          <w:instrText xml:space="preserve"> PAGEREF _Toc462738082 \h </w:instrText>
        </w:r>
        <w:r w:rsidR="00BA49F6">
          <w:rPr>
            <w:webHidden/>
          </w:rPr>
        </w:r>
        <w:r w:rsidR="00BA49F6">
          <w:rPr>
            <w:webHidden/>
          </w:rPr>
          <w:fldChar w:fldCharType="separate"/>
        </w:r>
        <w:r>
          <w:rPr>
            <w:webHidden/>
          </w:rPr>
          <w:t>201</w:t>
        </w:r>
        <w:r w:rsidR="00BA49F6">
          <w:rPr>
            <w:webHidden/>
          </w:rPr>
          <w:fldChar w:fldCharType="end"/>
        </w:r>
      </w:hyperlink>
    </w:p>
    <w:p w14:paraId="12745238" w14:textId="77777777" w:rsidR="00BA49F6" w:rsidRDefault="0006479A">
      <w:pPr>
        <w:pStyle w:val="TOC1"/>
        <w:rPr>
          <w:rFonts w:asciiTheme="minorHAnsi" w:eastAsiaTheme="minorEastAsia" w:hAnsiTheme="minorHAnsi" w:cstheme="minorBidi"/>
          <w:b w:val="0"/>
          <w:bCs w:val="0"/>
          <w:color w:val="auto"/>
          <w:sz w:val="22"/>
          <w:szCs w:val="22"/>
          <w:lang w:eastAsia="ja-JP"/>
        </w:rPr>
      </w:pPr>
      <w:hyperlink w:anchor="_Toc462738083" w:history="1">
        <w:r w:rsidR="00BA49F6" w:rsidRPr="00C04923">
          <w:rPr>
            <w:rStyle w:val="Hyperlink"/>
          </w:rPr>
          <w:t>Appendices</w:t>
        </w:r>
        <w:r w:rsidR="00BA49F6">
          <w:rPr>
            <w:webHidden/>
          </w:rPr>
          <w:tab/>
        </w:r>
        <w:r w:rsidR="00BA49F6">
          <w:rPr>
            <w:webHidden/>
          </w:rPr>
          <w:fldChar w:fldCharType="begin"/>
        </w:r>
        <w:r w:rsidR="00BA49F6">
          <w:rPr>
            <w:webHidden/>
          </w:rPr>
          <w:instrText xml:space="preserve"> PAGEREF _Toc462738083 \h </w:instrText>
        </w:r>
        <w:r w:rsidR="00BA49F6">
          <w:rPr>
            <w:webHidden/>
          </w:rPr>
        </w:r>
        <w:r w:rsidR="00BA49F6">
          <w:rPr>
            <w:webHidden/>
          </w:rPr>
          <w:fldChar w:fldCharType="separate"/>
        </w:r>
        <w:r>
          <w:rPr>
            <w:webHidden/>
          </w:rPr>
          <w:t>228</w:t>
        </w:r>
        <w:r w:rsidR="00BA49F6">
          <w:rPr>
            <w:webHidden/>
          </w:rPr>
          <w:fldChar w:fldCharType="end"/>
        </w:r>
      </w:hyperlink>
    </w:p>
    <w:p w14:paraId="3E306DE7" w14:textId="543399E0" w:rsidR="00370D70" w:rsidRPr="00370D70" w:rsidRDefault="00370D70" w:rsidP="00370D70">
      <w:pPr>
        <w:pStyle w:val="VRGFBodycontent"/>
        <w:tabs>
          <w:tab w:val="right" w:leader="dot" w:pos="8754"/>
        </w:tabs>
      </w:pPr>
      <w:r>
        <w:fldChar w:fldCharType="end"/>
      </w:r>
    </w:p>
    <w:p w14:paraId="1B1E52DC" w14:textId="755D7E16" w:rsidR="00CC3994" w:rsidRDefault="00CC3994" w:rsidP="00CC3994">
      <w:pPr>
        <w:pStyle w:val="VRGFHead1"/>
      </w:pPr>
      <w:bookmarkStart w:id="7" w:name="_Toc462737974"/>
      <w:r>
        <w:lastRenderedPageBreak/>
        <w:t>List of figures</w:t>
      </w:r>
      <w:bookmarkEnd w:id="7"/>
    </w:p>
    <w:p w14:paraId="203D012D" w14:textId="77777777" w:rsidR="00BA49F6" w:rsidRDefault="00370D70">
      <w:pPr>
        <w:pStyle w:val="TableofFigures"/>
        <w:tabs>
          <w:tab w:val="right" w:leader="dot" w:pos="9016"/>
        </w:tabs>
        <w:rPr>
          <w:rFonts w:asciiTheme="minorHAnsi" w:eastAsiaTheme="minorEastAsia" w:hAnsiTheme="minorHAnsi" w:cstheme="minorBidi"/>
          <w:noProof/>
          <w:sz w:val="22"/>
          <w:szCs w:val="22"/>
          <w:lang w:eastAsia="ja-JP"/>
        </w:rPr>
      </w:pPr>
      <w:r>
        <w:fldChar w:fldCharType="begin"/>
      </w:r>
      <w:r>
        <w:instrText xml:space="preserve"> TOC \h \z \c "Figure" </w:instrText>
      </w:r>
      <w:r>
        <w:fldChar w:fldCharType="separate"/>
      </w:r>
      <w:hyperlink w:anchor="_Toc462738084" w:history="1">
        <w:r w:rsidR="00BA49F6" w:rsidRPr="00747E39">
          <w:rPr>
            <w:rStyle w:val="Hyperlink"/>
            <w:noProof/>
          </w:rPr>
          <w:t>Figure 1. Conceptual framework for factors influencing harmful gambling (Abbott et al., 2015, p.13)</w:t>
        </w:r>
        <w:r w:rsidR="00BA49F6">
          <w:rPr>
            <w:noProof/>
            <w:webHidden/>
          </w:rPr>
          <w:tab/>
        </w:r>
        <w:r w:rsidR="00BA49F6">
          <w:rPr>
            <w:noProof/>
            <w:webHidden/>
          </w:rPr>
          <w:fldChar w:fldCharType="begin"/>
        </w:r>
        <w:r w:rsidR="00BA49F6">
          <w:rPr>
            <w:noProof/>
            <w:webHidden/>
          </w:rPr>
          <w:instrText xml:space="preserve"> PAGEREF _Toc462738084 \h </w:instrText>
        </w:r>
        <w:r w:rsidR="00BA49F6">
          <w:rPr>
            <w:noProof/>
            <w:webHidden/>
          </w:rPr>
        </w:r>
        <w:r w:rsidR="00BA49F6">
          <w:rPr>
            <w:noProof/>
            <w:webHidden/>
          </w:rPr>
          <w:fldChar w:fldCharType="separate"/>
        </w:r>
        <w:r w:rsidR="0006479A">
          <w:rPr>
            <w:noProof/>
            <w:webHidden/>
          </w:rPr>
          <w:t>47</w:t>
        </w:r>
        <w:r w:rsidR="00BA49F6">
          <w:rPr>
            <w:noProof/>
            <w:webHidden/>
          </w:rPr>
          <w:fldChar w:fldCharType="end"/>
        </w:r>
      </w:hyperlink>
    </w:p>
    <w:p w14:paraId="5F62CDD9"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85" w:history="1">
        <w:r w:rsidR="00BA49F6" w:rsidRPr="00747E39">
          <w:rPr>
            <w:rStyle w:val="Hyperlink"/>
            <w:noProof/>
          </w:rPr>
          <w:t>Figure 2. Final form of the CSDH conceptual framework (Solar &amp; Irwin, 2010, p. 6)</w:t>
        </w:r>
        <w:r w:rsidR="00BA49F6">
          <w:rPr>
            <w:noProof/>
            <w:webHidden/>
          </w:rPr>
          <w:tab/>
        </w:r>
        <w:r w:rsidR="00BA49F6">
          <w:rPr>
            <w:noProof/>
            <w:webHidden/>
          </w:rPr>
          <w:fldChar w:fldCharType="begin"/>
        </w:r>
        <w:r w:rsidR="00BA49F6">
          <w:rPr>
            <w:noProof/>
            <w:webHidden/>
          </w:rPr>
          <w:instrText xml:space="preserve"> PAGEREF _Toc462738085 \h </w:instrText>
        </w:r>
        <w:r w:rsidR="00BA49F6">
          <w:rPr>
            <w:noProof/>
            <w:webHidden/>
          </w:rPr>
        </w:r>
        <w:r w:rsidR="00BA49F6">
          <w:rPr>
            <w:noProof/>
            <w:webHidden/>
          </w:rPr>
          <w:fldChar w:fldCharType="separate"/>
        </w:r>
        <w:r>
          <w:rPr>
            <w:noProof/>
            <w:webHidden/>
          </w:rPr>
          <w:t>48</w:t>
        </w:r>
        <w:r w:rsidR="00BA49F6">
          <w:rPr>
            <w:noProof/>
            <w:webHidden/>
          </w:rPr>
          <w:fldChar w:fldCharType="end"/>
        </w:r>
      </w:hyperlink>
    </w:p>
    <w:p w14:paraId="6C7FE801"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86" w:history="1">
        <w:r w:rsidR="00BA49F6" w:rsidRPr="00747E39">
          <w:rPr>
            <w:rStyle w:val="Hyperlink"/>
            <w:noProof/>
          </w:rPr>
          <w:t>Figure 3. Conceptual framework of gambling related harm</w:t>
        </w:r>
        <w:r w:rsidR="00BA49F6">
          <w:rPr>
            <w:noProof/>
            <w:webHidden/>
          </w:rPr>
          <w:tab/>
        </w:r>
        <w:r w:rsidR="00BA49F6">
          <w:rPr>
            <w:noProof/>
            <w:webHidden/>
          </w:rPr>
          <w:fldChar w:fldCharType="begin"/>
        </w:r>
        <w:r w:rsidR="00BA49F6">
          <w:rPr>
            <w:noProof/>
            <w:webHidden/>
          </w:rPr>
          <w:instrText xml:space="preserve"> PAGEREF _Toc462738086 \h </w:instrText>
        </w:r>
        <w:r w:rsidR="00BA49F6">
          <w:rPr>
            <w:noProof/>
            <w:webHidden/>
          </w:rPr>
        </w:r>
        <w:r w:rsidR="00BA49F6">
          <w:rPr>
            <w:noProof/>
            <w:webHidden/>
          </w:rPr>
          <w:fldChar w:fldCharType="separate"/>
        </w:r>
        <w:r>
          <w:rPr>
            <w:noProof/>
            <w:webHidden/>
          </w:rPr>
          <w:t>58</w:t>
        </w:r>
        <w:r w:rsidR="00BA49F6">
          <w:rPr>
            <w:noProof/>
            <w:webHidden/>
          </w:rPr>
          <w:fldChar w:fldCharType="end"/>
        </w:r>
      </w:hyperlink>
    </w:p>
    <w:p w14:paraId="01F456F8"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87" w:history="1">
        <w:r w:rsidR="00BA49F6" w:rsidRPr="00747E39">
          <w:rPr>
            <w:rStyle w:val="Hyperlink"/>
            <w:noProof/>
          </w:rPr>
          <w:t>Figure 4. Trajectory of financial harm</w:t>
        </w:r>
        <w:r w:rsidR="00BA49F6">
          <w:rPr>
            <w:noProof/>
            <w:webHidden/>
          </w:rPr>
          <w:tab/>
        </w:r>
        <w:r w:rsidR="00BA49F6">
          <w:rPr>
            <w:noProof/>
            <w:webHidden/>
          </w:rPr>
          <w:fldChar w:fldCharType="begin"/>
        </w:r>
        <w:r w:rsidR="00BA49F6">
          <w:rPr>
            <w:noProof/>
            <w:webHidden/>
          </w:rPr>
          <w:instrText xml:space="preserve"> PAGEREF _Toc462738087 \h </w:instrText>
        </w:r>
        <w:r w:rsidR="00BA49F6">
          <w:rPr>
            <w:noProof/>
            <w:webHidden/>
          </w:rPr>
        </w:r>
        <w:r w:rsidR="00BA49F6">
          <w:rPr>
            <w:noProof/>
            <w:webHidden/>
          </w:rPr>
          <w:fldChar w:fldCharType="separate"/>
        </w:r>
        <w:r>
          <w:rPr>
            <w:noProof/>
            <w:webHidden/>
          </w:rPr>
          <w:t>66</w:t>
        </w:r>
        <w:r w:rsidR="00BA49F6">
          <w:rPr>
            <w:noProof/>
            <w:webHidden/>
          </w:rPr>
          <w:fldChar w:fldCharType="end"/>
        </w:r>
      </w:hyperlink>
    </w:p>
    <w:p w14:paraId="15B90B17"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88" w:history="1">
        <w:r w:rsidR="00BA49F6" w:rsidRPr="00747E39">
          <w:rPr>
            <w:rStyle w:val="Hyperlink"/>
            <w:noProof/>
          </w:rPr>
          <w:t>Figure 5. Time Trade-Off</w:t>
        </w:r>
        <w:r w:rsidR="00BA49F6">
          <w:rPr>
            <w:noProof/>
            <w:webHidden/>
          </w:rPr>
          <w:tab/>
        </w:r>
        <w:r w:rsidR="00BA49F6">
          <w:rPr>
            <w:noProof/>
            <w:webHidden/>
          </w:rPr>
          <w:fldChar w:fldCharType="begin"/>
        </w:r>
        <w:r w:rsidR="00BA49F6">
          <w:rPr>
            <w:noProof/>
            <w:webHidden/>
          </w:rPr>
          <w:instrText xml:space="preserve"> PAGEREF _Toc462738088 \h </w:instrText>
        </w:r>
        <w:r w:rsidR="00BA49F6">
          <w:rPr>
            <w:noProof/>
            <w:webHidden/>
          </w:rPr>
        </w:r>
        <w:r w:rsidR="00BA49F6">
          <w:rPr>
            <w:noProof/>
            <w:webHidden/>
          </w:rPr>
          <w:fldChar w:fldCharType="separate"/>
        </w:r>
        <w:r>
          <w:rPr>
            <w:noProof/>
            <w:webHidden/>
          </w:rPr>
          <w:t>155</w:t>
        </w:r>
        <w:r w:rsidR="00BA49F6">
          <w:rPr>
            <w:noProof/>
            <w:webHidden/>
          </w:rPr>
          <w:fldChar w:fldCharType="end"/>
        </w:r>
      </w:hyperlink>
    </w:p>
    <w:p w14:paraId="76EB1E29"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89" w:history="1">
        <w:r w:rsidR="00BA49F6" w:rsidRPr="00747E39">
          <w:rPr>
            <w:rStyle w:val="Hyperlink"/>
            <w:noProof/>
          </w:rPr>
          <w:t>Figure 6. Screenshot of the VAS task</w:t>
        </w:r>
        <w:r w:rsidR="00BA49F6">
          <w:rPr>
            <w:noProof/>
            <w:webHidden/>
          </w:rPr>
          <w:tab/>
        </w:r>
        <w:r w:rsidR="00BA49F6">
          <w:rPr>
            <w:noProof/>
            <w:webHidden/>
          </w:rPr>
          <w:fldChar w:fldCharType="begin"/>
        </w:r>
        <w:r w:rsidR="00BA49F6">
          <w:rPr>
            <w:noProof/>
            <w:webHidden/>
          </w:rPr>
          <w:instrText xml:space="preserve"> PAGEREF _Toc462738089 \h </w:instrText>
        </w:r>
        <w:r w:rsidR="00BA49F6">
          <w:rPr>
            <w:noProof/>
            <w:webHidden/>
          </w:rPr>
        </w:r>
        <w:r w:rsidR="00BA49F6">
          <w:rPr>
            <w:noProof/>
            <w:webHidden/>
          </w:rPr>
          <w:fldChar w:fldCharType="separate"/>
        </w:r>
        <w:r>
          <w:rPr>
            <w:noProof/>
            <w:webHidden/>
          </w:rPr>
          <w:t>163</w:t>
        </w:r>
        <w:r w:rsidR="00BA49F6">
          <w:rPr>
            <w:noProof/>
            <w:webHidden/>
          </w:rPr>
          <w:fldChar w:fldCharType="end"/>
        </w:r>
      </w:hyperlink>
    </w:p>
    <w:p w14:paraId="34F11391"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0" w:history="1">
        <w:r w:rsidR="00BA49F6" w:rsidRPr="00747E39">
          <w:rPr>
            <w:rStyle w:val="Hyperlink"/>
            <w:noProof/>
          </w:rPr>
          <w:t>Figure 7. Screenshot of the TTO task</w:t>
        </w:r>
        <w:r w:rsidR="00BA49F6">
          <w:rPr>
            <w:noProof/>
            <w:webHidden/>
          </w:rPr>
          <w:tab/>
        </w:r>
        <w:r w:rsidR="00BA49F6">
          <w:rPr>
            <w:noProof/>
            <w:webHidden/>
          </w:rPr>
          <w:fldChar w:fldCharType="begin"/>
        </w:r>
        <w:r w:rsidR="00BA49F6">
          <w:rPr>
            <w:noProof/>
            <w:webHidden/>
          </w:rPr>
          <w:instrText xml:space="preserve"> PAGEREF _Toc462738090 \h </w:instrText>
        </w:r>
        <w:r w:rsidR="00BA49F6">
          <w:rPr>
            <w:noProof/>
            <w:webHidden/>
          </w:rPr>
        </w:r>
        <w:r w:rsidR="00BA49F6">
          <w:rPr>
            <w:noProof/>
            <w:webHidden/>
          </w:rPr>
          <w:fldChar w:fldCharType="separate"/>
        </w:r>
        <w:r>
          <w:rPr>
            <w:noProof/>
            <w:webHidden/>
          </w:rPr>
          <w:t>164</w:t>
        </w:r>
        <w:r w:rsidR="00BA49F6">
          <w:rPr>
            <w:noProof/>
            <w:webHidden/>
          </w:rPr>
          <w:fldChar w:fldCharType="end"/>
        </w:r>
      </w:hyperlink>
    </w:p>
    <w:p w14:paraId="1F88612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1" w:history="1">
        <w:r w:rsidR="00BA49F6" w:rsidRPr="00747E39">
          <w:rPr>
            <w:rStyle w:val="Hyperlink"/>
            <w:noProof/>
          </w:rPr>
          <w:t>Figure 8. Number of harms reported by PGSI for harms from own gambling</w:t>
        </w:r>
        <w:r w:rsidR="00BA49F6">
          <w:rPr>
            <w:noProof/>
            <w:webHidden/>
          </w:rPr>
          <w:tab/>
        </w:r>
        <w:r w:rsidR="00BA49F6">
          <w:rPr>
            <w:noProof/>
            <w:webHidden/>
          </w:rPr>
          <w:fldChar w:fldCharType="begin"/>
        </w:r>
        <w:r w:rsidR="00BA49F6">
          <w:rPr>
            <w:noProof/>
            <w:webHidden/>
          </w:rPr>
          <w:instrText xml:space="preserve"> PAGEREF _Toc462738091 \h </w:instrText>
        </w:r>
        <w:r w:rsidR="00BA49F6">
          <w:rPr>
            <w:noProof/>
            <w:webHidden/>
          </w:rPr>
        </w:r>
        <w:r w:rsidR="00BA49F6">
          <w:rPr>
            <w:noProof/>
            <w:webHidden/>
          </w:rPr>
          <w:fldChar w:fldCharType="separate"/>
        </w:r>
        <w:r>
          <w:rPr>
            <w:noProof/>
            <w:webHidden/>
          </w:rPr>
          <w:t>170</w:t>
        </w:r>
        <w:r w:rsidR="00BA49F6">
          <w:rPr>
            <w:noProof/>
            <w:webHidden/>
          </w:rPr>
          <w:fldChar w:fldCharType="end"/>
        </w:r>
      </w:hyperlink>
    </w:p>
    <w:p w14:paraId="4E037626"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2" w:history="1">
        <w:r w:rsidR="00BA49F6" w:rsidRPr="00747E39">
          <w:rPr>
            <w:rStyle w:val="Hyperlink"/>
            <w:noProof/>
          </w:rPr>
          <w:t>Figure 9. Gambling-related harm (utility) by sample type and PGSI category</w:t>
        </w:r>
        <w:r w:rsidR="00BA49F6">
          <w:rPr>
            <w:noProof/>
            <w:webHidden/>
          </w:rPr>
          <w:tab/>
        </w:r>
        <w:r w:rsidR="00BA49F6">
          <w:rPr>
            <w:noProof/>
            <w:webHidden/>
          </w:rPr>
          <w:fldChar w:fldCharType="begin"/>
        </w:r>
        <w:r w:rsidR="00BA49F6">
          <w:rPr>
            <w:noProof/>
            <w:webHidden/>
          </w:rPr>
          <w:instrText xml:space="preserve"> PAGEREF _Toc462738092 \h </w:instrText>
        </w:r>
        <w:r w:rsidR="00BA49F6">
          <w:rPr>
            <w:noProof/>
            <w:webHidden/>
          </w:rPr>
        </w:r>
        <w:r w:rsidR="00BA49F6">
          <w:rPr>
            <w:noProof/>
            <w:webHidden/>
          </w:rPr>
          <w:fldChar w:fldCharType="separate"/>
        </w:r>
        <w:r>
          <w:rPr>
            <w:noProof/>
            <w:webHidden/>
          </w:rPr>
          <w:t>172</w:t>
        </w:r>
        <w:r w:rsidR="00BA49F6">
          <w:rPr>
            <w:noProof/>
            <w:webHidden/>
          </w:rPr>
          <w:fldChar w:fldCharType="end"/>
        </w:r>
      </w:hyperlink>
    </w:p>
    <w:p w14:paraId="75D86200"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3" w:history="1">
        <w:r w:rsidR="00BA49F6" w:rsidRPr="00747E39">
          <w:rPr>
            <w:rStyle w:val="Hyperlink"/>
            <w:noProof/>
          </w:rPr>
          <w:t>Figure 10. Gambling-related harm (utility) from one's own gambling by PGSI</w:t>
        </w:r>
        <w:r w:rsidR="00BA49F6">
          <w:rPr>
            <w:noProof/>
            <w:webHidden/>
          </w:rPr>
          <w:tab/>
        </w:r>
        <w:r w:rsidR="00BA49F6">
          <w:rPr>
            <w:noProof/>
            <w:webHidden/>
          </w:rPr>
          <w:fldChar w:fldCharType="begin"/>
        </w:r>
        <w:r w:rsidR="00BA49F6">
          <w:rPr>
            <w:noProof/>
            <w:webHidden/>
          </w:rPr>
          <w:instrText xml:space="preserve"> PAGEREF _Toc462738093 \h </w:instrText>
        </w:r>
        <w:r w:rsidR="00BA49F6">
          <w:rPr>
            <w:noProof/>
            <w:webHidden/>
          </w:rPr>
        </w:r>
        <w:r w:rsidR="00BA49F6">
          <w:rPr>
            <w:noProof/>
            <w:webHidden/>
          </w:rPr>
          <w:fldChar w:fldCharType="separate"/>
        </w:r>
        <w:r>
          <w:rPr>
            <w:noProof/>
            <w:webHidden/>
          </w:rPr>
          <w:t>174</w:t>
        </w:r>
        <w:r w:rsidR="00BA49F6">
          <w:rPr>
            <w:noProof/>
            <w:webHidden/>
          </w:rPr>
          <w:fldChar w:fldCharType="end"/>
        </w:r>
      </w:hyperlink>
    </w:p>
    <w:p w14:paraId="09347DCF"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4" w:history="1">
        <w:r w:rsidR="00BA49F6" w:rsidRPr="00747E39">
          <w:rPr>
            <w:rStyle w:val="Hyperlink"/>
            <w:noProof/>
          </w:rPr>
          <w:t>Figure 11. Gambling-related harm (utility) by PGSI and valuation method</w:t>
        </w:r>
        <w:r w:rsidR="00BA49F6">
          <w:rPr>
            <w:noProof/>
            <w:webHidden/>
          </w:rPr>
          <w:tab/>
        </w:r>
        <w:r w:rsidR="00BA49F6">
          <w:rPr>
            <w:noProof/>
            <w:webHidden/>
          </w:rPr>
          <w:fldChar w:fldCharType="begin"/>
        </w:r>
        <w:r w:rsidR="00BA49F6">
          <w:rPr>
            <w:noProof/>
            <w:webHidden/>
          </w:rPr>
          <w:instrText xml:space="preserve"> PAGEREF _Toc462738094 \h </w:instrText>
        </w:r>
        <w:r w:rsidR="00BA49F6">
          <w:rPr>
            <w:noProof/>
            <w:webHidden/>
          </w:rPr>
        </w:r>
        <w:r w:rsidR="00BA49F6">
          <w:rPr>
            <w:noProof/>
            <w:webHidden/>
          </w:rPr>
          <w:fldChar w:fldCharType="separate"/>
        </w:r>
        <w:r>
          <w:rPr>
            <w:noProof/>
            <w:webHidden/>
          </w:rPr>
          <w:t>175</w:t>
        </w:r>
        <w:r w:rsidR="00BA49F6">
          <w:rPr>
            <w:noProof/>
            <w:webHidden/>
          </w:rPr>
          <w:fldChar w:fldCharType="end"/>
        </w:r>
      </w:hyperlink>
    </w:p>
    <w:p w14:paraId="3DCB1F9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5" w:history="1">
        <w:r w:rsidR="00BA49F6" w:rsidRPr="00747E39">
          <w:rPr>
            <w:rStyle w:val="Hyperlink"/>
            <w:noProof/>
          </w:rPr>
          <w:t>Figure 12. Gambling-related harm (utility) to self and others by PGSI category</w:t>
        </w:r>
        <w:r w:rsidR="00BA49F6">
          <w:rPr>
            <w:noProof/>
            <w:webHidden/>
          </w:rPr>
          <w:tab/>
        </w:r>
        <w:r w:rsidR="00BA49F6">
          <w:rPr>
            <w:noProof/>
            <w:webHidden/>
          </w:rPr>
          <w:fldChar w:fldCharType="begin"/>
        </w:r>
        <w:r w:rsidR="00BA49F6">
          <w:rPr>
            <w:noProof/>
            <w:webHidden/>
          </w:rPr>
          <w:instrText xml:space="preserve"> PAGEREF _Toc462738095 \h </w:instrText>
        </w:r>
        <w:r w:rsidR="00BA49F6">
          <w:rPr>
            <w:noProof/>
            <w:webHidden/>
          </w:rPr>
        </w:r>
        <w:r w:rsidR="00BA49F6">
          <w:rPr>
            <w:noProof/>
            <w:webHidden/>
          </w:rPr>
          <w:fldChar w:fldCharType="separate"/>
        </w:r>
        <w:r>
          <w:rPr>
            <w:noProof/>
            <w:webHidden/>
          </w:rPr>
          <w:t>176</w:t>
        </w:r>
        <w:r w:rsidR="00BA49F6">
          <w:rPr>
            <w:noProof/>
            <w:webHidden/>
          </w:rPr>
          <w:fldChar w:fldCharType="end"/>
        </w:r>
      </w:hyperlink>
    </w:p>
    <w:p w14:paraId="34873F2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6" w:history="1">
        <w:r w:rsidR="00BA49F6" w:rsidRPr="00747E39">
          <w:rPr>
            <w:rStyle w:val="Hyperlink"/>
            <w:noProof/>
          </w:rPr>
          <w:t>Figure 13. Gambling-related harm utilities compared to other health state utilities from GBD 2010</w:t>
        </w:r>
        <w:r w:rsidR="00BA49F6">
          <w:rPr>
            <w:noProof/>
            <w:webHidden/>
          </w:rPr>
          <w:tab/>
        </w:r>
        <w:r w:rsidR="00BA49F6">
          <w:rPr>
            <w:noProof/>
            <w:webHidden/>
          </w:rPr>
          <w:fldChar w:fldCharType="begin"/>
        </w:r>
        <w:r w:rsidR="00BA49F6">
          <w:rPr>
            <w:noProof/>
            <w:webHidden/>
          </w:rPr>
          <w:instrText xml:space="preserve"> PAGEREF _Toc462738096 \h </w:instrText>
        </w:r>
        <w:r w:rsidR="00BA49F6">
          <w:rPr>
            <w:noProof/>
            <w:webHidden/>
          </w:rPr>
        </w:r>
        <w:r w:rsidR="00BA49F6">
          <w:rPr>
            <w:noProof/>
            <w:webHidden/>
          </w:rPr>
          <w:fldChar w:fldCharType="separate"/>
        </w:r>
        <w:r>
          <w:rPr>
            <w:noProof/>
            <w:webHidden/>
          </w:rPr>
          <w:t>177</w:t>
        </w:r>
        <w:r w:rsidR="00BA49F6">
          <w:rPr>
            <w:noProof/>
            <w:webHidden/>
          </w:rPr>
          <w:fldChar w:fldCharType="end"/>
        </w:r>
      </w:hyperlink>
    </w:p>
    <w:p w14:paraId="438E21C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7" w:history="1">
        <w:r w:rsidR="00BA49F6" w:rsidRPr="00747E39">
          <w:rPr>
            <w:rStyle w:val="Hyperlink"/>
            <w:noProof/>
          </w:rPr>
          <w:t>Figure 14. Annual prevalence of gambling problems (by PGSI category) and other health states in the New Zealand adult population</w:t>
        </w:r>
        <w:r w:rsidR="00BA49F6">
          <w:rPr>
            <w:noProof/>
            <w:webHidden/>
          </w:rPr>
          <w:tab/>
        </w:r>
        <w:r w:rsidR="00BA49F6">
          <w:rPr>
            <w:noProof/>
            <w:webHidden/>
          </w:rPr>
          <w:fldChar w:fldCharType="begin"/>
        </w:r>
        <w:r w:rsidR="00BA49F6">
          <w:rPr>
            <w:noProof/>
            <w:webHidden/>
          </w:rPr>
          <w:instrText xml:space="preserve"> PAGEREF _Toc462738097 \h </w:instrText>
        </w:r>
        <w:r w:rsidR="00BA49F6">
          <w:rPr>
            <w:noProof/>
            <w:webHidden/>
          </w:rPr>
        </w:r>
        <w:r w:rsidR="00BA49F6">
          <w:rPr>
            <w:noProof/>
            <w:webHidden/>
          </w:rPr>
          <w:fldChar w:fldCharType="separate"/>
        </w:r>
        <w:r>
          <w:rPr>
            <w:noProof/>
            <w:webHidden/>
          </w:rPr>
          <w:t>183</w:t>
        </w:r>
        <w:r w:rsidR="00BA49F6">
          <w:rPr>
            <w:noProof/>
            <w:webHidden/>
          </w:rPr>
          <w:fldChar w:fldCharType="end"/>
        </w:r>
      </w:hyperlink>
    </w:p>
    <w:p w14:paraId="3EB2464D"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8" w:history="1">
        <w:r w:rsidR="00BA49F6" w:rsidRPr="00747E39">
          <w:rPr>
            <w:rStyle w:val="Hyperlink"/>
            <w:noProof/>
          </w:rPr>
          <w:t>Figure 15. Proportion of harm in New Zealand population by PGSI risk category</w:t>
        </w:r>
        <w:r w:rsidR="00BA49F6">
          <w:rPr>
            <w:noProof/>
            <w:webHidden/>
          </w:rPr>
          <w:tab/>
        </w:r>
        <w:r w:rsidR="00BA49F6">
          <w:rPr>
            <w:noProof/>
            <w:webHidden/>
          </w:rPr>
          <w:fldChar w:fldCharType="begin"/>
        </w:r>
        <w:r w:rsidR="00BA49F6">
          <w:rPr>
            <w:noProof/>
            <w:webHidden/>
          </w:rPr>
          <w:instrText xml:space="preserve"> PAGEREF _Toc462738098 \h </w:instrText>
        </w:r>
        <w:r w:rsidR="00BA49F6">
          <w:rPr>
            <w:noProof/>
            <w:webHidden/>
          </w:rPr>
        </w:r>
        <w:r w:rsidR="00BA49F6">
          <w:rPr>
            <w:noProof/>
            <w:webHidden/>
          </w:rPr>
          <w:fldChar w:fldCharType="separate"/>
        </w:r>
        <w:r>
          <w:rPr>
            <w:noProof/>
            <w:webHidden/>
          </w:rPr>
          <w:t>184</w:t>
        </w:r>
        <w:r w:rsidR="00BA49F6">
          <w:rPr>
            <w:noProof/>
            <w:webHidden/>
          </w:rPr>
          <w:fldChar w:fldCharType="end"/>
        </w:r>
      </w:hyperlink>
    </w:p>
    <w:p w14:paraId="583FD99A"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099" w:history="1">
        <w:r w:rsidR="00BA49F6" w:rsidRPr="00747E39">
          <w:rPr>
            <w:rStyle w:val="Hyperlink"/>
            <w:noProof/>
          </w:rPr>
          <w:t>Figure 16. Proportion of total gambling-related harm to New Zealand adult population - harm to self and others</w:t>
        </w:r>
        <w:r w:rsidR="00BA49F6">
          <w:rPr>
            <w:noProof/>
            <w:webHidden/>
          </w:rPr>
          <w:tab/>
        </w:r>
        <w:r w:rsidR="00BA49F6">
          <w:rPr>
            <w:noProof/>
            <w:webHidden/>
          </w:rPr>
          <w:fldChar w:fldCharType="begin"/>
        </w:r>
        <w:r w:rsidR="00BA49F6">
          <w:rPr>
            <w:noProof/>
            <w:webHidden/>
          </w:rPr>
          <w:instrText xml:space="preserve"> PAGEREF _Toc462738099 \h </w:instrText>
        </w:r>
        <w:r w:rsidR="00BA49F6">
          <w:rPr>
            <w:noProof/>
            <w:webHidden/>
          </w:rPr>
        </w:r>
        <w:r w:rsidR="00BA49F6">
          <w:rPr>
            <w:noProof/>
            <w:webHidden/>
          </w:rPr>
          <w:fldChar w:fldCharType="separate"/>
        </w:r>
        <w:r>
          <w:rPr>
            <w:noProof/>
            <w:webHidden/>
          </w:rPr>
          <w:t>185</w:t>
        </w:r>
        <w:r w:rsidR="00BA49F6">
          <w:rPr>
            <w:noProof/>
            <w:webHidden/>
          </w:rPr>
          <w:fldChar w:fldCharType="end"/>
        </w:r>
      </w:hyperlink>
    </w:p>
    <w:p w14:paraId="248BDCC9"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00" w:history="1">
        <w:r w:rsidR="00BA49F6" w:rsidRPr="00747E39">
          <w:rPr>
            <w:rStyle w:val="Hyperlink"/>
            <w:noProof/>
          </w:rPr>
          <w:t>Figure 17. Proportion of gambling-related harm contributed by each domain, as calculated by random forest variable importance measure</w:t>
        </w:r>
        <w:r w:rsidR="00BA49F6">
          <w:rPr>
            <w:noProof/>
            <w:webHidden/>
          </w:rPr>
          <w:tab/>
        </w:r>
        <w:r w:rsidR="00BA49F6">
          <w:rPr>
            <w:noProof/>
            <w:webHidden/>
          </w:rPr>
          <w:fldChar w:fldCharType="begin"/>
        </w:r>
        <w:r w:rsidR="00BA49F6">
          <w:rPr>
            <w:noProof/>
            <w:webHidden/>
          </w:rPr>
          <w:instrText xml:space="preserve"> PAGEREF _Toc462738100 \h </w:instrText>
        </w:r>
        <w:r w:rsidR="00BA49F6">
          <w:rPr>
            <w:noProof/>
            <w:webHidden/>
          </w:rPr>
        </w:r>
        <w:r w:rsidR="00BA49F6">
          <w:rPr>
            <w:noProof/>
            <w:webHidden/>
          </w:rPr>
          <w:fldChar w:fldCharType="separate"/>
        </w:r>
        <w:r>
          <w:rPr>
            <w:noProof/>
            <w:webHidden/>
          </w:rPr>
          <w:t>187</w:t>
        </w:r>
        <w:r w:rsidR="00BA49F6">
          <w:rPr>
            <w:noProof/>
            <w:webHidden/>
          </w:rPr>
          <w:fldChar w:fldCharType="end"/>
        </w:r>
      </w:hyperlink>
    </w:p>
    <w:p w14:paraId="24A1DDD1"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01" w:history="1">
        <w:r w:rsidR="00BA49F6" w:rsidRPr="00747E39">
          <w:rPr>
            <w:rStyle w:val="Hyperlink"/>
            <w:noProof/>
          </w:rPr>
          <w:t>Figure 18. QALY</w:t>
        </w:r>
        <w:r w:rsidR="00BA49F6" w:rsidRPr="00747E39">
          <w:rPr>
            <w:rStyle w:val="Hyperlink"/>
            <w:rFonts w:eastAsia="MS Mincho"/>
            <w:noProof/>
            <w:vertAlign w:val="subscript"/>
          </w:rPr>
          <w:t>1</w:t>
        </w:r>
        <w:r w:rsidR="00BA49F6" w:rsidRPr="00747E39">
          <w:rPr>
            <w:rStyle w:val="Hyperlink"/>
            <w:noProof/>
          </w:rPr>
          <w:t xml:space="preserve"> in the New Zealand adult population - gambling problems versus other health states</w:t>
        </w:r>
        <w:r w:rsidR="00BA49F6">
          <w:rPr>
            <w:noProof/>
            <w:webHidden/>
          </w:rPr>
          <w:tab/>
        </w:r>
        <w:r w:rsidR="00BA49F6">
          <w:rPr>
            <w:noProof/>
            <w:webHidden/>
          </w:rPr>
          <w:fldChar w:fldCharType="begin"/>
        </w:r>
        <w:r w:rsidR="00BA49F6">
          <w:rPr>
            <w:noProof/>
            <w:webHidden/>
          </w:rPr>
          <w:instrText xml:space="preserve"> PAGEREF _Toc462738101 \h </w:instrText>
        </w:r>
        <w:r w:rsidR="00BA49F6">
          <w:rPr>
            <w:noProof/>
            <w:webHidden/>
          </w:rPr>
        </w:r>
        <w:r w:rsidR="00BA49F6">
          <w:rPr>
            <w:noProof/>
            <w:webHidden/>
          </w:rPr>
          <w:fldChar w:fldCharType="separate"/>
        </w:r>
        <w:r>
          <w:rPr>
            <w:noProof/>
            <w:webHidden/>
          </w:rPr>
          <w:t>188</w:t>
        </w:r>
        <w:r w:rsidR="00BA49F6">
          <w:rPr>
            <w:noProof/>
            <w:webHidden/>
          </w:rPr>
          <w:fldChar w:fldCharType="end"/>
        </w:r>
      </w:hyperlink>
    </w:p>
    <w:p w14:paraId="70C769BF"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02" w:history="1">
        <w:r w:rsidR="00BA49F6" w:rsidRPr="00747E39">
          <w:rPr>
            <w:rStyle w:val="Hyperlink"/>
            <w:noProof/>
          </w:rPr>
          <w:t>Figure 19. Gambling-related harms to the New Zealand adult population by gender and PGSI category</w:t>
        </w:r>
        <w:r w:rsidR="00BA49F6">
          <w:rPr>
            <w:noProof/>
            <w:webHidden/>
          </w:rPr>
          <w:tab/>
        </w:r>
        <w:r w:rsidR="00BA49F6">
          <w:rPr>
            <w:noProof/>
            <w:webHidden/>
          </w:rPr>
          <w:fldChar w:fldCharType="begin"/>
        </w:r>
        <w:r w:rsidR="00BA49F6">
          <w:rPr>
            <w:noProof/>
            <w:webHidden/>
          </w:rPr>
          <w:instrText xml:space="preserve"> PAGEREF _Toc462738102 \h </w:instrText>
        </w:r>
        <w:r w:rsidR="00BA49F6">
          <w:rPr>
            <w:noProof/>
            <w:webHidden/>
          </w:rPr>
        </w:r>
        <w:r w:rsidR="00BA49F6">
          <w:rPr>
            <w:noProof/>
            <w:webHidden/>
          </w:rPr>
          <w:fldChar w:fldCharType="separate"/>
        </w:r>
        <w:r>
          <w:rPr>
            <w:noProof/>
            <w:webHidden/>
          </w:rPr>
          <w:t>189</w:t>
        </w:r>
        <w:r w:rsidR="00BA49F6">
          <w:rPr>
            <w:noProof/>
            <w:webHidden/>
          </w:rPr>
          <w:fldChar w:fldCharType="end"/>
        </w:r>
      </w:hyperlink>
    </w:p>
    <w:p w14:paraId="2D30C7E3"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03" w:history="1">
        <w:r w:rsidR="00BA49F6" w:rsidRPr="00747E39">
          <w:rPr>
            <w:rStyle w:val="Hyperlink"/>
            <w:noProof/>
          </w:rPr>
          <w:t>Figure 20. Gambling-related harms to the New Zealand adult population within ethnic group (all identified) by PGSI category</w:t>
        </w:r>
        <w:r w:rsidR="00BA49F6">
          <w:rPr>
            <w:noProof/>
            <w:webHidden/>
          </w:rPr>
          <w:tab/>
        </w:r>
        <w:r w:rsidR="00BA49F6">
          <w:rPr>
            <w:noProof/>
            <w:webHidden/>
          </w:rPr>
          <w:fldChar w:fldCharType="begin"/>
        </w:r>
        <w:r w:rsidR="00BA49F6">
          <w:rPr>
            <w:noProof/>
            <w:webHidden/>
          </w:rPr>
          <w:instrText xml:space="preserve"> PAGEREF _Toc462738103 \h </w:instrText>
        </w:r>
        <w:r w:rsidR="00BA49F6">
          <w:rPr>
            <w:noProof/>
            <w:webHidden/>
          </w:rPr>
        </w:r>
        <w:r w:rsidR="00BA49F6">
          <w:rPr>
            <w:noProof/>
            <w:webHidden/>
          </w:rPr>
          <w:fldChar w:fldCharType="separate"/>
        </w:r>
        <w:r>
          <w:rPr>
            <w:noProof/>
            <w:webHidden/>
          </w:rPr>
          <w:t>192</w:t>
        </w:r>
        <w:r w:rsidR="00BA49F6">
          <w:rPr>
            <w:noProof/>
            <w:webHidden/>
          </w:rPr>
          <w:fldChar w:fldCharType="end"/>
        </w:r>
      </w:hyperlink>
    </w:p>
    <w:p w14:paraId="732A3EAA" w14:textId="77777777" w:rsidR="00370D70" w:rsidRPr="00370D70" w:rsidRDefault="00370D70" w:rsidP="00370D70">
      <w:pPr>
        <w:pStyle w:val="VRGFBodycontent"/>
      </w:pPr>
      <w:r>
        <w:fldChar w:fldCharType="end"/>
      </w:r>
    </w:p>
    <w:p w14:paraId="590B9B8E" w14:textId="2D5B7DFD" w:rsidR="00CC3994" w:rsidRDefault="00CC3994" w:rsidP="00CC3994">
      <w:pPr>
        <w:pStyle w:val="VRGFHead1"/>
      </w:pPr>
      <w:bookmarkStart w:id="8" w:name="_Toc462737975"/>
      <w:r>
        <w:lastRenderedPageBreak/>
        <w:t>List of tables</w:t>
      </w:r>
      <w:bookmarkEnd w:id="8"/>
    </w:p>
    <w:p w14:paraId="037F7AB6" w14:textId="77777777" w:rsidR="00BA49F6" w:rsidRDefault="00370D70">
      <w:pPr>
        <w:pStyle w:val="TableofFigures"/>
        <w:tabs>
          <w:tab w:val="right" w:leader="dot" w:pos="9016"/>
        </w:tabs>
        <w:rPr>
          <w:rFonts w:asciiTheme="minorHAnsi" w:eastAsiaTheme="minorEastAsia" w:hAnsiTheme="minorHAnsi" w:cstheme="minorBidi"/>
          <w:noProof/>
          <w:sz w:val="22"/>
          <w:szCs w:val="22"/>
          <w:lang w:eastAsia="ja-JP"/>
        </w:rPr>
      </w:pPr>
      <w:r>
        <w:fldChar w:fldCharType="begin"/>
      </w:r>
      <w:r>
        <w:instrText xml:space="preserve"> TOC \h \z \c "Table" </w:instrText>
      </w:r>
      <w:r>
        <w:fldChar w:fldCharType="separate"/>
      </w:r>
      <w:hyperlink w:anchor="_Toc462738104" w:history="1">
        <w:r w:rsidR="00BA49F6" w:rsidRPr="00B61BBA">
          <w:rPr>
            <w:rStyle w:val="Hyperlink"/>
            <w:noProof/>
          </w:rPr>
          <w:t>Table 1. Details of participants in Stage 1 focus group with professionals and experts</w:t>
        </w:r>
        <w:r w:rsidR="00BA49F6">
          <w:rPr>
            <w:noProof/>
            <w:webHidden/>
          </w:rPr>
          <w:tab/>
        </w:r>
        <w:r w:rsidR="00BA49F6">
          <w:rPr>
            <w:noProof/>
            <w:webHidden/>
          </w:rPr>
          <w:fldChar w:fldCharType="begin"/>
        </w:r>
        <w:r w:rsidR="00BA49F6">
          <w:rPr>
            <w:noProof/>
            <w:webHidden/>
          </w:rPr>
          <w:instrText xml:space="preserve"> PAGEREF _Toc462738104 \h </w:instrText>
        </w:r>
        <w:r w:rsidR="00BA49F6">
          <w:rPr>
            <w:noProof/>
            <w:webHidden/>
          </w:rPr>
        </w:r>
        <w:r w:rsidR="00BA49F6">
          <w:rPr>
            <w:noProof/>
            <w:webHidden/>
          </w:rPr>
          <w:fldChar w:fldCharType="separate"/>
        </w:r>
        <w:r w:rsidR="0006479A">
          <w:rPr>
            <w:noProof/>
            <w:webHidden/>
          </w:rPr>
          <w:t>60</w:t>
        </w:r>
        <w:r w:rsidR="00BA49F6">
          <w:rPr>
            <w:noProof/>
            <w:webHidden/>
          </w:rPr>
          <w:fldChar w:fldCharType="end"/>
        </w:r>
      </w:hyperlink>
    </w:p>
    <w:p w14:paraId="4C935A81"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05" w:history="1">
        <w:r w:rsidR="00BA49F6" w:rsidRPr="00B61BBA">
          <w:rPr>
            <w:rStyle w:val="Hyperlink"/>
            <w:noProof/>
          </w:rPr>
          <w:t>Table 2. A taxonomy of harms experienced by people who gamble</w:t>
        </w:r>
        <w:r w:rsidR="00BA49F6">
          <w:rPr>
            <w:noProof/>
            <w:webHidden/>
          </w:rPr>
          <w:tab/>
        </w:r>
        <w:r w:rsidR="00BA49F6">
          <w:rPr>
            <w:noProof/>
            <w:webHidden/>
          </w:rPr>
          <w:fldChar w:fldCharType="begin"/>
        </w:r>
        <w:r w:rsidR="00BA49F6">
          <w:rPr>
            <w:noProof/>
            <w:webHidden/>
          </w:rPr>
          <w:instrText xml:space="preserve"> PAGEREF _Toc462738105 \h </w:instrText>
        </w:r>
        <w:r w:rsidR="00BA49F6">
          <w:rPr>
            <w:noProof/>
            <w:webHidden/>
          </w:rPr>
        </w:r>
        <w:r w:rsidR="00BA49F6">
          <w:rPr>
            <w:noProof/>
            <w:webHidden/>
          </w:rPr>
          <w:fldChar w:fldCharType="separate"/>
        </w:r>
        <w:r>
          <w:rPr>
            <w:noProof/>
            <w:webHidden/>
          </w:rPr>
          <w:t>115</w:t>
        </w:r>
        <w:r w:rsidR="00BA49F6">
          <w:rPr>
            <w:noProof/>
            <w:webHidden/>
          </w:rPr>
          <w:fldChar w:fldCharType="end"/>
        </w:r>
      </w:hyperlink>
    </w:p>
    <w:p w14:paraId="4C03DE28"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06" w:history="1">
        <w:r w:rsidR="00BA49F6" w:rsidRPr="00B61BBA">
          <w:rPr>
            <w:rStyle w:val="Hyperlink"/>
            <w:noProof/>
          </w:rPr>
          <w:t>Table 3. A taxonomy of harms of experienced by affected others of people who gamble</w:t>
        </w:r>
        <w:r w:rsidR="00BA49F6">
          <w:rPr>
            <w:noProof/>
            <w:webHidden/>
          </w:rPr>
          <w:tab/>
        </w:r>
        <w:r w:rsidR="00BA49F6">
          <w:rPr>
            <w:noProof/>
            <w:webHidden/>
          </w:rPr>
          <w:fldChar w:fldCharType="begin"/>
        </w:r>
        <w:r w:rsidR="00BA49F6">
          <w:rPr>
            <w:noProof/>
            <w:webHidden/>
          </w:rPr>
          <w:instrText xml:space="preserve"> PAGEREF _Toc462738106 \h </w:instrText>
        </w:r>
        <w:r w:rsidR="00BA49F6">
          <w:rPr>
            <w:noProof/>
            <w:webHidden/>
          </w:rPr>
        </w:r>
        <w:r w:rsidR="00BA49F6">
          <w:rPr>
            <w:noProof/>
            <w:webHidden/>
          </w:rPr>
          <w:fldChar w:fldCharType="separate"/>
        </w:r>
        <w:r>
          <w:rPr>
            <w:noProof/>
            <w:webHidden/>
          </w:rPr>
          <w:t>121</w:t>
        </w:r>
        <w:r w:rsidR="00BA49F6">
          <w:rPr>
            <w:noProof/>
            <w:webHidden/>
          </w:rPr>
          <w:fldChar w:fldCharType="end"/>
        </w:r>
      </w:hyperlink>
    </w:p>
    <w:p w14:paraId="4B6E6F76"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07" w:history="1">
        <w:r w:rsidR="00BA49F6" w:rsidRPr="00B61BBA">
          <w:rPr>
            <w:rStyle w:val="Hyperlink"/>
            <w:noProof/>
          </w:rPr>
          <w:t>Table 4. A taxonomy of harms experienced by communities</w:t>
        </w:r>
        <w:r w:rsidR="00BA49F6">
          <w:rPr>
            <w:noProof/>
            <w:webHidden/>
          </w:rPr>
          <w:tab/>
        </w:r>
        <w:r w:rsidR="00BA49F6">
          <w:rPr>
            <w:noProof/>
            <w:webHidden/>
          </w:rPr>
          <w:fldChar w:fldCharType="begin"/>
        </w:r>
        <w:r w:rsidR="00BA49F6">
          <w:rPr>
            <w:noProof/>
            <w:webHidden/>
          </w:rPr>
          <w:instrText xml:space="preserve"> PAGEREF _Toc462738107 \h </w:instrText>
        </w:r>
        <w:r w:rsidR="00BA49F6">
          <w:rPr>
            <w:noProof/>
            <w:webHidden/>
          </w:rPr>
        </w:r>
        <w:r w:rsidR="00BA49F6">
          <w:rPr>
            <w:noProof/>
            <w:webHidden/>
          </w:rPr>
          <w:fldChar w:fldCharType="separate"/>
        </w:r>
        <w:r>
          <w:rPr>
            <w:noProof/>
            <w:webHidden/>
          </w:rPr>
          <w:t>128</w:t>
        </w:r>
        <w:r w:rsidR="00BA49F6">
          <w:rPr>
            <w:noProof/>
            <w:webHidden/>
          </w:rPr>
          <w:fldChar w:fldCharType="end"/>
        </w:r>
      </w:hyperlink>
    </w:p>
    <w:p w14:paraId="66B6CDEB"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08" w:history="1">
        <w:r w:rsidR="00BA49F6" w:rsidRPr="00B61BBA">
          <w:rPr>
            <w:rStyle w:val="Hyperlink"/>
            <w:noProof/>
          </w:rPr>
          <w:t>Table 5. Demographic characteristics</w:t>
        </w:r>
        <w:r w:rsidR="00BA49F6">
          <w:rPr>
            <w:noProof/>
            <w:webHidden/>
          </w:rPr>
          <w:tab/>
        </w:r>
        <w:r w:rsidR="00BA49F6">
          <w:rPr>
            <w:noProof/>
            <w:webHidden/>
          </w:rPr>
          <w:fldChar w:fldCharType="begin"/>
        </w:r>
        <w:r w:rsidR="00BA49F6">
          <w:rPr>
            <w:noProof/>
            <w:webHidden/>
          </w:rPr>
          <w:instrText xml:space="preserve"> PAGEREF _Toc462738108 \h </w:instrText>
        </w:r>
        <w:r w:rsidR="00BA49F6">
          <w:rPr>
            <w:noProof/>
            <w:webHidden/>
          </w:rPr>
        </w:r>
        <w:r w:rsidR="00BA49F6">
          <w:rPr>
            <w:noProof/>
            <w:webHidden/>
          </w:rPr>
          <w:fldChar w:fldCharType="separate"/>
        </w:r>
        <w:r>
          <w:rPr>
            <w:noProof/>
            <w:webHidden/>
          </w:rPr>
          <w:t>133</w:t>
        </w:r>
        <w:r w:rsidR="00BA49F6">
          <w:rPr>
            <w:noProof/>
            <w:webHidden/>
          </w:rPr>
          <w:fldChar w:fldCharType="end"/>
        </w:r>
      </w:hyperlink>
    </w:p>
    <w:p w14:paraId="0E06983A"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09" w:history="1">
        <w:r w:rsidR="00BA49F6" w:rsidRPr="00B61BBA">
          <w:rPr>
            <w:rStyle w:val="Hyperlink"/>
            <w:noProof/>
          </w:rPr>
          <w:t>Table 6. Relationship of participants (affected others) to gamblers</w:t>
        </w:r>
        <w:r w:rsidR="00BA49F6">
          <w:rPr>
            <w:noProof/>
            <w:webHidden/>
          </w:rPr>
          <w:tab/>
        </w:r>
        <w:r w:rsidR="00BA49F6">
          <w:rPr>
            <w:noProof/>
            <w:webHidden/>
          </w:rPr>
          <w:fldChar w:fldCharType="begin"/>
        </w:r>
        <w:r w:rsidR="00BA49F6">
          <w:rPr>
            <w:noProof/>
            <w:webHidden/>
          </w:rPr>
          <w:instrText xml:space="preserve"> PAGEREF _Toc462738109 \h </w:instrText>
        </w:r>
        <w:r w:rsidR="00BA49F6">
          <w:rPr>
            <w:noProof/>
            <w:webHidden/>
          </w:rPr>
        </w:r>
        <w:r w:rsidR="00BA49F6">
          <w:rPr>
            <w:noProof/>
            <w:webHidden/>
          </w:rPr>
          <w:fldChar w:fldCharType="separate"/>
        </w:r>
        <w:r>
          <w:rPr>
            <w:noProof/>
            <w:webHidden/>
          </w:rPr>
          <w:t>134</w:t>
        </w:r>
        <w:r w:rsidR="00BA49F6">
          <w:rPr>
            <w:noProof/>
            <w:webHidden/>
          </w:rPr>
          <w:fldChar w:fldCharType="end"/>
        </w:r>
      </w:hyperlink>
    </w:p>
    <w:p w14:paraId="2E0A931B"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0" w:history="1">
        <w:r w:rsidR="00BA49F6" w:rsidRPr="00B61BBA">
          <w:rPr>
            <w:rStyle w:val="Hyperlink"/>
            <w:noProof/>
          </w:rPr>
          <w:t>Table 7. Model comparisons testing for equivalent item functioning for PGSI reporting across groups</w:t>
        </w:r>
        <w:r w:rsidR="00BA49F6">
          <w:rPr>
            <w:noProof/>
            <w:webHidden/>
          </w:rPr>
          <w:tab/>
        </w:r>
        <w:r w:rsidR="00BA49F6">
          <w:rPr>
            <w:noProof/>
            <w:webHidden/>
          </w:rPr>
          <w:fldChar w:fldCharType="begin"/>
        </w:r>
        <w:r w:rsidR="00BA49F6">
          <w:rPr>
            <w:noProof/>
            <w:webHidden/>
          </w:rPr>
          <w:instrText xml:space="preserve"> PAGEREF _Toc462738110 \h </w:instrText>
        </w:r>
        <w:r w:rsidR="00BA49F6">
          <w:rPr>
            <w:noProof/>
            <w:webHidden/>
          </w:rPr>
        </w:r>
        <w:r w:rsidR="00BA49F6">
          <w:rPr>
            <w:noProof/>
            <w:webHidden/>
          </w:rPr>
          <w:fldChar w:fldCharType="separate"/>
        </w:r>
        <w:r>
          <w:rPr>
            <w:noProof/>
            <w:webHidden/>
          </w:rPr>
          <w:t>136</w:t>
        </w:r>
        <w:r w:rsidR="00BA49F6">
          <w:rPr>
            <w:noProof/>
            <w:webHidden/>
          </w:rPr>
          <w:fldChar w:fldCharType="end"/>
        </w:r>
      </w:hyperlink>
    </w:p>
    <w:p w14:paraId="66BA48D3"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1" w:history="1">
        <w:r w:rsidR="00BA49F6" w:rsidRPr="00B61BBA">
          <w:rPr>
            <w:rStyle w:val="Hyperlink"/>
            <w:noProof/>
          </w:rPr>
          <w:t>Table 8. Influence of socio-demographic factors on the PGSI</w:t>
        </w:r>
        <w:r w:rsidR="00BA49F6">
          <w:rPr>
            <w:noProof/>
            <w:webHidden/>
          </w:rPr>
          <w:tab/>
        </w:r>
        <w:r w:rsidR="00BA49F6">
          <w:rPr>
            <w:noProof/>
            <w:webHidden/>
          </w:rPr>
          <w:fldChar w:fldCharType="begin"/>
        </w:r>
        <w:r w:rsidR="00BA49F6">
          <w:rPr>
            <w:noProof/>
            <w:webHidden/>
          </w:rPr>
          <w:instrText xml:space="preserve"> PAGEREF _Toc462738111 \h </w:instrText>
        </w:r>
        <w:r w:rsidR="00BA49F6">
          <w:rPr>
            <w:noProof/>
            <w:webHidden/>
          </w:rPr>
        </w:r>
        <w:r w:rsidR="00BA49F6">
          <w:rPr>
            <w:noProof/>
            <w:webHidden/>
          </w:rPr>
          <w:fldChar w:fldCharType="separate"/>
        </w:r>
        <w:r>
          <w:rPr>
            <w:noProof/>
            <w:webHidden/>
          </w:rPr>
          <w:t>137</w:t>
        </w:r>
        <w:r w:rsidR="00BA49F6">
          <w:rPr>
            <w:noProof/>
            <w:webHidden/>
          </w:rPr>
          <w:fldChar w:fldCharType="end"/>
        </w:r>
      </w:hyperlink>
    </w:p>
    <w:p w14:paraId="1388B493"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2" w:history="1">
        <w:r w:rsidR="00BA49F6" w:rsidRPr="00B61BBA">
          <w:rPr>
            <w:rStyle w:val="Hyperlink"/>
            <w:noProof/>
          </w:rPr>
          <w:t>Table 9. Influence of ethnicity on harm domains</w:t>
        </w:r>
        <w:r w:rsidR="00BA49F6">
          <w:rPr>
            <w:noProof/>
            <w:webHidden/>
          </w:rPr>
          <w:tab/>
        </w:r>
        <w:r w:rsidR="00BA49F6">
          <w:rPr>
            <w:noProof/>
            <w:webHidden/>
          </w:rPr>
          <w:fldChar w:fldCharType="begin"/>
        </w:r>
        <w:r w:rsidR="00BA49F6">
          <w:rPr>
            <w:noProof/>
            <w:webHidden/>
          </w:rPr>
          <w:instrText xml:space="preserve"> PAGEREF _Toc462738112 \h </w:instrText>
        </w:r>
        <w:r w:rsidR="00BA49F6">
          <w:rPr>
            <w:noProof/>
            <w:webHidden/>
          </w:rPr>
        </w:r>
        <w:r w:rsidR="00BA49F6">
          <w:rPr>
            <w:noProof/>
            <w:webHidden/>
          </w:rPr>
          <w:fldChar w:fldCharType="separate"/>
        </w:r>
        <w:r>
          <w:rPr>
            <w:noProof/>
            <w:webHidden/>
          </w:rPr>
          <w:t>138</w:t>
        </w:r>
        <w:r w:rsidR="00BA49F6">
          <w:rPr>
            <w:noProof/>
            <w:webHidden/>
          </w:rPr>
          <w:fldChar w:fldCharType="end"/>
        </w:r>
      </w:hyperlink>
    </w:p>
    <w:p w14:paraId="7E8430C8"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3" w:history="1">
        <w:r w:rsidR="00BA49F6" w:rsidRPr="00B61BBA">
          <w:rPr>
            <w:rStyle w:val="Hyperlink"/>
            <w:noProof/>
          </w:rPr>
          <w:t>Table 10. Financial and Work/Study (Gamblers)</w:t>
        </w:r>
        <w:r w:rsidR="00BA49F6">
          <w:rPr>
            <w:noProof/>
            <w:webHidden/>
          </w:rPr>
          <w:tab/>
        </w:r>
        <w:r w:rsidR="00BA49F6">
          <w:rPr>
            <w:noProof/>
            <w:webHidden/>
          </w:rPr>
          <w:fldChar w:fldCharType="begin"/>
        </w:r>
        <w:r w:rsidR="00BA49F6">
          <w:rPr>
            <w:noProof/>
            <w:webHidden/>
          </w:rPr>
          <w:instrText xml:space="preserve"> PAGEREF _Toc462738113 \h </w:instrText>
        </w:r>
        <w:r w:rsidR="00BA49F6">
          <w:rPr>
            <w:noProof/>
            <w:webHidden/>
          </w:rPr>
        </w:r>
        <w:r w:rsidR="00BA49F6">
          <w:rPr>
            <w:noProof/>
            <w:webHidden/>
          </w:rPr>
          <w:fldChar w:fldCharType="separate"/>
        </w:r>
        <w:r>
          <w:rPr>
            <w:noProof/>
            <w:webHidden/>
          </w:rPr>
          <w:t>140</w:t>
        </w:r>
        <w:r w:rsidR="00BA49F6">
          <w:rPr>
            <w:noProof/>
            <w:webHidden/>
          </w:rPr>
          <w:fldChar w:fldCharType="end"/>
        </w:r>
      </w:hyperlink>
    </w:p>
    <w:p w14:paraId="30507081"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4" w:history="1">
        <w:r w:rsidR="00BA49F6" w:rsidRPr="00B61BBA">
          <w:rPr>
            <w:rStyle w:val="Hyperlink"/>
            <w:noProof/>
          </w:rPr>
          <w:t>Table 11. Health and Emotional/Psychological (Gamblers)</w:t>
        </w:r>
        <w:r w:rsidR="00BA49F6">
          <w:rPr>
            <w:noProof/>
            <w:webHidden/>
          </w:rPr>
          <w:tab/>
        </w:r>
        <w:r w:rsidR="00BA49F6">
          <w:rPr>
            <w:noProof/>
            <w:webHidden/>
          </w:rPr>
          <w:fldChar w:fldCharType="begin"/>
        </w:r>
        <w:r w:rsidR="00BA49F6">
          <w:rPr>
            <w:noProof/>
            <w:webHidden/>
          </w:rPr>
          <w:instrText xml:space="preserve"> PAGEREF _Toc462738114 \h </w:instrText>
        </w:r>
        <w:r w:rsidR="00BA49F6">
          <w:rPr>
            <w:noProof/>
            <w:webHidden/>
          </w:rPr>
        </w:r>
        <w:r w:rsidR="00BA49F6">
          <w:rPr>
            <w:noProof/>
            <w:webHidden/>
          </w:rPr>
          <w:fldChar w:fldCharType="separate"/>
        </w:r>
        <w:r>
          <w:rPr>
            <w:noProof/>
            <w:webHidden/>
          </w:rPr>
          <w:t>141</w:t>
        </w:r>
        <w:r w:rsidR="00BA49F6">
          <w:rPr>
            <w:noProof/>
            <w:webHidden/>
          </w:rPr>
          <w:fldChar w:fldCharType="end"/>
        </w:r>
      </w:hyperlink>
    </w:p>
    <w:p w14:paraId="18F8C47B"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5" w:history="1">
        <w:r w:rsidR="00BA49F6" w:rsidRPr="00B61BBA">
          <w:rPr>
            <w:rStyle w:val="Hyperlink"/>
            <w:noProof/>
          </w:rPr>
          <w:t>Table 12. Relationships and Other (Gamblers)</w:t>
        </w:r>
        <w:r w:rsidR="00BA49F6">
          <w:rPr>
            <w:noProof/>
            <w:webHidden/>
          </w:rPr>
          <w:tab/>
        </w:r>
        <w:r w:rsidR="00BA49F6">
          <w:rPr>
            <w:noProof/>
            <w:webHidden/>
          </w:rPr>
          <w:fldChar w:fldCharType="begin"/>
        </w:r>
        <w:r w:rsidR="00BA49F6">
          <w:rPr>
            <w:noProof/>
            <w:webHidden/>
          </w:rPr>
          <w:instrText xml:space="preserve"> PAGEREF _Toc462738115 \h </w:instrText>
        </w:r>
        <w:r w:rsidR="00BA49F6">
          <w:rPr>
            <w:noProof/>
            <w:webHidden/>
          </w:rPr>
        </w:r>
        <w:r w:rsidR="00BA49F6">
          <w:rPr>
            <w:noProof/>
            <w:webHidden/>
          </w:rPr>
          <w:fldChar w:fldCharType="separate"/>
        </w:r>
        <w:r>
          <w:rPr>
            <w:noProof/>
            <w:webHidden/>
          </w:rPr>
          <w:t>142</w:t>
        </w:r>
        <w:r w:rsidR="00BA49F6">
          <w:rPr>
            <w:noProof/>
            <w:webHidden/>
          </w:rPr>
          <w:fldChar w:fldCharType="end"/>
        </w:r>
      </w:hyperlink>
    </w:p>
    <w:p w14:paraId="1A965E5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6" w:history="1">
        <w:r w:rsidR="00BA49F6" w:rsidRPr="00B61BBA">
          <w:rPr>
            <w:rStyle w:val="Hyperlink"/>
            <w:noProof/>
          </w:rPr>
          <w:t>Table 13. Financial and Work/Study (Affected Others)</w:t>
        </w:r>
        <w:r w:rsidR="00BA49F6">
          <w:rPr>
            <w:noProof/>
            <w:webHidden/>
          </w:rPr>
          <w:tab/>
        </w:r>
        <w:r w:rsidR="00BA49F6">
          <w:rPr>
            <w:noProof/>
            <w:webHidden/>
          </w:rPr>
          <w:fldChar w:fldCharType="begin"/>
        </w:r>
        <w:r w:rsidR="00BA49F6">
          <w:rPr>
            <w:noProof/>
            <w:webHidden/>
          </w:rPr>
          <w:instrText xml:space="preserve"> PAGEREF _Toc462738116 \h </w:instrText>
        </w:r>
        <w:r w:rsidR="00BA49F6">
          <w:rPr>
            <w:noProof/>
            <w:webHidden/>
          </w:rPr>
        </w:r>
        <w:r w:rsidR="00BA49F6">
          <w:rPr>
            <w:noProof/>
            <w:webHidden/>
          </w:rPr>
          <w:fldChar w:fldCharType="separate"/>
        </w:r>
        <w:r>
          <w:rPr>
            <w:noProof/>
            <w:webHidden/>
          </w:rPr>
          <w:t>143</w:t>
        </w:r>
        <w:r w:rsidR="00BA49F6">
          <w:rPr>
            <w:noProof/>
            <w:webHidden/>
          </w:rPr>
          <w:fldChar w:fldCharType="end"/>
        </w:r>
      </w:hyperlink>
    </w:p>
    <w:p w14:paraId="15AD8679"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7" w:history="1">
        <w:r w:rsidR="00BA49F6" w:rsidRPr="00B61BBA">
          <w:rPr>
            <w:rStyle w:val="Hyperlink"/>
            <w:noProof/>
          </w:rPr>
          <w:t>Table 14. Health and Emotional/Psychological (Affected Others)</w:t>
        </w:r>
        <w:r w:rsidR="00BA49F6">
          <w:rPr>
            <w:noProof/>
            <w:webHidden/>
          </w:rPr>
          <w:tab/>
        </w:r>
        <w:r w:rsidR="00BA49F6">
          <w:rPr>
            <w:noProof/>
            <w:webHidden/>
          </w:rPr>
          <w:fldChar w:fldCharType="begin"/>
        </w:r>
        <w:r w:rsidR="00BA49F6">
          <w:rPr>
            <w:noProof/>
            <w:webHidden/>
          </w:rPr>
          <w:instrText xml:space="preserve"> PAGEREF _Toc462738117 \h </w:instrText>
        </w:r>
        <w:r w:rsidR="00BA49F6">
          <w:rPr>
            <w:noProof/>
            <w:webHidden/>
          </w:rPr>
        </w:r>
        <w:r w:rsidR="00BA49F6">
          <w:rPr>
            <w:noProof/>
            <w:webHidden/>
          </w:rPr>
          <w:fldChar w:fldCharType="separate"/>
        </w:r>
        <w:r>
          <w:rPr>
            <w:noProof/>
            <w:webHidden/>
          </w:rPr>
          <w:t>144</w:t>
        </w:r>
        <w:r w:rsidR="00BA49F6">
          <w:rPr>
            <w:noProof/>
            <w:webHidden/>
          </w:rPr>
          <w:fldChar w:fldCharType="end"/>
        </w:r>
      </w:hyperlink>
    </w:p>
    <w:p w14:paraId="3D0C8E26"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8" w:history="1">
        <w:r w:rsidR="00BA49F6" w:rsidRPr="00B61BBA">
          <w:rPr>
            <w:rStyle w:val="Hyperlink"/>
            <w:noProof/>
          </w:rPr>
          <w:t>Table 15. Relationships and Other (Affected Others)</w:t>
        </w:r>
        <w:r w:rsidR="00BA49F6">
          <w:rPr>
            <w:noProof/>
            <w:webHidden/>
          </w:rPr>
          <w:tab/>
        </w:r>
        <w:r w:rsidR="00BA49F6">
          <w:rPr>
            <w:noProof/>
            <w:webHidden/>
          </w:rPr>
          <w:fldChar w:fldCharType="begin"/>
        </w:r>
        <w:r w:rsidR="00BA49F6">
          <w:rPr>
            <w:noProof/>
            <w:webHidden/>
          </w:rPr>
          <w:instrText xml:space="preserve"> PAGEREF _Toc462738118 \h </w:instrText>
        </w:r>
        <w:r w:rsidR="00BA49F6">
          <w:rPr>
            <w:noProof/>
            <w:webHidden/>
          </w:rPr>
        </w:r>
        <w:r w:rsidR="00BA49F6">
          <w:rPr>
            <w:noProof/>
            <w:webHidden/>
          </w:rPr>
          <w:fldChar w:fldCharType="separate"/>
        </w:r>
        <w:r>
          <w:rPr>
            <w:noProof/>
            <w:webHidden/>
          </w:rPr>
          <w:t>145</w:t>
        </w:r>
        <w:r w:rsidR="00BA49F6">
          <w:rPr>
            <w:noProof/>
            <w:webHidden/>
          </w:rPr>
          <w:fldChar w:fldCharType="end"/>
        </w:r>
      </w:hyperlink>
    </w:p>
    <w:p w14:paraId="25B61881"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19" w:history="1">
        <w:r w:rsidR="00BA49F6" w:rsidRPr="00B61BBA">
          <w:rPr>
            <w:rStyle w:val="Hyperlink"/>
            <w:noProof/>
          </w:rPr>
          <w:t>Table 16. Number of cases from the national harms survey selected for inclusion in the condition vignette stimuli data set</w:t>
        </w:r>
        <w:r w:rsidR="00BA49F6">
          <w:rPr>
            <w:noProof/>
            <w:webHidden/>
          </w:rPr>
          <w:tab/>
        </w:r>
        <w:r w:rsidR="00BA49F6">
          <w:rPr>
            <w:noProof/>
            <w:webHidden/>
          </w:rPr>
          <w:fldChar w:fldCharType="begin"/>
        </w:r>
        <w:r w:rsidR="00BA49F6">
          <w:rPr>
            <w:noProof/>
            <w:webHidden/>
          </w:rPr>
          <w:instrText xml:space="preserve"> PAGEREF _Toc462738119 \h </w:instrText>
        </w:r>
        <w:r w:rsidR="00BA49F6">
          <w:rPr>
            <w:noProof/>
            <w:webHidden/>
          </w:rPr>
        </w:r>
        <w:r w:rsidR="00BA49F6">
          <w:rPr>
            <w:noProof/>
            <w:webHidden/>
          </w:rPr>
          <w:fldChar w:fldCharType="separate"/>
        </w:r>
        <w:r>
          <w:rPr>
            <w:noProof/>
            <w:webHidden/>
          </w:rPr>
          <w:t>161</w:t>
        </w:r>
        <w:r w:rsidR="00BA49F6">
          <w:rPr>
            <w:noProof/>
            <w:webHidden/>
          </w:rPr>
          <w:fldChar w:fldCharType="end"/>
        </w:r>
      </w:hyperlink>
    </w:p>
    <w:p w14:paraId="55D6D86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0" w:history="1">
        <w:r w:rsidR="00BA49F6" w:rsidRPr="00B61BBA">
          <w:rPr>
            <w:rStyle w:val="Hyperlink"/>
            <w:noProof/>
          </w:rPr>
          <w:t>Table 17. Participants by vignette group and sample type</w:t>
        </w:r>
        <w:r w:rsidR="00BA49F6">
          <w:rPr>
            <w:noProof/>
            <w:webHidden/>
          </w:rPr>
          <w:tab/>
        </w:r>
        <w:r w:rsidR="00BA49F6">
          <w:rPr>
            <w:noProof/>
            <w:webHidden/>
          </w:rPr>
          <w:fldChar w:fldCharType="begin"/>
        </w:r>
        <w:r w:rsidR="00BA49F6">
          <w:rPr>
            <w:noProof/>
            <w:webHidden/>
          </w:rPr>
          <w:instrText xml:space="preserve"> PAGEREF _Toc462738120 \h </w:instrText>
        </w:r>
        <w:r w:rsidR="00BA49F6">
          <w:rPr>
            <w:noProof/>
            <w:webHidden/>
          </w:rPr>
        </w:r>
        <w:r w:rsidR="00BA49F6">
          <w:rPr>
            <w:noProof/>
            <w:webHidden/>
          </w:rPr>
          <w:fldChar w:fldCharType="separate"/>
        </w:r>
        <w:r>
          <w:rPr>
            <w:noProof/>
            <w:webHidden/>
          </w:rPr>
          <w:t>165</w:t>
        </w:r>
        <w:r w:rsidR="00BA49F6">
          <w:rPr>
            <w:noProof/>
            <w:webHidden/>
          </w:rPr>
          <w:fldChar w:fldCharType="end"/>
        </w:r>
      </w:hyperlink>
    </w:p>
    <w:p w14:paraId="2E3851C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1" w:history="1">
        <w:r w:rsidR="00BA49F6" w:rsidRPr="00B61BBA">
          <w:rPr>
            <w:rStyle w:val="Hyperlink"/>
            <w:noProof/>
          </w:rPr>
          <w:t>Table 18. General population and expert sample demographic characteristics</w:t>
        </w:r>
        <w:r w:rsidR="00BA49F6">
          <w:rPr>
            <w:noProof/>
            <w:webHidden/>
          </w:rPr>
          <w:tab/>
        </w:r>
        <w:r w:rsidR="00BA49F6">
          <w:rPr>
            <w:noProof/>
            <w:webHidden/>
          </w:rPr>
          <w:fldChar w:fldCharType="begin"/>
        </w:r>
        <w:r w:rsidR="00BA49F6">
          <w:rPr>
            <w:noProof/>
            <w:webHidden/>
          </w:rPr>
          <w:instrText xml:space="preserve"> PAGEREF _Toc462738121 \h </w:instrText>
        </w:r>
        <w:r w:rsidR="00BA49F6">
          <w:rPr>
            <w:noProof/>
            <w:webHidden/>
          </w:rPr>
        </w:r>
        <w:r w:rsidR="00BA49F6">
          <w:rPr>
            <w:noProof/>
            <w:webHidden/>
          </w:rPr>
          <w:fldChar w:fldCharType="separate"/>
        </w:r>
        <w:r>
          <w:rPr>
            <w:noProof/>
            <w:webHidden/>
          </w:rPr>
          <w:t>167</w:t>
        </w:r>
        <w:r w:rsidR="00BA49F6">
          <w:rPr>
            <w:noProof/>
            <w:webHidden/>
          </w:rPr>
          <w:fldChar w:fldCharType="end"/>
        </w:r>
      </w:hyperlink>
    </w:p>
    <w:p w14:paraId="41A59316"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2" w:history="1">
        <w:r w:rsidR="00BA49F6" w:rsidRPr="00B61BBA">
          <w:rPr>
            <w:rStyle w:val="Hyperlink"/>
            <w:noProof/>
          </w:rPr>
          <w:t>Table 19. Number of HRQL valuations generated by participant type and vignette group</w:t>
        </w:r>
        <w:r w:rsidR="00BA49F6">
          <w:rPr>
            <w:noProof/>
            <w:webHidden/>
          </w:rPr>
          <w:tab/>
        </w:r>
        <w:r w:rsidR="00BA49F6">
          <w:rPr>
            <w:noProof/>
            <w:webHidden/>
          </w:rPr>
          <w:fldChar w:fldCharType="begin"/>
        </w:r>
        <w:r w:rsidR="00BA49F6">
          <w:rPr>
            <w:noProof/>
            <w:webHidden/>
          </w:rPr>
          <w:instrText xml:space="preserve"> PAGEREF _Toc462738122 \h </w:instrText>
        </w:r>
        <w:r w:rsidR="00BA49F6">
          <w:rPr>
            <w:noProof/>
            <w:webHidden/>
          </w:rPr>
        </w:r>
        <w:r w:rsidR="00BA49F6">
          <w:rPr>
            <w:noProof/>
            <w:webHidden/>
          </w:rPr>
          <w:fldChar w:fldCharType="separate"/>
        </w:r>
        <w:r>
          <w:rPr>
            <w:noProof/>
            <w:webHidden/>
          </w:rPr>
          <w:t>168</w:t>
        </w:r>
        <w:r w:rsidR="00BA49F6">
          <w:rPr>
            <w:noProof/>
            <w:webHidden/>
          </w:rPr>
          <w:fldChar w:fldCharType="end"/>
        </w:r>
      </w:hyperlink>
    </w:p>
    <w:p w14:paraId="0808866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3" w:history="1">
        <w:r w:rsidR="00BA49F6" w:rsidRPr="00B61BBA">
          <w:rPr>
            <w:rStyle w:val="Hyperlink"/>
            <w:noProof/>
          </w:rPr>
          <w:t>Table 20. Gambling-related h</w:t>
        </w:r>
        <w:r w:rsidR="00BA49F6" w:rsidRPr="00B61BBA">
          <w:rPr>
            <w:rStyle w:val="Hyperlink"/>
            <w:rFonts w:cs="Arial"/>
            <w:noProof/>
          </w:rPr>
          <w:t>arm (utility) by sample type and PGSI category</w:t>
        </w:r>
        <w:r w:rsidR="00BA49F6">
          <w:rPr>
            <w:noProof/>
            <w:webHidden/>
          </w:rPr>
          <w:tab/>
        </w:r>
        <w:r w:rsidR="00BA49F6">
          <w:rPr>
            <w:noProof/>
            <w:webHidden/>
          </w:rPr>
          <w:fldChar w:fldCharType="begin"/>
        </w:r>
        <w:r w:rsidR="00BA49F6">
          <w:rPr>
            <w:noProof/>
            <w:webHidden/>
          </w:rPr>
          <w:instrText xml:space="preserve"> PAGEREF _Toc462738123 \h </w:instrText>
        </w:r>
        <w:r w:rsidR="00BA49F6">
          <w:rPr>
            <w:noProof/>
            <w:webHidden/>
          </w:rPr>
        </w:r>
        <w:r w:rsidR="00BA49F6">
          <w:rPr>
            <w:noProof/>
            <w:webHidden/>
          </w:rPr>
          <w:fldChar w:fldCharType="separate"/>
        </w:r>
        <w:r>
          <w:rPr>
            <w:noProof/>
            <w:webHidden/>
          </w:rPr>
          <w:t>172</w:t>
        </w:r>
        <w:r w:rsidR="00BA49F6">
          <w:rPr>
            <w:noProof/>
            <w:webHidden/>
          </w:rPr>
          <w:fldChar w:fldCharType="end"/>
        </w:r>
      </w:hyperlink>
    </w:p>
    <w:p w14:paraId="4A18642C"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4" w:history="1">
        <w:r w:rsidR="00BA49F6" w:rsidRPr="00B61BBA">
          <w:rPr>
            <w:rStyle w:val="Hyperlink"/>
            <w:noProof/>
          </w:rPr>
          <w:t>Table 21. Influence of respondent characteristics on elicited gambling-related harm valuations</w:t>
        </w:r>
        <w:r w:rsidR="00BA49F6">
          <w:rPr>
            <w:noProof/>
            <w:webHidden/>
          </w:rPr>
          <w:tab/>
        </w:r>
        <w:r w:rsidR="00BA49F6">
          <w:rPr>
            <w:noProof/>
            <w:webHidden/>
          </w:rPr>
          <w:fldChar w:fldCharType="begin"/>
        </w:r>
        <w:r w:rsidR="00BA49F6">
          <w:rPr>
            <w:noProof/>
            <w:webHidden/>
          </w:rPr>
          <w:instrText xml:space="preserve"> PAGEREF _Toc462738124 \h </w:instrText>
        </w:r>
        <w:r w:rsidR="00BA49F6">
          <w:rPr>
            <w:noProof/>
            <w:webHidden/>
          </w:rPr>
        </w:r>
        <w:r w:rsidR="00BA49F6">
          <w:rPr>
            <w:noProof/>
            <w:webHidden/>
          </w:rPr>
          <w:fldChar w:fldCharType="separate"/>
        </w:r>
        <w:r>
          <w:rPr>
            <w:noProof/>
            <w:webHidden/>
          </w:rPr>
          <w:t>173</w:t>
        </w:r>
        <w:r w:rsidR="00BA49F6">
          <w:rPr>
            <w:noProof/>
            <w:webHidden/>
          </w:rPr>
          <w:fldChar w:fldCharType="end"/>
        </w:r>
      </w:hyperlink>
    </w:p>
    <w:p w14:paraId="24C7CE8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5" w:history="1">
        <w:r w:rsidR="00BA49F6" w:rsidRPr="00B61BBA">
          <w:rPr>
            <w:rStyle w:val="Hyperlink"/>
            <w:noProof/>
          </w:rPr>
          <w:t>Table 22. Gambling-related harm (utility) by PGSI score</w:t>
        </w:r>
        <w:r w:rsidR="00BA49F6">
          <w:rPr>
            <w:noProof/>
            <w:webHidden/>
          </w:rPr>
          <w:tab/>
        </w:r>
        <w:r w:rsidR="00BA49F6">
          <w:rPr>
            <w:noProof/>
            <w:webHidden/>
          </w:rPr>
          <w:fldChar w:fldCharType="begin"/>
        </w:r>
        <w:r w:rsidR="00BA49F6">
          <w:rPr>
            <w:noProof/>
            <w:webHidden/>
          </w:rPr>
          <w:instrText xml:space="preserve"> PAGEREF _Toc462738125 \h </w:instrText>
        </w:r>
        <w:r w:rsidR="00BA49F6">
          <w:rPr>
            <w:noProof/>
            <w:webHidden/>
          </w:rPr>
        </w:r>
        <w:r w:rsidR="00BA49F6">
          <w:rPr>
            <w:noProof/>
            <w:webHidden/>
          </w:rPr>
          <w:fldChar w:fldCharType="separate"/>
        </w:r>
        <w:r>
          <w:rPr>
            <w:noProof/>
            <w:webHidden/>
          </w:rPr>
          <w:t>174</w:t>
        </w:r>
        <w:r w:rsidR="00BA49F6">
          <w:rPr>
            <w:noProof/>
            <w:webHidden/>
          </w:rPr>
          <w:fldChar w:fldCharType="end"/>
        </w:r>
      </w:hyperlink>
    </w:p>
    <w:p w14:paraId="204A7253"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6" w:history="1">
        <w:r w:rsidR="00BA49F6" w:rsidRPr="00B61BBA">
          <w:rPr>
            <w:rStyle w:val="Hyperlink"/>
            <w:noProof/>
          </w:rPr>
          <w:t>Table 23. Gambling-related harm by PGSI category</w:t>
        </w:r>
        <w:r w:rsidR="00BA49F6">
          <w:rPr>
            <w:noProof/>
            <w:webHidden/>
          </w:rPr>
          <w:tab/>
        </w:r>
        <w:r w:rsidR="00BA49F6">
          <w:rPr>
            <w:noProof/>
            <w:webHidden/>
          </w:rPr>
          <w:fldChar w:fldCharType="begin"/>
        </w:r>
        <w:r w:rsidR="00BA49F6">
          <w:rPr>
            <w:noProof/>
            <w:webHidden/>
          </w:rPr>
          <w:instrText xml:space="preserve"> PAGEREF _Toc462738126 \h </w:instrText>
        </w:r>
        <w:r w:rsidR="00BA49F6">
          <w:rPr>
            <w:noProof/>
            <w:webHidden/>
          </w:rPr>
        </w:r>
        <w:r w:rsidR="00BA49F6">
          <w:rPr>
            <w:noProof/>
            <w:webHidden/>
          </w:rPr>
          <w:fldChar w:fldCharType="separate"/>
        </w:r>
        <w:r>
          <w:rPr>
            <w:noProof/>
            <w:webHidden/>
          </w:rPr>
          <w:t>183</w:t>
        </w:r>
        <w:r w:rsidR="00BA49F6">
          <w:rPr>
            <w:noProof/>
            <w:webHidden/>
          </w:rPr>
          <w:fldChar w:fldCharType="end"/>
        </w:r>
      </w:hyperlink>
    </w:p>
    <w:p w14:paraId="6310A1DB"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7" w:history="1">
        <w:r w:rsidR="00BA49F6" w:rsidRPr="00B61BBA">
          <w:rPr>
            <w:rStyle w:val="Hyperlink"/>
            <w:noProof/>
          </w:rPr>
          <w:t>Table 24. Gambling-related Harms from someone else’s gambling and PGSI category to the New Zealand adult population in the last 12 months</w:t>
        </w:r>
        <w:r w:rsidR="00BA49F6">
          <w:rPr>
            <w:noProof/>
            <w:webHidden/>
          </w:rPr>
          <w:tab/>
        </w:r>
        <w:r w:rsidR="00BA49F6">
          <w:rPr>
            <w:noProof/>
            <w:webHidden/>
          </w:rPr>
          <w:fldChar w:fldCharType="begin"/>
        </w:r>
        <w:r w:rsidR="00BA49F6">
          <w:rPr>
            <w:noProof/>
            <w:webHidden/>
          </w:rPr>
          <w:instrText xml:space="preserve"> PAGEREF _Toc462738127 \h </w:instrText>
        </w:r>
        <w:r w:rsidR="00BA49F6">
          <w:rPr>
            <w:noProof/>
            <w:webHidden/>
          </w:rPr>
        </w:r>
        <w:r w:rsidR="00BA49F6">
          <w:rPr>
            <w:noProof/>
            <w:webHidden/>
          </w:rPr>
          <w:fldChar w:fldCharType="separate"/>
        </w:r>
        <w:r>
          <w:rPr>
            <w:noProof/>
            <w:webHidden/>
          </w:rPr>
          <w:t>185</w:t>
        </w:r>
        <w:r w:rsidR="00BA49F6">
          <w:rPr>
            <w:noProof/>
            <w:webHidden/>
          </w:rPr>
          <w:fldChar w:fldCharType="end"/>
        </w:r>
      </w:hyperlink>
    </w:p>
    <w:p w14:paraId="101E483F"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8" w:history="1">
        <w:r w:rsidR="00BA49F6" w:rsidRPr="00B61BBA">
          <w:rPr>
            <w:rStyle w:val="Hyperlink"/>
            <w:noProof/>
          </w:rPr>
          <w:t>Table 25. Contribution of gambling-related harm domains to HRQL utility</w:t>
        </w:r>
        <w:r w:rsidR="00BA49F6">
          <w:rPr>
            <w:noProof/>
            <w:webHidden/>
          </w:rPr>
          <w:tab/>
        </w:r>
        <w:r w:rsidR="00BA49F6">
          <w:rPr>
            <w:noProof/>
            <w:webHidden/>
          </w:rPr>
          <w:fldChar w:fldCharType="begin"/>
        </w:r>
        <w:r w:rsidR="00BA49F6">
          <w:rPr>
            <w:noProof/>
            <w:webHidden/>
          </w:rPr>
          <w:instrText xml:space="preserve"> PAGEREF _Toc462738128 \h </w:instrText>
        </w:r>
        <w:r w:rsidR="00BA49F6">
          <w:rPr>
            <w:noProof/>
            <w:webHidden/>
          </w:rPr>
        </w:r>
        <w:r w:rsidR="00BA49F6">
          <w:rPr>
            <w:noProof/>
            <w:webHidden/>
          </w:rPr>
          <w:fldChar w:fldCharType="separate"/>
        </w:r>
        <w:r>
          <w:rPr>
            <w:noProof/>
            <w:webHidden/>
          </w:rPr>
          <w:t>186</w:t>
        </w:r>
        <w:r w:rsidR="00BA49F6">
          <w:rPr>
            <w:noProof/>
            <w:webHidden/>
          </w:rPr>
          <w:fldChar w:fldCharType="end"/>
        </w:r>
      </w:hyperlink>
    </w:p>
    <w:p w14:paraId="74C64BC3"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29" w:history="1">
        <w:r w:rsidR="00BA49F6" w:rsidRPr="00B61BBA">
          <w:rPr>
            <w:rStyle w:val="Hyperlink"/>
            <w:noProof/>
          </w:rPr>
          <w:t>Table 26. Gambling-related harms to the New Zealand adult population by gender and PGSI category</w:t>
        </w:r>
        <w:r w:rsidR="00BA49F6">
          <w:rPr>
            <w:noProof/>
            <w:webHidden/>
          </w:rPr>
          <w:tab/>
        </w:r>
        <w:r w:rsidR="00BA49F6">
          <w:rPr>
            <w:noProof/>
            <w:webHidden/>
          </w:rPr>
          <w:fldChar w:fldCharType="begin"/>
        </w:r>
        <w:r w:rsidR="00BA49F6">
          <w:rPr>
            <w:noProof/>
            <w:webHidden/>
          </w:rPr>
          <w:instrText xml:space="preserve"> PAGEREF _Toc462738129 \h </w:instrText>
        </w:r>
        <w:r w:rsidR="00BA49F6">
          <w:rPr>
            <w:noProof/>
            <w:webHidden/>
          </w:rPr>
        </w:r>
        <w:r w:rsidR="00BA49F6">
          <w:rPr>
            <w:noProof/>
            <w:webHidden/>
          </w:rPr>
          <w:fldChar w:fldCharType="separate"/>
        </w:r>
        <w:r>
          <w:rPr>
            <w:noProof/>
            <w:webHidden/>
          </w:rPr>
          <w:t>188</w:t>
        </w:r>
        <w:r w:rsidR="00BA49F6">
          <w:rPr>
            <w:noProof/>
            <w:webHidden/>
          </w:rPr>
          <w:fldChar w:fldCharType="end"/>
        </w:r>
      </w:hyperlink>
    </w:p>
    <w:p w14:paraId="76555E7D"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0" w:history="1">
        <w:r w:rsidR="00BA49F6" w:rsidRPr="00B61BBA">
          <w:rPr>
            <w:rStyle w:val="Hyperlink"/>
            <w:noProof/>
          </w:rPr>
          <w:t>Table 27. Gambling harms to the New Zealand adult population by age range and PGSI category</w:t>
        </w:r>
        <w:r w:rsidR="00BA49F6">
          <w:rPr>
            <w:noProof/>
            <w:webHidden/>
          </w:rPr>
          <w:tab/>
        </w:r>
        <w:r w:rsidR="00BA49F6">
          <w:rPr>
            <w:noProof/>
            <w:webHidden/>
          </w:rPr>
          <w:fldChar w:fldCharType="begin"/>
        </w:r>
        <w:r w:rsidR="00BA49F6">
          <w:rPr>
            <w:noProof/>
            <w:webHidden/>
          </w:rPr>
          <w:instrText xml:space="preserve"> PAGEREF _Toc462738130 \h </w:instrText>
        </w:r>
        <w:r w:rsidR="00BA49F6">
          <w:rPr>
            <w:noProof/>
            <w:webHidden/>
          </w:rPr>
        </w:r>
        <w:r w:rsidR="00BA49F6">
          <w:rPr>
            <w:noProof/>
            <w:webHidden/>
          </w:rPr>
          <w:fldChar w:fldCharType="separate"/>
        </w:r>
        <w:r>
          <w:rPr>
            <w:noProof/>
            <w:webHidden/>
          </w:rPr>
          <w:t>189</w:t>
        </w:r>
        <w:r w:rsidR="00BA49F6">
          <w:rPr>
            <w:noProof/>
            <w:webHidden/>
          </w:rPr>
          <w:fldChar w:fldCharType="end"/>
        </w:r>
      </w:hyperlink>
    </w:p>
    <w:p w14:paraId="4416DBEB"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1" w:history="1">
        <w:r w:rsidR="00BA49F6" w:rsidRPr="00B61BBA">
          <w:rPr>
            <w:rStyle w:val="Hyperlink"/>
            <w:noProof/>
          </w:rPr>
          <w:t>Table 28. Gambling-related harms to the New Zealand adult population by gender x age range and PGSI category</w:t>
        </w:r>
        <w:r w:rsidR="00BA49F6">
          <w:rPr>
            <w:noProof/>
            <w:webHidden/>
          </w:rPr>
          <w:tab/>
        </w:r>
        <w:r w:rsidR="00BA49F6">
          <w:rPr>
            <w:noProof/>
            <w:webHidden/>
          </w:rPr>
          <w:fldChar w:fldCharType="begin"/>
        </w:r>
        <w:r w:rsidR="00BA49F6">
          <w:rPr>
            <w:noProof/>
            <w:webHidden/>
          </w:rPr>
          <w:instrText xml:space="preserve"> PAGEREF _Toc462738131 \h </w:instrText>
        </w:r>
        <w:r w:rsidR="00BA49F6">
          <w:rPr>
            <w:noProof/>
            <w:webHidden/>
          </w:rPr>
        </w:r>
        <w:r w:rsidR="00BA49F6">
          <w:rPr>
            <w:noProof/>
            <w:webHidden/>
          </w:rPr>
          <w:fldChar w:fldCharType="separate"/>
        </w:r>
        <w:r>
          <w:rPr>
            <w:noProof/>
            <w:webHidden/>
          </w:rPr>
          <w:t>190</w:t>
        </w:r>
        <w:r w:rsidR="00BA49F6">
          <w:rPr>
            <w:noProof/>
            <w:webHidden/>
          </w:rPr>
          <w:fldChar w:fldCharType="end"/>
        </w:r>
      </w:hyperlink>
    </w:p>
    <w:p w14:paraId="3BFF9F9C"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2" w:history="1">
        <w:r w:rsidR="00BA49F6" w:rsidRPr="00B61BBA">
          <w:rPr>
            <w:rStyle w:val="Hyperlink"/>
            <w:noProof/>
          </w:rPr>
          <w:t>Table 29. Gambling-related harms to the New Zealand adult population by Ethnic Group (Hierarchical) and PGSI category</w:t>
        </w:r>
        <w:r w:rsidR="00BA49F6">
          <w:rPr>
            <w:noProof/>
            <w:webHidden/>
          </w:rPr>
          <w:tab/>
        </w:r>
        <w:r w:rsidR="00BA49F6">
          <w:rPr>
            <w:noProof/>
            <w:webHidden/>
          </w:rPr>
          <w:fldChar w:fldCharType="begin"/>
        </w:r>
        <w:r w:rsidR="00BA49F6">
          <w:rPr>
            <w:noProof/>
            <w:webHidden/>
          </w:rPr>
          <w:instrText xml:space="preserve"> PAGEREF _Toc462738132 \h </w:instrText>
        </w:r>
        <w:r w:rsidR="00BA49F6">
          <w:rPr>
            <w:noProof/>
            <w:webHidden/>
          </w:rPr>
        </w:r>
        <w:r w:rsidR="00BA49F6">
          <w:rPr>
            <w:noProof/>
            <w:webHidden/>
          </w:rPr>
          <w:fldChar w:fldCharType="separate"/>
        </w:r>
        <w:r>
          <w:rPr>
            <w:noProof/>
            <w:webHidden/>
          </w:rPr>
          <w:t>191</w:t>
        </w:r>
        <w:r w:rsidR="00BA49F6">
          <w:rPr>
            <w:noProof/>
            <w:webHidden/>
          </w:rPr>
          <w:fldChar w:fldCharType="end"/>
        </w:r>
      </w:hyperlink>
    </w:p>
    <w:p w14:paraId="589B0A53"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3" w:history="1">
        <w:r w:rsidR="00BA49F6" w:rsidRPr="00B61BBA">
          <w:rPr>
            <w:rStyle w:val="Hyperlink"/>
            <w:noProof/>
          </w:rPr>
          <w:t>Table 30. Gambling-related harms to the New Zealand adult population by Ethnic Group (all identified) and PGSI category</w:t>
        </w:r>
        <w:r w:rsidR="00BA49F6">
          <w:rPr>
            <w:noProof/>
            <w:webHidden/>
          </w:rPr>
          <w:tab/>
        </w:r>
        <w:r w:rsidR="00BA49F6">
          <w:rPr>
            <w:noProof/>
            <w:webHidden/>
          </w:rPr>
          <w:fldChar w:fldCharType="begin"/>
        </w:r>
        <w:r w:rsidR="00BA49F6">
          <w:rPr>
            <w:noProof/>
            <w:webHidden/>
          </w:rPr>
          <w:instrText xml:space="preserve"> PAGEREF _Toc462738133 \h </w:instrText>
        </w:r>
        <w:r w:rsidR="00BA49F6">
          <w:rPr>
            <w:noProof/>
            <w:webHidden/>
          </w:rPr>
        </w:r>
        <w:r w:rsidR="00BA49F6">
          <w:rPr>
            <w:noProof/>
            <w:webHidden/>
          </w:rPr>
          <w:fldChar w:fldCharType="separate"/>
        </w:r>
        <w:r>
          <w:rPr>
            <w:noProof/>
            <w:webHidden/>
          </w:rPr>
          <w:t>191</w:t>
        </w:r>
        <w:r w:rsidR="00BA49F6">
          <w:rPr>
            <w:noProof/>
            <w:webHidden/>
          </w:rPr>
          <w:fldChar w:fldCharType="end"/>
        </w:r>
      </w:hyperlink>
    </w:p>
    <w:p w14:paraId="4EE7E625"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4" w:history="1">
        <w:r w:rsidR="00BA49F6" w:rsidRPr="00B61BBA">
          <w:rPr>
            <w:rStyle w:val="Hyperlink"/>
            <w:noProof/>
          </w:rPr>
          <w:t>Table 31. Gambling-related harms to the New Zealand adult population by region and PGSI category</w:t>
        </w:r>
        <w:r w:rsidR="00BA49F6">
          <w:rPr>
            <w:noProof/>
            <w:webHidden/>
          </w:rPr>
          <w:tab/>
        </w:r>
        <w:r w:rsidR="00BA49F6">
          <w:rPr>
            <w:noProof/>
            <w:webHidden/>
          </w:rPr>
          <w:fldChar w:fldCharType="begin"/>
        </w:r>
        <w:r w:rsidR="00BA49F6">
          <w:rPr>
            <w:noProof/>
            <w:webHidden/>
          </w:rPr>
          <w:instrText xml:space="preserve"> PAGEREF _Toc462738134 \h </w:instrText>
        </w:r>
        <w:r w:rsidR="00BA49F6">
          <w:rPr>
            <w:noProof/>
            <w:webHidden/>
          </w:rPr>
        </w:r>
        <w:r w:rsidR="00BA49F6">
          <w:rPr>
            <w:noProof/>
            <w:webHidden/>
          </w:rPr>
          <w:fldChar w:fldCharType="separate"/>
        </w:r>
        <w:r>
          <w:rPr>
            <w:noProof/>
            <w:webHidden/>
          </w:rPr>
          <w:t>192</w:t>
        </w:r>
        <w:r w:rsidR="00BA49F6">
          <w:rPr>
            <w:noProof/>
            <w:webHidden/>
          </w:rPr>
          <w:fldChar w:fldCharType="end"/>
        </w:r>
      </w:hyperlink>
    </w:p>
    <w:p w14:paraId="31750B09"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5" w:history="1">
        <w:r w:rsidR="00BA49F6" w:rsidRPr="00B61BBA">
          <w:rPr>
            <w:rStyle w:val="Hyperlink"/>
            <w:noProof/>
          </w:rPr>
          <w:t>Table 32. Gambling-related harms to the New Zealand adult population by employment status and PGSI category</w:t>
        </w:r>
        <w:r w:rsidR="00BA49F6">
          <w:rPr>
            <w:noProof/>
            <w:webHidden/>
          </w:rPr>
          <w:tab/>
        </w:r>
        <w:r w:rsidR="00BA49F6">
          <w:rPr>
            <w:noProof/>
            <w:webHidden/>
          </w:rPr>
          <w:fldChar w:fldCharType="begin"/>
        </w:r>
        <w:r w:rsidR="00BA49F6">
          <w:rPr>
            <w:noProof/>
            <w:webHidden/>
          </w:rPr>
          <w:instrText xml:space="preserve"> PAGEREF _Toc462738135 \h </w:instrText>
        </w:r>
        <w:r w:rsidR="00BA49F6">
          <w:rPr>
            <w:noProof/>
            <w:webHidden/>
          </w:rPr>
        </w:r>
        <w:r w:rsidR="00BA49F6">
          <w:rPr>
            <w:noProof/>
            <w:webHidden/>
          </w:rPr>
          <w:fldChar w:fldCharType="separate"/>
        </w:r>
        <w:r>
          <w:rPr>
            <w:noProof/>
            <w:webHidden/>
          </w:rPr>
          <w:t>193</w:t>
        </w:r>
        <w:r w:rsidR="00BA49F6">
          <w:rPr>
            <w:noProof/>
            <w:webHidden/>
          </w:rPr>
          <w:fldChar w:fldCharType="end"/>
        </w:r>
      </w:hyperlink>
    </w:p>
    <w:p w14:paraId="723519D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6" w:history="1">
        <w:r w:rsidR="00BA49F6" w:rsidRPr="00B61BBA">
          <w:rPr>
            <w:rStyle w:val="Hyperlink"/>
            <w:noProof/>
          </w:rPr>
          <w:t>Table 33. Gambling-related harms to the New Zealand adult population by personal income and PGSI category</w:t>
        </w:r>
        <w:r w:rsidR="00BA49F6">
          <w:rPr>
            <w:noProof/>
            <w:webHidden/>
          </w:rPr>
          <w:tab/>
        </w:r>
        <w:r w:rsidR="00BA49F6">
          <w:rPr>
            <w:noProof/>
            <w:webHidden/>
          </w:rPr>
          <w:fldChar w:fldCharType="begin"/>
        </w:r>
        <w:r w:rsidR="00BA49F6">
          <w:rPr>
            <w:noProof/>
            <w:webHidden/>
          </w:rPr>
          <w:instrText xml:space="preserve"> PAGEREF _Toc462738136 \h </w:instrText>
        </w:r>
        <w:r w:rsidR="00BA49F6">
          <w:rPr>
            <w:noProof/>
            <w:webHidden/>
          </w:rPr>
        </w:r>
        <w:r w:rsidR="00BA49F6">
          <w:rPr>
            <w:noProof/>
            <w:webHidden/>
          </w:rPr>
          <w:fldChar w:fldCharType="separate"/>
        </w:r>
        <w:r>
          <w:rPr>
            <w:noProof/>
            <w:webHidden/>
          </w:rPr>
          <w:t>193</w:t>
        </w:r>
        <w:r w:rsidR="00BA49F6">
          <w:rPr>
            <w:noProof/>
            <w:webHidden/>
          </w:rPr>
          <w:fldChar w:fldCharType="end"/>
        </w:r>
      </w:hyperlink>
    </w:p>
    <w:p w14:paraId="7A2CD7BE"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7" w:history="1">
        <w:r w:rsidR="00BA49F6" w:rsidRPr="00B61BBA">
          <w:rPr>
            <w:rStyle w:val="Hyperlink"/>
            <w:noProof/>
          </w:rPr>
          <w:t>Table 34. Gambling-related harms to the New Zealand adult population by Country of Birth and PGSI category</w:t>
        </w:r>
        <w:r w:rsidR="00BA49F6">
          <w:rPr>
            <w:noProof/>
            <w:webHidden/>
          </w:rPr>
          <w:tab/>
        </w:r>
        <w:r w:rsidR="00BA49F6">
          <w:rPr>
            <w:noProof/>
            <w:webHidden/>
          </w:rPr>
          <w:fldChar w:fldCharType="begin"/>
        </w:r>
        <w:r w:rsidR="00BA49F6">
          <w:rPr>
            <w:noProof/>
            <w:webHidden/>
          </w:rPr>
          <w:instrText xml:space="preserve"> PAGEREF _Toc462738137 \h </w:instrText>
        </w:r>
        <w:r w:rsidR="00BA49F6">
          <w:rPr>
            <w:noProof/>
            <w:webHidden/>
          </w:rPr>
        </w:r>
        <w:r w:rsidR="00BA49F6">
          <w:rPr>
            <w:noProof/>
            <w:webHidden/>
          </w:rPr>
          <w:fldChar w:fldCharType="separate"/>
        </w:r>
        <w:r>
          <w:rPr>
            <w:noProof/>
            <w:webHidden/>
          </w:rPr>
          <w:t>194</w:t>
        </w:r>
        <w:r w:rsidR="00BA49F6">
          <w:rPr>
            <w:noProof/>
            <w:webHidden/>
          </w:rPr>
          <w:fldChar w:fldCharType="end"/>
        </w:r>
      </w:hyperlink>
    </w:p>
    <w:p w14:paraId="255D8C6F"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8" w:history="1">
        <w:r w:rsidR="00BA49F6" w:rsidRPr="00B61BBA">
          <w:rPr>
            <w:rStyle w:val="Hyperlink"/>
            <w:noProof/>
          </w:rPr>
          <w:t>Table 35. Gambling-related harms to the New Zealand adult population by Year Arrived in NZ and PGSI category</w:t>
        </w:r>
        <w:r w:rsidR="00BA49F6">
          <w:rPr>
            <w:noProof/>
            <w:webHidden/>
          </w:rPr>
          <w:tab/>
        </w:r>
        <w:r w:rsidR="00BA49F6">
          <w:rPr>
            <w:noProof/>
            <w:webHidden/>
          </w:rPr>
          <w:fldChar w:fldCharType="begin"/>
        </w:r>
        <w:r w:rsidR="00BA49F6">
          <w:rPr>
            <w:noProof/>
            <w:webHidden/>
          </w:rPr>
          <w:instrText xml:space="preserve"> PAGEREF _Toc462738138 \h </w:instrText>
        </w:r>
        <w:r w:rsidR="00BA49F6">
          <w:rPr>
            <w:noProof/>
            <w:webHidden/>
          </w:rPr>
        </w:r>
        <w:r w:rsidR="00BA49F6">
          <w:rPr>
            <w:noProof/>
            <w:webHidden/>
          </w:rPr>
          <w:fldChar w:fldCharType="separate"/>
        </w:r>
        <w:r>
          <w:rPr>
            <w:noProof/>
            <w:webHidden/>
          </w:rPr>
          <w:t>194</w:t>
        </w:r>
        <w:r w:rsidR="00BA49F6">
          <w:rPr>
            <w:noProof/>
            <w:webHidden/>
          </w:rPr>
          <w:fldChar w:fldCharType="end"/>
        </w:r>
      </w:hyperlink>
    </w:p>
    <w:p w14:paraId="10E15445"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39" w:history="1">
        <w:r w:rsidR="00BA49F6" w:rsidRPr="00B61BBA">
          <w:rPr>
            <w:rStyle w:val="Hyperlink"/>
            <w:noProof/>
          </w:rPr>
          <w:t>Table 36. Gambling-related harms to the New Zealand adult population by first language spoken and PGSI category</w:t>
        </w:r>
        <w:r w:rsidR="00BA49F6">
          <w:rPr>
            <w:noProof/>
            <w:webHidden/>
          </w:rPr>
          <w:tab/>
        </w:r>
        <w:r w:rsidR="00BA49F6">
          <w:rPr>
            <w:noProof/>
            <w:webHidden/>
          </w:rPr>
          <w:fldChar w:fldCharType="begin"/>
        </w:r>
        <w:r w:rsidR="00BA49F6">
          <w:rPr>
            <w:noProof/>
            <w:webHidden/>
          </w:rPr>
          <w:instrText xml:space="preserve"> PAGEREF _Toc462738139 \h </w:instrText>
        </w:r>
        <w:r w:rsidR="00BA49F6">
          <w:rPr>
            <w:noProof/>
            <w:webHidden/>
          </w:rPr>
        </w:r>
        <w:r w:rsidR="00BA49F6">
          <w:rPr>
            <w:noProof/>
            <w:webHidden/>
          </w:rPr>
          <w:fldChar w:fldCharType="separate"/>
        </w:r>
        <w:r>
          <w:rPr>
            <w:noProof/>
            <w:webHidden/>
          </w:rPr>
          <w:t>194</w:t>
        </w:r>
        <w:r w:rsidR="00BA49F6">
          <w:rPr>
            <w:noProof/>
            <w:webHidden/>
          </w:rPr>
          <w:fldChar w:fldCharType="end"/>
        </w:r>
      </w:hyperlink>
    </w:p>
    <w:p w14:paraId="3CDDB896" w14:textId="77777777" w:rsidR="00370D70" w:rsidRPr="00370D70" w:rsidRDefault="00370D70" w:rsidP="00370D70">
      <w:pPr>
        <w:pStyle w:val="VRGFBodycontent"/>
      </w:pPr>
      <w:r>
        <w:fldChar w:fldCharType="end"/>
      </w:r>
    </w:p>
    <w:p w14:paraId="29FD1FDD" w14:textId="6EBC29AA" w:rsidR="00CC3994" w:rsidRDefault="00CC3994" w:rsidP="00CC3994">
      <w:pPr>
        <w:pStyle w:val="VRGFHead1"/>
      </w:pPr>
      <w:bookmarkStart w:id="9" w:name="_Toc462737976"/>
      <w:r>
        <w:lastRenderedPageBreak/>
        <w:t>List of appendices</w:t>
      </w:r>
      <w:bookmarkEnd w:id="9"/>
    </w:p>
    <w:p w14:paraId="56B6EB0F" w14:textId="77777777" w:rsidR="00BA49F6" w:rsidRDefault="00370D70">
      <w:pPr>
        <w:pStyle w:val="TableofFigures"/>
        <w:tabs>
          <w:tab w:val="right" w:leader="dot" w:pos="9016"/>
        </w:tabs>
        <w:rPr>
          <w:rFonts w:asciiTheme="minorHAnsi" w:eastAsiaTheme="minorEastAsia" w:hAnsiTheme="minorHAnsi" w:cstheme="minorBidi"/>
          <w:noProof/>
          <w:sz w:val="22"/>
          <w:szCs w:val="22"/>
          <w:lang w:eastAsia="ja-JP"/>
        </w:rPr>
      </w:pPr>
      <w:r>
        <w:fldChar w:fldCharType="begin"/>
      </w:r>
      <w:r>
        <w:instrText xml:space="preserve"> TOC \h \z \c "Appendix" </w:instrText>
      </w:r>
      <w:r>
        <w:fldChar w:fldCharType="separate"/>
      </w:r>
      <w:hyperlink w:anchor="_Toc462738140" w:history="1">
        <w:r w:rsidR="00BA49F6" w:rsidRPr="00924459">
          <w:rPr>
            <w:rStyle w:val="Hyperlink"/>
            <w:noProof/>
          </w:rPr>
          <w:t>Appendix 1. Semi-structured interview guide (Stage 1 expert consultations)</w:t>
        </w:r>
        <w:r w:rsidR="00BA49F6">
          <w:rPr>
            <w:noProof/>
            <w:webHidden/>
          </w:rPr>
          <w:tab/>
        </w:r>
        <w:r w:rsidR="00BA49F6">
          <w:rPr>
            <w:noProof/>
            <w:webHidden/>
          </w:rPr>
          <w:fldChar w:fldCharType="begin"/>
        </w:r>
        <w:r w:rsidR="00BA49F6">
          <w:rPr>
            <w:noProof/>
            <w:webHidden/>
          </w:rPr>
          <w:instrText xml:space="preserve"> PAGEREF _Toc462738140 \h </w:instrText>
        </w:r>
        <w:r w:rsidR="00BA49F6">
          <w:rPr>
            <w:noProof/>
            <w:webHidden/>
          </w:rPr>
        </w:r>
        <w:r w:rsidR="00BA49F6">
          <w:rPr>
            <w:noProof/>
            <w:webHidden/>
          </w:rPr>
          <w:fldChar w:fldCharType="separate"/>
        </w:r>
        <w:r w:rsidR="0006479A">
          <w:rPr>
            <w:noProof/>
            <w:webHidden/>
          </w:rPr>
          <w:t>228</w:t>
        </w:r>
        <w:r w:rsidR="00BA49F6">
          <w:rPr>
            <w:noProof/>
            <w:webHidden/>
          </w:rPr>
          <w:fldChar w:fldCharType="end"/>
        </w:r>
      </w:hyperlink>
    </w:p>
    <w:p w14:paraId="426476A4"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41" w:history="1">
        <w:r w:rsidR="00BA49F6" w:rsidRPr="00924459">
          <w:rPr>
            <w:rStyle w:val="Hyperlink"/>
            <w:noProof/>
          </w:rPr>
          <w:t>Appendix 2. Semi-structured interview guide (Stage 2 focus group / individual interviews)</w:t>
        </w:r>
        <w:r w:rsidR="00BA49F6">
          <w:rPr>
            <w:noProof/>
            <w:webHidden/>
          </w:rPr>
          <w:tab/>
        </w:r>
        <w:r w:rsidR="00BA49F6">
          <w:rPr>
            <w:noProof/>
            <w:webHidden/>
          </w:rPr>
          <w:fldChar w:fldCharType="begin"/>
        </w:r>
        <w:r w:rsidR="00BA49F6">
          <w:rPr>
            <w:noProof/>
            <w:webHidden/>
          </w:rPr>
          <w:instrText xml:space="preserve"> PAGEREF _Toc462738141 \h </w:instrText>
        </w:r>
        <w:r w:rsidR="00BA49F6">
          <w:rPr>
            <w:noProof/>
            <w:webHidden/>
          </w:rPr>
        </w:r>
        <w:r w:rsidR="00BA49F6">
          <w:rPr>
            <w:noProof/>
            <w:webHidden/>
          </w:rPr>
          <w:fldChar w:fldCharType="separate"/>
        </w:r>
        <w:r>
          <w:rPr>
            <w:noProof/>
            <w:webHidden/>
          </w:rPr>
          <w:t>229</w:t>
        </w:r>
        <w:r w:rsidR="00BA49F6">
          <w:rPr>
            <w:noProof/>
            <w:webHidden/>
          </w:rPr>
          <w:fldChar w:fldCharType="end"/>
        </w:r>
      </w:hyperlink>
    </w:p>
    <w:p w14:paraId="23284367"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42" w:history="1">
        <w:r w:rsidR="00BA49F6" w:rsidRPr="00924459">
          <w:rPr>
            <w:rStyle w:val="Hyperlink"/>
            <w:noProof/>
          </w:rPr>
          <w:t>Appendix 3. Recruitment advertisements (community newspaper)</w:t>
        </w:r>
        <w:r w:rsidR="00BA49F6">
          <w:rPr>
            <w:noProof/>
            <w:webHidden/>
          </w:rPr>
          <w:tab/>
        </w:r>
        <w:r w:rsidR="00BA49F6">
          <w:rPr>
            <w:noProof/>
            <w:webHidden/>
          </w:rPr>
          <w:fldChar w:fldCharType="begin"/>
        </w:r>
        <w:r w:rsidR="00BA49F6">
          <w:rPr>
            <w:noProof/>
            <w:webHidden/>
          </w:rPr>
          <w:instrText xml:space="preserve"> PAGEREF _Toc462738142 \h </w:instrText>
        </w:r>
        <w:r w:rsidR="00BA49F6">
          <w:rPr>
            <w:noProof/>
            <w:webHidden/>
          </w:rPr>
        </w:r>
        <w:r w:rsidR="00BA49F6">
          <w:rPr>
            <w:noProof/>
            <w:webHidden/>
          </w:rPr>
          <w:fldChar w:fldCharType="separate"/>
        </w:r>
        <w:r>
          <w:rPr>
            <w:noProof/>
            <w:webHidden/>
          </w:rPr>
          <w:t>231</w:t>
        </w:r>
        <w:r w:rsidR="00BA49F6">
          <w:rPr>
            <w:noProof/>
            <w:webHidden/>
          </w:rPr>
          <w:fldChar w:fldCharType="end"/>
        </w:r>
      </w:hyperlink>
    </w:p>
    <w:p w14:paraId="5AAE8761"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43" w:history="1">
        <w:r w:rsidR="00BA49F6" w:rsidRPr="00924459">
          <w:rPr>
            <w:rStyle w:val="Hyperlink"/>
            <w:noProof/>
          </w:rPr>
          <w:t>Appendix 4. A4 sized recruitment posters (general population)</w:t>
        </w:r>
        <w:r w:rsidR="00BA49F6">
          <w:rPr>
            <w:noProof/>
            <w:webHidden/>
          </w:rPr>
          <w:tab/>
        </w:r>
        <w:r w:rsidR="00BA49F6">
          <w:rPr>
            <w:noProof/>
            <w:webHidden/>
          </w:rPr>
          <w:fldChar w:fldCharType="begin"/>
        </w:r>
        <w:r w:rsidR="00BA49F6">
          <w:rPr>
            <w:noProof/>
            <w:webHidden/>
          </w:rPr>
          <w:instrText xml:space="preserve"> PAGEREF _Toc462738143 \h </w:instrText>
        </w:r>
        <w:r w:rsidR="00BA49F6">
          <w:rPr>
            <w:noProof/>
            <w:webHidden/>
          </w:rPr>
        </w:r>
        <w:r w:rsidR="00BA49F6">
          <w:rPr>
            <w:noProof/>
            <w:webHidden/>
          </w:rPr>
          <w:fldChar w:fldCharType="separate"/>
        </w:r>
        <w:r>
          <w:rPr>
            <w:noProof/>
            <w:webHidden/>
          </w:rPr>
          <w:t>232</w:t>
        </w:r>
        <w:r w:rsidR="00BA49F6">
          <w:rPr>
            <w:noProof/>
            <w:webHidden/>
          </w:rPr>
          <w:fldChar w:fldCharType="end"/>
        </w:r>
      </w:hyperlink>
    </w:p>
    <w:p w14:paraId="748C8095"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44" w:history="1">
        <w:r w:rsidR="00BA49F6" w:rsidRPr="00924459">
          <w:rPr>
            <w:rStyle w:val="Hyperlink"/>
            <w:noProof/>
          </w:rPr>
          <w:t>Appendix 5. Advertisements using supermarket customer cards</w:t>
        </w:r>
        <w:r w:rsidR="00BA49F6">
          <w:rPr>
            <w:noProof/>
            <w:webHidden/>
          </w:rPr>
          <w:tab/>
        </w:r>
        <w:r w:rsidR="00BA49F6">
          <w:rPr>
            <w:noProof/>
            <w:webHidden/>
          </w:rPr>
          <w:fldChar w:fldCharType="begin"/>
        </w:r>
        <w:r w:rsidR="00BA49F6">
          <w:rPr>
            <w:noProof/>
            <w:webHidden/>
          </w:rPr>
          <w:instrText xml:space="preserve"> PAGEREF _Toc462738144 \h </w:instrText>
        </w:r>
        <w:r w:rsidR="00BA49F6">
          <w:rPr>
            <w:noProof/>
            <w:webHidden/>
          </w:rPr>
        </w:r>
        <w:r w:rsidR="00BA49F6">
          <w:rPr>
            <w:noProof/>
            <w:webHidden/>
          </w:rPr>
          <w:fldChar w:fldCharType="separate"/>
        </w:r>
        <w:r>
          <w:rPr>
            <w:noProof/>
            <w:webHidden/>
          </w:rPr>
          <w:t>233</w:t>
        </w:r>
        <w:r w:rsidR="00BA49F6">
          <w:rPr>
            <w:noProof/>
            <w:webHidden/>
          </w:rPr>
          <w:fldChar w:fldCharType="end"/>
        </w:r>
      </w:hyperlink>
    </w:p>
    <w:p w14:paraId="4D2DC6FE"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45" w:history="1">
        <w:r w:rsidR="00BA49F6" w:rsidRPr="00924459">
          <w:rPr>
            <w:rStyle w:val="Hyperlink"/>
            <w:noProof/>
          </w:rPr>
          <w:t>Appendix 6. A4 sized recruitment posters (Māori participants)</w:t>
        </w:r>
        <w:r w:rsidR="00BA49F6">
          <w:rPr>
            <w:noProof/>
            <w:webHidden/>
          </w:rPr>
          <w:tab/>
        </w:r>
        <w:r w:rsidR="00BA49F6">
          <w:rPr>
            <w:noProof/>
            <w:webHidden/>
          </w:rPr>
          <w:fldChar w:fldCharType="begin"/>
        </w:r>
        <w:r w:rsidR="00BA49F6">
          <w:rPr>
            <w:noProof/>
            <w:webHidden/>
          </w:rPr>
          <w:instrText xml:space="preserve"> PAGEREF _Toc462738145 \h </w:instrText>
        </w:r>
        <w:r w:rsidR="00BA49F6">
          <w:rPr>
            <w:noProof/>
            <w:webHidden/>
          </w:rPr>
        </w:r>
        <w:r w:rsidR="00BA49F6">
          <w:rPr>
            <w:noProof/>
            <w:webHidden/>
          </w:rPr>
          <w:fldChar w:fldCharType="separate"/>
        </w:r>
        <w:r>
          <w:rPr>
            <w:noProof/>
            <w:webHidden/>
          </w:rPr>
          <w:t>234</w:t>
        </w:r>
        <w:r w:rsidR="00BA49F6">
          <w:rPr>
            <w:noProof/>
            <w:webHidden/>
          </w:rPr>
          <w:fldChar w:fldCharType="end"/>
        </w:r>
      </w:hyperlink>
    </w:p>
    <w:p w14:paraId="7037E9A5"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46" w:history="1">
        <w:r w:rsidR="00BA49F6" w:rsidRPr="00924459">
          <w:rPr>
            <w:rStyle w:val="Hyperlink"/>
            <w:noProof/>
          </w:rPr>
          <w:t>Appendix 7. Abbreviated and full item labels for potential harms arising from gambling</w:t>
        </w:r>
        <w:r w:rsidR="00BA49F6">
          <w:rPr>
            <w:noProof/>
            <w:webHidden/>
          </w:rPr>
          <w:tab/>
        </w:r>
        <w:r w:rsidR="00BA49F6">
          <w:rPr>
            <w:noProof/>
            <w:webHidden/>
          </w:rPr>
          <w:fldChar w:fldCharType="begin"/>
        </w:r>
        <w:r w:rsidR="00BA49F6">
          <w:rPr>
            <w:noProof/>
            <w:webHidden/>
          </w:rPr>
          <w:instrText xml:space="preserve"> PAGEREF _Toc462738146 \h </w:instrText>
        </w:r>
        <w:r w:rsidR="00BA49F6">
          <w:rPr>
            <w:noProof/>
            <w:webHidden/>
          </w:rPr>
        </w:r>
        <w:r w:rsidR="00BA49F6">
          <w:rPr>
            <w:noProof/>
            <w:webHidden/>
          </w:rPr>
          <w:fldChar w:fldCharType="separate"/>
        </w:r>
        <w:r>
          <w:rPr>
            <w:noProof/>
            <w:webHidden/>
          </w:rPr>
          <w:t>235</w:t>
        </w:r>
        <w:r w:rsidR="00BA49F6">
          <w:rPr>
            <w:noProof/>
            <w:webHidden/>
          </w:rPr>
          <w:fldChar w:fldCharType="end"/>
        </w:r>
      </w:hyperlink>
    </w:p>
    <w:p w14:paraId="2C0B43F2"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47" w:history="1">
        <w:r w:rsidR="00BA49F6" w:rsidRPr="00924459">
          <w:rPr>
            <w:rStyle w:val="Hyperlink"/>
            <w:noProof/>
          </w:rPr>
          <w:t>Appendix 8. Vignette clause assignment</w:t>
        </w:r>
        <w:r w:rsidR="00BA49F6">
          <w:rPr>
            <w:noProof/>
            <w:webHidden/>
          </w:rPr>
          <w:tab/>
        </w:r>
        <w:r w:rsidR="00BA49F6">
          <w:rPr>
            <w:noProof/>
            <w:webHidden/>
          </w:rPr>
          <w:fldChar w:fldCharType="begin"/>
        </w:r>
        <w:r w:rsidR="00BA49F6">
          <w:rPr>
            <w:noProof/>
            <w:webHidden/>
          </w:rPr>
          <w:instrText xml:space="preserve"> PAGEREF _Toc462738147 \h </w:instrText>
        </w:r>
        <w:r w:rsidR="00BA49F6">
          <w:rPr>
            <w:noProof/>
            <w:webHidden/>
          </w:rPr>
        </w:r>
        <w:r w:rsidR="00BA49F6">
          <w:rPr>
            <w:noProof/>
            <w:webHidden/>
          </w:rPr>
          <w:fldChar w:fldCharType="separate"/>
        </w:r>
        <w:r>
          <w:rPr>
            <w:noProof/>
            <w:webHidden/>
          </w:rPr>
          <w:t>238</w:t>
        </w:r>
        <w:r w:rsidR="00BA49F6">
          <w:rPr>
            <w:noProof/>
            <w:webHidden/>
          </w:rPr>
          <w:fldChar w:fldCharType="end"/>
        </w:r>
      </w:hyperlink>
    </w:p>
    <w:p w14:paraId="473A6F0F"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48" w:history="1">
        <w:r w:rsidR="00BA49F6" w:rsidRPr="00924459">
          <w:rPr>
            <w:rStyle w:val="Hyperlink"/>
            <w:noProof/>
          </w:rPr>
          <w:t>Appendix 9. Sentence descriptors</w:t>
        </w:r>
        <w:r w:rsidR="00BA49F6">
          <w:rPr>
            <w:noProof/>
            <w:webHidden/>
          </w:rPr>
          <w:tab/>
        </w:r>
        <w:r w:rsidR="00BA49F6">
          <w:rPr>
            <w:noProof/>
            <w:webHidden/>
          </w:rPr>
          <w:fldChar w:fldCharType="begin"/>
        </w:r>
        <w:r w:rsidR="00BA49F6">
          <w:rPr>
            <w:noProof/>
            <w:webHidden/>
          </w:rPr>
          <w:instrText xml:space="preserve"> PAGEREF _Toc462738148 \h </w:instrText>
        </w:r>
        <w:r w:rsidR="00BA49F6">
          <w:rPr>
            <w:noProof/>
            <w:webHidden/>
          </w:rPr>
        </w:r>
        <w:r w:rsidR="00BA49F6">
          <w:rPr>
            <w:noProof/>
            <w:webHidden/>
          </w:rPr>
          <w:fldChar w:fldCharType="separate"/>
        </w:r>
        <w:r>
          <w:rPr>
            <w:noProof/>
            <w:webHidden/>
          </w:rPr>
          <w:t>242</w:t>
        </w:r>
        <w:r w:rsidR="00BA49F6">
          <w:rPr>
            <w:noProof/>
            <w:webHidden/>
          </w:rPr>
          <w:fldChar w:fldCharType="end"/>
        </w:r>
      </w:hyperlink>
    </w:p>
    <w:p w14:paraId="27C36B9E"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49" w:history="1">
        <w:r w:rsidR="00BA49F6" w:rsidRPr="00924459">
          <w:rPr>
            <w:rStyle w:val="Hyperlink"/>
            <w:noProof/>
          </w:rPr>
          <w:t>Appendix 10. Comparison conditions displayed on the visual analogue scale</w:t>
        </w:r>
        <w:r w:rsidR="00BA49F6">
          <w:rPr>
            <w:noProof/>
            <w:webHidden/>
          </w:rPr>
          <w:tab/>
        </w:r>
        <w:r w:rsidR="00BA49F6">
          <w:rPr>
            <w:noProof/>
            <w:webHidden/>
          </w:rPr>
          <w:fldChar w:fldCharType="begin"/>
        </w:r>
        <w:r w:rsidR="00BA49F6">
          <w:rPr>
            <w:noProof/>
            <w:webHidden/>
          </w:rPr>
          <w:instrText xml:space="preserve"> PAGEREF _Toc462738149 \h </w:instrText>
        </w:r>
        <w:r w:rsidR="00BA49F6">
          <w:rPr>
            <w:noProof/>
            <w:webHidden/>
          </w:rPr>
        </w:r>
        <w:r w:rsidR="00BA49F6">
          <w:rPr>
            <w:noProof/>
            <w:webHidden/>
          </w:rPr>
          <w:fldChar w:fldCharType="separate"/>
        </w:r>
        <w:r>
          <w:rPr>
            <w:noProof/>
            <w:webHidden/>
          </w:rPr>
          <w:t>243</w:t>
        </w:r>
        <w:r w:rsidR="00BA49F6">
          <w:rPr>
            <w:noProof/>
            <w:webHidden/>
          </w:rPr>
          <w:fldChar w:fldCharType="end"/>
        </w:r>
      </w:hyperlink>
    </w:p>
    <w:p w14:paraId="0F0445B9" w14:textId="77777777" w:rsidR="00BA49F6" w:rsidRDefault="0006479A">
      <w:pPr>
        <w:pStyle w:val="TableofFigures"/>
        <w:tabs>
          <w:tab w:val="right" w:leader="dot" w:pos="9016"/>
        </w:tabs>
        <w:rPr>
          <w:rFonts w:asciiTheme="minorHAnsi" w:eastAsiaTheme="minorEastAsia" w:hAnsiTheme="minorHAnsi" w:cstheme="minorBidi"/>
          <w:noProof/>
          <w:sz w:val="22"/>
          <w:szCs w:val="22"/>
          <w:lang w:eastAsia="ja-JP"/>
        </w:rPr>
      </w:pPr>
      <w:hyperlink w:anchor="_Toc462738150" w:history="1">
        <w:r w:rsidR="00BA49F6" w:rsidRPr="00924459">
          <w:rPr>
            <w:rStyle w:val="Hyperlink"/>
            <w:noProof/>
          </w:rPr>
          <w:t>Appendix 11. Figures and sources for harm and years of life lost to disability for the New Zealand adult population</w:t>
        </w:r>
        <w:r w:rsidR="00BA49F6">
          <w:rPr>
            <w:noProof/>
            <w:webHidden/>
          </w:rPr>
          <w:tab/>
        </w:r>
        <w:r w:rsidR="00BA49F6">
          <w:rPr>
            <w:noProof/>
            <w:webHidden/>
          </w:rPr>
          <w:fldChar w:fldCharType="begin"/>
        </w:r>
        <w:r w:rsidR="00BA49F6">
          <w:rPr>
            <w:noProof/>
            <w:webHidden/>
          </w:rPr>
          <w:instrText xml:space="preserve"> PAGEREF _Toc462738150 \h </w:instrText>
        </w:r>
        <w:r w:rsidR="00BA49F6">
          <w:rPr>
            <w:noProof/>
            <w:webHidden/>
          </w:rPr>
        </w:r>
        <w:r w:rsidR="00BA49F6">
          <w:rPr>
            <w:noProof/>
            <w:webHidden/>
          </w:rPr>
          <w:fldChar w:fldCharType="separate"/>
        </w:r>
        <w:r>
          <w:rPr>
            <w:noProof/>
            <w:webHidden/>
          </w:rPr>
          <w:t>245</w:t>
        </w:r>
        <w:r w:rsidR="00BA49F6">
          <w:rPr>
            <w:noProof/>
            <w:webHidden/>
          </w:rPr>
          <w:fldChar w:fldCharType="end"/>
        </w:r>
      </w:hyperlink>
    </w:p>
    <w:p w14:paraId="4BB3A055" w14:textId="77777777" w:rsidR="00370D70" w:rsidRPr="00370D70" w:rsidRDefault="00370D70" w:rsidP="00370D70">
      <w:pPr>
        <w:pStyle w:val="VRGFBodycontent"/>
      </w:pPr>
      <w:r>
        <w:fldChar w:fldCharType="end"/>
      </w:r>
    </w:p>
    <w:p w14:paraId="48F943DA" w14:textId="0E7EFA60" w:rsidR="00A17406" w:rsidRDefault="00A17406" w:rsidP="00CC3994">
      <w:pPr>
        <w:pStyle w:val="VRGFBodycontent"/>
      </w:pPr>
    </w:p>
    <w:p w14:paraId="385800EB" w14:textId="23280FFA" w:rsidR="00CC3994" w:rsidRPr="00A17406" w:rsidRDefault="00A17406" w:rsidP="00A17406">
      <w:pPr>
        <w:tabs>
          <w:tab w:val="left" w:pos="5925"/>
        </w:tabs>
      </w:pPr>
      <w:r>
        <w:tab/>
      </w:r>
    </w:p>
    <w:p w14:paraId="3C998340" w14:textId="1DACD8BD" w:rsidR="000C0777" w:rsidRDefault="000C0777" w:rsidP="00CC3994">
      <w:pPr>
        <w:pStyle w:val="VRGFHead1"/>
      </w:pPr>
      <w:bookmarkStart w:id="10" w:name="_Toc462737977"/>
      <w:r>
        <w:lastRenderedPageBreak/>
        <w:t>Executive Summary</w:t>
      </w:r>
      <w:bookmarkEnd w:id="10"/>
    </w:p>
    <w:p w14:paraId="66D6DF85" w14:textId="40234D66" w:rsidR="001546A4" w:rsidRPr="001546A4" w:rsidRDefault="00AE56FA" w:rsidP="001546A4">
      <w:pPr>
        <w:pStyle w:val="VRGFHead2"/>
      </w:pPr>
      <w:bookmarkStart w:id="11" w:name="_Toc440900224"/>
      <w:bookmarkStart w:id="12" w:name="_Toc462737978"/>
      <w:r>
        <w:t>Project o</w:t>
      </w:r>
      <w:r w:rsidR="001546A4" w:rsidRPr="001546A4">
        <w:t>verview</w:t>
      </w:r>
      <w:bookmarkEnd w:id="11"/>
      <w:bookmarkEnd w:id="12"/>
    </w:p>
    <w:p w14:paraId="5C49D9C4" w14:textId="0F136926" w:rsidR="001546A4" w:rsidRPr="00E3060C" w:rsidRDefault="001546A4" w:rsidP="001546A4">
      <w:pPr>
        <w:pStyle w:val="VRGFBodycontent"/>
      </w:pPr>
      <w:r w:rsidRPr="001546A4">
        <w:t>The New Zealand Ministry of Health engaged</w:t>
      </w:r>
      <w:r w:rsidR="004B45AC">
        <w:t xml:space="preserve"> Central Queensland University’s (CQU)</w:t>
      </w:r>
      <w:r w:rsidRPr="001546A4">
        <w:t xml:space="preserve"> Experimental Gambling Research Laboratory and </w:t>
      </w:r>
      <w:r w:rsidR="00856031">
        <w:t>Auckland University of Technology’s (</w:t>
      </w:r>
      <w:r w:rsidRPr="001546A4">
        <w:t>AUT</w:t>
      </w:r>
      <w:r w:rsidR="00856031">
        <w:t>)</w:t>
      </w:r>
      <w:r w:rsidRPr="001546A4">
        <w:t xml:space="preserve"> Gambling and Addictions Research Centre to develop a framework and a methodology for understanding and measuring </w:t>
      </w:r>
      <w:r w:rsidR="002A2602" w:rsidRPr="00E3060C">
        <w:t>gambling-related</w:t>
      </w:r>
      <w:r w:rsidRPr="00E3060C">
        <w:t xml:space="preserve"> harm in the New Zealand population. The aim of the project was to systematically investigate </w:t>
      </w:r>
      <w:r w:rsidR="002A2602" w:rsidRPr="00E3060C">
        <w:t>gambling-related</w:t>
      </w:r>
      <w:r w:rsidRPr="00E3060C">
        <w:t xml:space="preserve"> harm in New Zealand, and assess the aggregate ‘Burden of Harm’ caused by gambling with reference to different levels of problem gambling, and other comparable conditions.</w:t>
      </w:r>
      <w:r w:rsidR="008610D3" w:rsidRPr="00E3060C">
        <w:t xml:space="preserve"> </w:t>
      </w:r>
      <w:r w:rsidRPr="00E3060C">
        <w:t xml:space="preserve">This improved understanding of the quality and quantity of harm will help to better target efforts to prevent or reduce the potential negative consequences of problematic gambling. </w:t>
      </w:r>
    </w:p>
    <w:p w14:paraId="183415FD" w14:textId="7D5B485A" w:rsidR="001546A4" w:rsidRPr="001546A4" w:rsidRDefault="001546A4" w:rsidP="001546A4">
      <w:pPr>
        <w:pStyle w:val="VRGFBodycontent"/>
      </w:pPr>
      <w:r w:rsidRPr="00E3060C">
        <w:t xml:space="preserve">The project was designed to accomplish these goals by adopting a public health perspective towards gambling; most notably in adopting </w:t>
      </w:r>
      <w:r w:rsidR="002A6CC4" w:rsidRPr="00E3060C">
        <w:t>existing summary measures of population health</w:t>
      </w:r>
      <w:r w:rsidR="00400455" w:rsidRPr="00E3060C">
        <w:t xml:space="preserve"> (WHO, 2009</w:t>
      </w:r>
      <w:r w:rsidR="00E3060C">
        <w:t>; WHO, 2013</w:t>
      </w:r>
      <w:r w:rsidR="00400455" w:rsidRPr="00E3060C">
        <w:t xml:space="preserve">), </w:t>
      </w:r>
      <w:r w:rsidRPr="00E3060C">
        <w:t>specifically health state valuation methodology, to assess the impact of gambling harms.</w:t>
      </w:r>
      <w:r w:rsidR="008610D3" w:rsidRPr="00E3060C">
        <w:t xml:space="preserve"> </w:t>
      </w:r>
      <w:r w:rsidRPr="00E3060C">
        <w:t>Our premise was that the diverse set of gambling harms experienced by individuals ultimately contributes to a decrement to a person’s Health Related Quality of Life (HRQL).</w:t>
      </w:r>
      <w:r w:rsidR="008610D3" w:rsidRPr="00E3060C">
        <w:t xml:space="preserve"> </w:t>
      </w:r>
      <w:r w:rsidRPr="00E3060C">
        <w:t xml:space="preserve">We consulted with experts and community members, combining this with extant literature, to refine and validate </w:t>
      </w:r>
      <w:r w:rsidR="00400455" w:rsidRPr="00E3060C">
        <w:t>a</w:t>
      </w:r>
      <w:r w:rsidRPr="00E3060C">
        <w:t xml:space="preserve"> </w:t>
      </w:r>
      <w:r w:rsidR="00400455" w:rsidRPr="00E3060C">
        <w:t xml:space="preserve">pre-existing </w:t>
      </w:r>
      <w:r w:rsidRPr="00E3060C">
        <w:t xml:space="preserve">definition, conceptual framework, and taxonomy of </w:t>
      </w:r>
      <w:r w:rsidR="002A2602" w:rsidRPr="00E3060C">
        <w:t>gambling-related</w:t>
      </w:r>
      <w:r w:rsidRPr="00E3060C">
        <w:t xml:space="preserve"> harms</w:t>
      </w:r>
      <w:r w:rsidR="00A2106F" w:rsidRPr="00E3060C">
        <w:t xml:space="preserve"> (</w:t>
      </w:r>
      <w:r w:rsidR="00400455" w:rsidRPr="00E3060C">
        <w:t>originally developed for an Australian context</w:t>
      </w:r>
      <w:r w:rsidR="00A2106F" w:rsidRPr="00E3060C">
        <w:t>)</w:t>
      </w:r>
      <w:r w:rsidR="00400455" w:rsidRPr="00E3060C">
        <w:t>,</w:t>
      </w:r>
      <w:r w:rsidRPr="00E3060C">
        <w:t xml:space="preserve"> to ensure it was reflective of the cultural communities within New Zealand.</w:t>
      </w:r>
      <w:r w:rsidR="008610D3" w:rsidRPr="00E3060C">
        <w:t xml:space="preserve"> </w:t>
      </w:r>
      <w:r w:rsidR="005F5263" w:rsidRPr="00E3060C">
        <w:t xml:space="preserve">The </w:t>
      </w:r>
      <w:r w:rsidRPr="00E3060C">
        <w:t xml:space="preserve">detailed taxonomy of harms was organised within eight broad domains and provided the basis for a comprehensive </w:t>
      </w:r>
      <w:r w:rsidR="004170F5" w:rsidRPr="00E3060C">
        <w:t xml:space="preserve">national </w:t>
      </w:r>
      <w:r w:rsidRPr="00E3060C">
        <w:t>survey on the prevalence of specific harms, with respect to different gambling risk profiles.</w:t>
      </w:r>
      <w:r w:rsidR="008610D3" w:rsidRPr="00E3060C">
        <w:t xml:space="preserve"> </w:t>
      </w:r>
      <w:r w:rsidRPr="00E3060C">
        <w:t xml:space="preserve">The experiences of individuals across the continuum of gambling risk profiles were then represented as descriptive vignettes, and evaluated by experts and the general public in terms of HRQL impact via established health state valuation protocols as used in </w:t>
      </w:r>
      <w:r w:rsidR="00E3060C">
        <w:t>HRQL</w:t>
      </w:r>
      <w:r w:rsidRPr="00E3060C">
        <w:t xml:space="preserve"> studies.</w:t>
      </w:r>
      <w:r w:rsidR="008610D3" w:rsidRPr="00E3060C">
        <w:t xml:space="preserve"> </w:t>
      </w:r>
      <w:r w:rsidRPr="00E3060C">
        <w:t xml:space="preserve">These quantitative harm estimates at the individual level were then aggregated based on recent New Zealand </w:t>
      </w:r>
      <w:r w:rsidR="00856031" w:rsidRPr="00E3060C">
        <w:t xml:space="preserve">gambling </w:t>
      </w:r>
      <w:r w:rsidRPr="00E3060C">
        <w:t xml:space="preserve">prevalence data and analysed with respect to domains of harm, </w:t>
      </w:r>
      <w:r w:rsidR="009973FB" w:rsidRPr="00E3060C">
        <w:t>p</w:t>
      </w:r>
      <w:r w:rsidR="00856031" w:rsidRPr="00E3060C">
        <w:t xml:space="preserve">roblem </w:t>
      </w:r>
      <w:r w:rsidR="009973FB" w:rsidRPr="00E3060C">
        <w:t>g</w:t>
      </w:r>
      <w:r w:rsidR="00856031" w:rsidRPr="00E3060C">
        <w:t xml:space="preserve">ambling </w:t>
      </w:r>
      <w:r w:rsidR="009973FB" w:rsidRPr="00E3060C">
        <w:t>s</w:t>
      </w:r>
      <w:r w:rsidR="00856031" w:rsidRPr="00E3060C">
        <w:t>everity</w:t>
      </w:r>
      <w:r w:rsidRPr="00E3060C">
        <w:t>, demographics, and with respect to the harm caused by gambling relative to other health conditions.</w:t>
      </w:r>
      <w:r w:rsidRPr="001546A4">
        <w:t xml:space="preserve"> </w:t>
      </w:r>
    </w:p>
    <w:p w14:paraId="213C3FF6" w14:textId="77777777" w:rsidR="001546A4" w:rsidRPr="001546A4" w:rsidRDefault="001546A4" w:rsidP="001546A4">
      <w:pPr>
        <w:pStyle w:val="VRGFBodycontent"/>
      </w:pPr>
    </w:p>
    <w:p w14:paraId="1F6E8AEC" w14:textId="77777777" w:rsidR="001546A4" w:rsidRPr="001546A4" w:rsidRDefault="001546A4" w:rsidP="001546A4">
      <w:pPr>
        <w:pStyle w:val="VRGFHead2"/>
      </w:pPr>
      <w:bookmarkStart w:id="13" w:name="_Toc440900225"/>
      <w:bookmarkStart w:id="14" w:name="_Toc462737979"/>
      <w:r w:rsidRPr="001546A4">
        <w:t>Background</w:t>
      </w:r>
      <w:bookmarkEnd w:id="13"/>
      <w:bookmarkEnd w:id="14"/>
    </w:p>
    <w:p w14:paraId="6ED44F4E" w14:textId="0F2C7E4B" w:rsidR="001546A4" w:rsidRPr="001546A4" w:rsidRDefault="001546A4" w:rsidP="001546A4">
      <w:pPr>
        <w:pStyle w:val="VRGFBodycontent"/>
      </w:pPr>
      <w:r w:rsidRPr="001546A4">
        <w:t xml:space="preserve">Potential </w:t>
      </w:r>
      <w:r w:rsidRPr="00E3060C">
        <w:t>problems arising from gambling can occur to the individual gambler, their family</w:t>
      </w:r>
      <w:r w:rsidR="009973FB" w:rsidRPr="00E3060C">
        <w:t>/whānau</w:t>
      </w:r>
      <w:r w:rsidRPr="00E3060C">
        <w:t xml:space="preserve"> and friends, and to the broader community.</w:t>
      </w:r>
      <w:r w:rsidR="008610D3" w:rsidRPr="00E3060C">
        <w:t xml:space="preserve"> </w:t>
      </w:r>
      <w:r w:rsidRPr="00E3060C">
        <w:t xml:space="preserve">A public health approach encourages us to understand these potential negative impacts in terms of their </w:t>
      </w:r>
      <w:r w:rsidR="009973FB" w:rsidRPr="00E3060C">
        <w:t xml:space="preserve">effect </w:t>
      </w:r>
      <w:r w:rsidRPr="00E3060C">
        <w:t>on the totality of an individual’s health and w</w:t>
      </w:r>
      <w:r w:rsidR="004170F5" w:rsidRPr="00E3060C">
        <w:t>ell</w:t>
      </w:r>
      <w:r w:rsidRPr="00E3060C">
        <w:t>being.</w:t>
      </w:r>
      <w:r w:rsidR="008610D3" w:rsidRPr="00E3060C">
        <w:t xml:space="preserve"> </w:t>
      </w:r>
      <w:r w:rsidRPr="00E3060C">
        <w:t xml:space="preserve">Our review of the literature identified a diverse set of </w:t>
      </w:r>
      <w:r w:rsidR="002A2602" w:rsidRPr="00E3060C">
        <w:t>gambling-related</w:t>
      </w:r>
      <w:r w:rsidRPr="00E3060C">
        <w:t xml:space="preserve"> harms, which could be broadly grouped into six domains:</w:t>
      </w:r>
    </w:p>
    <w:p w14:paraId="61F35FCA" w14:textId="77777777" w:rsidR="001546A4" w:rsidRPr="001546A4" w:rsidRDefault="001546A4" w:rsidP="00F84FCA">
      <w:pPr>
        <w:pStyle w:val="VRGFBodycontent"/>
        <w:numPr>
          <w:ilvl w:val="0"/>
          <w:numId w:val="7"/>
        </w:numPr>
      </w:pPr>
      <w:r w:rsidRPr="001546A4">
        <w:t>Decrements to the person’s health, both morbidity and mortality.</w:t>
      </w:r>
    </w:p>
    <w:p w14:paraId="50AEBD58" w14:textId="77777777" w:rsidR="001546A4" w:rsidRPr="001546A4" w:rsidRDefault="001546A4" w:rsidP="00F84FCA">
      <w:pPr>
        <w:pStyle w:val="VRGFBodycontent"/>
        <w:numPr>
          <w:ilvl w:val="0"/>
          <w:numId w:val="7"/>
        </w:numPr>
      </w:pPr>
      <w:r w:rsidRPr="001546A4">
        <w:t>Emotional or psychological distress.</w:t>
      </w:r>
    </w:p>
    <w:p w14:paraId="5AA2C790" w14:textId="77777777" w:rsidR="001546A4" w:rsidRPr="001546A4" w:rsidRDefault="001546A4" w:rsidP="00F84FCA">
      <w:pPr>
        <w:pStyle w:val="VRGFBodycontent"/>
        <w:numPr>
          <w:ilvl w:val="0"/>
          <w:numId w:val="7"/>
        </w:numPr>
      </w:pPr>
      <w:r w:rsidRPr="001546A4">
        <w:lastRenderedPageBreak/>
        <w:t>Financial difficulties, diverted financial resources, bankruptcy or reduction of financial situation.</w:t>
      </w:r>
    </w:p>
    <w:p w14:paraId="31CEBD0D" w14:textId="77777777" w:rsidR="001546A4" w:rsidRPr="001546A4" w:rsidRDefault="001546A4" w:rsidP="00F84FCA">
      <w:pPr>
        <w:pStyle w:val="VRGFBodycontent"/>
        <w:numPr>
          <w:ilvl w:val="0"/>
          <w:numId w:val="7"/>
        </w:numPr>
      </w:pPr>
      <w:r w:rsidRPr="001546A4">
        <w:t>Reduced performance / loss of role at employment or study.</w:t>
      </w:r>
    </w:p>
    <w:p w14:paraId="6337581D" w14:textId="77777777" w:rsidR="001546A4" w:rsidRPr="001546A4" w:rsidRDefault="001546A4" w:rsidP="00F84FCA">
      <w:pPr>
        <w:pStyle w:val="VRGFBodycontent"/>
        <w:numPr>
          <w:ilvl w:val="0"/>
          <w:numId w:val="7"/>
        </w:numPr>
      </w:pPr>
      <w:r w:rsidRPr="001546A4">
        <w:t>Relationship conflict or breakdown.</w:t>
      </w:r>
    </w:p>
    <w:p w14:paraId="5D3C39CF" w14:textId="77777777" w:rsidR="001546A4" w:rsidRPr="001546A4" w:rsidRDefault="001546A4" w:rsidP="00F84FCA">
      <w:pPr>
        <w:pStyle w:val="VRGFBodycontent"/>
        <w:numPr>
          <w:ilvl w:val="0"/>
          <w:numId w:val="7"/>
        </w:numPr>
      </w:pPr>
      <w:r w:rsidRPr="001546A4">
        <w:t>Criminal activity and neglect of responsibilities, including the consequences of such actions.</w:t>
      </w:r>
    </w:p>
    <w:p w14:paraId="6A829BE7" w14:textId="681B6FFF" w:rsidR="001546A4" w:rsidRPr="001546A4" w:rsidRDefault="001546A4" w:rsidP="001546A4">
      <w:pPr>
        <w:pStyle w:val="VRGFBodycontent"/>
      </w:pPr>
      <w:r w:rsidRPr="001546A4">
        <w:t>Whilst harm may be assumed to increase reliably in association with gambling problems, it is not synonymous with clinical addiction and some harms may occur well before diagnostic criteria are met.</w:t>
      </w:r>
      <w:r w:rsidR="008610D3">
        <w:t xml:space="preserve"> </w:t>
      </w:r>
      <w:r w:rsidRPr="001546A4">
        <w:t>Standard instruments for measuring prevalence of gambling problems, such as the Problem Gambling Severity Index (PGSI), are designed to screen for the likelihood of experiencing problems, rather than describe the extent of harm being experienced.</w:t>
      </w:r>
      <w:r w:rsidR="008610D3">
        <w:t xml:space="preserve"> </w:t>
      </w:r>
      <w:r w:rsidRPr="001546A4">
        <w:t>With respect to measuring harm, we concluded that:</w:t>
      </w:r>
    </w:p>
    <w:p w14:paraId="2FA3E7BA" w14:textId="77777777" w:rsidR="001546A4" w:rsidRPr="001546A4" w:rsidRDefault="001546A4" w:rsidP="00F84FCA">
      <w:pPr>
        <w:pStyle w:val="VRGFBodycontent"/>
        <w:numPr>
          <w:ilvl w:val="0"/>
          <w:numId w:val="8"/>
        </w:numPr>
      </w:pPr>
      <w:r w:rsidRPr="001546A4">
        <w:t>There should be an effort to capture the expected degree of harm across the spectrum of gambling problems.</w:t>
      </w:r>
    </w:p>
    <w:p w14:paraId="3DFD993F" w14:textId="61483C8A" w:rsidR="001546A4" w:rsidRPr="001546A4" w:rsidRDefault="001546A4" w:rsidP="00F84FCA">
      <w:pPr>
        <w:pStyle w:val="VRGFBodycontent"/>
        <w:numPr>
          <w:ilvl w:val="0"/>
          <w:numId w:val="8"/>
        </w:numPr>
      </w:pPr>
      <w:r w:rsidRPr="001546A4">
        <w:t>Harm to ‘affected others’ (most notably family</w:t>
      </w:r>
      <w:r w:rsidR="009973FB">
        <w:t>/whānau</w:t>
      </w:r>
      <w:r w:rsidRPr="001546A4">
        <w:t xml:space="preserve"> and friends) should be acknowledged and measured.</w:t>
      </w:r>
    </w:p>
    <w:p w14:paraId="44ECD516" w14:textId="1DFB43AC" w:rsidR="001546A4" w:rsidRPr="00E3060C" w:rsidRDefault="001546A4" w:rsidP="00F84FCA">
      <w:pPr>
        <w:pStyle w:val="VRGFBodycontent"/>
        <w:numPr>
          <w:ilvl w:val="0"/>
          <w:numId w:val="8"/>
        </w:numPr>
      </w:pPr>
      <w:r w:rsidRPr="00E3060C">
        <w:t>Gambling harms are diverse and can potentially affect multiple domains of health and wellbeing.</w:t>
      </w:r>
      <w:r w:rsidR="008610D3" w:rsidRPr="00E3060C">
        <w:t xml:space="preserve"> </w:t>
      </w:r>
      <w:r w:rsidRPr="00E3060C">
        <w:t>Thus, harm should not be narrowly construed (e.g. as a financial loss) but rather capture all relevant dimensions.</w:t>
      </w:r>
    </w:p>
    <w:p w14:paraId="4CB7869B" w14:textId="77777777" w:rsidR="001546A4" w:rsidRPr="00E3060C" w:rsidRDefault="001546A4" w:rsidP="00F84FCA">
      <w:pPr>
        <w:pStyle w:val="VRGFBodycontent"/>
        <w:numPr>
          <w:ilvl w:val="0"/>
          <w:numId w:val="8"/>
        </w:numPr>
      </w:pPr>
      <w:r w:rsidRPr="00E3060C">
        <w:t>Since individuals subjectively experience harm as a decrement to their health and wellbeing, existing public health methodologies should be applied to measure this decrement.</w:t>
      </w:r>
    </w:p>
    <w:p w14:paraId="37B3CB71" w14:textId="77777777" w:rsidR="001546A4" w:rsidRPr="001546A4" w:rsidRDefault="001546A4" w:rsidP="001546A4">
      <w:pPr>
        <w:pStyle w:val="VRGFBodycontent"/>
      </w:pPr>
    </w:p>
    <w:p w14:paraId="07906D72" w14:textId="77777777" w:rsidR="001546A4" w:rsidRPr="001546A4" w:rsidRDefault="001546A4" w:rsidP="001546A4">
      <w:pPr>
        <w:pStyle w:val="VRGFHead2"/>
      </w:pPr>
      <w:bookmarkStart w:id="15" w:name="_Toc440900226"/>
      <w:bookmarkStart w:id="16" w:name="_Toc462737980"/>
      <w:r w:rsidRPr="001546A4">
        <w:t>Methodology</w:t>
      </w:r>
      <w:bookmarkEnd w:id="15"/>
      <w:bookmarkEnd w:id="16"/>
    </w:p>
    <w:p w14:paraId="4AC35527" w14:textId="09BF3D87" w:rsidR="001546A4" w:rsidRPr="001546A4" w:rsidRDefault="001546A4" w:rsidP="001546A4">
      <w:pPr>
        <w:pStyle w:val="VRGFBodycontent"/>
      </w:pPr>
      <w:r w:rsidRPr="001546A4">
        <w:t>We undertook several phases of data collection and analysis, with each phase informing the co</w:t>
      </w:r>
      <w:r w:rsidR="004D066D">
        <w:t>nduct of subsequent activities.</w:t>
      </w:r>
      <w:r w:rsidR="008610D3">
        <w:t xml:space="preserve"> </w:t>
      </w:r>
      <w:r w:rsidR="00E031D7">
        <w:t>In the f</w:t>
      </w:r>
      <w:r w:rsidR="00C30A7C">
        <w:t>irst</w:t>
      </w:r>
      <w:r w:rsidR="00E031D7">
        <w:t xml:space="preserve"> phase</w:t>
      </w:r>
      <w:r w:rsidR="00C30A7C">
        <w:t>, a</w:t>
      </w:r>
      <w:r w:rsidRPr="001546A4">
        <w:t xml:space="preserve"> comprehensive literature review collated and organised existing knowledge regarding the nature and prevalence of </w:t>
      </w:r>
      <w:r w:rsidR="002A2602">
        <w:t>gambling-related</w:t>
      </w:r>
      <w:r w:rsidRPr="001546A4">
        <w:t xml:space="preserve"> harms.</w:t>
      </w:r>
      <w:r w:rsidR="008610D3">
        <w:t xml:space="preserve"> </w:t>
      </w:r>
      <w:r w:rsidRPr="001546A4">
        <w:t>In the next</w:t>
      </w:r>
      <w:r w:rsidR="00BC5316">
        <w:t>,</w:t>
      </w:r>
      <w:r w:rsidRPr="001546A4">
        <w:t xml:space="preserve"> consultative</w:t>
      </w:r>
      <w:r w:rsidR="00BC5316">
        <w:t>,</w:t>
      </w:r>
      <w:r w:rsidRPr="001546A4">
        <w:t xml:space="preserve"> phase data </w:t>
      </w:r>
      <w:r w:rsidR="00BC5316">
        <w:t>were</w:t>
      </w:r>
      <w:r w:rsidRPr="001546A4">
        <w:t xml:space="preserve"> gathered across </w:t>
      </w:r>
      <w:r w:rsidR="009E65E4">
        <w:t>two</w:t>
      </w:r>
      <w:r w:rsidR="009E65E4" w:rsidRPr="001546A4">
        <w:t xml:space="preserve"> </w:t>
      </w:r>
      <w:r w:rsidRPr="001546A4">
        <w:t>stages:</w:t>
      </w:r>
    </w:p>
    <w:p w14:paraId="42A68F7C" w14:textId="10944C90" w:rsidR="001546A4" w:rsidRPr="001546A4" w:rsidRDefault="002E1A4B" w:rsidP="00F84FCA">
      <w:pPr>
        <w:pStyle w:val="VRGFBodycontent"/>
        <w:numPr>
          <w:ilvl w:val="0"/>
          <w:numId w:val="9"/>
        </w:numPr>
      </w:pPr>
      <w:r>
        <w:t>Three f</w:t>
      </w:r>
      <w:r w:rsidR="001546A4" w:rsidRPr="001546A4">
        <w:t xml:space="preserve">ocus group interviews with </w:t>
      </w:r>
      <w:r w:rsidR="00A56AC8">
        <w:t>26</w:t>
      </w:r>
      <w:r w:rsidR="00A56AC8" w:rsidRPr="001546A4">
        <w:t xml:space="preserve"> </w:t>
      </w:r>
      <w:r>
        <w:t xml:space="preserve">participants comprising </w:t>
      </w:r>
      <w:r w:rsidR="001546A4" w:rsidRPr="001546A4">
        <w:t xml:space="preserve">professionals </w:t>
      </w:r>
      <w:r w:rsidR="00374958">
        <w:t>(including Māori, Pacific, Asian and European/Other</w:t>
      </w:r>
      <w:r w:rsidR="00005877">
        <w:t xml:space="preserve"> people</w:t>
      </w:r>
      <w:r w:rsidR="00374958">
        <w:t xml:space="preserve">) </w:t>
      </w:r>
      <w:r w:rsidR="001546A4" w:rsidRPr="001546A4">
        <w:t>involved in the provision of problem gambling treatment</w:t>
      </w:r>
      <w:r w:rsidR="00C35950">
        <w:t xml:space="preserve"> and </w:t>
      </w:r>
      <w:r w:rsidR="00A56AC8">
        <w:t>allied support</w:t>
      </w:r>
      <w:r w:rsidR="001546A4" w:rsidRPr="001546A4">
        <w:t xml:space="preserve"> services (</w:t>
      </w:r>
      <w:r w:rsidR="00C8302C">
        <w:t>budget advice, social support</w:t>
      </w:r>
      <w:r w:rsidR="001546A4" w:rsidRPr="001546A4">
        <w:t xml:space="preserve">), </w:t>
      </w:r>
      <w:r w:rsidR="0075351E">
        <w:t xml:space="preserve">consumer representatives, </w:t>
      </w:r>
      <w:r w:rsidR="001A1331">
        <w:t>regulators and academics</w:t>
      </w:r>
      <w:r w:rsidR="001546A4" w:rsidRPr="001546A4">
        <w:t>.</w:t>
      </w:r>
    </w:p>
    <w:p w14:paraId="0ADB6B7B" w14:textId="6BA6E43D" w:rsidR="001546A4" w:rsidRPr="001546A4" w:rsidRDefault="009E65E4" w:rsidP="00F84FCA">
      <w:pPr>
        <w:pStyle w:val="VRGFBodycontent"/>
        <w:numPr>
          <w:ilvl w:val="0"/>
          <w:numId w:val="9"/>
        </w:numPr>
      </w:pPr>
      <w:r>
        <w:t xml:space="preserve">Eight focus group interviews </w:t>
      </w:r>
      <w:r w:rsidR="00BC5316">
        <w:t xml:space="preserve">(including two Māori groups) </w:t>
      </w:r>
      <w:r>
        <w:t xml:space="preserve">and </w:t>
      </w:r>
      <w:r w:rsidR="0051225E">
        <w:t>six individual i</w:t>
      </w:r>
      <w:r w:rsidR="001546A4" w:rsidRPr="001546A4">
        <w:t xml:space="preserve">nterviews with </w:t>
      </w:r>
      <w:r w:rsidR="0051225E">
        <w:t xml:space="preserve">a total of </w:t>
      </w:r>
      <w:r w:rsidR="0075351E">
        <w:t>fifty</w:t>
      </w:r>
      <w:r w:rsidR="0051225E">
        <w:t>-one</w:t>
      </w:r>
      <w:r w:rsidR="0051225E" w:rsidRPr="001546A4">
        <w:t xml:space="preserve"> </w:t>
      </w:r>
      <w:r w:rsidR="001546A4" w:rsidRPr="001546A4">
        <w:t xml:space="preserve">individuals </w:t>
      </w:r>
      <w:r w:rsidR="003976B1">
        <w:t xml:space="preserve">comprising </w:t>
      </w:r>
      <w:r w:rsidR="001546A4" w:rsidRPr="001546A4">
        <w:t xml:space="preserve">community </w:t>
      </w:r>
      <w:r w:rsidR="003976B1">
        <w:t xml:space="preserve">members and treatment seeking individuals </w:t>
      </w:r>
      <w:r w:rsidR="001546A4" w:rsidRPr="001546A4">
        <w:t xml:space="preserve">who identified that they had experienced harm from either their own, </w:t>
      </w:r>
      <w:r w:rsidR="001546A4" w:rsidRPr="001546A4">
        <w:lastRenderedPageBreak/>
        <w:t>or someone else’s gambling</w:t>
      </w:r>
      <w:r w:rsidR="00BC5316">
        <w:t>,</w:t>
      </w:r>
      <w:r w:rsidR="0075351E">
        <w:t xml:space="preserve"> and </w:t>
      </w:r>
      <w:r w:rsidR="00BC5316">
        <w:t xml:space="preserve">with </w:t>
      </w:r>
      <w:r w:rsidR="0075351E">
        <w:t xml:space="preserve">staff of problem gambling treatment services </w:t>
      </w:r>
      <w:r w:rsidR="004E2FD7">
        <w:t xml:space="preserve">(representing </w:t>
      </w:r>
      <w:r w:rsidR="00BC5316">
        <w:t>Pacific</w:t>
      </w:r>
      <w:r w:rsidR="004E2FD7">
        <w:t xml:space="preserve"> and Asian clients)</w:t>
      </w:r>
      <w:r w:rsidR="003976B1">
        <w:t>.</w:t>
      </w:r>
    </w:p>
    <w:p w14:paraId="489EB11D" w14:textId="062C9AC0" w:rsidR="00D75B72" w:rsidRPr="00E3060C" w:rsidRDefault="001546A4" w:rsidP="00E3060C">
      <w:pPr>
        <w:pStyle w:val="VRGFBodycontent"/>
        <w:rPr>
          <w:rFonts w:eastAsia="MS Mincho"/>
        </w:rPr>
      </w:pPr>
      <w:r w:rsidRPr="004B45AC">
        <w:t xml:space="preserve">In </w:t>
      </w:r>
      <w:r w:rsidRPr="00E3060C">
        <w:t xml:space="preserve">the </w:t>
      </w:r>
      <w:r w:rsidR="00B54511" w:rsidRPr="00E3060C">
        <w:t xml:space="preserve">third, </w:t>
      </w:r>
      <w:r w:rsidRPr="00E3060C">
        <w:t>quantitative phase, we undertook an online</w:t>
      </w:r>
      <w:r w:rsidR="00113811" w:rsidRPr="00E3060C">
        <w:t xml:space="preserve"> national survey on gambling</w:t>
      </w:r>
      <w:r w:rsidRPr="00E3060C">
        <w:t xml:space="preserve"> h</w:t>
      </w:r>
      <w:r w:rsidR="00113811" w:rsidRPr="00E3060C">
        <w:t>arms</w:t>
      </w:r>
      <w:r w:rsidRPr="00E3060C">
        <w:t xml:space="preserve"> of 1</w:t>
      </w:r>
      <w:r w:rsidR="007675BE" w:rsidRPr="00E3060C">
        <w:t>,</w:t>
      </w:r>
      <w:r w:rsidRPr="00E3060C">
        <w:t>542 individuals affected by gambling, who completed an 83 item harms checklist, the PGSI, and other measures.</w:t>
      </w:r>
      <w:r w:rsidR="008610D3" w:rsidRPr="00E3060C">
        <w:t xml:space="preserve"> </w:t>
      </w:r>
      <w:r w:rsidR="007675BE" w:rsidRPr="00E3060C">
        <w:t xml:space="preserve">These </w:t>
      </w:r>
      <w:r w:rsidRPr="00E3060C">
        <w:t xml:space="preserve">data </w:t>
      </w:r>
      <w:r w:rsidR="007675BE" w:rsidRPr="00E3060C">
        <w:t>were</w:t>
      </w:r>
      <w:r w:rsidRPr="00E3060C">
        <w:t xml:space="preserve"> algorithmically transformed into </w:t>
      </w:r>
      <w:r w:rsidR="004B45AC" w:rsidRPr="00E3060C">
        <w:t xml:space="preserve">plain </w:t>
      </w:r>
      <w:r w:rsidRPr="00E3060C">
        <w:t>English condition descriptors, which served as stimuli for Time Trade-Off and Visual Analogue Scale HRQL elicitation for estimates of the level of harm being experienced by gamblers.</w:t>
      </w:r>
      <w:r w:rsidR="008610D3" w:rsidRPr="00E3060C">
        <w:t xml:space="preserve"> </w:t>
      </w:r>
      <w:r w:rsidR="00B54511" w:rsidRPr="00E3060C">
        <w:t>In the fourth phase of our study</w:t>
      </w:r>
      <w:r w:rsidR="00E2770F" w:rsidRPr="00E3060C">
        <w:t xml:space="preserve">, </w:t>
      </w:r>
      <w:r w:rsidRPr="00E3060C">
        <w:t xml:space="preserve">324 participants (both professionals and general public) provided a total of 3,888 estimates of HRQL </w:t>
      </w:r>
      <w:r w:rsidR="00E3060C">
        <w:t>decremen</w:t>
      </w:r>
      <w:r w:rsidR="00E3060C" w:rsidRPr="00E3060C">
        <w:t xml:space="preserve">t </w:t>
      </w:r>
      <w:r w:rsidRPr="00E3060C">
        <w:t xml:space="preserve">for 552 unique condition descriptions, randomly selected from cases within each PGSI category </w:t>
      </w:r>
      <w:r w:rsidR="007675BE" w:rsidRPr="00E3060C">
        <w:t xml:space="preserve">(non-problem gambler, low-risk gambler, moderate-risk gambler, problem gambler) </w:t>
      </w:r>
      <w:r w:rsidRPr="00E3060C">
        <w:t>from the previous survey.</w:t>
      </w:r>
      <w:r w:rsidR="008610D3" w:rsidRPr="00E3060C">
        <w:t xml:space="preserve"> </w:t>
      </w:r>
      <w:r w:rsidR="007675BE" w:rsidRPr="00E3060C">
        <w:t xml:space="preserve">These </w:t>
      </w:r>
      <w:r w:rsidRPr="00E3060C">
        <w:t xml:space="preserve">data </w:t>
      </w:r>
      <w:r w:rsidR="007675BE" w:rsidRPr="00E3060C">
        <w:t>were</w:t>
      </w:r>
      <w:r w:rsidRPr="00E3060C">
        <w:t xml:space="preserve"> analysed to yield an expected HRQL </w:t>
      </w:r>
      <w:r w:rsidR="00E3060C">
        <w:t xml:space="preserve">utility weight </w:t>
      </w:r>
      <w:r w:rsidRPr="00E3060C">
        <w:t xml:space="preserve">for each PGSI score (1-15+), which was then combined with </w:t>
      </w:r>
      <w:r w:rsidR="007675BE" w:rsidRPr="00E3060C">
        <w:t xml:space="preserve">New Zealand national </w:t>
      </w:r>
      <w:r w:rsidRPr="00E3060C">
        <w:t xml:space="preserve">prevalence data </w:t>
      </w:r>
      <w:r w:rsidR="007675BE" w:rsidRPr="00E3060C">
        <w:t xml:space="preserve">from 2012, </w:t>
      </w:r>
      <w:r w:rsidRPr="00E3060C">
        <w:t>for further analyses.</w:t>
      </w:r>
      <w:r w:rsidR="008610D3" w:rsidRPr="00E3060C">
        <w:t xml:space="preserve"> </w:t>
      </w:r>
      <w:r w:rsidR="00B54511" w:rsidRPr="00E3060C">
        <w:t xml:space="preserve">In </w:t>
      </w:r>
      <w:r w:rsidR="007675BE" w:rsidRPr="00E3060C">
        <w:t>the</w:t>
      </w:r>
      <w:r w:rsidR="00B54511" w:rsidRPr="00E3060C">
        <w:t xml:space="preserve"> final phase</w:t>
      </w:r>
      <w:r w:rsidR="006A0A09" w:rsidRPr="00E3060C">
        <w:t>,</w:t>
      </w:r>
      <w:r w:rsidR="006A0A09" w:rsidRPr="00E3060C">
        <w:rPr>
          <w:rFonts w:eastAsia="MS Mincho"/>
        </w:rPr>
        <w:t xml:space="preserve"> </w:t>
      </w:r>
      <w:r w:rsidR="00E3060C">
        <w:rPr>
          <w:rFonts w:eastAsia="MS Mincho"/>
        </w:rPr>
        <w:t xml:space="preserve">the annual years of healthy life lost due to </w:t>
      </w:r>
      <w:r w:rsidR="006A0A09" w:rsidRPr="00E3060C">
        <w:rPr>
          <w:rFonts w:eastAsia="MS Mincho"/>
        </w:rPr>
        <w:t>gambling</w:t>
      </w:r>
      <w:r w:rsidR="00E3060C">
        <w:rPr>
          <w:rFonts w:eastAsia="MS Mincho"/>
        </w:rPr>
        <w:t>-related</w:t>
      </w:r>
      <w:r w:rsidR="006A0A09" w:rsidRPr="00E3060C">
        <w:rPr>
          <w:rFonts w:eastAsia="MS Mincho"/>
        </w:rPr>
        <w:t xml:space="preserve"> harm </w:t>
      </w:r>
      <w:r w:rsidR="001460D5" w:rsidRPr="00E3060C">
        <w:rPr>
          <w:rFonts w:eastAsia="MS Mincho"/>
        </w:rPr>
        <w:t xml:space="preserve">was </w:t>
      </w:r>
      <w:r w:rsidR="00D75B72" w:rsidRPr="00E3060C">
        <w:rPr>
          <w:rFonts w:eastAsia="MS Mincho"/>
        </w:rPr>
        <w:t>calculated</w:t>
      </w:r>
      <w:r w:rsidR="001460D5" w:rsidRPr="00E3060C">
        <w:rPr>
          <w:rFonts w:eastAsia="MS Mincho"/>
        </w:rPr>
        <w:t xml:space="preserve"> at a</w:t>
      </w:r>
      <w:r w:rsidR="006A0A09" w:rsidRPr="00E3060C">
        <w:rPr>
          <w:rFonts w:eastAsia="MS Mincho"/>
        </w:rPr>
        <w:t xml:space="preserve"> population level</w:t>
      </w:r>
      <w:r w:rsidR="00D75B72" w:rsidRPr="00E3060C">
        <w:rPr>
          <w:rFonts w:eastAsia="MS Mincho"/>
        </w:rPr>
        <w:t xml:space="preserve"> using the formula: </w:t>
      </w:r>
      <w:r w:rsidR="00E3060C">
        <w:rPr>
          <w:rFonts w:eastAsia="MS Mincho"/>
        </w:rPr>
        <w:t>QALY</w:t>
      </w:r>
      <w:r w:rsidR="00E3060C" w:rsidRPr="00E3060C">
        <w:rPr>
          <w:rFonts w:eastAsia="MS Mincho"/>
          <w:vertAlign w:val="subscript"/>
        </w:rPr>
        <w:t>1</w:t>
      </w:r>
      <w:r w:rsidR="00E3060C" w:rsidRPr="00E3060C">
        <w:rPr>
          <w:rFonts w:eastAsia="MS Mincho"/>
        </w:rPr>
        <w:t xml:space="preserve"> </w:t>
      </w:r>
      <w:r w:rsidR="00D75B72" w:rsidRPr="00E3060C">
        <w:rPr>
          <w:rFonts w:eastAsia="MS Mincho"/>
        </w:rPr>
        <w:t>= (New Zealand Adult Population x Annual Prevalence (%) for Health State) x Utility Weight</w:t>
      </w:r>
      <w:r w:rsidR="00343F29" w:rsidRPr="00E3060C">
        <w:rPr>
          <w:rFonts w:eastAsia="MS Mincho"/>
        </w:rPr>
        <w:t>.</w:t>
      </w:r>
      <w:r w:rsidR="00E3060C">
        <w:rPr>
          <w:rFonts w:eastAsia="MS Mincho"/>
        </w:rPr>
        <w:t xml:space="preserve"> The same formula was applied to other health conditions to allow comparisons of QALY</w:t>
      </w:r>
      <w:r w:rsidR="00E3060C" w:rsidRPr="00E3060C">
        <w:rPr>
          <w:rFonts w:eastAsia="MS Mincho"/>
          <w:vertAlign w:val="subscript"/>
        </w:rPr>
        <w:t>1</w:t>
      </w:r>
      <w:r w:rsidR="00E3060C">
        <w:rPr>
          <w:rFonts w:eastAsia="MS Mincho"/>
        </w:rPr>
        <w:t>.</w:t>
      </w:r>
    </w:p>
    <w:p w14:paraId="6DEAF11B" w14:textId="77777777" w:rsidR="001546A4" w:rsidRPr="001546A4" w:rsidRDefault="001546A4" w:rsidP="001546A4">
      <w:pPr>
        <w:pStyle w:val="VRGFBodycontent"/>
      </w:pPr>
      <w:r w:rsidRPr="00E3060C">
        <w:t>Ethical clearance for all four stages of data collection (expert consultations, community consultations, national</w:t>
      </w:r>
      <w:r w:rsidRPr="001546A4">
        <w:t xml:space="preserve"> survey, and health related quality of life elicitation) were approved by CQU and AUT Human Research Ethics Committees. </w:t>
      </w:r>
    </w:p>
    <w:p w14:paraId="77B16B0E" w14:textId="77777777" w:rsidR="001546A4" w:rsidRDefault="001546A4" w:rsidP="001546A4">
      <w:pPr>
        <w:pStyle w:val="VRGFBodycontent"/>
        <w:rPr>
          <w:b/>
        </w:rPr>
      </w:pPr>
      <w:bookmarkStart w:id="17" w:name="_Toc440900227"/>
    </w:p>
    <w:p w14:paraId="693096FC" w14:textId="77777777" w:rsidR="001546A4" w:rsidRPr="001546A4" w:rsidRDefault="001546A4" w:rsidP="001546A4">
      <w:pPr>
        <w:pStyle w:val="VRGFHead2"/>
      </w:pPr>
      <w:bookmarkStart w:id="18" w:name="_Toc462737981"/>
      <w:r w:rsidRPr="001546A4">
        <w:t>Results</w:t>
      </w:r>
      <w:bookmarkEnd w:id="17"/>
      <w:bookmarkEnd w:id="18"/>
    </w:p>
    <w:p w14:paraId="081D3D42" w14:textId="64AD42D2" w:rsidR="001546A4" w:rsidRPr="001546A4" w:rsidRDefault="001546A4" w:rsidP="001546A4">
      <w:pPr>
        <w:pStyle w:val="VRGFBodycontent"/>
      </w:pPr>
      <w:r w:rsidRPr="001546A4">
        <w:t xml:space="preserve">From analysis of the qualitative data, a conceptual framework was developed, which expanded the original six domains of harm (health, emotion, financial, performance, relationship and neglect) </w:t>
      </w:r>
      <w:r w:rsidR="00674CF3">
        <w:t xml:space="preserve">identified by Langham et al. (2016) </w:t>
      </w:r>
      <w:r w:rsidRPr="001546A4">
        <w:t>to eight (previous six domains, cultural harms, and lifecourse</w:t>
      </w:r>
      <w:r w:rsidR="0073285A">
        <w:t xml:space="preserve"> </w:t>
      </w:r>
      <w:r w:rsidRPr="001546A4">
        <w:t>and intergenerational harms).</w:t>
      </w:r>
    </w:p>
    <w:p w14:paraId="64C3BC2E" w14:textId="1FCA6017" w:rsidR="001546A4" w:rsidRPr="00E3060C" w:rsidRDefault="001546A4" w:rsidP="001546A4">
      <w:pPr>
        <w:pStyle w:val="VRGFBodycontent"/>
      </w:pPr>
      <w:r w:rsidRPr="001546A4">
        <w:t>The framework also divided the experience of these dimensions into three temporal categories - general harms, crisis harms, and legacy harms - which captured the harms experienced from any level of gambling, the significance of harms that prompted seeking assistance, and harm</w:t>
      </w:r>
      <w:r w:rsidR="00840B5D">
        <w:t>s that</w:t>
      </w:r>
      <w:r w:rsidRPr="001546A4">
        <w:t xml:space="preserve"> could still be experienced even if a person ceased gambling.</w:t>
      </w:r>
      <w:r w:rsidR="008610D3">
        <w:t xml:space="preserve"> </w:t>
      </w:r>
      <w:r w:rsidRPr="001546A4">
        <w:t xml:space="preserve">A detailed and comprehensive taxonomy of harms was created, which captured and organised each specific harm discovered in the qualitative </w:t>
      </w:r>
      <w:r w:rsidRPr="00E3060C">
        <w:t>stages.</w:t>
      </w:r>
    </w:p>
    <w:p w14:paraId="44171B2F" w14:textId="56C8D178" w:rsidR="001546A4" w:rsidRPr="00E3060C" w:rsidRDefault="001546A4" w:rsidP="001546A4">
      <w:pPr>
        <w:pStyle w:val="VRGFBodycontent"/>
      </w:pPr>
      <w:r w:rsidRPr="00E3060C">
        <w:t>From the HRQL analyses, we concluded that the average low-risk, moderate-risk, and problem gambler in New Zealand suffers a HRQL decrement of 0.18, 0.37, and 0.54 respectively.</w:t>
      </w:r>
      <w:r w:rsidR="008610D3" w:rsidRPr="00E3060C">
        <w:t xml:space="preserve"> </w:t>
      </w:r>
      <w:r w:rsidRPr="00E3060C">
        <w:t>Combined with prevalence data, this finding suggests that 48%, 34%, and 18% of the total harm resulting from gambling in New Zealand can be divided amongst low-risk, moderate risk and problem-gamblers, respectively.</w:t>
      </w:r>
    </w:p>
    <w:p w14:paraId="71761791" w14:textId="23BC7BB5" w:rsidR="00BB56E5" w:rsidRPr="001546A4" w:rsidRDefault="00BB56E5" w:rsidP="001546A4">
      <w:pPr>
        <w:pStyle w:val="VRGFBodycontent"/>
      </w:pPr>
      <w:r w:rsidRPr="00E3060C">
        <w:t>At a national level, and taking into account both prevalence and severity, our analysis suggests that gambling</w:t>
      </w:r>
      <w:r>
        <w:t xml:space="preserve"> causes over twice the amount of harm than chronic conditions such as osteoarthritis (2.1x) and diabetes (2.5x). However, gambling causes less harm than other disorders such as anxiety and depressive disorders (.63x) and hazardous drinking (.77x). </w:t>
      </w:r>
    </w:p>
    <w:p w14:paraId="457AB82F" w14:textId="77777777" w:rsidR="001546A4" w:rsidRPr="001546A4" w:rsidRDefault="001546A4" w:rsidP="001546A4">
      <w:pPr>
        <w:pStyle w:val="VRGFBodycontent"/>
      </w:pPr>
    </w:p>
    <w:p w14:paraId="0FF8C250" w14:textId="77777777" w:rsidR="001546A4" w:rsidRPr="001546A4" w:rsidRDefault="001546A4" w:rsidP="001546A4">
      <w:pPr>
        <w:pStyle w:val="VRGFHead2"/>
      </w:pPr>
      <w:bookmarkStart w:id="19" w:name="_Toc440900228"/>
      <w:bookmarkStart w:id="20" w:name="_Toc462737982"/>
      <w:r w:rsidRPr="001546A4">
        <w:t>Discussion</w:t>
      </w:r>
      <w:bookmarkEnd w:id="19"/>
      <w:bookmarkEnd w:id="20"/>
    </w:p>
    <w:p w14:paraId="2489ED15" w14:textId="6D2E0B75" w:rsidR="007435D6" w:rsidRPr="007435D6" w:rsidRDefault="001546A4" w:rsidP="007435D6">
      <w:pPr>
        <w:pStyle w:val="VRGFBodycontent"/>
      </w:pPr>
      <w:r w:rsidRPr="001546A4">
        <w:t>At a population level, aggregate harms accruing to non-problem gamblers exceed those occurring to problem gamblers by about 4</w:t>
      </w:r>
      <w:r w:rsidR="00674CF3">
        <w:t>:</w:t>
      </w:r>
      <w:r w:rsidRPr="001546A4">
        <w:t>1</w:t>
      </w:r>
      <w:r w:rsidRPr="00E3060C">
        <w:t>.</w:t>
      </w:r>
      <w:r w:rsidR="008610D3" w:rsidRPr="00E3060C">
        <w:t xml:space="preserve"> </w:t>
      </w:r>
      <w:r w:rsidRPr="00E3060C">
        <w:t>Demographic groups such as females aged 55+</w:t>
      </w:r>
      <w:r w:rsidR="00674CF3" w:rsidRPr="00E3060C">
        <w:t xml:space="preserve"> years</w:t>
      </w:r>
      <w:r w:rsidRPr="00E3060C">
        <w:t>, whilst less likely individually to develop clinically significant gambling problems, nevertheless contribute substantially to the ‘burden of harm’ experienced by the New Zealand adult population.</w:t>
      </w:r>
      <w:r w:rsidR="008610D3" w:rsidRPr="00E3060C">
        <w:t xml:space="preserve"> </w:t>
      </w:r>
      <w:r w:rsidRPr="00E3060C">
        <w:t>Annually</w:t>
      </w:r>
      <w:r w:rsidR="00674CF3" w:rsidRPr="00E3060C">
        <w:t>,</w:t>
      </w:r>
      <w:r w:rsidRPr="00E3060C">
        <w:t xml:space="preserve"> gambling problems generate significantly more ongoing harm tha</w:t>
      </w:r>
      <w:r w:rsidR="00674CF3" w:rsidRPr="00E3060C">
        <w:t>n</w:t>
      </w:r>
      <w:r w:rsidRPr="00E3060C">
        <w:t xml:space="preserve"> other key health conditions, such as osteoarthritis, diabetes, and drug use disorders.</w:t>
      </w:r>
      <w:r w:rsidR="00837174" w:rsidRPr="00E3060C">
        <w:t xml:space="preserve"> Caution must be exercised when comparing gambling problems to other health conditions (for example drug</w:t>
      </w:r>
      <w:r w:rsidR="00837174">
        <w:t xml:space="preserve"> use disorders) as some of these disorders only include individuals with severe levels of problems, whereas gambling problems include low-risk individuals. Nonetheless, </w:t>
      </w:r>
      <w:r w:rsidRPr="001546A4">
        <w:t>the aggregate harm of gambling problems is almost twice that of drug use disorders, bipolar affective disorder, eating disorders and schizophrenia combined.</w:t>
      </w:r>
      <w:r w:rsidR="00837174">
        <w:t xml:space="preserve"> </w:t>
      </w:r>
      <w:r w:rsidR="008610D3">
        <w:t xml:space="preserve"> </w:t>
      </w:r>
      <w:r w:rsidRPr="001546A4">
        <w:t xml:space="preserve">Both qualitative and quantitative results suggest that this burden of harm is primarily due to damage to relationships, emotional / psychological distress, </w:t>
      </w:r>
      <w:r w:rsidR="002F2881">
        <w:t xml:space="preserve">disruptions to </w:t>
      </w:r>
      <w:r w:rsidRPr="001546A4">
        <w:t>work / study, and financial impacts.</w:t>
      </w:r>
      <w:r w:rsidR="00C94781">
        <w:t xml:space="preserve"> The large proportion of gambling related harm is accruing to those who are not necessarily problem gamblers. For policy makers and regulators,</w:t>
      </w:r>
      <w:r w:rsidR="008610D3">
        <w:t xml:space="preserve"> </w:t>
      </w:r>
      <w:r w:rsidRPr="001546A4">
        <w:t xml:space="preserve">we </w:t>
      </w:r>
      <w:r w:rsidR="00C94781">
        <w:t>suggest that it is insufficient</w:t>
      </w:r>
      <w:r w:rsidRPr="001546A4">
        <w:t xml:space="preserve"> </w:t>
      </w:r>
      <w:r w:rsidR="00C94781">
        <w:t>to concentrate simply on reducing the incidence of problem gambling. Rather, the focus should be on minimising gambling-related harm across the spectrum of p</w:t>
      </w:r>
      <w:r w:rsidR="001A3F83">
        <w:t>roblematic gambling behaviour.</w:t>
      </w:r>
      <w:r w:rsidRPr="001546A4">
        <w:t xml:space="preserve"> </w:t>
      </w:r>
    </w:p>
    <w:p w14:paraId="33D34A52" w14:textId="77777777" w:rsidR="000C0777" w:rsidRPr="000C0777" w:rsidRDefault="000C0777" w:rsidP="000C0777">
      <w:pPr>
        <w:pStyle w:val="VRGFBodycontent"/>
      </w:pPr>
    </w:p>
    <w:p w14:paraId="3ECF7A2F" w14:textId="4C6A0B75" w:rsidR="005E39E4" w:rsidRPr="0060218C" w:rsidRDefault="008606AE" w:rsidP="005E39E4">
      <w:pPr>
        <w:pStyle w:val="VRGFHead1"/>
      </w:pPr>
      <w:bookmarkStart w:id="21" w:name="_Toc462737983"/>
      <w:r>
        <w:lastRenderedPageBreak/>
        <w:t>Literature review</w:t>
      </w:r>
      <w:bookmarkEnd w:id="0"/>
      <w:bookmarkEnd w:id="1"/>
      <w:bookmarkEnd w:id="2"/>
      <w:bookmarkEnd w:id="21"/>
    </w:p>
    <w:p w14:paraId="54116C9C" w14:textId="15E56755" w:rsidR="00641606" w:rsidRDefault="00CA1FA8" w:rsidP="00641606">
      <w:pPr>
        <w:pStyle w:val="VRGFBodycontent"/>
      </w:pPr>
      <w:r>
        <w:t>This chapter details findings from the first phase of our study</w:t>
      </w:r>
      <w:r w:rsidR="007B5B43">
        <w:t xml:space="preserve"> </w:t>
      </w:r>
      <w:r w:rsidR="009C3912">
        <w:t xml:space="preserve">– </w:t>
      </w:r>
      <w:r w:rsidR="007B5B43">
        <w:t>a</w:t>
      </w:r>
      <w:r w:rsidR="009C3912">
        <w:t xml:space="preserve"> comprehensive</w:t>
      </w:r>
      <w:r w:rsidR="007B5B43" w:rsidRPr="001546A4">
        <w:t xml:space="preserve"> literature review</w:t>
      </w:r>
      <w:r w:rsidR="00CC0C0D">
        <w:t xml:space="preserve"> </w:t>
      </w:r>
      <w:r w:rsidR="00503412">
        <w:t xml:space="preserve">on </w:t>
      </w:r>
      <w:r w:rsidR="009575D1">
        <w:t>gambling-related</w:t>
      </w:r>
      <w:r w:rsidR="009575D1" w:rsidRPr="001546A4">
        <w:t xml:space="preserve"> </w:t>
      </w:r>
      <w:r w:rsidR="00503412" w:rsidRPr="001546A4">
        <w:t>harms</w:t>
      </w:r>
      <w:r w:rsidR="00641606">
        <w:t>.</w:t>
      </w:r>
      <w:r w:rsidR="008610D3">
        <w:t xml:space="preserve"> </w:t>
      </w:r>
    </w:p>
    <w:p w14:paraId="23FC4428" w14:textId="77777777" w:rsidR="00433DE7" w:rsidRDefault="00433DE7" w:rsidP="00641606">
      <w:pPr>
        <w:pStyle w:val="VRGFBodycontent"/>
      </w:pPr>
    </w:p>
    <w:p w14:paraId="15C14059" w14:textId="0AB0C151" w:rsidR="00F7544B" w:rsidRDefault="00F7544B" w:rsidP="00F7544B">
      <w:pPr>
        <w:pStyle w:val="VRGFHead2"/>
      </w:pPr>
      <w:bookmarkStart w:id="22" w:name="_Toc462737984"/>
      <w:r>
        <w:t>Literature review objective</w:t>
      </w:r>
      <w:r w:rsidR="00BD7BE0">
        <w:t>s</w:t>
      </w:r>
      <w:r>
        <w:t xml:space="preserve"> and method</w:t>
      </w:r>
      <w:bookmarkEnd w:id="22"/>
      <w:r>
        <w:t xml:space="preserve"> </w:t>
      </w:r>
    </w:p>
    <w:p w14:paraId="50824CCC" w14:textId="1A8064AE" w:rsidR="0010414D" w:rsidRDefault="0010414D" w:rsidP="0010414D">
      <w:pPr>
        <w:pStyle w:val="VRGFBodycontent"/>
      </w:pPr>
      <w:r w:rsidRPr="0060218C">
        <w:t xml:space="preserve">Negative impacts associated with problematic gambling are often referred to as </w:t>
      </w:r>
      <w:r>
        <w:t>gambling-related</w:t>
      </w:r>
      <w:r w:rsidRPr="0060218C">
        <w:t xml:space="preserve"> harms.</w:t>
      </w:r>
      <w:r w:rsidR="008610D3">
        <w:t xml:space="preserve"> </w:t>
      </w:r>
      <w:r w:rsidRPr="0060218C">
        <w:t>Whilst this term is used consistently within the gambling literature, there is a lack of clarity as to what constitutes harm and how harm is differentiated from the precursors, symptoms</w:t>
      </w:r>
      <w:r>
        <w:t>,</w:t>
      </w:r>
      <w:r w:rsidRPr="0060218C">
        <w:t xml:space="preserve"> and other characteristics of problem gambling.</w:t>
      </w:r>
      <w:r w:rsidR="008610D3">
        <w:t xml:space="preserve"> </w:t>
      </w:r>
      <w:r w:rsidRPr="0060218C">
        <w:t>This confusion is exemplified by the utilisation of harms as a means of diagnosis or assessment of problem gambling symptomology, and also the use of symptomatology as ‘indicators’ of harm.</w:t>
      </w:r>
      <w:r w:rsidR="008610D3">
        <w:t xml:space="preserve"> </w:t>
      </w:r>
      <w:r w:rsidRPr="0060218C">
        <w:t xml:space="preserve">This has led to a lack of distinction between problematic gambling and gambling harm, and limited the discussion and measurement of harms as a unique conceptual construct. </w:t>
      </w:r>
    </w:p>
    <w:p w14:paraId="4B706231" w14:textId="5C767CE2" w:rsidR="00637E73" w:rsidRPr="00E3060C" w:rsidRDefault="0010414D" w:rsidP="00BD7BE0">
      <w:pPr>
        <w:pStyle w:val="VRGFBodycontent"/>
      </w:pPr>
      <w:r>
        <w:t xml:space="preserve">The objective of this review was to address the above limitation by sourcing evidence that could inform the subsequent phases of </w:t>
      </w:r>
      <w:r w:rsidR="00FE3193">
        <w:t xml:space="preserve">our </w:t>
      </w:r>
      <w:r>
        <w:t>study including</w:t>
      </w:r>
      <w:r w:rsidR="00674CF3">
        <w:t>:</w:t>
      </w:r>
      <w:r>
        <w:t xml:space="preserve"> (1) development of a definition of gambling-related harm</w:t>
      </w:r>
      <w:r w:rsidR="00674CF3">
        <w:t>,</w:t>
      </w:r>
      <w:r>
        <w:t xml:space="preserve"> and (2) production of a conceptual framework of harms associated with gambling.</w:t>
      </w:r>
      <w:r w:rsidR="008610D3">
        <w:t xml:space="preserve"> </w:t>
      </w:r>
      <w:r w:rsidR="007F46B7">
        <w:t>To achieve this objective</w:t>
      </w:r>
      <w:r w:rsidR="00674CF3">
        <w:t>,</w:t>
      </w:r>
      <w:r w:rsidR="007F46B7">
        <w:t xml:space="preserve"> both New Zealand and international literature were searched for definitions of gambling harm and related theoretical frameworks.</w:t>
      </w:r>
      <w:r w:rsidR="008610D3">
        <w:t xml:space="preserve"> </w:t>
      </w:r>
      <w:r w:rsidR="007F46B7">
        <w:t>A focus was given to recent empirical evidence on gambling-related harms as experienced by the different demographic groups in New Zealand</w:t>
      </w:r>
      <w:r w:rsidR="00674CF3">
        <w:t>,</w:t>
      </w:r>
      <w:r w:rsidR="007F46B7">
        <w:t xml:space="preserve"> </w:t>
      </w:r>
      <w:r w:rsidR="00FE3193">
        <w:t xml:space="preserve">particularly </w:t>
      </w:r>
      <w:r w:rsidR="007F46B7">
        <w:t>high-risk groups</w:t>
      </w:r>
      <w:r w:rsidR="00AA09A5">
        <w:t>;</w:t>
      </w:r>
      <w:r w:rsidR="00F22AC4">
        <w:t xml:space="preserve"> </w:t>
      </w:r>
      <w:r w:rsidR="00F22AC4" w:rsidRPr="00F22AC4">
        <w:t>the mechanisms by which harm</w:t>
      </w:r>
      <w:r w:rsidR="00A17765">
        <w:t>s occur</w:t>
      </w:r>
      <w:r w:rsidR="00AA09A5">
        <w:t>;</w:t>
      </w:r>
      <w:r w:rsidR="00F22AC4" w:rsidRPr="00F22AC4">
        <w:t xml:space="preserve"> and how harm is </w:t>
      </w:r>
      <w:r w:rsidR="00A17765">
        <w:t>transmitted</w:t>
      </w:r>
      <w:r w:rsidR="00B019C3">
        <w:t xml:space="preserve"> to </w:t>
      </w:r>
      <w:r w:rsidR="00B019C3" w:rsidRPr="005462E7">
        <w:rPr>
          <w:i/>
        </w:rPr>
        <w:t>affected others</w:t>
      </w:r>
      <w:r w:rsidR="005462E7">
        <w:t xml:space="preserve"> (</w:t>
      </w:r>
      <w:r w:rsidR="005462E7" w:rsidRPr="005462E7">
        <w:t xml:space="preserve">the general term which will be used to describe an individual with a significant relationship to a gambler who is affected by </w:t>
      </w:r>
      <w:r w:rsidR="005462E7" w:rsidRPr="00E3060C">
        <w:t>their behaviour)</w:t>
      </w:r>
      <w:r w:rsidR="00B019C3" w:rsidRPr="00E3060C">
        <w:t>.</w:t>
      </w:r>
      <w:r w:rsidR="008610D3" w:rsidRPr="00E3060C">
        <w:t xml:space="preserve"> </w:t>
      </w:r>
      <w:r w:rsidR="001935F5" w:rsidRPr="00E3060C">
        <w:t xml:space="preserve">Additionally, to inform the </w:t>
      </w:r>
      <w:r w:rsidR="00E3060C">
        <w:t xml:space="preserve">HRQL </w:t>
      </w:r>
      <w:r w:rsidR="001935F5" w:rsidRPr="00E3060C">
        <w:t xml:space="preserve">related components of this study, </w:t>
      </w:r>
      <w:r w:rsidR="00637E73" w:rsidRPr="00E3060C">
        <w:t xml:space="preserve">the literature review also covered </w:t>
      </w:r>
      <w:r w:rsidR="00E3060C">
        <w:t>HRQL</w:t>
      </w:r>
      <w:r w:rsidR="00E3060C" w:rsidRPr="00E3060C">
        <w:t xml:space="preserve"> </w:t>
      </w:r>
      <w:r w:rsidR="00637E73" w:rsidRPr="00E3060C">
        <w:t xml:space="preserve">methodologies, and population-health </w:t>
      </w:r>
      <w:r w:rsidR="00233167" w:rsidRPr="00E3060C">
        <w:t xml:space="preserve">perspectives </w:t>
      </w:r>
      <w:r w:rsidR="00FF5DDA" w:rsidRPr="00E3060C">
        <w:t>concerning</w:t>
      </w:r>
      <w:r w:rsidR="00637E73" w:rsidRPr="00E3060C">
        <w:t xml:space="preserve"> gambling harm</w:t>
      </w:r>
      <w:r w:rsidR="00FF5DDA" w:rsidRPr="00E3060C">
        <w:t xml:space="preserve"> to </w:t>
      </w:r>
      <w:r w:rsidR="001935F5" w:rsidRPr="00E3060C">
        <w:t xml:space="preserve">identify </w:t>
      </w:r>
      <w:r w:rsidR="00233167" w:rsidRPr="00E3060C">
        <w:t>possible</w:t>
      </w:r>
      <w:r w:rsidR="00637E73" w:rsidRPr="00E3060C">
        <w:t xml:space="preserve"> methodological issues.</w:t>
      </w:r>
      <w:r w:rsidR="008610D3" w:rsidRPr="00E3060C">
        <w:t xml:space="preserve"> </w:t>
      </w:r>
      <w:r w:rsidR="003D4672" w:rsidRPr="00E3060C">
        <w:t xml:space="preserve">To ensure </w:t>
      </w:r>
      <w:r w:rsidR="0037092D" w:rsidRPr="00E3060C">
        <w:t xml:space="preserve">method </w:t>
      </w:r>
      <w:r w:rsidR="003D4672" w:rsidRPr="00E3060C">
        <w:t xml:space="preserve">suitability to </w:t>
      </w:r>
      <w:r w:rsidR="0037092D" w:rsidRPr="00E3060C">
        <w:t xml:space="preserve">the </w:t>
      </w:r>
      <w:r w:rsidR="003D4672" w:rsidRPr="00E3060C">
        <w:t>context of gambling in New Zealand</w:t>
      </w:r>
      <w:r w:rsidR="0037092D" w:rsidRPr="00E3060C">
        <w:t>,</w:t>
      </w:r>
      <w:r w:rsidR="003D4672" w:rsidRPr="00E3060C">
        <w:t xml:space="preserve"> </w:t>
      </w:r>
      <w:r w:rsidR="0037092D" w:rsidRPr="00E3060C">
        <w:t>t</w:t>
      </w:r>
      <w:r w:rsidR="003D4672" w:rsidRPr="00E3060C">
        <w:t xml:space="preserve">he review </w:t>
      </w:r>
      <w:r w:rsidR="00F71C43" w:rsidRPr="00E3060C">
        <w:t xml:space="preserve">compared and contrasted </w:t>
      </w:r>
      <w:r w:rsidR="00637E73" w:rsidRPr="00E3060C">
        <w:t xml:space="preserve">alternative </w:t>
      </w:r>
      <w:r w:rsidR="00E3060C">
        <w:t>HRQL</w:t>
      </w:r>
      <w:r w:rsidR="00E3060C" w:rsidRPr="00E3060C">
        <w:t xml:space="preserve"> </w:t>
      </w:r>
      <w:r w:rsidR="00637E73" w:rsidRPr="00E3060C">
        <w:t>methods</w:t>
      </w:r>
      <w:r w:rsidR="00734012" w:rsidRPr="00E3060C">
        <w:t>, prior to selecting the most appropriate ones</w:t>
      </w:r>
      <w:r w:rsidR="00F71C43" w:rsidRPr="00E3060C">
        <w:t xml:space="preserve">. </w:t>
      </w:r>
    </w:p>
    <w:p w14:paraId="617E8F00" w14:textId="037348DF" w:rsidR="00C66A44" w:rsidRDefault="00674CF3" w:rsidP="00C66A44">
      <w:pPr>
        <w:pStyle w:val="VRGFBodycontent"/>
      </w:pPr>
      <w:r w:rsidRPr="00E3060C">
        <w:t>I</w:t>
      </w:r>
      <w:r w:rsidR="000F181B" w:rsidRPr="00E3060C">
        <w:t xml:space="preserve">n the following sections, </w:t>
      </w:r>
      <w:r w:rsidR="000E7BF0" w:rsidRPr="00E3060C">
        <w:t>findings</w:t>
      </w:r>
      <w:r w:rsidR="00C66A44" w:rsidRPr="00E3060C">
        <w:t xml:space="preserve"> from the literature are categorised into </w:t>
      </w:r>
      <w:r w:rsidR="0018322C" w:rsidRPr="00E3060C">
        <w:t xml:space="preserve">thematic </w:t>
      </w:r>
      <w:r w:rsidR="00C66A44" w:rsidRPr="00E3060C">
        <w:t xml:space="preserve">headings representing </w:t>
      </w:r>
      <w:r w:rsidR="000F181B" w:rsidRPr="00E3060C">
        <w:t xml:space="preserve">the types of harm experienced and </w:t>
      </w:r>
      <w:r w:rsidR="0009573A" w:rsidRPr="00E3060C">
        <w:t xml:space="preserve">the </w:t>
      </w:r>
      <w:r w:rsidR="00C66A44" w:rsidRPr="00E3060C">
        <w:t xml:space="preserve">different levels and categories of </w:t>
      </w:r>
      <w:r w:rsidR="000E7BF0" w:rsidRPr="00E3060C">
        <w:t xml:space="preserve">gambling-related </w:t>
      </w:r>
      <w:r w:rsidR="00C66A44" w:rsidRPr="00E3060C">
        <w:t>harm.</w:t>
      </w:r>
      <w:r w:rsidR="008610D3" w:rsidRPr="00E3060C">
        <w:t xml:space="preserve"> </w:t>
      </w:r>
      <w:r w:rsidR="00734012" w:rsidRPr="00E3060C">
        <w:t xml:space="preserve">Findings from the literature on </w:t>
      </w:r>
      <w:r w:rsidR="00E3060C">
        <w:t>HRQL</w:t>
      </w:r>
      <w:r w:rsidR="00E3060C" w:rsidRPr="00E3060C">
        <w:t xml:space="preserve"> </w:t>
      </w:r>
      <w:r w:rsidR="00BD7BE0" w:rsidRPr="00E3060C">
        <w:t>methodologies are summarised at the start of the respective chapters.</w:t>
      </w:r>
    </w:p>
    <w:p w14:paraId="1FCF6AF4" w14:textId="77777777" w:rsidR="00433DE7" w:rsidRDefault="00433DE7" w:rsidP="00C66A44">
      <w:pPr>
        <w:pStyle w:val="VRGFBodycontent"/>
      </w:pPr>
    </w:p>
    <w:p w14:paraId="5E5D934E" w14:textId="77777777" w:rsidR="00BA38AF" w:rsidRPr="0060218C" w:rsidRDefault="00BA38AF" w:rsidP="00BA38AF">
      <w:pPr>
        <w:pStyle w:val="VRGFHead2"/>
      </w:pPr>
      <w:bookmarkStart w:id="23" w:name="_Toc462737985"/>
      <w:r w:rsidRPr="0060218C">
        <w:t>D</w:t>
      </w:r>
      <w:r>
        <w:t>efinitions of gambling-related harm</w:t>
      </w:r>
      <w:bookmarkEnd w:id="23"/>
      <w:r>
        <w:t xml:space="preserve"> </w:t>
      </w:r>
    </w:p>
    <w:p w14:paraId="6782B477" w14:textId="3217A4A4" w:rsidR="005E39E4" w:rsidRPr="0060218C" w:rsidRDefault="005E39E4" w:rsidP="005E39E4">
      <w:pPr>
        <w:pStyle w:val="VRGFBodycontent"/>
      </w:pPr>
      <w:r w:rsidRPr="0060218C">
        <w:t xml:space="preserve">Presently, there is a lack of a universal definition that is adequate in describing </w:t>
      </w:r>
      <w:r>
        <w:t>gambling-related</w:t>
      </w:r>
      <w:r w:rsidRPr="0060218C">
        <w:t xml:space="preserve"> harm.</w:t>
      </w:r>
      <w:r w:rsidR="008610D3">
        <w:t xml:space="preserve"> </w:t>
      </w:r>
      <w:r w:rsidRPr="0060218C">
        <w:t xml:space="preserve">The New Zealand definition of </w:t>
      </w:r>
      <w:r>
        <w:t>gambling-related</w:t>
      </w:r>
      <w:r w:rsidRPr="0060218C">
        <w:t xml:space="preserve"> harm is the most comprehensive definition to date; it is consistent with a public health approach, and captures trends of harm highlighted within the literature.</w:t>
      </w:r>
      <w:r w:rsidR="008610D3">
        <w:t xml:space="preserve"> </w:t>
      </w:r>
      <w:r w:rsidRPr="0060218C">
        <w:t>This definition is more thoroughly explored within the following section of this review</w:t>
      </w:r>
      <w:r>
        <w:t>;</w:t>
      </w:r>
      <w:r w:rsidRPr="0060218C">
        <w:t xml:space="preserve"> however, it illustrates the utility of a public health approach for providing a promising framework for understanding </w:t>
      </w:r>
      <w:r>
        <w:t>gambling-related</w:t>
      </w:r>
      <w:r w:rsidRPr="0060218C">
        <w:t xml:space="preserve"> harm, and is central to New Zealand gambling policy.</w:t>
      </w:r>
      <w:r w:rsidR="008610D3">
        <w:t xml:space="preserve"> </w:t>
      </w:r>
      <w:r>
        <w:t>New Zealand</w:t>
      </w:r>
      <w:r w:rsidRPr="0060218C">
        <w:t xml:space="preserve"> </w:t>
      </w:r>
      <w:r>
        <w:lastRenderedPageBreak/>
        <w:t xml:space="preserve">policy </w:t>
      </w:r>
      <w:r w:rsidRPr="0060218C">
        <w:t>stems from the 2003 legislation</w:t>
      </w:r>
      <w:r>
        <w:t>,</w:t>
      </w:r>
      <w:r w:rsidRPr="0060218C">
        <w:t xml:space="preserve"> which enshrined an explicit public health approach to gambling</w:t>
      </w:r>
      <w:r>
        <w:t xml:space="preserve"> (</w:t>
      </w:r>
      <w:r w:rsidRPr="0060218C">
        <w:t>Ministry of Health, 2005, 2010, 2013).</w:t>
      </w:r>
      <w:r w:rsidR="008610D3">
        <w:t xml:space="preserve"> </w:t>
      </w:r>
      <w:r w:rsidRPr="0060218C">
        <w:t xml:space="preserve">For example, the Ministry’s first strategic plan around problem gambling (Ministry of Health, 2005) provided a high-level framework to guide primary prevention and population approaches to minimise gambling-related harm, through to more </w:t>
      </w:r>
      <w:r>
        <w:t>selective</w:t>
      </w:r>
      <w:r w:rsidRPr="0060218C">
        <w:t xml:space="preserve"> intervention services for individuals, their families and significant others.</w:t>
      </w:r>
      <w:r w:rsidR="008610D3">
        <w:t xml:space="preserve"> </w:t>
      </w:r>
      <w:r w:rsidRPr="0060218C">
        <w:t xml:space="preserve">Despite such efforts, the public health approach to </w:t>
      </w:r>
      <w:r>
        <w:t>gambling-related</w:t>
      </w:r>
      <w:r w:rsidRPr="0060218C">
        <w:t xml:space="preserve"> harm would benefit from a universal definition that can be operationalised and measured in order to support effective policy and evaluation. </w:t>
      </w:r>
    </w:p>
    <w:p w14:paraId="1C522355" w14:textId="274B00D1" w:rsidR="005E39E4" w:rsidRDefault="005E39E4" w:rsidP="005E39E4">
      <w:pPr>
        <w:pStyle w:val="VRGFBodycontent"/>
      </w:pPr>
      <w:r w:rsidRPr="0060218C">
        <w:t xml:space="preserve">As highlighted in the New Zealand definition, </w:t>
      </w:r>
      <w:r>
        <w:t>gambling-related</w:t>
      </w:r>
      <w:r w:rsidRPr="0060218C">
        <w:t xml:space="preserve"> harm should be understood not only in terms of the effects on the person who gambles but impacts that can occur to family, friends, whānau (extended family)</w:t>
      </w:r>
      <w:r>
        <w:t>,</w:t>
      </w:r>
      <w:r w:rsidRPr="0060218C">
        <w:t xml:space="preserve"> and the broader community.</w:t>
      </w:r>
      <w:r w:rsidR="008610D3">
        <w:t xml:space="preserve"> </w:t>
      </w:r>
      <w:r w:rsidRPr="0060218C">
        <w:t>Harms can also affect multiple domains of life including, but not limited to: financial hardships, poorer health, psychological and emotional distress, and impaired social and cultural relationships.</w:t>
      </w:r>
      <w:r w:rsidR="008610D3">
        <w:t xml:space="preserve"> </w:t>
      </w:r>
      <w:r w:rsidRPr="0060218C">
        <w:t>Each of these harms can occur with varying trajectories, often escalating to a crisis point and continuing to have an impact even after th</w:t>
      </w:r>
      <w:r w:rsidR="0018391B">
        <w:t>e problematic behaviour ceases.</w:t>
      </w:r>
      <w:r w:rsidR="008610D3">
        <w:t xml:space="preserve"> </w:t>
      </w:r>
      <w:r w:rsidRPr="0060218C">
        <w:t xml:space="preserve">The fact that </w:t>
      </w:r>
      <w:r>
        <w:t>gambling-related</w:t>
      </w:r>
      <w:r w:rsidRPr="0060218C">
        <w:t xml:space="preserve"> harms (e.g. due to relationship breakdown or loss of significant financial assets) can persist long after the problematic behaviour ceases, highlights the importance of distinguishing between </w:t>
      </w:r>
      <w:r w:rsidR="00B46517">
        <w:t>the</w:t>
      </w:r>
      <w:r w:rsidRPr="0060218C">
        <w:t xml:space="preserve"> concepts</w:t>
      </w:r>
      <w:r w:rsidR="00B46517">
        <w:t xml:space="preserve"> of harm and behaviour</w:t>
      </w:r>
      <w:r w:rsidRPr="0060218C">
        <w:t>.</w:t>
      </w:r>
      <w:r w:rsidR="008610D3">
        <w:t xml:space="preserve"> </w:t>
      </w:r>
      <w:r w:rsidRPr="0060218C">
        <w:t xml:space="preserve">As will be discussed in detail below, </w:t>
      </w:r>
      <w:r>
        <w:t>gambling-related</w:t>
      </w:r>
      <w:r w:rsidRPr="0060218C">
        <w:t xml:space="preserve"> harms often occur in the presence of other negative life events – making it difficult to determine the degree to which gambling is the instrumental factor.</w:t>
      </w:r>
      <w:r w:rsidR="008610D3">
        <w:t xml:space="preserve"> </w:t>
      </w:r>
      <w:r w:rsidRPr="0060218C">
        <w:t>This review will consider in detail the conceptualisation and operationalisation of gambling harms, as distinct from the problematic behaviour, with specific reference to the New Zealand context.</w:t>
      </w:r>
    </w:p>
    <w:p w14:paraId="5E33A6F3" w14:textId="524D2D69" w:rsidR="005E39E4" w:rsidRPr="0060218C" w:rsidRDefault="005E39E4" w:rsidP="005E39E4">
      <w:pPr>
        <w:pStyle w:val="VRGFBodycontent"/>
      </w:pPr>
      <w:r w:rsidRPr="0060218C">
        <w:t xml:space="preserve">Despite consistent use of the term </w:t>
      </w:r>
      <w:r>
        <w:t>‘</w:t>
      </w:r>
      <w:r w:rsidRPr="0060218C">
        <w:t>harm</w:t>
      </w:r>
      <w:r>
        <w:t>’</w:t>
      </w:r>
      <w:r w:rsidRPr="0060218C">
        <w:t xml:space="preserve"> within the literature to describe the potential consequences of problem gambling, an internationally accepted or agreed-upon definition has yet to be proposed.</w:t>
      </w:r>
      <w:r w:rsidR="008610D3">
        <w:t xml:space="preserve"> </w:t>
      </w:r>
      <w:r w:rsidRPr="0060218C">
        <w:t>It is reasonable to treat harm as the damage or negative consequences caused by an action or behaviour, in this case gambling.</w:t>
      </w:r>
      <w:r w:rsidR="008610D3">
        <w:t xml:space="preserve"> </w:t>
      </w:r>
      <w:r w:rsidRPr="0060218C">
        <w:t>However, traditional attempts to define harm have tended to either focus on financial loss or to treat symptomatology of gambling problems as a proxy for harm.</w:t>
      </w:r>
      <w:r w:rsidR="008610D3">
        <w:t xml:space="preserve"> </w:t>
      </w:r>
      <w:r w:rsidRPr="0060218C">
        <w:t xml:space="preserve">As such, these definitions do not encompass the breadth of harms that can occur (e.g. emotional and social), and </w:t>
      </w:r>
      <w:r>
        <w:t>side</w:t>
      </w:r>
      <w:r w:rsidRPr="0060218C">
        <w:t xml:space="preserve">steps questions such as </w:t>
      </w:r>
      <w:r w:rsidRPr="0060218C">
        <w:rPr>
          <w:i/>
        </w:rPr>
        <w:t xml:space="preserve">what </w:t>
      </w:r>
      <w:r w:rsidRPr="0060218C">
        <w:t xml:space="preserve">constitutes harm and </w:t>
      </w:r>
      <w:r w:rsidRPr="0060218C">
        <w:rPr>
          <w:i/>
        </w:rPr>
        <w:t xml:space="preserve">who </w:t>
      </w:r>
      <w:r w:rsidRPr="0060218C">
        <w:t>is experiencing the harm.</w:t>
      </w:r>
      <w:r w:rsidR="008610D3">
        <w:t xml:space="preserve"> </w:t>
      </w:r>
      <w:r w:rsidRPr="0060218C">
        <w:t xml:space="preserve">Few attempts at a clear definition of </w:t>
      </w:r>
      <w:r>
        <w:t>gambling-related</w:t>
      </w:r>
      <w:r w:rsidRPr="0060218C">
        <w:t xml:space="preserve"> harm can be identified in the literature.</w:t>
      </w:r>
      <w:r w:rsidR="008610D3">
        <w:t xml:space="preserve"> </w:t>
      </w:r>
      <w:r w:rsidRPr="0060218C">
        <w:t xml:space="preserve">An Australian definition from the Queensland Government (QLD Treasury, 2002) positioned </w:t>
      </w:r>
      <w:r>
        <w:t>gambling-related</w:t>
      </w:r>
      <w:r w:rsidRPr="0060218C">
        <w:t xml:space="preserve"> harm as a ‘range of adverse consequences’, in which ‘the safety or wellbeing of gambling consumers or their family or friends are placed at risk’ and/or negative impacts extended to the broader community</w:t>
      </w:r>
      <w:r>
        <w:t>’</w:t>
      </w:r>
      <w:r w:rsidRPr="0060218C">
        <w:t>.</w:t>
      </w:r>
      <w:r w:rsidR="008610D3">
        <w:t xml:space="preserve"> </w:t>
      </w:r>
      <w:r w:rsidRPr="0060218C">
        <w:t>This definition fails to determine what constitutes harm and rather utilises a product safety paradigm to assess the potential hazard of product consumption.</w:t>
      </w:r>
      <w:r>
        <w:t xml:space="preserve"> </w:t>
      </w:r>
    </w:p>
    <w:p w14:paraId="7E98AD76" w14:textId="4278700A" w:rsidR="005E39E4" w:rsidRPr="0060218C" w:rsidRDefault="005E39E4" w:rsidP="005E39E4">
      <w:pPr>
        <w:pStyle w:val="VRGFBodycontent"/>
      </w:pPr>
      <w:r w:rsidRPr="0060218C">
        <w:t xml:space="preserve">New Zealand’s definition conceptualises </w:t>
      </w:r>
      <w:r>
        <w:t>gambling-related</w:t>
      </w:r>
      <w:r w:rsidRPr="0060218C">
        <w:t xml:space="preserve"> harm in a manner better suited to a public health approach to the issue.</w:t>
      </w:r>
      <w:r w:rsidR="008610D3">
        <w:t xml:space="preserve"> </w:t>
      </w:r>
      <w:r w:rsidRPr="0060218C">
        <w:t>The codification of the definition in legislation has ensured that it remains central to the development of policy and harm minimisation strategies.</w:t>
      </w:r>
      <w:r w:rsidR="008610D3">
        <w:t xml:space="preserve"> </w:t>
      </w:r>
      <w:r>
        <w:t>Gambling-related</w:t>
      </w:r>
      <w:r w:rsidRPr="0060218C">
        <w:t xml:space="preserve"> harm is identified as occurring as a consequence of problem gambling, which is in turn</w:t>
      </w:r>
      <w:r>
        <w:t xml:space="preserve"> </w:t>
      </w:r>
      <w:r w:rsidRPr="0060218C">
        <w:t>described as any gambling that causes or may cause harm to an individual, his or her family, or the wider community (Department of Internal Affairs, 2013).</w:t>
      </w:r>
      <w:r w:rsidR="008610D3">
        <w:t xml:space="preserve"> </w:t>
      </w:r>
      <w:r w:rsidRPr="0060218C">
        <w:t>Despite the somewhat tautological definition of the two constructs, the definition has a number of strengths.</w:t>
      </w:r>
      <w:r w:rsidR="008610D3">
        <w:t xml:space="preserve"> </w:t>
      </w:r>
      <w:r w:rsidRPr="0060218C">
        <w:t xml:space="preserve">The New Zealand definition emphasises the multiple social levels at which </w:t>
      </w:r>
      <w:r>
        <w:t>gambling-related</w:t>
      </w:r>
      <w:r w:rsidRPr="0060218C">
        <w:t xml:space="preserve"> harm can be experienced</w:t>
      </w:r>
      <w:r>
        <w:t>:</w:t>
      </w:r>
      <w:r w:rsidRPr="0060218C">
        <w:t xml:space="preserve"> the individual person, spouse or partner, family, whānau, the wider community, workplace</w:t>
      </w:r>
      <w:r>
        <w:t>,</w:t>
      </w:r>
      <w:r w:rsidRPr="0060218C">
        <w:t xml:space="preserve"> or broader society.</w:t>
      </w:r>
      <w:r w:rsidR="008610D3">
        <w:t xml:space="preserve"> </w:t>
      </w:r>
      <w:r w:rsidRPr="0060218C">
        <w:t>It also provides more clarity in terms of the mechanism, suggesting harm is any kind of “harm” or distress arising from, or caused or exacerbated by a person’s gambling (The New Zealand Gambling Act, 2003).</w:t>
      </w:r>
      <w:r w:rsidR="008610D3">
        <w:t xml:space="preserve"> </w:t>
      </w:r>
      <w:r w:rsidRPr="0060218C">
        <w:t xml:space="preserve">Implicit in this statement is delineation between the problematic behaviour and the harmful </w:t>
      </w:r>
      <w:r w:rsidRPr="0060218C">
        <w:lastRenderedPageBreak/>
        <w:t>consequences that ensue.</w:t>
      </w:r>
      <w:r w:rsidR="008610D3">
        <w:t xml:space="preserve"> </w:t>
      </w:r>
      <w:r w:rsidRPr="0060218C">
        <w:t>Subsequently, the harm or distress encompassed within this definition is then explicitly referred to as personal, social</w:t>
      </w:r>
      <w:r>
        <w:t>,</w:t>
      </w:r>
      <w:r w:rsidRPr="0060218C">
        <w:t xml:space="preserve"> and economic harms.</w:t>
      </w:r>
    </w:p>
    <w:p w14:paraId="42438B5E" w14:textId="7064519A" w:rsidR="005E39E4" w:rsidRPr="0060218C" w:rsidRDefault="00856C78" w:rsidP="005E39E4">
      <w:pPr>
        <w:pStyle w:val="VRGFBodycontent"/>
      </w:pPr>
      <w:r>
        <w:t>S</w:t>
      </w:r>
      <w:r w:rsidRPr="0060218C">
        <w:t>ome authors have been critical of both</w:t>
      </w:r>
      <w:r w:rsidRPr="00846128">
        <w:t xml:space="preserve"> </w:t>
      </w:r>
      <w:r>
        <w:t xml:space="preserve">the </w:t>
      </w:r>
      <w:r w:rsidR="005E39E4" w:rsidRPr="00846128">
        <w:t>Queensland Government and the New Zealand definitions,</w:t>
      </w:r>
      <w:r w:rsidR="008610D3">
        <w:t xml:space="preserve"> </w:t>
      </w:r>
      <w:r w:rsidR="005E39E4" w:rsidRPr="0060218C">
        <w:t>suggesting they are too vague and imprecise to be operationalised in terms of measurement (Currie, Miller, Hodgins</w:t>
      </w:r>
      <w:r w:rsidR="005E39E4">
        <w:t>,</w:t>
      </w:r>
      <w:r w:rsidR="005E39E4" w:rsidRPr="0060218C">
        <w:t xml:space="preserve"> &amp; Wang, 2009; Neal, Delfabbro</w:t>
      </w:r>
      <w:r w:rsidR="005E39E4">
        <w:t>,</w:t>
      </w:r>
      <w:r w:rsidR="005E39E4" w:rsidRPr="0060218C">
        <w:t xml:space="preserve"> &amp; O’Neil, 2005).</w:t>
      </w:r>
      <w:r w:rsidR="008610D3">
        <w:t xml:space="preserve"> </w:t>
      </w:r>
      <w:r w:rsidR="005E39E4" w:rsidRPr="0060218C">
        <w:t xml:space="preserve">Both definitions identify that </w:t>
      </w:r>
      <w:r w:rsidR="005E39E4">
        <w:t>gambling-related</w:t>
      </w:r>
      <w:r w:rsidR="005E39E4" w:rsidRPr="0060218C">
        <w:t xml:space="preserve"> harm extends beyond the individual who gambles to their families, friends and community.</w:t>
      </w:r>
      <w:r w:rsidR="008610D3">
        <w:t xml:space="preserve"> </w:t>
      </w:r>
      <w:r w:rsidR="005E39E4" w:rsidRPr="0060218C">
        <w:t>This is especially important when understanding the impact of harm in a New Zealand context, as family and community ties are more highly valued within some cultural groups, extending beyond the immediate family or geographic location.</w:t>
      </w:r>
      <w:r w:rsidR="008610D3">
        <w:t xml:space="preserve"> </w:t>
      </w:r>
      <w:r w:rsidR="005E39E4" w:rsidRPr="0060218C">
        <w:t xml:space="preserve">Another important distinction between the two is that the New Zealand definition highlights the comorbid nature of gambling problems, and potential for complex interactive causal effects, by noting that gambling can </w:t>
      </w:r>
      <w:r w:rsidR="005E39E4" w:rsidRPr="0060218C">
        <w:rPr>
          <w:i/>
        </w:rPr>
        <w:t xml:space="preserve">exacerbate, </w:t>
      </w:r>
      <w:r w:rsidR="005E39E4" w:rsidRPr="0060218C">
        <w:t xml:space="preserve">as well as </w:t>
      </w:r>
      <w:r w:rsidR="005E39E4" w:rsidRPr="0060218C">
        <w:rPr>
          <w:i/>
        </w:rPr>
        <w:t xml:space="preserve">generate </w:t>
      </w:r>
      <w:r w:rsidR="005E39E4" w:rsidRPr="0060218C">
        <w:t>harms (Currie et al., 2009).</w:t>
      </w:r>
      <w:r w:rsidR="008610D3">
        <w:t xml:space="preserve"> </w:t>
      </w:r>
      <w:r w:rsidR="005E39E4" w:rsidRPr="0060218C">
        <w:t xml:space="preserve">This is an important distinction in terms of the conceptualisation of </w:t>
      </w:r>
      <w:r w:rsidR="005E39E4">
        <w:t>gambling-related</w:t>
      </w:r>
      <w:r w:rsidR="005E39E4" w:rsidRPr="0060218C">
        <w:t xml:space="preserve"> harm, because it can often co-occur with other harmful behaviours or conditions that interact with one another, such as depression or alcoholism.</w:t>
      </w:r>
      <w:r w:rsidR="008610D3">
        <w:t xml:space="preserve"> </w:t>
      </w:r>
      <w:r w:rsidR="005E39E4" w:rsidRPr="0060218C">
        <w:t>Unlike the Queensland definition, which makes no attempt to identify the different domains affected by gambling, the New Zealand definition identifies potential domains (personal, social</w:t>
      </w:r>
      <w:r w:rsidR="005E39E4">
        <w:t>,</w:t>
      </w:r>
      <w:r w:rsidR="005E39E4" w:rsidRPr="0060218C">
        <w:t xml:space="preserve"> and economic), which may be vulnerable to </w:t>
      </w:r>
      <w:r w:rsidR="005E39E4">
        <w:t>gambling-related</w:t>
      </w:r>
      <w:r w:rsidR="005E39E4" w:rsidRPr="0060218C">
        <w:t xml:space="preserve"> harm. </w:t>
      </w:r>
    </w:p>
    <w:p w14:paraId="34466699" w14:textId="4FC0850F" w:rsidR="005E39E4" w:rsidRPr="0060218C" w:rsidRDefault="005E39E4" w:rsidP="005E39E4">
      <w:pPr>
        <w:pStyle w:val="VRGFBodycontent"/>
      </w:pPr>
      <w:r w:rsidRPr="0060218C">
        <w:t xml:space="preserve">Neal et al. (2005) addressed the lack of an internationally accepted definition of </w:t>
      </w:r>
      <w:r>
        <w:t>gambling-related</w:t>
      </w:r>
      <w:r w:rsidRPr="0060218C">
        <w:t xml:space="preserve"> harm, suggesting this may be the result of the multi-disciplinary interest in the phenomena of gambling, and reflect that each research field has its own approaches and perspectives on the topic.</w:t>
      </w:r>
      <w:r w:rsidR="008610D3">
        <w:t xml:space="preserve"> </w:t>
      </w:r>
      <w:r w:rsidRPr="0060218C">
        <w:t>Regardless of the cause, this failure to have developed a detailed and explicit definition, within an accompanying conceptual model, makes it challenging to operationalise the concept and thereby measure the impacts or severity of harm experienced (Neal et al., 2005).</w:t>
      </w:r>
      <w:r w:rsidR="008610D3">
        <w:t xml:space="preserve"> </w:t>
      </w:r>
      <w:r w:rsidRPr="0060218C">
        <w:t xml:space="preserve">Despite these criticisms of other definitions of harm, Neal et al. (2005) and Currie et al. (2009) did not provide a definition for </w:t>
      </w:r>
      <w:r>
        <w:t>gambling-related</w:t>
      </w:r>
      <w:r w:rsidRPr="0060218C">
        <w:t xml:space="preserve"> harm.</w:t>
      </w:r>
      <w:r w:rsidR="008610D3">
        <w:t xml:space="preserve"> </w:t>
      </w:r>
      <w:r w:rsidRPr="0060218C">
        <w:t>Instead, harmful behaviour is either explicitly or implicitly referred to as having “negative consequences” and thus these negative consequences are the harm caused by the behaviour (gambling).</w:t>
      </w:r>
      <w:r w:rsidR="008610D3">
        <w:t xml:space="preserve"> </w:t>
      </w:r>
      <w:r w:rsidRPr="0060218C">
        <w:t xml:space="preserve">Such interchangeable use of the term harm to describe the behaviour has made it difficult to distinguish the difference between harm (being the outcome or effect of behaviour) and the source (problematic gambling behaviour). </w:t>
      </w:r>
    </w:p>
    <w:p w14:paraId="34650976" w14:textId="5CAF1DCE" w:rsidR="00F925EA" w:rsidRPr="00BA49F6" w:rsidRDefault="005E39E4" w:rsidP="005E39E4">
      <w:pPr>
        <w:pStyle w:val="VRGFBodycontent"/>
      </w:pPr>
      <w:r w:rsidRPr="0060218C">
        <w:t xml:space="preserve">Although there have been limited attempts at defining </w:t>
      </w:r>
      <w:r>
        <w:t>gambling-related</w:t>
      </w:r>
      <w:r w:rsidRPr="0060218C">
        <w:t xml:space="preserve"> harm, social and cultural construction of harm has been examined in relation to gambling (Borrell &amp; Boulet, 2005).</w:t>
      </w:r>
      <w:r w:rsidR="008610D3">
        <w:t xml:space="preserve"> </w:t>
      </w:r>
      <w:r w:rsidR="00C64FD3">
        <w:t xml:space="preserve">More recently, the Conceptual Framework of Harmful Gambling has been developed to provide an internationally relevant broad set of factors that conceptualises gambling-related harm and identifies the influencing factors causing harm to populations, communities and societies (Abbott et al., 2015). This is discussed in more </w:t>
      </w:r>
      <w:r w:rsidR="00C64FD3" w:rsidRPr="00BA49F6">
        <w:t xml:space="preserve">detail later in this chapter. </w:t>
      </w:r>
    </w:p>
    <w:p w14:paraId="0BDAC012" w14:textId="13117639" w:rsidR="005E39E4" w:rsidRPr="0060218C" w:rsidRDefault="005E39E4" w:rsidP="005E39E4">
      <w:pPr>
        <w:pStyle w:val="VRGFBodycontent"/>
      </w:pPr>
      <w:r w:rsidRPr="00BA49F6">
        <w:t>The World Health Organisation’s (WHO) definition of health highlights that different cultures have different understanding and experiences of health, suggesting that health and wellbeing are social constructs and any decrement to them would also be socially constructed.</w:t>
      </w:r>
      <w:r w:rsidR="008610D3" w:rsidRPr="00BA49F6">
        <w:t xml:space="preserve"> </w:t>
      </w:r>
      <w:r w:rsidRPr="00BA49F6">
        <w:t>This too has been reflected within the gambling literature.</w:t>
      </w:r>
      <w:r w:rsidR="008610D3" w:rsidRPr="00BA49F6">
        <w:t xml:space="preserve"> </w:t>
      </w:r>
      <w:r w:rsidRPr="00BA49F6">
        <w:t>Studies of Australian and Canadian indigenous populations have highlighted links between gambling and discrimination (Currie, Wild, Schopflocher, Laing, Veugelers, &amp; Parlee, 2013), but</w:t>
      </w:r>
      <w:r w:rsidRPr="0060218C">
        <w:t xml:space="preserve"> have also illustrated the susceptibility of indigenous populations to develop high severity gambling problems (Bertossa &amp; Harvey, 2012; Nagel, Hinton, Thompson</w:t>
      </w:r>
      <w:r>
        <w:t>,</w:t>
      </w:r>
      <w:r w:rsidRPr="0060218C">
        <w:t xml:space="preserve"> &amp; Spencer, </w:t>
      </w:r>
      <w:r w:rsidRPr="00F5168D">
        <w:t>2011</w:t>
      </w:r>
      <w:r w:rsidRPr="0060218C">
        <w:t xml:space="preserve">; Wardman, </w:t>
      </w:r>
      <w:r>
        <w:t>E</w:t>
      </w:r>
      <w:r w:rsidRPr="0060218C">
        <w:t>l-Guebaly</w:t>
      </w:r>
      <w:r>
        <w:t>,</w:t>
      </w:r>
      <w:r w:rsidRPr="0060218C">
        <w:t xml:space="preserve"> &amp; Hodgins, 2001).</w:t>
      </w:r>
      <w:r w:rsidR="008610D3">
        <w:t xml:space="preserve"> </w:t>
      </w:r>
      <w:r w:rsidRPr="0060218C">
        <w:t xml:space="preserve">These findings are of particular relevance to the New Zealand context because of the sustained (over the past two decades) higher risk of developing </w:t>
      </w:r>
      <w:r>
        <w:t>gambling problems,</w:t>
      </w:r>
      <w:r w:rsidRPr="0060218C">
        <w:t xml:space="preserve"> and with it</w:t>
      </w:r>
      <w:r>
        <w:t>,</w:t>
      </w:r>
      <w:r w:rsidRPr="0060218C">
        <w:t xml:space="preserve"> the associated harms amongst certain populations which </w:t>
      </w:r>
      <w:r w:rsidRPr="0060218C">
        <w:lastRenderedPageBreak/>
        <w:t>includes Māori, migrants (particularly Pacific people in New Zealand)</w:t>
      </w:r>
      <w:r>
        <w:t>,</w:t>
      </w:r>
      <w:r w:rsidRPr="0060218C">
        <w:t xml:space="preserve"> and people of lower socio-economic status (e.g. see</w:t>
      </w:r>
      <w:r w:rsidR="00263368">
        <w:t xml:space="preserve"> </w:t>
      </w:r>
      <w:r w:rsidR="00263368" w:rsidRPr="00263368">
        <w:t>Abbott</w:t>
      </w:r>
      <w:r w:rsidR="00263368">
        <w:t xml:space="preserve">, Bellringer, Garrett, &amp; Mundy-McPherson, </w:t>
      </w:r>
      <w:r w:rsidR="00263368" w:rsidRPr="00263368">
        <w:t>2014a</w:t>
      </w:r>
      <w:r w:rsidR="00263368">
        <w:t>, 2015</w:t>
      </w:r>
      <w:r w:rsidRPr="0060218C">
        <w:t>; Abbott &amp; Volberg, 1991, 1996, 2000; Ministry of Health, 2006, 2008</w:t>
      </w:r>
      <w:r>
        <w:t>a</w:t>
      </w:r>
      <w:r w:rsidRPr="0060218C">
        <w:t>).</w:t>
      </w:r>
      <w:r w:rsidR="008610D3">
        <w:t xml:space="preserve"> </w:t>
      </w:r>
      <w:r w:rsidRPr="0060218C">
        <w:t>While Māori and other indigenous minority people experience higher rates of harm (consistent with colonisation, oppression</w:t>
      </w:r>
      <w:r>
        <w:t>,</w:t>
      </w:r>
      <w:r w:rsidRPr="0060218C">
        <w:t xml:space="preserve"> persistent social disadvantage</w:t>
      </w:r>
      <w:r>
        <w:t>,</w:t>
      </w:r>
      <w:r w:rsidRPr="0060218C">
        <w:t xml:space="preserve"> and health and wellbeing issues) it remains unclear how these factors link with gambling participation and harm (Abbott et al., 201</w:t>
      </w:r>
      <w:r w:rsidR="00F925EA">
        <w:t>5</w:t>
      </w:r>
      <w:r w:rsidRPr="0060218C">
        <w:t>).</w:t>
      </w:r>
      <w:r w:rsidR="008610D3">
        <w:t xml:space="preserve"> </w:t>
      </w:r>
      <w:r w:rsidRPr="0060218C">
        <w:t>Gambling harm for Māori has been identified with ongoing effects of colonisation (trauma, boredom, limited education, employment opportunities, alienation</w:t>
      </w:r>
      <w:r>
        <w:t>,</w:t>
      </w:r>
      <w:r w:rsidRPr="0060218C">
        <w:t xml:space="preserve"> and ongoing racial discrimination) operating in New Zealand society (Dyall, 2010).</w:t>
      </w:r>
      <w:r w:rsidR="008610D3">
        <w:t xml:space="preserve"> </w:t>
      </w:r>
      <w:r w:rsidRPr="0060218C">
        <w:t xml:space="preserve">Recent data from </w:t>
      </w:r>
      <w:r>
        <w:t xml:space="preserve">the </w:t>
      </w:r>
      <w:r w:rsidRPr="00F5168D">
        <w:t xml:space="preserve">New Zealand </w:t>
      </w:r>
      <w:r>
        <w:t>(</w:t>
      </w:r>
      <w:r w:rsidRPr="00F5168D">
        <w:t>2012</w:t>
      </w:r>
      <w:r>
        <w:t>)</w:t>
      </w:r>
      <w:r w:rsidRPr="00F5168D">
        <w:t xml:space="preserve"> National Gambling Study suggests</w:t>
      </w:r>
      <w:r w:rsidRPr="0060218C">
        <w:t xml:space="preserve"> that these findings cannot be accounted for by demographic differences and measures of social and economic inequality alone.</w:t>
      </w:r>
      <w:r w:rsidR="008610D3">
        <w:t xml:space="preserve"> </w:t>
      </w:r>
      <w:r w:rsidRPr="0060218C">
        <w:t>These factors play a significant part in explaining high rates of problem gambling among Māori</w:t>
      </w:r>
      <w:r>
        <w:t>;</w:t>
      </w:r>
      <w:r w:rsidRPr="0060218C">
        <w:t xml:space="preserve"> however</w:t>
      </w:r>
      <w:r>
        <w:t>,</w:t>
      </w:r>
      <w:r w:rsidRPr="0060218C">
        <w:t xml:space="preserve"> ethnicity per se </w:t>
      </w:r>
      <w:r>
        <w:t xml:space="preserve">also </w:t>
      </w:r>
      <w:r w:rsidRPr="0060218C">
        <w:t>remains an important predictor (Abbott et al, 2014a</w:t>
      </w:r>
      <w:r>
        <w:t>)</w:t>
      </w:r>
      <w:r w:rsidRPr="0060218C">
        <w:t>.</w:t>
      </w:r>
    </w:p>
    <w:p w14:paraId="620726C3" w14:textId="049BE3C2" w:rsidR="005E39E4" w:rsidRDefault="005E39E4" w:rsidP="005E39E4">
      <w:pPr>
        <w:pStyle w:val="VRGFBodycontent"/>
      </w:pPr>
      <w:r w:rsidRPr="0060218C">
        <w:t xml:space="preserve">Attempts to define </w:t>
      </w:r>
      <w:r>
        <w:t>gambling-related</w:t>
      </w:r>
      <w:r w:rsidRPr="0060218C">
        <w:t xml:space="preserve"> harm to date have been limited and often rely on intuitive understandings of the notion of harm or simply refer to problematic gambling behaviours.</w:t>
      </w:r>
      <w:r w:rsidR="008610D3">
        <w:t xml:space="preserve"> </w:t>
      </w:r>
      <w:r w:rsidRPr="0060218C">
        <w:t xml:space="preserve">The circular usage of </w:t>
      </w:r>
      <w:r w:rsidRPr="00BA49F6">
        <w:t>symptomatology and harm throughout the literature has blurred the boundaries between the two constructs.</w:t>
      </w:r>
      <w:r w:rsidR="008610D3" w:rsidRPr="00BA49F6">
        <w:t xml:space="preserve"> </w:t>
      </w:r>
      <w:r w:rsidRPr="00BA49F6">
        <w:t>It is important to separate the behaviour (gambling) from the symptomatology (risk profile or diagnosis) and the potential negative outcomes (harm).</w:t>
      </w:r>
      <w:r w:rsidR="008610D3" w:rsidRPr="00BA49F6">
        <w:t xml:space="preserve"> </w:t>
      </w:r>
      <w:r w:rsidRPr="00BA49F6">
        <w:t>This is a necessary step in order to be able to operationalise the construct of harm with sufficient rigour to develop a robust summary measure.</w:t>
      </w:r>
      <w:r w:rsidR="008610D3" w:rsidRPr="00BA49F6">
        <w:t xml:space="preserve"> </w:t>
      </w:r>
      <w:r w:rsidRPr="00BA49F6">
        <w:t>As identified by this review, the New Zealand definition of gambling-related harm appears to be the most comprehensive and universally applicable, providing a robust foundation for the development and implementation of a public health orientated approach to assessing harm.</w:t>
      </w:r>
      <w:r w:rsidRPr="0060218C">
        <w:t xml:space="preserve"> </w:t>
      </w:r>
    </w:p>
    <w:p w14:paraId="7E3F01BF" w14:textId="77777777" w:rsidR="005E39E4" w:rsidRPr="0060218C" w:rsidRDefault="005E39E4" w:rsidP="005E39E4">
      <w:pPr>
        <w:pStyle w:val="VRGFBodycontent"/>
      </w:pPr>
    </w:p>
    <w:p w14:paraId="4766F7D5" w14:textId="21ABB9F7" w:rsidR="005E39E4" w:rsidRPr="0060218C" w:rsidRDefault="005E39E4" w:rsidP="005E39E4">
      <w:pPr>
        <w:pStyle w:val="VRGFHead2"/>
      </w:pPr>
      <w:bookmarkStart w:id="24" w:name="_Toc283813345"/>
      <w:bookmarkStart w:id="25" w:name="_Toc283813414"/>
      <w:bookmarkStart w:id="26" w:name="_Toc285109105"/>
      <w:bookmarkStart w:id="27" w:name="_Toc462737986"/>
      <w:r w:rsidRPr="0060218C">
        <w:t>T</w:t>
      </w:r>
      <w:r w:rsidR="00F53A40">
        <w:t>heoretical treatments of gambling-related harm</w:t>
      </w:r>
      <w:bookmarkEnd w:id="24"/>
      <w:bookmarkEnd w:id="25"/>
      <w:bookmarkEnd w:id="26"/>
      <w:bookmarkEnd w:id="27"/>
    </w:p>
    <w:p w14:paraId="543E7CEC" w14:textId="00EDF525" w:rsidR="005E39E4" w:rsidRDefault="005E39E4" w:rsidP="005E39E4">
      <w:pPr>
        <w:pStyle w:val="VRGFBodycontent"/>
      </w:pPr>
      <w:r w:rsidRPr="005E39E4">
        <w:rPr>
          <w:rStyle w:val="VRGFBodycontentChar"/>
        </w:rPr>
        <w:t>The model or framework from which one approaches gambling-related harm has important implications for how it is positioned.</w:t>
      </w:r>
      <w:r w:rsidR="008610D3">
        <w:rPr>
          <w:rStyle w:val="VRGFBodycontentChar"/>
        </w:rPr>
        <w:t xml:space="preserve"> </w:t>
      </w:r>
      <w:r w:rsidRPr="005E39E4">
        <w:rPr>
          <w:rStyle w:val="VRGFBodycontentChar"/>
        </w:rPr>
        <w:t>Theoretical approaches are based on implicit assumptions, which when made explicit, are able to be analysed in terms of their influence.</w:t>
      </w:r>
      <w:r w:rsidR="008610D3">
        <w:rPr>
          <w:rStyle w:val="VRGFBodycontentChar"/>
        </w:rPr>
        <w:t xml:space="preserve"> </w:t>
      </w:r>
      <w:r w:rsidRPr="005E39E4">
        <w:rPr>
          <w:rStyle w:val="VRGFBodycontentChar"/>
        </w:rPr>
        <w:t xml:space="preserve">While </w:t>
      </w:r>
      <w:r w:rsidR="00383CF8">
        <w:rPr>
          <w:rStyle w:val="VRGFBodycontentChar"/>
        </w:rPr>
        <w:t xml:space="preserve">findings from </w:t>
      </w:r>
      <w:r w:rsidRPr="005E39E4">
        <w:rPr>
          <w:rStyle w:val="VRGFBodycontentChar"/>
        </w:rPr>
        <w:t>this review and the New Zealand policy approach favour the public health approach, it is helpful to compare and contrast it with other models to appreciate the limitations</w:t>
      </w:r>
      <w:r w:rsidRPr="0060218C">
        <w:t xml:space="preserve"> </w:t>
      </w:r>
      <w:r>
        <w:t>and</w:t>
      </w:r>
      <w:r w:rsidRPr="0060218C">
        <w:t xml:space="preserve"> benefits of each. </w:t>
      </w:r>
    </w:p>
    <w:p w14:paraId="5232FAB7" w14:textId="77777777" w:rsidR="005E39E4" w:rsidRPr="0060218C" w:rsidRDefault="005E39E4" w:rsidP="005E39E4">
      <w:pPr>
        <w:pStyle w:val="VRGFBodycontent"/>
      </w:pPr>
    </w:p>
    <w:p w14:paraId="7C4B3BB4" w14:textId="0804D0DA" w:rsidR="005E39E4" w:rsidRPr="0060218C" w:rsidRDefault="005E39E4" w:rsidP="005E39E4">
      <w:pPr>
        <w:pStyle w:val="VRGFHead3"/>
      </w:pPr>
      <w:bookmarkStart w:id="28" w:name="_Toc283813346"/>
      <w:bookmarkStart w:id="29" w:name="_Toc283813415"/>
      <w:bookmarkStart w:id="30" w:name="_Toc285109106"/>
      <w:bookmarkStart w:id="31" w:name="_Toc462737987"/>
      <w:r w:rsidRPr="0060218C">
        <w:t>C</w:t>
      </w:r>
      <w:r w:rsidR="00F53A40">
        <w:t>onsumer/Economic</w:t>
      </w:r>
      <w:bookmarkEnd w:id="28"/>
      <w:bookmarkEnd w:id="29"/>
      <w:bookmarkEnd w:id="30"/>
      <w:bookmarkEnd w:id="31"/>
    </w:p>
    <w:p w14:paraId="6D3E5DA7" w14:textId="50A5498B" w:rsidR="005E39E4" w:rsidRPr="0060218C" w:rsidRDefault="005E39E4" w:rsidP="00F53A40">
      <w:pPr>
        <w:pStyle w:val="VRGFBodycontent"/>
      </w:pPr>
      <w:r w:rsidRPr="0060218C">
        <w:t>Self-responsibility and consumer</w:t>
      </w:r>
      <w:r>
        <w:t>/</w:t>
      </w:r>
      <w:r w:rsidRPr="0060218C">
        <w:t>economic models look to place the individual or consumer (</w:t>
      </w:r>
      <w:r>
        <w:t xml:space="preserve">i.e., the </w:t>
      </w:r>
      <w:r w:rsidRPr="0060218C">
        <w:t>person who gambles)</w:t>
      </w:r>
      <w:r>
        <w:t xml:space="preserve"> as </w:t>
      </w:r>
      <w:r w:rsidRPr="0060218C">
        <w:t>responsible for the safe consumption of a product, with the vendor</w:t>
      </w:r>
      <w:r>
        <w:t>/</w:t>
      </w:r>
      <w:r w:rsidRPr="0060218C">
        <w:t xml:space="preserve">manufacturer being responsible for providing a safe product and information on </w:t>
      </w:r>
      <w:r>
        <w:t xml:space="preserve">its </w:t>
      </w:r>
      <w:r w:rsidRPr="0060218C">
        <w:t>safe use.</w:t>
      </w:r>
      <w:r w:rsidR="008610D3">
        <w:t xml:space="preserve"> </w:t>
      </w:r>
      <w:r w:rsidRPr="0060218C">
        <w:t xml:space="preserve">According to the consumer model, gambling is a service product or consumer good that is being made available in the marketplace </w:t>
      </w:r>
      <w:r>
        <w:t>where</w:t>
      </w:r>
      <w:r w:rsidRPr="0060218C">
        <w:t xml:space="preserve"> the consumer is free to select </w:t>
      </w:r>
      <w:r>
        <w:t xml:space="preserve">it </w:t>
      </w:r>
      <w:r w:rsidRPr="0060218C">
        <w:t>in order to gain utility (Productivity Commission, 2010).</w:t>
      </w:r>
      <w:r w:rsidR="008610D3">
        <w:t xml:space="preserve"> </w:t>
      </w:r>
      <w:r w:rsidRPr="0060218C">
        <w:t>This model assumes that individuals are well-informed, rational beings with full access to information and product options.</w:t>
      </w:r>
      <w:r w:rsidR="008610D3">
        <w:t xml:space="preserve"> </w:t>
      </w:r>
      <w:r w:rsidRPr="0060218C">
        <w:t>As a free market model, the self-responsibility model emphasises freedom to choose</w:t>
      </w:r>
      <w:r>
        <w:t>,</w:t>
      </w:r>
      <w:r w:rsidRPr="0060218C">
        <w:t xml:space="preserve"> and the responsibility of the individual to make effective and adaptive decisions.</w:t>
      </w:r>
      <w:r w:rsidR="008610D3">
        <w:t xml:space="preserve"> </w:t>
      </w:r>
      <w:r w:rsidRPr="0060218C">
        <w:t xml:space="preserve">In the context of modern liberal economies, the self-responsibility model has strong intuitive appeal as it posits the individual as being the most qualified in making economic/consumer decisions </w:t>
      </w:r>
      <w:r>
        <w:t xml:space="preserve">for their own wellbeing </w:t>
      </w:r>
      <w:r w:rsidRPr="0060218C">
        <w:t xml:space="preserve">(Productivity Commission, 2010). </w:t>
      </w:r>
    </w:p>
    <w:p w14:paraId="0C9BB3DA" w14:textId="3663E242" w:rsidR="005E39E4" w:rsidRPr="0060218C" w:rsidRDefault="005E39E4" w:rsidP="00F53A40">
      <w:pPr>
        <w:pStyle w:val="VRGFBodycontent"/>
      </w:pPr>
      <w:r w:rsidRPr="0060218C">
        <w:lastRenderedPageBreak/>
        <w:t>In many Western countries</w:t>
      </w:r>
      <w:r>
        <w:t>,</w:t>
      </w:r>
      <w:r w:rsidRPr="0060218C">
        <w:t xml:space="preserve"> it is </w:t>
      </w:r>
      <w:r>
        <w:t xml:space="preserve">conceptions of </w:t>
      </w:r>
      <w:r w:rsidRPr="0060218C">
        <w:t xml:space="preserve">self-responsibility and consumer models that predominantly inform political discourse and policy, particularly for government regulation or </w:t>
      </w:r>
      <w:r>
        <w:t xml:space="preserve">considerations surrounding </w:t>
      </w:r>
      <w:r w:rsidRPr="0060218C">
        <w:t>restriction of contentious products</w:t>
      </w:r>
      <w:r>
        <w:t>;</w:t>
      </w:r>
      <w:r w:rsidRPr="0060218C">
        <w:t xml:space="preserve"> for example, gambling, tobacco</w:t>
      </w:r>
      <w:r>
        <w:t>,</w:t>
      </w:r>
      <w:r w:rsidRPr="0060218C">
        <w:t xml:space="preserve"> and firearms.</w:t>
      </w:r>
      <w:r w:rsidR="008610D3">
        <w:t xml:space="preserve"> </w:t>
      </w:r>
      <w:r w:rsidRPr="0060218C">
        <w:t>Similarly, arguments from industry against regulation or harm minimisation are often based on these models, which appear to have been accepted within Western communities as evidenced through population surveys and public discourse (Borrell, 2008).</w:t>
      </w:r>
      <w:r w:rsidR="008610D3">
        <w:t xml:space="preserve"> </w:t>
      </w:r>
      <w:r w:rsidRPr="0060218C">
        <w:t xml:space="preserve">Such systematic support may be seen reflected in the Queensland definition of </w:t>
      </w:r>
      <w:r>
        <w:t>gambling-related</w:t>
      </w:r>
      <w:r w:rsidRPr="0060218C">
        <w:t xml:space="preserve"> harm, which utilised a product safety framework of evaluating hazards involved with the consumption of commercial gambling, reflective of the dominant cultural paradigm in liberal free-markets.</w:t>
      </w:r>
      <w:r w:rsidR="008610D3">
        <w:t xml:space="preserve"> </w:t>
      </w:r>
      <w:r w:rsidRPr="0060218C">
        <w:t xml:space="preserve">According to these models, </w:t>
      </w:r>
      <w:r>
        <w:t>gambling-related</w:t>
      </w:r>
      <w:r w:rsidRPr="0060218C">
        <w:t xml:space="preserve"> harms would be explained by abnormal characteristics</w:t>
      </w:r>
      <w:r>
        <w:t>,</w:t>
      </w:r>
      <w:r w:rsidRPr="0060218C">
        <w:t xml:space="preserve"> </w:t>
      </w:r>
      <w:r>
        <w:t>or flawed decision-</w:t>
      </w:r>
      <w:r w:rsidRPr="0060218C">
        <w:t>making by the consumer, positioning deficiencies in the individual as the instrumental factor (Productivity Commission, 2010).</w:t>
      </w:r>
      <w:r w:rsidR="008610D3">
        <w:t xml:space="preserve"> </w:t>
      </w:r>
      <w:r w:rsidRPr="0060218C">
        <w:t>One major criticism of self-responsibility and consumer models has been the assumption that a reasonable or typical consumer would not consume a product that decreases utility.</w:t>
      </w:r>
      <w:r w:rsidR="008610D3">
        <w:t xml:space="preserve"> </w:t>
      </w:r>
      <w:r w:rsidRPr="0060218C">
        <w:t>There have been some attempts by Australian policy makers to incorporate fitness for purpose and safety standards that shift some responsibility from the consumer to the manufacturer/merchants (Productivity Commission, 2010)</w:t>
      </w:r>
      <w:r>
        <w:t>,</w:t>
      </w:r>
      <w:r w:rsidRPr="0060218C">
        <w:t xml:space="preserve"> and this issue of fitness for purpose has also been addressed in public health campaigns to address </w:t>
      </w:r>
      <w:r>
        <w:t>gambling-related</w:t>
      </w:r>
      <w:r w:rsidRPr="0060218C">
        <w:t xml:space="preserve"> harm in some communities (see Whittlesea Interagency Taskforce on Gambling, 2012).</w:t>
      </w:r>
    </w:p>
    <w:p w14:paraId="4C4F6020" w14:textId="32DAA02D" w:rsidR="005E39E4" w:rsidRDefault="005E39E4" w:rsidP="00F53A40">
      <w:pPr>
        <w:pStyle w:val="VRGFBodycontent"/>
      </w:pPr>
      <w:r w:rsidRPr="0060218C">
        <w:t xml:space="preserve">Despite the use of such models in other Western countries, self-responsibility and consumer models are inadequate in </w:t>
      </w:r>
      <w:r>
        <w:t>addressing important aspects of</w:t>
      </w:r>
      <w:r w:rsidRPr="0060218C">
        <w:t xml:space="preserve"> </w:t>
      </w:r>
      <w:r>
        <w:t>gambling-related</w:t>
      </w:r>
      <w:r w:rsidRPr="0060218C">
        <w:t xml:space="preserve"> harm.</w:t>
      </w:r>
      <w:r w:rsidR="008610D3">
        <w:t xml:space="preserve"> </w:t>
      </w:r>
      <w:r w:rsidRPr="0060218C">
        <w:t>Not only do these models ignore important characteristics or elements of the product designed to increase consumption, they fail to consider the individual or the environmental circumstances in which the consumer engages with the product that may increase risk of overconsumption and subsequent harm.</w:t>
      </w:r>
      <w:r w:rsidR="008610D3">
        <w:t xml:space="preserve"> </w:t>
      </w:r>
      <w:r>
        <w:t>In addition, self-responsibility and consumer models fail to address potential external harms caused to other people (e.g., friends, family, and significant others).</w:t>
      </w:r>
      <w:r w:rsidR="008610D3">
        <w:t xml:space="preserve"> </w:t>
      </w:r>
      <w:r>
        <w:t>A self-interested consumer may, quite rationally, care little for the harm that they cause to others.</w:t>
      </w:r>
      <w:r w:rsidR="008610D3">
        <w:t xml:space="preserve"> </w:t>
      </w:r>
      <w:r w:rsidRPr="0060218C">
        <w:t>Self-responsibility and consumer models disregard the influence of novel gaming technologies and environmental cues on gambling behaviour.</w:t>
      </w:r>
      <w:r w:rsidR="008610D3">
        <w:t xml:space="preserve"> </w:t>
      </w:r>
      <w:r w:rsidRPr="0060218C">
        <w:t>Given the popularity of electronic gambling machines (EGMs) by those experiencing gambling problems, it is clear that particular characteristics of the product itself are more likely to attract, exacerbate or generate issues with problem gambling (Ministry of Health, 2009).</w:t>
      </w:r>
      <w:r w:rsidR="008610D3">
        <w:t xml:space="preserve"> </w:t>
      </w:r>
      <w:r w:rsidRPr="0060218C">
        <w:t>Furthermore, self-responsibility and consumer models disregard comorbidities, pre-existing morbidities, traumas or social disadvantage that render people more vulnerable to overconsumption or misuse.</w:t>
      </w:r>
      <w:r w:rsidR="008610D3">
        <w:t xml:space="preserve"> </w:t>
      </w:r>
      <w:r w:rsidRPr="00A2383B">
        <w:t>The New Zealand 2012 National Gambling Study</w:t>
      </w:r>
      <w:r w:rsidRPr="0060218C">
        <w:t xml:space="preserve"> found that</w:t>
      </w:r>
      <w:r>
        <w:t xml:space="preserve"> 53.3% of</w:t>
      </w:r>
      <w:r w:rsidRPr="0060218C">
        <w:t xml:space="preserve"> people experiencing problems with gambling</w:t>
      </w:r>
      <w:r>
        <w:t xml:space="preserve"> </w:t>
      </w:r>
      <w:r w:rsidRPr="0060218C">
        <w:t>report</w:t>
      </w:r>
      <w:r>
        <w:t>ed</w:t>
      </w:r>
      <w:r w:rsidRPr="0060218C">
        <w:t xml:space="preserve"> having experienced past traumas, hards</w:t>
      </w:r>
      <w:r>
        <w:t>hips or problems compared to 19.9% of non-</w:t>
      </w:r>
      <w:r w:rsidRPr="0060218C">
        <w:t xml:space="preserve">gamblers and </w:t>
      </w:r>
      <w:r>
        <w:t xml:space="preserve">22.9% of </w:t>
      </w:r>
      <w:r w:rsidRPr="0060218C">
        <w:t>recreational gamblers (Abbott</w:t>
      </w:r>
      <w:r w:rsidR="00263368">
        <w:t xml:space="preserve"> et al., </w:t>
      </w:r>
      <w:r w:rsidRPr="0060218C">
        <w:t>2014a).</w:t>
      </w:r>
      <w:r w:rsidR="008610D3">
        <w:t xml:space="preserve"> </w:t>
      </w:r>
      <w:r w:rsidRPr="0060218C">
        <w:t>Similarly, problem gambling has also been found to be related to mental health issues, health problems and psychological distress that may also have the potential to exacerbate adverse gambling behaviours (Ministry of Health</w:t>
      </w:r>
      <w:r w:rsidR="00594F37">
        <w:t>,</w:t>
      </w:r>
      <w:r w:rsidRPr="0060218C">
        <w:t xml:space="preserve"> 2009) while affecting some groups, such as eth</w:t>
      </w:r>
      <w:r>
        <w:t>n</w:t>
      </w:r>
      <w:r w:rsidRPr="0060218C">
        <w:t>ic groups, disproportionately more than others (Abbott &amp; Volberg, 2000).</w:t>
      </w:r>
      <w:r w:rsidR="008610D3">
        <w:t xml:space="preserve"> </w:t>
      </w:r>
      <w:r w:rsidRPr="0060218C">
        <w:t xml:space="preserve">These findings suggest that not all consumers are equally positioned in terms of their </w:t>
      </w:r>
      <w:r>
        <w:t>ability to engage in the market</w:t>
      </w:r>
      <w:r w:rsidRPr="0060218C">
        <w:t>place, may be more vulnerable to particular market products</w:t>
      </w:r>
      <w:r>
        <w:t>,</w:t>
      </w:r>
      <w:r w:rsidRPr="0060218C">
        <w:t xml:space="preserve"> or may have less capacity to objectively assess the utility provided by consumption of a particular product. </w:t>
      </w:r>
    </w:p>
    <w:p w14:paraId="3BCCF9B0" w14:textId="77777777" w:rsidR="00F53A40" w:rsidRDefault="00F53A40" w:rsidP="00F53A40">
      <w:pPr>
        <w:pStyle w:val="VRGFBodycontent"/>
      </w:pPr>
    </w:p>
    <w:p w14:paraId="1C2792BB" w14:textId="30FBA57D" w:rsidR="005E39E4" w:rsidRPr="0060218C" w:rsidRDefault="00F53A40" w:rsidP="00B109E5">
      <w:pPr>
        <w:pStyle w:val="VRGFHead3"/>
        <w:keepNext/>
      </w:pPr>
      <w:bookmarkStart w:id="32" w:name="_Toc283813347"/>
      <w:bookmarkStart w:id="33" w:name="_Toc283813416"/>
      <w:bookmarkStart w:id="34" w:name="_Toc285109107"/>
      <w:bookmarkStart w:id="35" w:name="_Toc462737988"/>
      <w:r>
        <w:lastRenderedPageBreak/>
        <w:t>Pathological/Medical</w:t>
      </w:r>
      <w:bookmarkEnd w:id="32"/>
      <w:bookmarkEnd w:id="33"/>
      <w:bookmarkEnd w:id="34"/>
      <w:bookmarkEnd w:id="35"/>
    </w:p>
    <w:p w14:paraId="3534C103" w14:textId="28247539" w:rsidR="005E39E4" w:rsidRPr="0060218C" w:rsidRDefault="005E39E4" w:rsidP="00F53A40">
      <w:pPr>
        <w:pStyle w:val="VRGFBodycontent"/>
      </w:pPr>
      <w:r>
        <w:t>A pathological/</w:t>
      </w:r>
      <w:r w:rsidRPr="0060218C">
        <w:t>medical model positions problem gambling as a discrete disorder, which an individual either has or does not have</w:t>
      </w:r>
      <w:r>
        <w:t>,</w:t>
      </w:r>
      <w:r w:rsidRPr="0060218C">
        <w:t xml:space="preserve"> based on </w:t>
      </w:r>
      <w:r>
        <w:t>well-defined</w:t>
      </w:r>
      <w:r w:rsidRPr="0060218C">
        <w:t xml:space="preserve"> diagnostic criteria (DSM5; American Psychiatric Association, 2013).</w:t>
      </w:r>
      <w:r w:rsidR="008610D3">
        <w:t xml:space="preserve"> </w:t>
      </w:r>
      <w:r w:rsidRPr="0060218C">
        <w:t>Harms are thought to arise as a result of the disorder, with the corollary that those without the disorder are not experiencing harms.</w:t>
      </w:r>
      <w:r w:rsidR="008610D3">
        <w:t xml:space="preserve"> </w:t>
      </w:r>
      <w:r w:rsidRPr="0060218C">
        <w:t>There are a number of limitations associated with the medical model</w:t>
      </w:r>
      <w:r>
        <w:t>,</w:t>
      </w:r>
      <w:r w:rsidRPr="0060218C">
        <w:t xml:space="preserve"> which is grounded in a pathogenic paradigm and </w:t>
      </w:r>
      <w:r>
        <w:t>suggests</w:t>
      </w:r>
      <w:r w:rsidRPr="0060218C">
        <w:t xml:space="preserve"> treatment or prevention approach</w:t>
      </w:r>
      <w:r>
        <w:t>es to harm mitigation</w:t>
      </w:r>
      <w:r w:rsidRPr="0060218C">
        <w:t>.</w:t>
      </w:r>
      <w:r w:rsidR="008610D3">
        <w:t xml:space="preserve"> </w:t>
      </w:r>
      <w:r w:rsidRPr="0060218C">
        <w:t>That is, disordered or problem gambling is a condition that can be treated and would benefit from preventative measures to reduce risk factors.</w:t>
      </w:r>
      <w:r w:rsidR="008610D3">
        <w:t xml:space="preserve"> </w:t>
      </w:r>
      <w:r w:rsidRPr="0060218C">
        <w:t>This model encourages a focus on biological or behavioural determinants and risk factors, and is less able to consider social, psychological, economic, cultural</w:t>
      </w:r>
      <w:r>
        <w:t>,</w:t>
      </w:r>
      <w:r w:rsidRPr="0060218C">
        <w:t xml:space="preserve"> and political factors that may influence the development of problem gambling and subsequent harms.</w:t>
      </w:r>
      <w:r w:rsidR="008610D3">
        <w:t xml:space="preserve"> </w:t>
      </w:r>
      <w:r w:rsidRPr="0060218C">
        <w:t>In this way, the behaviour is the focus of the model</w:t>
      </w:r>
      <w:r>
        <w:t>,</w:t>
      </w:r>
      <w:r w:rsidRPr="0060218C">
        <w:t xml:space="preserve"> and it does not separate the outcome of harm from </w:t>
      </w:r>
      <w:r w:rsidR="0000647C">
        <w:t>the</w:t>
      </w:r>
      <w:r w:rsidR="0000647C" w:rsidRPr="0060218C">
        <w:t xml:space="preserve"> </w:t>
      </w:r>
      <w:r>
        <w:t xml:space="preserve">generating </w:t>
      </w:r>
      <w:r w:rsidRPr="0060218C">
        <w:t>behaviour.</w:t>
      </w:r>
      <w:r w:rsidR="008610D3">
        <w:t xml:space="preserve"> </w:t>
      </w:r>
      <w:r w:rsidRPr="0060218C">
        <w:t>Given the influence of the medical model in driving, for instance, the development of measures of problem gambling prevalence, it is not surprising that some authors have criticised taking a discrete, categorical approach to defining gambling problems and subsequent harms (Korn, Gibbons, &amp; Azmeier, 2003; Korn &amp; Shaffer, 1999; Shaffer &amp; Korn, 2002).</w:t>
      </w:r>
    </w:p>
    <w:p w14:paraId="43DD68F4" w14:textId="185BEA25" w:rsidR="005E39E4" w:rsidRPr="0060218C" w:rsidRDefault="005E39E4" w:rsidP="00F53A40">
      <w:pPr>
        <w:pStyle w:val="VRGFBodycontent"/>
      </w:pPr>
      <w:r w:rsidRPr="0060218C">
        <w:t xml:space="preserve">One of the key limitations of the medical model in relation to </w:t>
      </w:r>
      <w:r>
        <w:t>gambling-related</w:t>
      </w:r>
      <w:r w:rsidRPr="0060218C">
        <w:t xml:space="preserve"> harm is that harm can occur without a person necessarily having the symptomology for qualifying as a problem gambler.</w:t>
      </w:r>
      <w:r w:rsidR="008610D3">
        <w:t xml:space="preserve"> </w:t>
      </w:r>
      <w:r w:rsidRPr="0060218C">
        <w:t>Rather, harm related to gambling is more reasonably understood to be a dimensional impact, influenced by a number of factors of which the extent of problematic gambling behaviour is the major one.</w:t>
      </w:r>
      <w:r w:rsidR="008610D3">
        <w:t xml:space="preserve"> </w:t>
      </w:r>
      <w:r w:rsidRPr="0060218C">
        <w:t xml:space="preserve">The medical model restricts our understanding of harm to that associated with clinically diagnosed problem gambling while disregarding harm generated from non-problem </w:t>
      </w:r>
      <w:r w:rsidR="0089487C">
        <w:t xml:space="preserve">(i.e. </w:t>
      </w:r>
      <w:r w:rsidR="0089487C" w:rsidRPr="0060218C">
        <w:t>recreational gamblers</w:t>
      </w:r>
      <w:r w:rsidR="0089487C">
        <w:t xml:space="preserve">) </w:t>
      </w:r>
      <w:r w:rsidRPr="0060218C">
        <w:t>and at-risk levels of gambling</w:t>
      </w:r>
      <w:r>
        <w:t xml:space="preserve"> (i.e.</w:t>
      </w:r>
      <w:r w:rsidRPr="0060218C">
        <w:t xml:space="preserve"> moderate risk</w:t>
      </w:r>
      <w:r w:rsidR="0089487C">
        <w:t xml:space="preserve"> and</w:t>
      </w:r>
      <w:r w:rsidRPr="0060218C">
        <w:t xml:space="preserve"> low risk</w:t>
      </w:r>
      <w:r w:rsidR="008606AE">
        <w:t xml:space="preserve"> </w:t>
      </w:r>
      <w:r w:rsidRPr="0060218C">
        <w:t>gamblers).</w:t>
      </w:r>
      <w:r w:rsidR="008610D3">
        <w:t xml:space="preserve"> </w:t>
      </w:r>
      <w:r w:rsidRPr="0060218C">
        <w:t>The</w:t>
      </w:r>
      <w:r>
        <w:t xml:space="preserve"> New Zealand 2012 </w:t>
      </w:r>
      <w:r w:rsidRPr="0060218C">
        <w:t>National Gambling Study provides an example of the need for harm minimisation to take account of the whole spectrum of gamblers, not just those with serious problems.</w:t>
      </w:r>
      <w:r w:rsidR="008610D3">
        <w:t xml:space="preserve"> </w:t>
      </w:r>
      <w:r w:rsidRPr="0060218C">
        <w:t xml:space="preserve">Although lifetime probable pathological gamblers (determined using </w:t>
      </w:r>
      <w:r w:rsidRPr="00A2383B">
        <w:t>SOGS-R) and problem gamblers (determined using the PGSI) much more often reported that individual SOGS-R and PGSI</w:t>
      </w:r>
      <w:r w:rsidRPr="0060218C">
        <w:t xml:space="preserve"> items applied to them than did people in the less severe problem and at-risk groups, those in the latter groups and non-problem gamblers in aggregate reported more of these experiences.</w:t>
      </w:r>
      <w:r w:rsidR="008610D3">
        <w:t xml:space="preserve"> </w:t>
      </w:r>
      <w:r w:rsidRPr="0060218C">
        <w:t>This is because there are many more people in the non-problem groups that report one or a few of the adverse gambling-related experiences measured by these scales.</w:t>
      </w:r>
      <w:r w:rsidR="008610D3">
        <w:t xml:space="preserve"> </w:t>
      </w:r>
      <w:r w:rsidRPr="0060218C">
        <w:t xml:space="preserve">For example, while most of the estimated 0.7% of PGSI problem gamblers said they lost control of their gambling, 3.6% of adults </w:t>
      </w:r>
      <w:r w:rsidR="00923010">
        <w:t xml:space="preserve">overall </w:t>
      </w:r>
      <w:r w:rsidRPr="0060218C">
        <w:t>reported this experience, meaning that over 80% adults who reported loss of control during the preceding 12 months were not problem gamblers (Abbott et al, 2014a).</w:t>
      </w:r>
      <w:r>
        <w:t xml:space="preserve"> </w:t>
      </w:r>
    </w:p>
    <w:p w14:paraId="201042D1" w14:textId="5BB00B49" w:rsidR="005E39E4" w:rsidRPr="0060218C" w:rsidRDefault="005E39E4" w:rsidP="00F53A40">
      <w:pPr>
        <w:pStyle w:val="VRGFBodycontent"/>
      </w:pPr>
      <w:r w:rsidRPr="0060218C">
        <w:t>Similarly, treated as an illness, there is an emphasis on the individual who gambles, failing to take into account how gambling can affect families, friends, whānau and communities.</w:t>
      </w:r>
      <w:r w:rsidR="008610D3">
        <w:t xml:space="preserve"> </w:t>
      </w:r>
      <w:r w:rsidRPr="0060218C">
        <w:t>Finally, it fails to appreciate the complexity of problem gambling and how the manifestation of harms and the development of the gambling problems can vary between individuals</w:t>
      </w:r>
      <w:r w:rsidR="004C2C8E">
        <w:t>.</w:t>
      </w:r>
      <w:r w:rsidR="008610D3">
        <w:t xml:space="preserve"> </w:t>
      </w:r>
      <w:r w:rsidRPr="0060218C">
        <w:t>Allcock (1995) questioned the perception of problem gambling as a discrete entity</w:t>
      </w:r>
      <w:r>
        <w:t>,</w:t>
      </w:r>
      <w:r w:rsidRPr="0060218C">
        <w:t xml:space="preserve"> and emphasised the social construction of gambling harms, as well as the different ways in which excessive gambling can occur over time</w:t>
      </w:r>
      <w:r>
        <w:t>:</w:t>
      </w:r>
      <w:r w:rsidRPr="0060218C">
        <w:t xml:space="preserve"> </w:t>
      </w:r>
    </w:p>
    <w:p w14:paraId="2AE00E2A" w14:textId="13BDC73F" w:rsidR="005E39E4" w:rsidRPr="0060218C" w:rsidRDefault="005E39E4" w:rsidP="000B1C4C">
      <w:pPr>
        <w:pStyle w:val="Quote"/>
      </w:pPr>
      <w:r w:rsidRPr="0060218C">
        <w:t>‘They may reflect little excesses, large excesses, episodic behaviour, frequent behaviour, accepted behaviour in a sub-culture, not accepted behaviour in a family culture’</w:t>
      </w:r>
      <w:r>
        <w:t xml:space="preserve"> </w:t>
      </w:r>
      <w:r w:rsidRPr="00EF36DD">
        <w:rPr>
          <w:i w:val="0"/>
        </w:rPr>
        <w:t>(Allcock</w:t>
      </w:r>
      <w:r w:rsidR="004F7789" w:rsidRPr="00EF36DD">
        <w:rPr>
          <w:i w:val="0"/>
        </w:rPr>
        <w:t>,</w:t>
      </w:r>
      <w:r w:rsidRPr="00EF36DD">
        <w:rPr>
          <w:i w:val="0"/>
        </w:rPr>
        <w:t xml:space="preserve"> 1995, p. 114).</w:t>
      </w:r>
    </w:p>
    <w:p w14:paraId="708C2A9C" w14:textId="471F2A3D" w:rsidR="005E39E4" w:rsidRDefault="005E39E4" w:rsidP="00F53A40">
      <w:pPr>
        <w:pStyle w:val="VRGFBodycontent"/>
      </w:pPr>
      <w:r w:rsidRPr="00A2383B">
        <w:t xml:space="preserve">Allcock’s (1995) view is consonant with psychological/psychiatric understanding of mental illness, which acknowledges that it is the appropriateness or acceptability of the behaviour within a social </w:t>
      </w:r>
      <w:r w:rsidRPr="00A2383B">
        <w:lastRenderedPageBreak/>
        <w:t>context that determines pathology</w:t>
      </w:r>
      <w:r w:rsidR="004C2C8E">
        <w:t>.</w:t>
      </w:r>
      <w:r w:rsidR="008610D3">
        <w:t xml:space="preserve"> </w:t>
      </w:r>
      <w:r w:rsidRPr="00A2383B">
        <w:t>Behaviour that is adaptive in one context may be maladaptive in another</w:t>
      </w:r>
      <w:r w:rsidR="004C2C8E">
        <w:t>.</w:t>
      </w:r>
      <w:r w:rsidR="008610D3">
        <w:t xml:space="preserve"> </w:t>
      </w:r>
      <w:r w:rsidRPr="00A2383B">
        <w:t>New Zealand has many different populations, broadly classified into four groups (Māori, Pacific Island, Asian and European/Other)</w:t>
      </w:r>
      <w:r>
        <w:t>,</w:t>
      </w:r>
      <w:r w:rsidRPr="00A2383B">
        <w:t xml:space="preserve"> which have different and specific beliefs and values regarding gambling and problem gambling (see Anae, Coxon, Lima, Atiga</w:t>
      </w:r>
      <w:r>
        <w:t>,</w:t>
      </w:r>
      <w:r w:rsidRPr="00A2383B">
        <w:t xml:space="preserve"> &amp; Tolley, 2008; Bellringer</w:t>
      </w:r>
      <w:r w:rsidR="004C2C8E">
        <w:t>.</w:t>
      </w:r>
      <w:r w:rsidR="008610D3">
        <w:t xml:space="preserve"> </w:t>
      </w:r>
      <w:r w:rsidRPr="00A2383B">
        <w:t>Perese, Abbott</w:t>
      </w:r>
      <w:r>
        <w:t>,</w:t>
      </w:r>
      <w:r w:rsidRPr="00A2383B">
        <w:t xml:space="preserve"> &amp; Williams, 2006; Cowley, Paterson</w:t>
      </w:r>
      <w:r>
        <w:t>,</w:t>
      </w:r>
      <w:r w:rsidRPr="00A2383B">
        <w:t xml:space="preserve"> &amp; Williams, 2004; Guttenbeil-Po’uhila, Hand, Htay</w:t>
      </w:r>
      <w:r>
        <w:t>,</w:t>
      </w:r>
      <w:r w:rsidRPr="00A2383B">
        <w:t xml:space="preserve"> &amp; Tu’itahi, 2004; Perese &amp; Faleafa, 2000; Tse, Abbott, Clarke, Townsend, Kingi</w:t>
      </w:r>
      <w:r>
        <w:t>,</w:t>
      </w:r>
      <w:r w:rsidRPr="00A2383B">
        <w:t xml:space="preserve"> &amp; Manaia, 2005, 2012; Watene, Thompson, Barnett, Balzer, &amp; Turinui, 2009; Wong &amp; Tse, 2003)</w:t>
      </w:r>
      <w:r w:rsidR="004C2C8E">
        <w:t>.</w:t>
      </w:r>
      <w:r w:rsidR="008610D3">
        <w:t xml:space="preserve"> </w:t>
      </w:r>
      <w:r w:rsidRPr="00A2383B">
        <w:t>An accurate understanding of gambling harm must take into account the different cultural contexts in which the behaviour occurs</w:t>
      </w:r>
      <w:r w:rsidR="004C2C8E">
        <w:t>.</w:t>
      </w:r>
      <w:r w:rsidR="008610D3">
        <w:t xml:space="preserve"> </w:t>
      </w:r>
      <w:r w:rsidRPr="00A2383B">
        <w:t>For example</w:t>
      </w:r>
      <w:r>
        <w:t>,</w:t>
      </w:r>
      <w:r w:rsidRPr="00A2383B">
        <w:t xml:space="preserve"> in the context of the ongoing impacts of colonisation in New Zealand, gambling can be conceived by Māori as a valid mechanism to manage and improve low socio-economic status (Dyall, 2010)</w:t>
      </w:r>
      <w:r w:rsidR="004C2C8E">
        <w:t>.</w:t>
      </w:r>
      <w:r w:rsidR="008610D3">
        <w:t xml:space="preserve"> </w:t>
      </w:r>
      <w:r w:rsidRPr="00A2383B">
        <w:t>Asian cultural beliefs and values which produce stigma and practices of ‘face-saving’ exacerbate gambling harm by cutting people off from support networks and preventing them from participating in their communities (Sobrun-Maharaj, Rossen</w:t>
      </w:r>
      <w:r>
        <w:t>,</w:t>
      </w:r>
      <w:r w:rsidRPr="00A2383B">
        <w:t xml:space="preserve"> &amp; Wong, 2012).</w:t>
      </w:r>
    </w:p>
    <w:p w14:paraId="41086DC0" w14:textId="77777777" w:rsidR="00F53A40" w:rsidRPr="00A2383B" w:rsidRDefault="00F53A40" w:rsidP="00F53A40">
      <w:pPr>
        <w:pStyle w:val="VRGFBodycontent"/>
        <w:rPr>
          <w:rFonts w:ascii="Times New Roman" w:hAnsi="Times New Roman"/>
          <w:sz w:val="24"/>
          <w:szCs w:val="24"/>
          <w:lang w:eastAsia="en-NZ"/>
        </w:rPr>
      </w:pPr>
    </w:p>
    <w:p w14:paraId="4C4B9C35" w14:textId="6380C072" w:rsidR="005E39E4" w:rsidRPr="0060218C" w:rsidRDefault="005E39E4" w:rsidP="005E39E4">
      <w:pPr>
        <w:pStyle w:val="VRGFHead3"/>
      </w:pPr>
      <w:bookmarkStart w:id="36" w:name="_Toc283813348"/>
      <w:bookmarkStart w:id="37" w:name="_Toc283813417"/>
      <w:bookmarkStart w:id="38" w:name="_Toc285109108"/>
      <w:bookmarkStart w:id="39" w:name="_Toc462737989"/>
      <w:r w:rsidRPr="0060218C">
        <w:t>H</w:t>
      </w:r>
      <w:r w:rsidR="00F53A40">
        <w:t>arm reduction</w:t>
      </w:r>
      <w:bookmarkEnd w:id="36"/>
      <w:bookmarkEnd w:id="37"/>
      <w:bookmarkEnd w:id="38"/>
      <w:bookmarkEnd w:id="39"/>
    </w:p>
    <w:p w14:paraId="0BB468B6" w14:textId="237DECA4" w:rsidR="005E39E4" w:rsidRPr="0060218C" w:rsidRDefault="005E39E4" w:rsidP="00F53A40">
      <w:pPr>
        <w:pStyle w:val="VRGFBodycontent"/>
      </w:pPr>
      <w:r w:rsidRPr="0060218C">
        <w:t>Harm reduction or minimisation approaches are focused on minimising the potential negative outcomes associated with gambling by addressing the behaviour itself</w:t>
      </w:r>
      <w:r w:rsidR="004C2C8E">
        <w:t>.</w:t>
      </w:r>
      <w:r w:rsidR="008610D3">
        <w:t xml:space="preserve"> </w:t>
      </w:r>
      <w:r w:rsidRPr="0060218C">
        <w:t>They represent an aim to facilitate gambling at appropriate levels without adversely impacting on those who gamble in a non-problematic manner (Productivity Commission, 2010)</w:t>
      </w:r>
      <w:r w:rsidR="004C2C8E">
        <w:t>.</w:t>
      </w:r>
      <w:r w:rsidR="008610D3">
        <w:t xml:space="preserve"> </w:t>
      </w:r>
      <w:r w:rsidRPr="0060218C">
        <w:t>The focus of harm reduction models is</w:t>
      </w:r>
      <w:r>
        <w:t xml:space="preserve">, </w:t>
      </w:r>
      <w:r w:rsidRPr="0060218C">
        <w:t>therefore, the prevention of the harm from the behaviour (gambling) rather than prevention of the behaviour itself</w:t>
      </w:r>
      <w:r w:rsidR="004C2C8E">
        <w:t>.</w:t>
      </w:r>
      <w:r w:rsidR="008610D3">
        <w:t xml:space="preserve"> </w:t>
      </w:r>
      <w:r w:rsidRPr="0060218C">
        <w:t>This model has been adopted globally in response to other public health issues such as alcohol consumption, tobacco use and illicit drug use (Bissitt, Crate-Lionel</w:t>
      </w:r>
      <w:r>
        <w:t>,</w:t>
      </w:r>
      <w:r w:rsidRPr="0060218C">
        <w:t xml:space="preserve"> &amp; Lambert, 1988; Dickson, Derevensky</w:t>
      </w:r>
      <w:r>
        <w:t>,</w:t>
      </w:r>
      <w:r w:rsidRPr="0060218C">
        <w:t xml:space="preserve"> &amp; Gupta, 2002, 2004a, 2004b; Dickson-Gillespie, Rugle, Rosenthal</w:t>
      </w:r>
      <w:r>
        <w:t>,</w:t>
      </w:r>
      <w:r w:rsidRPr="0060218C">
        <w:t xml:space="preserve"> &amp; Fong, 2008) and was originally applied to gambling in relation to youth gambling, and some other vulnerable groups such as the elderly and low income people (</w:t>
      </w:r>
      <w:r>
        <w:t>National Research Council</w:t>
      </w:r>
      <w:r w:rsidRPr="0060218C">
        <w:t>, 1999).</w:t>
      </w:r>
    </w:p>
    <w:p w14:paraId="2321BE39" w14:textId="162E0F8B" w:rsidR="005E39E4" w:rsidRPr="0060218C" w:rsidRDefault="005E39E4" w:rsidP="00F53A40">
      <w:pPr>
        <w:pStyle w:val="VRGFBodycontent"/>
      </w:pPr>
      <w:r w:rsidRPr="0060218C">
        <w:t>Whilst there are multiple interpretations and debates regarding the use of harm reduction/minimisation strategies in relation to gambling (Gainsbury &amp; Blaszczynski, 2012), there are clear parallels between this model and the New Zealand approach</w:t>
      </w:r>
      <w:r w:rsidR="004C2C8E">
        <w:t>.</w:t>
      </w:r>
      <w:r w:rsidR="008610D3">
        <w:t xml:space="preserve"> </w:t>
      </w:r>
      <w:r w:rsidRPr="0060218C">
        <w:t>Both are based on a public health approach, and the harm reduction or minimisation model demonstrates an appreciation for the environmental and social determinants of problem gambling, rather than being restricted to the characteristics of the individual who gambles</w:t>
      </w:r>
      <w:r w:rsidR="004C2C8E">
        <w:t>.</w:t>
      </w:r>
      <w:r w:rsidR="008610D3">
        <w:t xml:space="preserve"> </w:t>
      </w:r>
      <w:r w:rsidRPr="0060218C">
        <w:t>It assumes that gambling has the potential to cause harm to anyone, which differs from both the consumer</w:t>
      </w:r>
      <w:r>
        <w:t>-</w:t>
      </w:r>
      <w:r w:rsidRPr="0060218C">
        <w:t>based and medical models that consider gambling problems to be a flaw in decision</w:t>
      </w:r>
      <w:r>
        <w:t>-</w:t>
      </w:r>
      <w:r w:rsidRPr="0060218C">
        <w:t>making or individual illness</w:t>
      </w:r>
      <w:r w:rsidR="004C2C8E">
        <w:t>.</w:t>
      </w:r>
      <w:r w:rsidR="008610D3">
        <w:t xml:space="preserve"> </w:t>
      </w:r>
      <w:r w:rsidRPr="0060218C">
        <w:t>Subsequently, there is an increased emphasis on the product as an underlying cause or source of harms rather than just the person who gambles</w:t>
      </w:r>
      <w:r w:rsidR="004C2C8E">
        <w:t>.</w:t>
      </w:r>
      <w:r w:rsidR="008610D3">
        <w:t xml:space="preserve"> </w:t>
      </w:r>
      <w:r w:rsidRPr="0060218C">
        <w:t>Thus, this model targets the consumer’s behaviour for prevention or (if needed) treatment in response to the risks involved with unrestrained use of the product</w:t>
      </w:r>
      <w:r w:rsidR="004C2C8E">
        <w:t>.</w:t>
      </w:r>
      <w:r w:rsidR="008610D3">
        <w:t xml:space="preserve"> </w:t>
      </w:r>
      <w:r w:rsidRPr="0060218C">
        <w:t>Such a focus acknowledges the breadth of risks associated with gambling</w:t>
      </w:r>
      <w:r w:rsidR="004C2C8E">
        <w:t>.</w:t>
      </w:r>
      <w:r w:rsidR="008610D3">
        <w:t xml:space="preserve"> </w:t>
      </w:r>
      <w:r w:rsidRPr="0060218C">
        <w:t xml:space="preserve">This is consistent with the New Zealand public health approach. </w:t>
      </w:r>
    </w:p>
    <w:p w14:paraId="608B5BB5" w14:textId="2C0F64BF" w:rsidR="005E39E4" w:rsidRPr="0060218C" w:rsidRDefault="005E39E4" w:rsidP="00F53A40">
      <w:pPr>
        <w:pStyle w:val="VRGFBodycontent"/>
      </w:pPr>
      <w:r w:rsidRPr="0060218C">
        <w:t>The New Zealand definition of problem gambling considers gambling behaviour to be problematic when it generates or exacerbates experiences of harm</w:t>
      </w:r>
      <w:r w:rsidR="004C2C8E">
        <w:t>.</w:t>
      </w:r>
      <w:r w:rsidR="008610D3">
        <w:t xml:space="preserve"> </w:t>
      </w:r>
      <w:r w:rsidRPr="0060218C">
        <w:t>Implicit within this definition is the assumption that gambling can occur at a safe level</w:t>
      </w:r>
      <w:r w:rsidR="004C2C8E">
        <w:t>.</w:t>
      </w:r>
      <w:r w:rsidR="008610D3">
        <w:t xml:space="preserve"> </w:t>
      </w:r>
      <w:r w:rsidRPr="0060218C">
        <w:t>Gambling is, therefore, often compared with other public health issues such as alcohol consumption or exposure to the sun (Detweiler, Bedell, Salovey, Pronin</w:t>
      </w:r>
      <w:r>
        <w:t>,</w:t>
      </w:r>
      <w:r w:rsidRPr="0060218C">
        <w:t xml:space="preserve"> &amp; Rothman, 1999) where safe levels can be identified, and where </w:t>
      </w:r>
      <w:r>
        <w:t xml:space="preserve">there is a </w:t>
      </w:r>
      <w:r w:rsidRPr="0060218C">
        <w:t xml:space="preserve">clear risk of harm </w:t>
      </w:r>
      <w:r w:rsidR="005606CA" w:rsidRPr="0060218C">
        <w:t>occur</w:t>
      </w:r>
      <w:r w:rsidR="005606CA">
        <w:t>ring</w:t>
      </w:r>
      <w:r w:rsidRPr="0060218C">
        <w:t xml:space="preserve"> due to over-consumption/exposure. </w:t>
      </w:r>
    </w:p>
    <w:p w14:paraId="5D4A2823" w14:textId="182D6975" w:rsidR="005E39E4" w:rsidRPr="0060218C" w:rsidRDefault="005E39E4" w:rsidP="00F53A40">
      <w:pPr>
        <w:pStyle w:val="VRGFBodycontent"/>
      </w:pPr>
      <w:r w:rsidRPr="0060218C">
        <w:lastRenderedPageBreak/>
        <w:t>This approach also considers the role of influences on the early development of problematic gambling behaviours in order to minimise harm</w:t>
      </w:r>
      <w:r w:rsidR="004C2C8E">
        <w:t>.</w:t>
      </w:r>
      <w:r w:rsidR="008610D3">
        <w:t xml:space="preserve"> </w:t>
      </w:r>
      <w:r w:rsidRPr="0060218C">
        <w:t>Alcohol abuse (including binge drinking) and youth gambling have been found to have high levels of comorbidity and share many of the same risk factors (Dickson et al., 2004a; 2004b)</w:t>
      </w:r>
      <w:r w:rsidR="004C2C8E">
        <w:t>.</w:t>
      </w:r>
      <w:r w:rsidR="00FA09DD">
        <w:t xml:space="preserve"> To address multiple morbidities, harm minimisation approaches support the identification of similar pathways or target areas in prevention strategies. </w:t>
      </w:r>
      <w:r w:rsidRPr="0060218C">
        <w:t>For example, it is believed that, like alcohol, youth gambling is considered socially acceptable and is a normal part of experimentation during development (Dickson et al., 2004b)</w:t>
      </w:r>
      <w:r w:rsidR="004C2C8E">
        <w:t>.</w:t>
      </w:r>
      <w:r w:rsidR="008610D3">
        <w:t xml:space="preserve"> </w:t>
      </w:r>
      <w:r w:rsidRPr="0060218C">
        <w:t>Given that both alcohol consumption and gambling harm exist on a continuum (Dickson</w:t>
      </w:r>
      <w:r>
        <w:t xml:space="preserve"> et al.</w:t>
      </w:r>
      <w:r w:rsidRPr="0060218C">
        <w:t>, 2004b), public health frameworks designed for assessing alcohol consumption may be useful in addressing youth problem gambling</w:t>
      </w:r>
      <w:r w:rsidR="004C2C8E">
        <w:t>.</w:t>
      </w:r>
      <w:r w:rsidR="008610D3">
        <w:t xml:space="preserve"> </w:t>
      </w:r>
      <w:r w:rsidRPr="0060218C">
        <w:t>This</w:t>
      </w:r>
      <w:r w:rsidR="004D1A40">
        <w:t xml:space="preserve"> framework</w:t>
      </w:r>
      <w:r w:rsidRPr="0060218C">
        <w:t xml:space="preserve"> is not simply limited to youth gamblers but can be applied across the lifesp</w:t>
      </w:r>
      <w:r>
        <w:t>an and between genders (Hing &amp;</w:t>
      </w:r>
      <w:r w:rsidRPr="0060218C">
        <w:t xml:space="preserve"> Breen, 2001), and in different cultural settings (Abbott, Volberg, Bellringer</w:t>
      </w:r>
      <w:r>
        <w:t>,</w:t>
      </w:r>
      <w:r w:rsidRPr="0060218C">
        <w:t xml:space="preserve"> &amp; Reith, 2004;</w:t>
      </w:r>
      <w:r>
        <w:t xml:space="preserve"> Breen &amp; </w:t>
      </w:r>
      <w:r w:rsidRPr="0060218C">
        <w:t xml:space="preserve">Gainsbury, 2013; </w:t>
      </w:r>
      <w:r>
        <w:t>Stevens &amp;</w:t>
      </w:r>
      <w:r w:rsidRPr="0060218C">
        <w:t xml:space="preserve"> Goleb</w:t>
      </w:r>
      <w:r>
        <w:t>iowska, 2013</w:t>
      </w:r>
      <w:r w:rsidRPr="0060218C">
        <w:t>)</w:t>
      </w:r>
      <w:r w:rsidR="004C2C8E">
        <w:t>.</w:t>
      </w:r>
      <w:r w:rsidR="008610D3">
        <w:t xml:space="preserve"> </w:t>
      </w:r>
      <w:r w:rsidRPr="0060218C">
        <w:t>Additionally, there is potential to use this model to address the disproportionate prevalence of gambling harm among disadvantaged populations in New Zealand</w:t>
      </w:r>
      <w:r w:rsidR="004C2C8E">
        <w:t>.</w:t>
      </w:r>
      <w:r w:rsidR="008610D3">
        <w:t xml:space="preserve"> </w:t>
      </w:r>
      <w:r w:rsidRPr="0060218C">
        <w:t xml:space="preserve">For example, </w:t>
      </w:r>
      <w:r>
        <w:t>people</w:t>
      </w:r>
      <w:r w:rsidRPr="0060218C">
        <w:t xml:space="preserve"> from lower </w:t>
      </w:r>
      <w:r>
        <w:t>socio-economic</w:t>
      </w:r>
      <w:r w:rsidRPr="0060218C">
        <w:t xml:space="preserve"> communities</w:t>
      </w:r>
      <w:r>
        <w:t>,</w:t>
      </w:r>
      <w:r w:rsidRPr="0060218C">
        <w:t xml:space="preserve"> who are more vulnerable to the development of gambling problems</w:t>
      </w:r>
      <w:r>
        <w:t xml:space="preserve"> and </w:t>
      </w:r>
      <w:r w:rsidRPr="0060218C">
        <w:t xml:space="preserve">exposed to higher numbers of EGMs </w:t>
      </w:r>
      <w:r>
        <w:t xml:space="preserve">due to where they live, </w:t>
      </w:r>
      <w:r w:rsidRPr="0060218C">
        <w:t xml:space="preserve">may benefit from harm minimisation strategies that involve limits on EGM numbers within their communities. </w:t>
      </w:r>
    </w:p>
    <w:p w14:paraId="00F2AA73" w14:textId="6C0B4F7D" w:rsidR="005E39E4" w:rsidRDefault="005E39E4" w:rsidP="00F53A40">
      <w:pPr>
        <w:pStyle w:val="VRGFBodycontent"/>
      </w:pPr>
      <w:r w:rsidRPr="0060218C">
        <w:t>Harm minimisation or reduction models are consistent with other theoretical approaches to gambling</w:t>
      </w:r>
      <w:r>
        <w:t>,</w:t>
      </w:r>
      <w:r w:rsidRPr="0060218C">
        <w:t xml:space="preserve"> such as the public health approach (Korn et al., 2003; Korn &amp; Shaffer, 1999), despite some critics suggesting there to be no safe level of gambling (Carter, Miller</w:t>
      </w:r>
      <w:r>
        <w:t>,</w:t>
      </w:r>
      <w:r w:rsidRPr="0060218C">
        <w:t xml:space="preserve"> &amp; Hall, 2012)</w:t>
      </w:r>
      <w:r w:rsidR="004C2C8E">
        <w:t>.</w:t>
      </w:r>
      <w:r w:rsidR="008610D3">
        <w:t xml:space="preserve"> </w:t>
      </w:r>
      <w:r w:rsidRPr="0060218C">
        <w:t>The minimisation of harm is arguably a far more pragmatic and attainable outcome than trying to stop gambling altogether</w:t>
      </w:r>
      <w:r w:rsidR="004C2C8E">
        <w:t>.</w:t>
      </w:r>
      <w:r w:rsidR="008610D3">
        <w:t xml:space="preserve"> </w:t>
      </w:r>
      <w:r w:rsidRPr="0060218C">
        <w:t xml:space="preserve">Similarly, compared to the previous models that have been used to conceptualise </w:t>
      </w:r>
      <w:r>
        <w:t>gambling-related</w:t>
      </w:r>
      <w:r w:rsidRPr="0060218C">
        <w:t xml:space="preserve"> harm, the harm reduction and minimisation models are the first to encompass the elements and values that are </w:t>
      </w:r>
      <w:r w:rsidRPr="009C70BA">
        <w:t>codified</w:t>
      </w:r>
      <w:r w:rsidRPr="0060218C">
        <w:t xml:space="preserve"> within the New Zealand definition of </w:t>
      </w:r>
      <w:r>
        <w:t>gambling-related</w:t>
      </w:r>
      <w:r w:rsidRPr="0060218C">
        <w:t xml:space="preserve"> harm.</w:t>
      </w:r>
    </w:p>
    <w:p w14:paraId="5D63B313" w14:textId="77777777" w:rsidR="00F53A40" w:rsidRPr="0060218C" w:rsidRDefault="00F53A40" w:rsidP="00F53A40">
      <w:pPr>
        <w:pStyle w:val="VRGFBodycontent"/>
      </w:pPr>
    </w:p>
    <w:p w14:paraId="7881A82F" w14:textId="6CE47195" w:rsidR="005E39E4" w:rsidRPr="0060218C" w:rsidRDefault="005E39E4" w:rsidP="005E39E4">
      <w:pPr>
        <w:pStyle w:val="VRGFHead3"/>
      </w:pPr>
      <w:bookmarkStart w:id="40" w:name="_Toc462737990"/>
      <w:bookmarkStart w:id="41" w:name="_Toc283813349"/>
      <w:bookmarkStart w:id="42" w:name="_Toc283813418"/>
      <w:bookmarkStart w:id="43" w:name="_Toc285109109"/>
      <w:r w:rsidRPr="0060218C">
        <w:t>P</w:t>
      </w:r>
      <w:r w:rsidR="00F53A40">
        <w:t>ublic health</w:t>
      </w:r>
      <w:bookmarkEnd w:id="40"/>
      <w:r w:rsidR="00F53A40">
        <w:t xml:space="preserve"> </w:t>
      </w:r>
      <w:bookmarkEnd w:id="41"/>
      <w:bookmarkEnd w:id="42"/>
      <w:bookmarkEnd w:id="43"/>
    </w:p>
    <w:p w14:paraId="211E0BF0" w14:textId="56CF937D" w:rsidR="005E39E4" w:rsidRPr="0060218C" w:rsidRDefault="005E39E4" w:rsidP="00F53A40">
      <w:pPr>
        <w:pStyle w:val="VRGFBodycontent"/>
      </w:pPr>
      <w:r w:rsidRPr="0060218C">
        <w:t>In order to understand and easily explain gambling phenomena, public health perspectives use an infectious disease metaphor rather than a discrete disease (seen with the medical model), of which there are four main facets: 1) the</w:t>
      </w:r>
      <w:r w:rsidRPr="0060218C">
        <w:rPr>
          <w:i/>
        </w:rPr>
        <w:t xml:space="preserve"> host </w:t>
      </w:r>
      <w:r w:rsidRPr="0060218C">
        <w:t>which is the gambler</w:t>
      </w:r>
      <w:r>
        <w:t>;</w:t>
      </w:r>
      <w:r w:rsidRPr="0060218C">
        <w:t xml:space="preserve"> 2) the</w:t>
      </w:r>
      <w:r w:rsidRPr="0060218C">
        <w:rPr>
          <w:i/>
        </w:rPr>
        <w:t xml:space="preserve"> agent </w:t>
      </w:r>
      <w:r w:rsidRPr="0060218C">
        <w:t>referring to the specific gambling activities (e.g. EGM play)</w:t>
      </w:r>
      <w:r>
        <w:t>;</w:t>
      </w:r>
      <w:r w:rsidRPr="0060218C">
        <w:t xml:space="preserve"> 3) the </w:t>
      </w:r>
      <w:r w:rsidRPr="0060218C">
        <w:rPr>
          <w:i/>
        </w:rPr>
        <w:t>vector</w:t>
      </w:r>
      <w:r w:rsidRPr="0060218C">
        <w:t xml:space="preserve"> which is the level of investment (either money or time)</w:t>
      </w:r>
      <w:r>
        <w:t>;</w:t>
      </w:r>
      <w:r w:rsidRPr="0060218C">
        <w:t xml:space="preserve"> and 4) the </w:t>
      </w:r>
      <w:r w:rsidRPr="0060218C">
        <w:rPr>
          <w:i/>
        </w:rPr>
        <w:t xml:space="preserve">environment </w:t>
      </w:r>
      <w:r w:rsidRPr="0060218C">
        <w:t xml:space="preserve">including the gambling venue as well as everything related to the gambler’s situation such as physical, </w:t>
      </w:r>
      <w:r>
        <w:t>socio-economic</w:t>
      </w:r>
      <w:r w:rsidRPr="0060218C">
        <w:t>, cultural</w:t>
      </w:r>
      <w:r>
        <w:t>,</w:t>
      </w:r>
      <w:r w:rsidRPr="0060218C">
        <w:t xml:space="preserve"> and political environments (Abbott et al., 2004; </w:t>
      </w:r>
      <w:r>
        <w:t>Korn &amp;</w:t>
      </w:r>
      <w:r w:rsidRPr="0060218C">
        <w:t xml:space="preserve"> Shaffer, 1999).</w:t>
      </w:r>
      <w:r>
        <w:t xml:space="preserve"> </w:t>
      </w:r>
      <w:r w:rsidRPr="0060218C">
        <w:t>By considering all these factors</w:t>
      </w:r>
      <w:r>
        <w:t>,</w:t>
      </w:r>
      <w:r w:rsidRPr="0060218C">
        <w:t xml:space="preserve"> it is possible to identify what contributes to, or may protect from, risk of harm whilst acknowledging the potential benefits of gambling in order t</w:t>
      </w:r>
      <w:r>
        <w:t>o inform public policy (Korn &amp;</w:t>
      </w:r>
      <w:r w:rsidRPr="0060218C">
        <w:t xml:space="preserve"> Shaffer, 1999, Korn et al., 2003)</w:t>
      </w:r>
      <w:r w:rsidR="004C2C8E">
        <w:t>.</w:t>
      </w:r>
      <w:r w:rsidR="008610D3">
        <w:t xml:space="preserve"> </w:t>
      </w:r>
      <w:r w:rsidRPr="0060218C">
        <w:t>The model was originally applied to gambling in an effort to place gambling within the public health framework to be examined and understood from</w:t>
      </w:r>
      <w:r>
        <w:t xml:space="preserve"> a broader perspective (Korn &amp;</w:t>
      </w:r>
      <w:r w:rsidRPr="0060218C">
        <w:t xml:space="preserve"> Shaffer, 1999)</w:t>
      </w:r>
      <w:r w:rsidR="004C2C8E">
        <w:t>.</w:t>
      </w:r>
      <w:r w:rsidR="008610D3">
        <w:t xml:space="preserve"> </w:t>
      </w:r>
      <w:r>
        <w:t>Korn and Shaffer (1999)</w:t>
      </w:r>
      <w:r w:rsidRPr="0060218C">
        <w:t xml:space="preserve"> considered that this would make it possible to position gambling as a public health issue that can impact not only on the gambler, but </w:t>
      </w:r>
      <w:r>
        <w:t xml:space="preserve">also </w:t>
      </w:r>
      <w:r w:rsidRPr="0060218C">
        <w:t>on the family, friends</w:t>
      </w:r>
      <w:r>
        <w:t>,</w:t>
      </w:r>
      <w:r w:rsidRPr="0060218C">
        <w:t xml:space="preserve"> and community making it viable to consider prevention</w:t>
      </w:r>
      <w:r>
        <w:t>-</w:t>
      </w:r>
      <w:r w:rsidRPr="0060218C">
        <w:t>based policy and treatment practices.</w:t>
      </w:r>
    </w:p>
    <w:p w14:paraId="18BCB4C1" w14:textId="4762F9FA" w:rsidR="005E39E4" w:rsidRPr="0060218C" w:rsidRDefault="005E39E4" w:rsidP="00F53A40">
      <w:pPr>
        <w:pStyle w:val="VRGFBodycontent"/>
      </w:pPr>
      <w:r w:rsidRPr="0060218C">
        <w:t>Public health approaches have proven to be successful in reducing mortality and morbidity associated with other public health issues</w:t>
      </w:r>
      <w:r w:rsidR="00FA09DD">
        <w:t xml:space="preserve"> </w:t>
      </w:r>
      <w:r w:rsidR="00A12850">
        <w:t>(for instance,</w:t>
      </w:r>
      <w:r w:rsidR="00A12850" w:rsidRPr="0060218C">
        <w:t xml:space="preserve"> </w:t>
      </w:r>
      <w:r w:rsidRPr="0060218C">
        <w:t>tobacco control, road safety, immunisation</w:t>
      </w:r>
      <w:r w:rsidR="00FA09DD">
        <w:t>,</w:t>
      </w:r>
      <w:r w:rsidRPr="0060218C">
        <w:t xml:space="preserve"> and environmental contaminants</w:t>
      </w:r>
      <w:r w:rsidR="00FA09DD">
        <w:t xml:space="preserve"> control</w:t>
      </w:r>
      <w:r w:rsidR="00A12850">
        <w:t>)</w:t>
      </w:r>
      <w:r>
        <w:t xml:space="preserve"> </w:t>
      </w:r>
      <w:r w:rsidRPr="0060218C">
        <w:t>and have been utilised internationally by policy analysts and researchers (Productivity Commission, 2010)</w:t>
      </w:r>
      <w:r w:rsidR="004C2C8E">
        <w:t>.</w:t>
      </w:r>
      <w:r w:rsidR="008610D3">
        <w:t xml:space="preserve"> </w:t>
      </w:r>
      <w:r w:rsidRPr="0060218C">
        <w:t xml:space="preserve">Public health approaches are unique as they </w:t>
      </w:r>
      <w:r w:rsidRPr="0060218C">
        <w:lastRenderedPageBreak/>
        <w:t>incorporate harm minimisation/reduction perspectives in conjunction with health promotion (Dickson-Gillespie et al., 2008), focusing not only on prevention and policy directed at the individual, but also on building healthy communities of empowered and resilient people</w:t>
      </w:r>
      <w:r w:rsidR="004C2C8E">
        <w:t>.</w:t>
      </w:r>
      <w:r w:rsidR="008610D3">
        <w:t xml:space="preserve"> </w:t>
      </w:r>
      <w:r w:rsidRPr="0060218C">
        <w:t xml:space="preserve">This is particularly important as it </w:t>
      </w:r>
      <w:r>
        <w:t xml:space="preserve">not only </w:t>
      </w:r>
      <w:r w:rsidRPr="0060218C">
        <w:t xml:space="preserve">acknowledges the characteristics of the product but also the effects unhealthy gambling behaviours can have on family, friends, </w:t>
      </w:r>
      <w:r>
        <w:t xml:space="preserve">and </w:t>
      </w:r>
      <w:r w:rsidRPr="0060218C">
        <w:t>whānau</w:t>
      </w:r>
      <w:r>
        <w:t>;</w:t>
      </w:r>
      <w:r w:rsidRPr="0060218C">
        <w:t xml:space="preserve"> </w:t>
      </w:r>
      <w:r w:rsidR="004D1A40">
        <w:t>as well as the influences on</w:t>
      </w:r>
      <w:r>
        <w:t xml:space="preserve"> </w:t>
      </w:r>
      <w:r w:rsidRPr="0060218C">
        <w:t>cultural and community connectedness.</w:t>
      </w:r>
    </w:p>
    <w:p w14:paraId="1A6F1D4B" w14:textId="29AA82D8" w:rsidR="005E39E4" w:rsidRPr="0060218C" w:rsidRDefault="005E39E4" w:rsidP="00F53A40">
      <w:pPr>
        <w:pStyle w:val="VRGFBodycontent"/>
      </w:pPr>
      <w:r w:rsidRPr="0060218C">
        <w:t>Several authors have noted the importance of the shift from the individual to the context and environment in understanding gambling harms (Abbott et al, 2004; Adams, Raeburn</w:t>
      </w:r>
      <w:r>
        <w:t>,</w:t>
      </w:r>
      <w:r w:rsidRPr="0060218C">
        <w:t xml:space="preserve"> &amp; De Silva, 2009; Marshall, 2009; Messerlian, Derevensky</w:t>
      </w:r>
      <w:r>
        <w:t>,</w:t>
      </w:r>
      <w:r w:rsidRPr="0060218C">
        <w:t xml:space="preserve"> &amp; Gupta, 2005)</w:t>
      </w:r>
      <w:r w:rsidR="004C2C8E">
        <w:t>.</w:t>
      </w:r>
      <w:r w:rsidR="008610D3">
        <w:t xml:space="preserve"> </w:t>
      </w:r>
      <w:r w:rsidRPr="0060218C">
        <w:t>Adams et al. (2009) highlighted New Zealand’s efforts to recognise gambling as a public health issue and the development of three main responses: 1) harm minimisation</w:t>
      </w:r>
      <w:r>
        <w:t>;</w:t>
      </w:r>
      <w:r w:rsidRPr="0060218C">
        <w:t xml:space="preserve"> 2) health promotion</w:t>
      </w:r>
      <w:r>
        <w:t>;</w:t>
      </w:r>
      <w:r w:rsidRPr="0060218C">
        <w:t xml:space="preserve"> and 3) political determinants</w:t>
      </w:r>
      <w:r w:rsidR="004C2C8E">
        <w:t>.</w:t>
      </w:r>
      <w:r w:rsidR="008610D3">
        <w:t xml:space="preserve"> </w:t>
      </w:r>
      <w:r w:rsidRPr="0060218C">
        <w:t>Whilst harm minimisation is well understood within the gambling literature, health promotion has been given much less attention</w:t>
      </w:r>
      <w:r w:rsidR="004C2C8E">
        <w:t>.</w:t>
      </w:r>
      <w:r w:rsidR="008610D3">
        <w:t xml:space="preserve"> </w:t>
      </w:r>
      <w:r w:rsidRPr="0060218C">
        <w:t>While some have attempted to encourage responsible gambling through advertising and policy changes (e.g. Australian responsible gambling campaigns), there has been little effort to understand the potential utility of health promotion for broader communities</w:t>
      </w:r>
      <w:r w:rsidR="004C2C8E">
        <w:t>.</w:t>
      </w:r>
      <w:r w:rsidR="008610D3">
        <w:t xml:space="preserve"> </w:t>
      </w:r>
      <w:r w:rsidRPr="0060218C">
        <w:t>Health promotion focuses on upstream determinants to try and circumvent the problem from occurring</w:t>
      </w:r>
      <w:r w:rsidR="004C2C8E">
        <w:t>.</w:t>
      </w:r>
      <w:r w:rsidR="008610D3">
        <w:t xml:space="preserve"> </w:t>
      </w:r>
      <w:r w:rsidRPr="0060218C">
        <w:t>Historically, efforts to address gambling harms have generally focused on downstream determinants of harm (behavioural and biological), or treatment and interventions after a problem occurs</w:t>
      </w:r>
      <w:r w:rsidR="004C2C8E">
        <w:t>.</w:t>
      </w:r>
      <w:r w:rsidR="008610D3">
        <w:t xml:space="preserve"> </w:t>
      </w:r>
      <w:r w:rsidRPr="0060218C">
        <w:t xml:space="preserve">This is particularly important when considering communities with varying cultural or </w:t>
      </w:r>
      <w:r>
        <w:t>socio-economic</w:t>
      </w:r>
      <w:r w:rsidRPr="0060218C">
        <w:t xml:space="preserve"> backgrounds, as there is not simply a “one</w:t>
      </w:r>
      <w:r>
        <w:t xml:space="preserve"> </w:t>
      </w:r>
      <w:r w:rsidRPr="0060218C">
        <w:t>fits all” approach to dealing with problem gambling.</w:t>
      </w:r>
    </w:p>
    <w:p w14:paraId="33C37D2B" w14:textId="747FABD0" w:rsidR="005E39E4" w:rsidRPr="00A2383B" w:rsidRDefault="005E39E4" w:rsidP="00F53A40">
      <w:pPr>
        <w:pStyle w:val="VRGFBodycontent"/>
      </w:pPr>
      <w:r w:rsidRPr="00A2383B">
        <w:t>At the environmental level, two major hypotheses have been advanced regarding associations between increased gambling availability and gambling-related harms including problem gambling and other adverse health and social costs</w:t>
      </w:r>
      <w:r w:rsidR="004C2C8E">
        <w:t>.</w:t>
      </w:r>
      <w:r w:rsidR="008610D3">
        <w:t xml:space="preserve"> </w:t>
      </w:r>
      <w:r w:rsidRPr="00A2383B">
        <w:t>The availability/exposure hypothesis maintains that increased availability leads to increased problems</w:t>
      </w:r>
      <w:r w:rsidR="004C2C8E">
        <w:t>.</w:t>
      </w:r>
      <w:r w:rsidR="008610D3">
        <w:t xml:space="preserve"> </w:t>
      </w:r>
      <w:r w:rsidRPr="00A2383B">
        <w:t>An adaptation effect has also been noted whereby problems with gambling might reduce at the population level as societies adapt and learn about gambling and ways to counter adverse effects (Abbott, Williams</w:t>
      </w:r>
      <w:r>
        <w:t>,</w:t>
      </w:r>
      <w:r w:rsidRPr="00A2383B">
        <w:t xml:space="preserve"> &amp; Volberg, 1999; Shaffer, Hall</w:t>
      </w:r>
      <w:r>
        <w:t>,</w:t>
      </w:r>
      <w:r w:rsidRPr="00A2383B">
        <w:t xml:space="preserve"> &amp; Vander Bilt, 1997)</w:t>
      </w:r>
      <w:r w:rsidR="004C2C8E">
        <w:t>.</w:t>
      </w:r>
      <w:r w:rsidR="008610D3">
        <w:t xml:space="preserve"> </w:t>
      </w:r>
      <w:r w:rsidRPr="00A2383B">
        <w:t>Although Orford (2005) and some others have stated or implied that availability and adaptation hypotheses are alternatives, Shaffer et al. (1997) and Abbott et al. (1999) regarded them as both applying at different times during periods of gambling expansion</w:t>
      </w:r>
      <w:r w:rsidR="004C2C8E">
        <w:t>.</w:t>
      </w:r>
      <w:r w:rsidR="008610D3">
        <w:t xml:space="preserve"> </w:t>
      </w:r>
      <w:r w:rsidRPr="00A2383B">
        <w:t>Furthermore, Abbott (2006, 2007) argued that both occur simultaneously, with the relative balance influenced by a variety of factors related to the agent (nature of gambling activities and their availability), host (individuals involved in gambling) and the wider social, cultural</w:t>
      </w:r>
      <w:r>
        <w:t>,</w:t>
      </w:r>
      <w:r w:rsidRPr="00A2383B">
        <w:t xml:space="preserve"> and economic environment</w:t>
      </w:r>
      <w:r w:rsidR="004C2C8E">
        <w:t>.</w:t>
      </w:r>
      <w:r w:rsidR="008610D3">
        <w:t xml:space="preserve"> </w:t>
      </w:r>
      <w:r w:rsidRPr="00A2383B">
        <w:t>To some extent, this model is based on an analogy with traditional public health frameworks concerning infectious diseases</w:t>
      </w:r>
      <w:r>
        <w:t>,</w:t>
      </w:r>
      <w:r w:rsidRPr="00A2383B">
        <w:t xml:space="preserve"> where agent, host</w:t>
      </w:r>
      <w:r>
        <w:t>,</w:t>
      </w:r>
      <w:r w:rsidRPr="00A2383B">
        <w:t xml:space="preserve"> and environment interact in complex ways.</w:t>
      </w:r>
    </w:p>
    <w:p w14:paraId="1EB21AD8" w14:textId="3A276DC4" w:rsidR="00B66A7C" w:rsidRDefault="005E39E4" w:rsidP="00F53A40">
      <w:pPr>
        <w:pStyle w:val="VRGFBodycontent"/>
      </w:pPr>
      <w:r w:rsidRPr="0060218C">
        <w:t>A public health approach also acknowledges the positive effects associated with safe levels of consumption of gambling products</w:t>
      </w:r>
      <w:r>
        <w:t>,</w:t>
      </w:r>
      <w:r w:rsidRPr="0060218C">
        <w:t xml:space="preserve"> unlike other models that tend to focus on gambling and subsequent harm</w:t>
      </w:r>
      <w:r w:rsidR="004C2C8E">
        <w:t>.</w:t>
      </w:r>
      <w:r w:rsidR="008610D3">
        <w:t xml:space="preserve"> </w:t>
      </w:r>
      <w:r w:rsidRPr="0060218C">
        <w:t>Recreational gambling can encourage positive community connection and enhance family interaction and engagement (</w:t>
      </w:r>
      <w:r w:rsidR="002916CF">
        <w:t xml:space="preserve">for all </w:t>
      </w:r>
      <w:r w:rsidR="00FD6FBF">
        <w:t xml:space="preserve">whānau including immediate </w:t>
      </w:r>
      <w:r w:rsidR="00FD6FBF" w:rsidRPr="0060218C">
        <w:t>and extended families</w:t>
      </w:r>
      <w:r w:rsidR="00910452">
        <w:t xml:space="preserve"> and </w:t>
      </w:r>
      <w:r w:rsidR="00853311">
        <w:t xml:space="preserve">other </w:t>
      </w:r>
      <w:r w:rsidR="00910452">
        <w:t>community members</w:t>
      </w:r>
      <w:r w:rsidRPr="0060218C">
        <w:t>)</w:t>
      </w:r>
      <w:r w:rsidR="004C2C8E">
        <w:t>.</w:t>
      </w:r>
      <w:r w:rsidR="008610D3">
        <w:t xml:space="preserve"> </w:t>
      </w:r>
      <w:r w:rsidRPr="0060218C">
        <w:t>For example, often Māori and Pacific families and communities play housie (bingo) in order to raise money for the church or other community causes (e.g. Bellringer, Taylor, Savila</w:t>
      </w:r>
      <w:r>
        <w:t>,</w:t>
      </w:r>
      <w:r w:rsidRPr="0060218C">
        <w:t xml:space="preserve"> &amp; Abbott, 2014; Perese, Bellringer, Williams</w:t>
      </w:r>
      <w:r>
        <w:t>,</w:t>
      </w:r>
      <w:r w:rsidRPr="0060218C">
        <w:t xml:space="preserve"> &amp; Abbott, 2009; Dyall, Thomas</w:t>
      </w:r>
      <w:r>
        <w:t>,</w:t>
      </w:r>
      <w:r w:rsidRPr="0060218C">
        <w:t xml:space="preserve"> &amp; Thomas, 2009a)</w:t>
      </w:r>
      <w:r w:rsidR="004C2C8E">
        <w:t>.</w:t>
      </w:r>
      <w:r w:rsidR="008610D3">
        <w:t xml:space="preserve"> </w:t>
      </w:r>
      <w:r w:rsidRPr="0060218C">
        <w:t>Others find gambling to be a form of relaxation or entertainment with most people not experiencing adverse outcomes or harm</w:t>
      </w:r>
      <w:r w:rsidR="004C2C8E">
        <w:t>.</w:t>
      </w:r>
      <w:r w:rsidR="008610D3">
        <w:t xml:space="preserve"> </w:t>
      </w:r>
      <w:r w:rsidRPr="0060218C">
        <w:t>At a broader community level, gambling generates employment opportunities while providing avenues for community togetherness by fostering social interaction within venues</w:t>
      </w:r>
      <w:r w:rsidR="004C2C8E">
        <w:t>.</w:t>
      </w:r>
      <w:r w:rsidR="008610D3">
        <w:t xml:space="preserve"> </w:t>
      </w:r>
      <w:r w:rsidRPr="0060218C">
        <w:t xml:space="preserve">Gambling also supports sporting events and other </w:t>
      </w:r>
      <w:r w:rsidRPr="0060218C">
        <w:lastRenderedPageBreak/>
        <w:t>activities that would otherwise be under-</w:t>
      </w:r>
      <w:r>
        <w:t>funded</w:t>
      </w:r>
      <w:r w:rsidRPr="0060218C">
        <w:t xml:space="preserve"> within the community</w:t>
      </w:r>
      <w:r w:rsidR="004C2C8E">
        <w:t>.</w:t>
      </w:r>
      <w:r w:rsidR="008610D3">
        <w:t xml:space="preserve"> </w:t>
      </w:r>
      <w:r w:rsidRPr="0060218C">
        <w:t>It is also interesting to consider the degree to which gambling may represent an adaptive coping mechanism for other problems; for instance for seniors in dealing with loneliness and social isolation</w:t>
      </w:r>
      <w:r w:rsidR="004C2C8E">
        <w:t>.</w:t>
      </w:r>
      <w:r w:rsidR="008610D3">
        <w:t xml:space="preserve"> </w:t>
      </w:r>
      <w:r w:rsidRPr="0060218C">
        <w:t>A position influenced by the public health approach was adopted in Australia by The Independent Pricing Regulatory Tribunal (IPART) (2005) whose goals were to prevent vulnerable people from developing gambling problems; reduce the prevalence of gambling within the community; reduce both the negative social and health consequences associated with problem gambling for individuals, families and their communities; preserve reasonable levels of enjoyment for recreational gamblers; and ensure the livelihood of those associated with the gambling industry is not unnecessarily compromised.</w:t>
      </w:r>
      <w:r>
        <w:t xml:space="preserve"> </w:t>
      </w:r>
      <w:r w:rsidR="00B66A7C" w:rsidRPr="0060218C">
        <w:t xml:space="preserve">Such recommendations are consistent with the New Zealand approach as </w:t>
      </w:r>
      <w:r w:rsidR="00B66A7C">
        <w:t>they</w:t>
      </w:r>
      <w:r w:rsidR="00433DE7">
        <w:t>:</w:t>
      </w:r>
    </w:p>
    <w:p w14:paraId="3D7879BB" w14:textId="74E857C8" w:rsidR="00B66A7C" w:rsidRDefault="00433DE7" w:rsidP="00433DE7">
      <w:pPr>
        <w:pStyle w:val="VRGFBulletedlist"/>
      </w:pPr>
      <w:r>
        <w:t>C</w:t>
      </w:r>
      <w:r w:rsidR="00B66A7C" w:rsidRPr="0060218C">
        <w:t>over both the positive an</w:t>
      </w:r>
      <w:r w:rsidR="00B66A7C">
        <w:t>d negative effects of gambling</w:t>
      </w:r>
      <w:r>
        <w:t>.</w:t>
      </w:r>
    </w:p>
    <w:p w14:paraId="514945A9" w14:textId="352D4F43" w:rsidR="00B66A7C" w:rsidRDefault="00433DE7" w:rsidP="00433DE7">
      <w:pPr>
        <w:pStyle w:val="VRGFBulletedlist"/>
      </w:pPr>
      <w:r>
        <w:t>C</w:t>
      </w:r>
      <w:r w:rsidR="00B66A7C">
        <w:t xml:space="preserve">onsider </w:t>
      </w:r>
      <w:r w:rsidR="00B66A7C" w:rsidRPr="0060218C">
        <w:t>those who are affected beyond an individual level</w:t>
      </w:r>
      <w:r w:rsidR="00B66A7C">
        <w:t>,</w:t>
      </w:r>
      <w:r w:rsidR="00B66A7C" w:rsidRPr="0060218C">
        <w:t xml:space="preserve"> including the broader community and industry</w:t>
      </w:r>
      <w:r>
        <w:t>.</w:t>
      </w:r>
    </w:p>
    <w:p w14:paraId="15CB1F3A" w14:textId="7A81EFA4" w:rsidR="00B66A7C" w:rsidRDefault="00433DE7" w:rsidP="00433DE7">
      <w:pPr>
        <w:pStyle w:val="VRGFBulletedlist"/>
      </w:pPr>
      <w:r>
        <w:t>A</w:t>
      </w:r>
      <w:r w:rsidR="00B66A7C" w:rsidRPr="0060218C">
        <w:t>cknowledge the varying levels of vulnerabi</w:t>
      </w:r>
      <w:r>
        <w:t>lity for particular groups.</w:t>
      </w:r>
    </w:p>
    <w:p w14:paraId="6DA5B9ED" w14:textId="7AF924D3" w:rsidR="005E39E4" w:rsidRPr="0060218C" w:rsidRDefault="00433DE7" w:rsidP="00433DE7">
      <w:pPr>
        <w:pStyle w:val="VRGFBulletedlist"/>
      </w:pPr>
      <w:r>
        <w:t>Re</w:t>
      </w:r>
      <w:r w:rsidR="00607EC5">
        <w:t>cognise</w:t>
      </w:r>
      <w:r w:rsidR="00B66A7C" w:rsidRPr="0060218C">
        <w:t xml:space="preserve"> that gambling harms can affect multiple domains of life. </w:t>
      </w:r>
    </w:p>
    <w:p w14:paraId="09DABB1A" w14:textId="317482F8" w:rsidR="005E39E4" w:rsidRDefault="005E39E4" w:rsidP="00F53A40">
      <w:pPr>
        <w:pStyle w:val="VRGFBodycontent"/>
      </w:pPr>
      <w:r w:rsidRPr="0060218C">
        <w:t>A public health approach to gambling harm recognises the broad network of social determinants of health, including but not limited to: political policy, social cohesion, cultural communities and values, education, life-course of health behaviours (including gambling)</w:t>
      </w:r>
      <w:r>
        <w:t>,</w:t>
      </w:r>
      <w:r w:rsidRPr="0060218C">
        <w:t xml:space="preserve"> and subsequent health outcomes (harms)</w:t>
      </w:r>
      <w:r w:rsidR="004C2C8E">
        <w:t>.</w:t>
      </w:r>
      <w:r w:rsidR="008610D3">
        <w:t xml:space="preserve"> </w:t>
      </w:r>
      <w:r w:rsidRPr="0060218C">
        <w:t xml:space="preserve">This approach provides a thorough conceptualisation of </w:t>
      </w:r>
      <w:r>
        <w:t>gambling-related</w:t>
      </w:r>
      <w:r w:rsidRPr="0060218C">
        <w:t xml:space="preserve"> harm that separates the potential outcome from the behaviour or symptomatology.</w:t>
      </w:r>
    </w:p>
    <w:p w14:paraId="12E64469" w14:textId="77777777" w:rsidR="00F53A40" w:rsidRPr="0060218C" w:rsidRDefault="00F53A40" w:rsidP="00F53A40">
      <w:pPr>
        <w:pStyle w:val="VRGFBodycontent"/>
      </w:pPr>
    </w:p>
    <w:p w14:paraId="27488D9E" w14:textId="117A8BDE" w:rsidR="005E39E4" w:rsidRPr="0060218C" w:rsidRDefault="005E39E4" w:rsidP="005E39E4">
      <w:pPr>
        <w:pStyle w:val="VRGFHead2"/>
      </w:pPr>
      <w:bookmarkStart w:id="44" w:name="_Toc462737991"/>
      <w:bookmarkStart w:id="45" w:name="_Toc283813350"/>
      <w:bookmarkStart w:id="46" w:name="_Toc283813419"/>
      <w:bookmarkStart w:id="47" w:name="_Toc285109110"/>
      <w:r w:rsidRPr="0060218C">
        <w:t>H</w:t>
      </w:r>
      <w:r w:rsidR="00F53A40">
        <w:t>ow harm is manifested</w:t>
      </w:r>
      <w:bookmarkEnd w:id="44"/>
      <w:r w:rsidR="00F53A40">
        <w:t xml:space="preserve"> </w:t>
      </w:r>
      <w:bookmarkEnd w:id="45"/>
      <w:bookmarkEnd w:id="46"/>
      <w:bookmarkEnd w:id="47"/>
    </w:p>
    <w:p w14:paraId="256DB094" w14:textId="1B814E91" w:rsidR="005E39E4" w:rsidRDefault="005E39E4" w:rsidP="00F53A40">
      <w:pPr>
        <w:pStyle w:val="VRGFBodycontent"/>
      </w:pPr>
      <w:r w:rsidRPr="0060218C">
        <w:t xml:space="preserve">When considering </w:t>
      </w:r>
      <w:r>
        <w:t>gambling-related</w:t>
      </w:r>
      <w:r w:rsidRPr="0060218C">
        <w:t xml:space="preserve"> harm, much of the focus is directed towards the person who gambles, and is experiencing problems with gambling</w:t>
      </w:r>
      <w:r w:rsidR="004C2C8E">
        <w:t>.</w:t>
      </w:r>
      <w:r w:rsidR="008610D3">
        <w:t xml:space="preserve"> </w:t>
      </w:r>
      <w:r w:rsidRPr="0060218C">
        <w:t xml:space="preserve">Often overlooked is the fact that </w:t>
      </w:r>
      <w:r>
        <w:t>gambling-related</w:t>
      </w:r>
      <w:r w:rsidRPr="0060218C">
        <w:t xml:space="preserve"> harm generally occurs on a number of different levels</w:t>
      </w:r>
      <w:r>
        <w:t>:</w:t>
      </w:r>
      <w:r w:rsidRPr="0060218C">
        <w:t xml:space="preserve"> harm to the individual who gambles, harm to family and friends, harms to their whānau</w:t>
      </w:r>
      <w:r>
        <w:t>,</w:t>
      </w:r>
      <w:r w:rsidRPr="0060218C">
        <w:t xml:space="preserve"> and harms to the general community</w:t>
      </w:r>
      <w:r w:rsidR="004C2C8E">
        <w:t>.</w:t>
      </w:r>
      <w:r w:rsidR="008610D3">
        <w:t xml:space="preserve"> </w:t>
      </w:r>
      <w:r w:rsidRPr="0060218C">
        <w:t>The source of harms clearly begins with the individual who is gambling at a problematic level</w:t>
      </w:r>
      <w:r w:rsidR="004C2C8E">
        <w:t>.</w:t>
      </w:r>
      <w:r w:rsidR="008610D3">
        <w:t xml:space="preserve"> </w:t>
      </w:r>
      <w:r w:rsidRPr="0060218C">
        <w:t>The harm may be understood to act like a contagion, spreading through social connections</w:t>
      </w:r>
      <w:r w:rsidR="004C2C8E">
        <w:t>.</w:t>
      </w:r>
      <w:r w:rsidR="008610D3">
        <w:t xml:space="preserve"> </w:t>
      </w:r>
      <w:r w:rsidRPr="0060218C">
        <w:t>Family and close friends are most immediately affected: these can be broken down into two categories, 1) immediate family</w:t>
      </w:r>
      <w:r>
        <w:t>;</w:t>
      </w:r>
      <w:r w:rsidRPr="0060218C">
        <w:t xml:space="preserve"> and 2) friends, extended family and whānau</w:t>
      </w:r>
      <w:r w:rsidR="004C2C8E">
        <w:t>.</w:t>
      </w:r>
      <w:r w:rsidR="008610D3">
        <w:t xml:space="preserve"> </w:t>
      </w:r>
      <w:r w:rsidRPr="0060218C">
        <w:t>The immediate family refers to those who often experience most immediate and pervasive harms due to their partner, child, parent</w:t>
      </w:r>
      <w:r>
        <w:t>,</w:t>
      </w:r>
      <w:r w:rsidRPr="0060218C">
        <w:t xml:space="preserve"> or sibling’s gambling</w:t>
      </w:r>
      <w:r w:rsidR="004C2C8E">
        <w:t>.</w:t>
      </w:r>
      <w:r w:rsidR="008610D3">
        <w:t xml:space="preserve"> </w:t>
      </w:r>
      <w:r w:rsidRPr="0060218C">
        <w:t>The majority of the literature, and subsequently this review, focuses on the harms experienced by partners and children of gamblers</w:t>
      </w:r>
      <w:r w:rsidR="004C2C8E">
        <w:t>.</w:t>
      </w:r>
      <w:r w:rsidR="008610D3">
        <w:t xml:space="preserve"> </w:t>
      </w:r>
      <w:r w:rsidRPr="0060218C">
        <w:t xml:space="preserve">However, it is not unusual for other family members to experience similar harms dependent on the level of involvement with the gambler, particularly </w:t>
      </w:r>
      <w:r>
        <w:t xml:space="preserve">the </w:t>
      </w:r>
      <w:r w:rsidRPr="0060218C">
        <w:t>parents of the person who gambles</w:t>
      </w:r>
      <w:r w:rsidR="004C2C8E">
        <w:t>.</w:t>
      </w:r>
      <w:r w:rsidR="008610D3">
        <w:t xml:space="preserve"> </w:t>
      </w:r>
      <w:r w:rsidRPr="0060218C">
        <w:t>Other affected persons may be friends</w:t>
      </w:r>
      <w:r>
        <w:t>; extended family and whānau;</w:t>
      </w:r>
      <w:r w:rsidRPr="0060218C">
        <w:t xml:space="preserve"> colleagues</w:t>
      </w:r>
      <w:r>
        <w:t>;</w:t>
      </w:r>
      <w:r w:rsidRPr="0060218C">
        <w:t xml:space="preserve"> peers</w:t>
      </w:r>
      <w:r>
        <w:t>;</w:t>
      </w:r>
      <w:r w:rsidRPr="0060218C">
        <w:t xml:space="preserve"> and those in social, cultural</w:t>
      </w:r>
      <w:r>
        <w:t>,</w:t>
      </w:r>
      <w:r w:rsidRPr="0060218C">
        <w:t xml:space="preserve"> or political networks</w:t>
      </w:r>
      <w:r w:rsidR="004C2C8E">
        <w:t>.</w:t>
      </w:r>
      <w:r w:rsidR="008610D3">
        <w:t xml:space="preserve"> </w:t>
      </w:r>
      <w:r w:rsidRPr="0060218C">
        <w:t>Whilst these groups may experience lower levels of harm than those in the gambler’s immediate family, a small proportion may occasionally experience severe impacts (e.g. from criminal activity)</w:t>
      </w:r>
      <w:r w:rsidR="004C2C8E">
        <w:t>.</w:t>
      </w:r>
      <w:r w:rsidR="008610D3">
        <w:t xml:space="preserve"> </w:t>
      </w:r>
      <w:r w:rsidRPr="0060218C">
        <w:t>On the broadest level are harms occurring to the community</w:t>
      </w:r>
      <w:r w:rsidR="004C2C8E">
        <w:t>.</w:t>
      </w:r>
      <w:r w:rsidR="008610D3">
        <w:t xml:space="preserve"> </w:t>
      </w:r>
      <w:r w:rsidRPr="0060218C">
        <w:t>The community can refer to a population bounded by a number of commonalities including geographical, cultural, political</w:t>
      </w:r>
      <w:r>
        <w:t>,</w:t>
      </w:r>
      <w:r w:rsidRPr="0060218C">
        <w:t xml:space="preserve"> or </w:t>
      </w:r>
      <w:r>
        <w:t>socio-economic</w:t>
      </w:r>
      <w:r w:rsidRPr="0060218C">
        <w:t xml:space="preserve"> links</w:t>
      </w:r>
      <w:r w:rsidR="004C2C8E">
        <w:t>.</w:t>
      </w:r>
      <w:r w:rsidR="008610D3">
        <w:t xml:space="preserve"> </w:t>
      </w:r>
      <w:r w:rsidRPr="0060218C">
        <w:t xml:space="preserve">The </w:t>
      </w:r>
      <w:r w:rsidRPr="0060218C">
        <w:lastRenderedPageBreak/>
        <w:t>spread and experience of harm across these different groups can vary significantly depending on the relationships or cohesion between them.</w:t>
      </w:r>
    </w:p>
    <w:p w14:paraId="2554722E" w14:textId="77777777" w:rsidR="00F53A40" w:rsidRPr="0060218C" w:rsidRDefault="00F53A40" w:rsidP="00F53A40">
      <w:pPr>
        <w:pStyle w:val="VRGFBodycontent"/>
      </w:pPr>
    </w:p>
    <w:p w14:paraId="7C1BF0DC" w14:textId="54BFE978" w:rsidR="005E39E4" w:rsidRPr="0060218C" w:rsidRDefault="005E39E4" w:rsidP="005E39E4">
      <w:pPr>
        <w:pStyle w:val="VRGFHead3"/>
      </w:pPr>
      <w:bookmarkStart w:id="48" w:name="_Toc462737992"/>
      <w:bookmarkStart w:id="49" w:name="_Toc283813351"/>
      <w:bookmarkStart w:id="50" w:name="_Toc283813420"/>
      <w:bookmarkStart w:id="51" w:name="_Toc285109111"/>
      <w:r w:rsidRPr="0060218C">
        <w:t>H</w:t>
      </w:r>
      <w:r w:rsidR="00F53A40">
        <w:t>arm to the individual</w:t>
      </w:r>
      <w:bookmarkEnd w:id="48"/>
      <w:r w:rsidR="00F53A40">
        <w:t xml:space="preserve"> </w:t>
      </w:r>
      <w:bookmarkEnd w:id="49"/>
      <w:bookmarkEnd w:id="50"/>
      <w:bookmarkEnd w:id="51"/>
    </w:p>
    <w:p w14:paraId="56F4129E" w14:textId="290193C8" w:rsidR="005E39E4" w:rsidRPr="0060218C" w:rsidRDefault="005E39E4" w:rsidP="00F53A40">
      <w:pPr>
        <w:pStyle w:val="VRGFBodycontent"/>
      </w:pPr>
      <w:r w:rsidRPr="0060218C">
        <w:t>Harm from gambling is often measured by proxy using symptomatology or using self-report in population surveys</w:t>
      </w:r>
      <w:r w:rsidR="004C2C8E">
        <w:t>.</w:t>
      </w:r>
      <w:r w:rsidR="008610D3">
        <w:t xml:space="preserve"> </w:t>
      </w:r>
      <w:r w:rsidRPr="0060218C">
        <w:t xml:space="preserve">For example, in New Zealand these include the New Zealand Health Surveys (Ministry of Health, 2009; 2012; 2014), the </w:t>
      </w:r>
      <w:r>
        <w:t>New Zealand 2012</w:t>
      </w:r>
      <w:r w:rsidRPr="0060218C">
        <w:t xml:space="preserve"> National Gambling Study (Abbott et al., 2014a) or alternatively, client disclosures during treatment seeking (Abbott et al., 2012)</w:t>
      </w:r>
      <w:r w:rsidR="004C2C8E">
        <w:t>.</w:t>
      </w:r>
      <w:r w:rsidR="008610D3">
        <w:t xml:space="preserve"> </w:t>
      </w:r>
      <w:r w:rsidRPr="0060218C">
        <w:t>The use of self-report assessment measures has generally been supported as a reliable tool for measurin</w:t>
      </w:r>
      <w:r>
        <w:t>g gambling problems (Hodgins &amp;</w:t>
      </w:r>
      <w:r w:rsidRPr="0060218C">
        <w:t xml:space="preserve"> Makarchuk, 2003)</w:t>
      </w:r>
      <w:r w:rsidR="004C2C8E">
        <w:t>.</w:t>
      </w:r>
      <w:r w:rsidR="008610D3">
        <w:t xml:space="preserve"> </w:t>
      </w:r>
      <w:r w:rsidRPr="0060218C">
        <w:t>Whilst there is a large body of research exploring the types of harm that can be experienced by a person who gambles in New Zealand (</w:t>
      </w:r>
      <w:r w:rsidRPr="00A2383B">
        <w:t>see</w:t>
      </w:r>
      <w:r w:rsidRPr="0060218C">
        <w:t xml:space="preserve"> Walker, Abbott</w:t>
      </w:r>
      <w:r>
        <w:t>, &amp; Gray, 2012</w:t>
      </w:r>
      <w:r w:rsidRPr="0060218C">
        <w:t xml:space="preserve"> for a recent example</w:t>
      </w:r>
      <w:r>
        <w:t>),</w:t>
      </w:r>
      <w:r w:rsidRPr="0060218C">
        <w:t xml:space="preserve"> there is a lack of separation of harm from behaviour or symptomatology</w:t>
      </w:r>
      <w:r w:rsidR="004C2C8E">
        <w:t>.</w:t>
      </w:r>
      <w:r w:rsidR="008610D3">
        <w:t xml:space="preserve"> </w:t>
      </w:r>
      <w:r w:rsidRPr="0060218C">
        <w:t xml:space="preserve">This reflects an underlying implicit assumption that harms are symptoms of the problem rather than a distinct concept. </w:t>
      </w:r>
    </w:p>
    <w:p w14:paraId="6C7B2A69" w14:textId="5851EA39" w:rsidR="005E39E4" w:rsidRPr="0060218C" w:rsidRDefault="005E39E4" w:rsidP="00F53A40">
      <w:pPr>
        <w:pStyle w:val="VRGFBodycontent"/>
      </w:pPr>
      <w:r w:rsidRPr="0060218C">
        <w:t>The 2012</w:t>
      </w:r>
      <w:r>
        <w:t xml:space="preserve"> New Zealand</w:t>
      </w:r>
      <w:r w:rsidRPr="0060218C">
        <w:t xml:space="preserve"> National Gambling Study (Abbott et al., 2014a) was the first nationally representative study</w:t>
      </w:r>
      <w:r>
        <w:t xml:space="preserve"> (N=</w:t>
      </w:r>
      <w:r w:rsidRPr="0060218C">
        <w:t>6,251) that focused on gambling in New Zealand since 1999</w:t>
      </w:r>
      <w:r w:rsidR="004C2C8E">
        <w:t>.</w:t>
      </w:r>
      <w:r w:rsidR="008610D3">
        <w:t xml:space="preserve"> </w:t>
      </w:r>
      <w:r w:rsidRPr="0060218C">
        <w:t>Impacts reported in this study included deprivation, unemployment, and impacts on relationships</w:t>
      </w:r>
      <w:r w:rsidR="004C2C8E">
        <w:t>.</w:t>
      </w:r>
      <w:r w:rsidR="008610D3">
        <w:t xml:space="preserve"> </w:t>
      </w:r>
      <w:r w:rsidRPr="0060218C">
        <w:t>Problem gamblers reported high levels of deprivation, with nearly three-quarters saying they had been forced to buy cheaper food during the past 12 months compared to a quarter of adults generally</w:t>
      </w:r>
      <w:r w:rsidR="004C2C8E">
        <w:t>.</w:t>
      </w:r>
      <w:r w:rsidR="008610D3">
        <w:t xml:space="preserve"> </w:t>
      </w:r>
      <w:r w:rsidRPr="0060218C">
        <w:t>Moderate-risk and low-risk gamblers also more frequently experienced some of these deprivations than non-gamblers and non-problem gamblers</w:t>
      </w:r>
      <w:r w:rsidR="004C2C8E">
        <w:t>.</w:t>
      </w:r>
      <w:r w:rsidR="008610D3">
        <w:t xml:space="preserve"> </w:t>
      </w:r>
      <w:r w:rsidRPr="0060218C">
        <w:t>Over a half of problem gamblers said they had been out of paid work for more than a month and around a third had received support from a benefit</w:t>
      </w:r>
      <w:r>
        <w:t xml:space="preserve"> program</w:t>
      </w:r>
      <w:r w:rsidR="004C2C8E">
        <w:t>.</w:t>
      </w:r>
      <w:r w:rsidR="008610D3">
        <w:t xml:space="preserve"> </w:t>
      </w:r>
      <w:r w:rsidRPr="0060218C">
        <w:t>Problem gamblers more often reported an increase in the number of arguments with someone close (38% vs. 4% of non-problem gamblers)</w:t>
      </w:r>
      <w:r w:rsidR="004C2C8E">
        <w:t>.</w:t>
      </w:r>
      <w:r w:rsidR="008610D3">
        <w:t xml:space="preserve"> </w:t>
      </w:r>
      <w:r w:rsidRPr="0060218C">
        <w:t>Moderate-risk and low-risk gambler groups also reported some life events more often than non-problem gamblers</w:t>
      </w:r>
      <w:r>
        <w:t>;</w:t>
      </w:r>
      <w:r w:rsidRPr="0060218C">
        <w:t xml:space="preserve"> including troubles with work, boss</w:t>
      </w:r>
      <w:r>
        <w:t>,</w:t>
      </w:r>
      <w:r w:rsidRPr="0060218C">
        <w:t xml:space="preserve"> or superiors; and </w:t>
      </w:r>
      <w:r>
        <w:t xml:space="preserve">an </w:t>
      </w:r>
      <w:r w:rsidRPr="0060218C">
        <w:t>increase in arguments with someone close</w:t>
      </w:r>
      <w:r w:rsidR="004C2C8E">
        <w:t>.</w:t>
      </w:r>
      <w:r w:rsidR="008610D3">
        <w:t xml:space="preserve"> </w:t>
      </w:r>
      <w:r w:rsidRPr="0060218C">
        <w:t>When asked about the impacts of others’ gambling, Māori (30%) and Pacific people (32%) more often referred to adverse financial impacts than European/Other (19%) and Asian (23%)</w:t>
      </w:r>
      <w:r>
        <w:t xml:space="preserve"> peoples</w:t>
      </w:r>
      <w:r w:rsidR="004C2C8E">
        <w:t>.</w:t>
      </w:r>
      <w:r w:rsidR="008610D3">
        <w:t xml:space="preserve"> </w:t>
      </w:r>
      <w:r w:rsidRPr="0060218C">
        <w:t>Māori, relative to Asian people, more often mentioned feeling sorry or concern for the gambler, and loss of time together (Abbott et al., 2014a).</w:t>
      </w:r>
    </w:p>
    <w:p w14:paraId="4C16F761" w14:textId="2414127B" w:rsidR="005E39E4" w:rsidRPr="0060218C" w:rsidRDefault="005E39E4" w:rsidP="00F53A40">
      <w:pPr>
        <w:pStyle w:val="VRGFBodycontent"/>
      </w:pPr>
      <w:r w:rsidRPr="0060218C">
        <w:t>Many forms of gambling are available in New Zealand including casino table games, EGMs, Lotto, Instant Kiwi (scratch tickets), track betting (horse and dog race</w:t>
      </w:r>
      <w:r>
        <w:t>s</w:t>
      </w:r>
      <w:r w:rsidRPr="0060218C">
        <w:t>), sports betting</w:t>
      </w:r>
      <w:r>
        <w:t>,</w:t>
      </w:r>
      <w:r w:rsidRPr="0060218C">
        <w:t xml:space="preserve"> and housie (bingo) (Ministry of Health, 2012)</w:t>
      </w:r>
      <w:r w:rsidR="004C2C8E">
        <w:t>.</w:t>
      </w:r>
      <w:r w:rsidR="008610D3">
        <w:t xml:space="preserve"> </w:t>
      </w:r>
      <w:r w:rsidRPr="0060218C">
        <w:t xml:space="preserve">The </w:t>
      </w:r>
      <w:r>
        <w:t>New Zealand 2012</w:t>
      </w:r>
      <w:r w:rsidRPr="0060218C">
        <w:t xml:space="preserve"> National Gambling Study</w:t>
      </w:r>
      <w:r>
        <w:t xml:space="preserve"> (Abbott et al., 2014a)</w:t>
      </w:r>
      <w:r w:rsidRPr="0060218C">
        <w:t xml:space="preserve"> data indicated Lotto was the gambling activity most often participated in</w:t>
      </w:r>
      <w:r>
        <w:t>,</w:t>
      </w:r>
      <w:r w:rsidRPr="0060218C">
        <w:t xml:space="preserve"> with more than half of adults having taken part during the past 12 months (61% from a store; 5% online) followed by a New Zealand lottery or raffle (47%), Instant Kiwi or other scratch tickets (33%) and bets with friends or workmates (15%)</w:t>
      </w:r>
      <w:r w:rsidR="004C2C8E">
        <w:t>.</w:t>
      </w:r>
      <w:r w:rsidR="008610D3">
        <w:t xml:space="preserve"> </w:t>
      </w:r>
      <w:r w:rsidRPr="0060218C">
        <w:t>Somewhat lower rates applied to EGMs (12% at a pub, 8% at a casino and 6% at a club), betting on horse or dog races (8% at the track, 8% at a TAB, 3% at a TAB via telephone, online</w:t>
      </w:r>
      <w:r>
        <w:t>,</w:t>
      </w:r>
      <w:r w:rsidRPr="0060218C">
        <w:t xml:space="preserve"> or interactive television), casino table games (4% in New Zealand), betting on sports events (3% via the TAB at an event, 3% at a TAB and 2% at a TAB via telephone, online or interactive television), playing cards for money (not at a casino) (4.5%), playing poker for money or prizes (3% with friends or family at a private residence, 2% at a commercial venue in New Zealand and 0.5% on-line), playing a text game for money or prizes (3%), playing keno (2% from a store, 0.7% online) and playing housie or bingo (2%).</w:t>
      </w:r>
      <w:r>
        <w:t xml:space="preserve"> </w:t>
      </w:r>
      <w:r w:rsidRPr="0060218C">
        <w:t xml:space="preserve">Just less than one percent (0.9%) reported making short-term </w:t>
      </w:r>
      <w:r w:rsidRPr="0060218C">
        <w:lastRenderedPageBreak/>
        <w:t>speculative investments in the past year</w:t>
      </w:r>
      <w:r w:rsidR="004C2C8E">
        <w:t>.</w:t>
      </w:r>
      <w:r w:rsidR="008610D3">
        <w:t xml:space="preserve"> </w:t>
      </w:r>
      <w:r w:rsidRPr="0060218C">
        <w:t>Only a small num</w:t>
      </w:r>
      <w:r>
        <w:t>ber (0.7%) engaged in overseas I</w:t>
      </w:r>
      <w:r w:rsidRPr="0060218C">
        <w:t>nternet gambling for money or prizes</w:t>
      </w:r>
      <w:r w:rsidR="004C2C8E">
        <w:t>.</w:t>
      </w:r>
      <w:r w:rsidR="008610D3">
        <w:t xml:space="preserve"> </w:t>
      </w:r>
      <w:r w:rsidRPr="0060218C">
        <w:t>Apart from Lotto, relatively small numbers of people reported participating weekly or more often in other forms of gambling (Abbott, Bellringer, Garrett</w:t>
      </w:r>
      <w:r>
        <w:t>,</w:t>
      </w:r>
      <w:r w:rsidRPr="0060218C">
        <w:t xml:space="preserve"> &amp; Mundy-McPherson, 2014b)</w:t>
      </w:r>
      <w:r w:rsidR="004C2C8E">
        <w:t>.</w:t>
      </w:r>
      <w:r w:rsidR="008610D3">
        <w:t xml:space="preserve"> </w:t>
      </w:r>
      <w:r w:rsidRPr="0060218C">
        <w:t>In the year ending April 2014, 67% of new gambler presentations at New Zealand problem gambling services were in relation to EGM gambling (54% in relation to non-casino EGMs) (Ministry of Health, 2014)</w:t>
      </w:r>
      <w:r w:rsidR="004C2C8E">
        <w:t>.</w:t>
      </w:r>
      <w:r w:rsidR="008610D3">
        <w:t xml:space="preserve"> </w:t>
      </w:r>
      <w:r w:rsidRPr="0060218C">
        <w:t>This is consistent with Australian findings (Productivity Commission, 2010)</w:t>
      </w:r>
      <w:r w:rsidR="004C2C8E">
        <w:t>.</w:t>
      </w:r>
      <w:r w:rsidR="008610D3">
        <w:t xml:space="preserve"> </w:t>
      </w:r>
      <w:r w:rsidRPr="0060218C">
        <w:t>The strength of this association has led to the safety of the EGM as a gambling product being questioned by a number of authors (Dowling</w:t>
      </w:r>
      <w:r>
        <w:t>,</w:t>
      </w:r>
      <w:r w:rsidRPr="0060218C">
        <w:t xml:space="preserve"> Smith</w:t>
      </w:r>
      <w:r>
        <w:t>,</w:t>
      </w:r>
      <w:r w:rsidRPr="0060218C">
        <w:t xml:space="preserve"> &amp; Thomas, 2005; Cantinotti &amp; Ladouceur, 2008). </w:t>
      </w:r>
    </w:p>
    <w:p w14:paraId="281D1A2F" w14:textId="77777777" w:rsidR="005E39E4" w:rsidRPr="00A2383B" w:rsidRDefault="005E39E4" w:rsidP="00F53A40">
      <w:pPr>
        <w:pStyle w:val="VRGFBodycontent"/>
      </w:pPr>
      <w:r w:rsidRPr="00A2383B">
        <w:t>The nature of harms experienced by an individual can be broadly grouped by effects in the following domains:</w:t>
      </w:r>
    </w:p>
    <w:p w14:paraId="7F823DA9" w14:textId="193C1D73" w:rsidR="005E39E4" w:rsidRPr="0060218C" w:rsidRDefault="005E39E4" w:rsidP="00F53A40">
      <w:pPr>
        <w:pStyle w:val="VRGFBulletedlist"/>
      </w:pPr>
      <w:r w:rsidRPr="0060218C">
        <w:t>Decrements to health (both morbidity and mortality)</w:t>
      </w:r>
      <w:r w:rsidR="007F1CD6">
        <w:t>.</w:t>
      </w:r>
    </w:p>
    <w:p w14:paraId="42846C43" w14:textId="0B60BCEA" w:rsidR="005E39E4" w:rsidRPr="0060218C" w:rsidRDefault="005E39E4" w:rsidP="00F53A40">
      <w:pPr>
        <w:pStyle w:val="VRGFBulletedlist"/>
      </w:pPr>
      <w:r w:rsidRPr="0060218C">
        <w:t>Emotional or psychological distress</w:t>
      </w:r>
      <w:r w:rsidR="007F1CD6">
        <w:t>.</w:t>
      </w:r>
    </w:p>
    <w:p w14:paraId="6D3A2785" w14:textId="1054417B" w:rsidR="005E39E4" w:rsidRPr="0060218C" w:rsidRDefault="005E39E4" w:rsidP="00F53A40">
      <w:pPr>
        <w:pStyle w:val="VRGFBulletedlist"/>
      </w:pPr>
      <w:r w:rsidRPr="0060218C">
        <w:t>Financial harm</w:t>
      </w:r>
      <w:r w:rsidR="007F1CD6">
        <w:t>.</w:t>
      </w:r>
    </w:p>
    <w:p w14:paraId="6B0B09B5" w14:textId="2B023FBF" w:rsidR="005E39E4" w:rsidRPr="0060218C" w:rsidRDefault="005E39E4" w:rsidP="00F53A40">
      <w:pPr>
        <w:pStyle w:val="VRGFBulletedlist"/>
      </w:pPr>
      <w:r w:rsidRPr="0060218C">
        <w:t>Reduced performance at work or education</w:t>
      </w:r>
      <w:r w:rsidR="007F1CD6">
        <w:t>.</w:t>
      </w:r>
    </w:p>
    <w:p w14:paraId="21805047" w14:textId="571A6785" w:rsidR="005E39E4" w:rsidRPr="0060218C" w:rsidRDefault="005E39E4" w:rsidP="00F53A40">
      <w:pPr>
        <w:pStyle w:val="VRGFBulletedlist"/>
      </w:pPr>
      <w:r w:rsidRPr="0060218C">
        <w:t>Relationship disrup</w:t>
      </w:r>
      <w:r w:rsidR="007F1CD6">
        <w:t>tion, conflict or breakdown.</w:t>
      </w:r>
    </w:p>
    <w:p w14:paraId="616C7DCE" w14:textId="2897801C" w:rsidR="00F53A40" w:rsidRDefault="005E39E4" w:rsidP="00F53A40">
      <w:pPr>
        <w:pStyle w:val="VRGFBulletedlist"/>
      </w:pPr>
      <w:r w:rsidRPr="0060218C">
        <w:t>Criminal activity</w:t>
      </w:r>
      <w:r w:rsidR="007F1CD6">
        <w:t>.</w:t>
      </w:r>
    </w:p>
    <w:p w14:paraId="26106849" w14:textId="21C21920" w:rsidR="005E39E4" w:rsidRPr="0060218C" w:rsidRDefault="005E39E4" w:rsidP="00F53A40">
      <w:pPr>
        <w:pStyle w:val="VRGFBodycontent"/>
      </w:pPr>
      <w:r w:rsidRPr="0060218C">
        <w:t xml:space="preserve">These will be discussed separately in the </w:t>
      </w:r>
      <w:r w:rsidR="00F53A40">
        <w:t xml:space="preserve">subsequent </w:t>
      </w:r>
      <w:r w:rsidRPr="0060218C">
        <w:t>sections.</w:t>
      </w:r>
    </w:p>
    <w:p w14:paraId="5E7D8E50" w14:textId="77777777" w:rsidR="005E39E4" w:rsidRPr="0060218C" w:rsidRDefault="005E39E4" w:rsidP="005E39E4"/>
    <w:p w14:paraId="11C96C15" w14:textId="2C5BAA81" w:rsidR="005E39E4" w:rsidRPr="0060218C" w:rsidRDefault="005E39E4" w:rsidP="005E39E4">
      <w:pPr>
        <w:pStyle w:val="VRGFHead4"/>
      </w:pPr>
      <w:bookmarkStart w:id="52" w:name="_Toc283813352"/>
      <w:bookmarkStart w:id="53" w:name="_Toc283813421"/>
      <w:bookmarkStart w:id="54" w:name="_Toc285109112"/>
      <w:r w:rsidRPr="0060218C">
        <w:t>H</w:t>
      </w:r>
      <w:r w:rsidR="00D51E07">
        <w:t xml:space="preserve">ealth </w:t>
      </w:r>
      <w:bookmarkEnd w:id="52"/>
      <w:bookmarkEnd w:id="53"/>
      <w:bookmarkEnd w:id="54"/>
    </w:p>
    <w:p w14:paraId="77440D02" w14:textId="1CC7E0D3" w:rsidR="005E39E4" w:rsidRPr="0060218C" w:rsidRDefault="005E39E4" w:rsidP="00D51E07">
      <w:pPr>
        <w:pStyle w:val="VRGFBodycontent"/>
      </w:pPr>
      <w:r w:rsidRPr="0060218C">
        <w:t>The majority of harm to an individual’s health in relation to gambling is related to significant increases in their levels of stress and anxiety</w:t>
      </w:r>
      <w:r w:rsidR="004C2C8E">
        <w:t>.</w:t>
      </w:r>
      <w:r w:rsidR="008610D3">
        <w:t xml:space="preserve"> </w:t>
      </w:r>
      <w:r w:rsidRPr="0060218C">
        <w:t>Physical changes in an individual’s biochemistry have been noted in people experiencing problems with gambling that are consistent with exposures to high levels of stress and arousal</w:t>
      </w:r>
      <w:r w:rsidR="004C2C8E">
        <w:t>.</w:t>
      </w:r>
      <w:r w:rsidR="008610D3">
        <w:t xml:space="preserve"> </w:t>
      </w:r>
      <w:r w:rsidRPr="0060218C">
        <w:t>This exposure occurring frequently or regularly has a proximal impact on an individual’s health outcomes through the effect of epinephrine, cortisol</w:t>
      </w:r>
      <w:r>
        <w:t>,</w:t>
      </w:r>
      <w:r w:rsidRPr="0060218C">
        <w:t xml:space="preserve"> and diastolic blood pressure</w:t>
      </w:r>
      <w:r w:rsidR="004C2C8E">
        <w:t>.</w:t>
      </w:r>
      <w:r w:rsidR="008610D3">
        <w:t xml:space="preserve"> </w:t>
      </w:r>
      <w:r w:rsidRPr="0060218C">
        <w:t xml:space="preserve">Whilst these effects are predominantly associated with adult and older gamblers </w:t>
      </w:r>
      <w:r>
        <w:t xml:space="preserve">rather </w:t>
      </w:r>
      <w:r w:rsidRPr="0060218C">
        <w:t>than youth, the long term impacts for youth (even if they cease gambling) have yet to be investigated (Fong, 2005).</w:t>
      </w:r>
    </w:p>
    <w:p w14:paraId="08B40C74" w14:textId="4CF2CF5A" w:rsidR="005E39E4" w:rsidRPr="0060218C" w:rsidRDefault="005E39E4" w:rsidP="00D51E07">
      <w:pPr>
        <w:pStyle w:val="VRGFBodycontent"/>
        <w:rPr>
          <w:noProof/>
        </w:rPr>
      </w:pPr>
      <w:r w:rsidRPr="0060218C">
        <w:t>There is a signif</w:t>
      </w:r>
      <w:r w:rsidRPr="00D51E07">
        <w:rPr>
          <w:rStyle w:val="VRGFBodycontentChar"/>
        </w:rPr>
        <w:t>i</w:t>
      </w:r>
      <w:r w:rsidRPr="0060218C">
        <w:t xml:space="preserve">cant body of evidence </w:t>
      </w:r>
      <w:r>
        <w:t>showing that</w:t>
      </w:r>
      <w:r w:rsidRPr="0060218C">
        <w:t xml:space="preserve"> problem gambling </w:t>
      </w:r>
      <w:r>
        <w:t>is</w:t>
      </w:r>
      <w:r w:rsidRPr="0060218C">
        <w:t xml:space="preserve"> strongly associated with a number of other comorbidities</w:t>
      </w:r>
      <w:r w:rsidR="004C2C8E">
        <w:t>.</w:t>
      </w:r>
      <w:r w:rsidR="008610D3">
        <w:t xml:space="preserve"> </w:t>
      </w:r>
      <w:r w:rsidRPr="0060218C">
        <w:t>However, association does not imply causation, and causal sequences and interaction are difficult to determine</w:t>
      </w:r>
      <w:r w:rsidR="004C2C8E">
        <w:t>.</w:t>
      </w:r>
      <w:r w:rsidR="008610D3">
        <w:t xml:space="preserve"> </w:t>
      </w:r>
      <w:r w:rsidRPr="0060218C">
        <w:t xml:space="preserve">Strong associations have been identified between gambling and other addictions </w:t>
      </w:r>
      <w:r w:rsidRPr="0060218C">
        <w:fldChar w:fldCharType="begin">
          <w:fldData xml:space="preserve">PEVuZE5vdGU+PENpdGU+PEF1dGhvcj5BYmJvdHQ8L0F1dGhvcj48WWVhcj4yMDA0PC9ZZWFyPjxS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</w:fldData>
        </w:fldChar>
      </w:r>
      <w:r w:rsidRPr="0060218C">
        <w:instrText xml:space="preserve"> ADDIN EN.CITE </w:instrText>
      </w:r>
      <w:r w:rsidRPr="0060218C">
        <w:fldChar w:fldCharType="begin">
          <w:fldData xml:space="preserve">PEVuZE5vdGU+PENpdGU+PEF1dGhvcj5BYmJvdHQ8L0F1dGhvcj48WWVhcj4yMDA0PC9ZZWFyPjxS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</w:fldData>
        </w:fldChar>
      </w:r>
      <w:r w:rsidRPr="0060218C">
        <w:instrText xml:space="preserve"> ADDIN EN.CITE.DATA </w:instrText>
      </w:r>
      <w:r w:rsidRPr="0060218C">
        <w:fldChar w:fldCharType="end"/>
      </w:r>
      <w:r w:rsidRPr="0060218C">
        <w:fldChar w:fldCharType="separate"/>
      </w:r>
      <w:r w:rsidRPr="0060218C">
        <w:rPr>
          <w:noProof/>
        </w:rPr>
        <w:t>(</w:t>
      </w:r>
      <w:hyperlink w:anchor="_ENREF_2" w:tooltip="Abbott, 2004 #2" w:history="1">
        <w:r w:rsidRPr="0060218C">
          <w:rPr>
            <w:noProof/>
          </w:rPr>
          <w:t>Abbott et al., 2004</w:t>
        </w:r>
      </w:hyperlink>
      <w:r w:rsidRPr="0060218C">
        <w:rPr>
          <w:noProof/>
        </w:rPr>
        <w:t xml:space="preserve">, </w:t>
      </w:r>
      <w:hyperlink w:anchor="_ENREF_10" w:tooltip="Ariyabuddhiphongs, 2013 #8" w:history="1">
        <w:r w:rsidRPr="0060218C">
          <w:rPr>
            <w:noProof/>
          </w:rPr>
          <w:t>Ariyabuddhiphongs, 2013</w:t>
        </w:r>
      </w:hyperlink>
      <w:r w:rsidRPr="0060218C">
        <w:rPr>
          <w:noProof/>
        </w:rPr>
        <w:t xml:space="preserve">; </w:t>
      </w:r>
      <w:hyperlink w:anchor="_ENREF_93" w:tooltip="Hodgins, 2005 #116" w:history="1">
        <w:r w:rsidRPr="0060218C">
          <w:rPr>
            <w:noProof/>
          </w:rPr>
          <w:t>Hodgins, Peden</w:t>
        </w:r>
        <w:r>
          <w:rPr>
            <w:noProof/>
          </w:rPr>
          <w:t>,</w:t>
        </w:r>
        <w:r w:rsidRPr="0060218C">
          <w:rPr>
            <w:noProof/>
          </w:rPr>
          <w:t xml:space="preserve"> &amp; Cassidy, 2005</w:t>
        </w:r>
      </w:hyperlink>
      <w:r w:rsidRPr="0060218C">
        <w:rPr>
          <w:noProof/>
        </w:rPr>
        <w:t xml:space="preserve">; </w:t>
      </w:r>
      <w:hyperlink w:anchor="_ENREF_94" w:tooltip="Holdsworth, 2012 #120" w:history="1">
        <w:r w:rsidRPr="0060218C">
          <w:rPr>
            <w:noProof/>
          </w:rPr>
          <w:t>Holdsworth, Haw</w:t>
        </w:r>
        <w:r>
          <w:rPr>
            <w:noProof/>
          </w:rPr>
          <w:t>,</w:t>
        </w:r>
        <w:r w:rsidRPr="0060218C">
          <w:rPr>
            <w:noProof/>
          </w:rPr>
          <w:t xml:space="preserve"> &amp; Hing, 2012</w:t>
        </w:r>
      </w:hyperlink>
      <w:r w:rsidRPr="0060218C">
        <w:rPr>
          <w:noProof/>
        </w:rPr>
        <w:t xml:space="preserve">; </w:t>
      </w:r>
      <w:hyperlink w:anchor="_ENREF_99" w:tooltip="Hounslow, 2011 #127" w:history="1">
        <w:r w:rsidRPr="0060218C">
          <w:rPr>
            <w:noProof/>
          </w:rPr>
          <w:t>Hounslow, Smith, Battersby</w:t>
        </w:r>
        <w:r>
          <w:rPr>
            <w:noProof/>
          </w:rPr>
          <w:t>,</w:t>
        </w:r>
        <w:r w:rsidRPr="0060218C">
          <w:rPr>
            <w:noProof/>
          </w:rPr>
          <w:t xml:space="preserve"> &amp; Morefield, 2011</w:t>
        </w:r>
      </w:hyperlink>
      <w:r w:rsidRPr="0060218C">
        <w:rPr>
          <w:noProof/>
        </w:rPr>
        <w:t xml:space="preserve">; </w:t>
      </w:r>
      <w:hyperlink w:anchor="_ENREF_113" w:tooltip="Martin, 2013 #164" w:history="1">
        <w:r w:rsidRPr="0060218C">
          <w:rPr>
            <w:noProof/>
          </w:rPr>
          <w:t>Martin, Usdan, Cremeens</w:t>
        </w:r>
        <w:r>
          <w:rPr>
            <w:noProof/>
          </w:rPr>
          <w:t>,</w:t>
        </w:r>
        <w:r w:rsidRPr="0060218C">
          <w:rPr>
            <w:noProof/>
          </w:rPr>
          <w:t xml:space="preserve"> &amp; Vail-Smith, 2013</w:t>
        </w:r>
      </w:hyperlink>
      <w:r w:rsidRPr="0060218C">
        <w:rPr>
          <w:noProof/>
        </w:rPr>
        <w:t xml:space="preserve">; </w:t>
      </w:r>
      <w:hyperlink w:anchor="_ENREF_135" w:tooltip="Potenza, 2006 #219" w:history="1">
        <w:r w:rsidRPr="0060218C">
          <w:rPr>
            <w:noProof/>
          </w:rPr>
          <w:t>Potenza, Maciejewski</w:t>
        </w:r>
        <w:r>
          <w:rPr>
            <w:noProof/>
          </w:rPr>
          <w:t>,</w:t>
        </w:r>
        <w:r w:rsidRPr="0060218C">
          <w:rPr>
            <w:noProof/>
          </w:rPr>
          <w:t xml:space="preserve"> &amp; Mazure, 2006</w:t>
        </w:r>
      </w:hyperlink>
      <w:r w:rsidRPr="0060218C">
        <w:rPr>
          <w:noProof/>
        </w:rPr>
        <w:t>)</w:t>
      </w:r>
      <w:r w:rsidRPr="0060218C">
        <w:fldChar w:fldCharType="end"/>
      </w:r>
      <w:r w:rsidRPr="0060218C">
        <w:t>; mental health</w:t>
      </w:r>
      <w:r>
        <w:t xml:space="preserve"> </w:t>
      </w:r>
      <w:r w:rsidRPr="0060218C">
        <w:fldChar w:fldCharType="begin">
          <w:fldData xml:space="preserve">PEVuZE5vdGU+PENpdGU+PEF1dGhvcj5Bcml5YWJ1ZGRoaXBob25nczwvQXV0aG9yPjxZZWFyPjIw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</w:fldData>
        </w:fldChar>
      </w:r>
      <w:r w:rsidRPr="0060218C">
        <w:instrText xml:space="preserve"> ADDIN EN.CITE </w:instrText>
      </w:r>
      <w:r w:rsidRPr="0060218C">
        <w:fldChar w:fldCharType="begin">
          <w:fldData xml:space="preserve">PEVuZE5vdGU+PENpdGU+PEF1dGhvcj5Bcml5YWJ1ZGRoaXBob25nczwvQXV0aG9yPjxZZWFyPjIw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</w:fldData>
        </w:fldChar>
      </w:r>
      <w:r w:rsidRPr="0060218C">
        <w:instrText xml:space="preserve"> ADDIN EN.CITE.DATA </w:instrText>
      </w:r>
      <w:r w:rsidRPr="0060218C">
        <w:fldChar w:fldCharType="end"/>
      </w:r>
      <w:r w:rsidRPr="0060218C">
        <w:fldChar w:fldCharType="separate"/>
      </w:r>
      <w:r w:rsidRPr="0060218C">
        <w:rPr>
          <w:noProof/>
        </w:rPr>
        <w:t>(</w:t>
      </w:r>
      <w:hyperlink w:anchor="_ENREF_9" w:tooltip="Ariyabuddhiphongs, 2012 #1301" w:history="1">
        <w:r w:rsidRPr="0060218C">
          <w:rPr>
            <w:noProof/>
          </w:rPr>
          <w:t>Ariyabuddhiphongs, 2012</w:t>
        </w:r>
      </w:hyperlink>
      <w:r w:rsidRPr="0060218C">
        <w:rPr>
          <w:noProof/>
        </w:rPr>
        <w:t xml:space="preserve">, </w:t>
      </w:r>
      <w:hyperlink w:anchor="_ENREF_13" w:tooltip="Bakken, 2009 #9" w:history="1">
        <w:r w:rsidRPr="00A2383B">
          <w:rPr>
            <w:noProof/>
          </w:rPr>
          <w:t>Bakken, Gøtestam</w:t>
        </w:r>
        <w:r w:rsidRPr="00A2383B">
          <w:t>, Gr</w:t>
        </w:r>
        <w:r w:rsidRPr="00A2383B">
          <w:rPr>
            <w:noProof/>
          </w:rPr>
          <w:t>åwe, Wenzel</w:t>
        </w:r>
        <w:r>
          <w:rPr>
            <w:noProof/>
          </w:rPr>
          <w:t>,</w:t>
        </w:r>
        <w:r w:rsidRPr="00A2383B">
          <w:rPr>
            <w:noProof/>
          </w:rPr>
          <w:t xml:space="preserve"> &amp; Oren, 2009</w:t>
        </w:r>
      </w:hyperlink>
      <w:r w:rsidRPr="00A2383B">
        <w:rPr>
          <w:noProof/>
        </w:rPr>
        <w:t>;</w:t>
      </w:r>
      <w:r w:rsidRPr="0060218C">
        <w:rPr>
          <w:noProof/>
        </w:rPr>
        <w:t xml:space="preserve"> </w:t>
      </w:r>
      <w:hyperlink w:anchor="_ENREF_67" w:tooltip="Dickson, 2002 #63" w:history="1">
        <w:r w:rsidRPr="0060218C">
          <w:rPr>
            <w:noProof/>
          </w:rPr>
          <w:t>Dickson et al., 2002</w:t>
        </w:r>
      </w:hyperlink>
      <w:r w:rsidRPr="0060218C">
        <w:rPr>
          <w:noProof/>
        </w:rPr>
        <w:t xml:space="preserve">; </w:t>
      </w:r>
      <w:hyperlink w:anchor="_ENREF_69" w:tooltip="Dussault, 2011 #71" w:history="1">
        <w:r w:rsidRPr="0060218C">
          <w:rPr>
            <w:noProof/>
          </w:rPr>
          <w:t>Dussault, Brendgen, Vitaro, Wanner</w:t>
        </w:r>
        <w:r>
          <w:rPr>
            <w:noProof/>
          </w:rPr>
          <w:t>,</w:t>
        </w:r>
        <w:r w:rsidRPr="0060218C">
          <w:rPr>
            <w:noProof/>
          </w:rPr>
          <w:t xml:space="preserve"> &amp; Tremblay, 2011</w:t>
        </w:r>
      </w:hyperlink>
      <w:r w:rsidRPr="0060218C">
        <w:rPr>
          <w:noProof/>
        </w:rPr>
        <w:t xml:space="preserve">; </w:t>
      </w:r>
      <w:hyperlink w:anchor="_ENREF_93" w:tooltip="Hodgins, 2005 #116" w:history="1">
        <w:r w:rsidRPr="0060218C">
          <w:rPr>
            <w:noProof/>
          </w:rPr>
          <w:t>Hodgins et al., 2005</w:t>
        </w:r>
      </w:hyperlink>
      <w:r w:rsidRPr="0060218C">
        <w:rPr>
          <w:noProof/>
        </w:rPr>
        <w:t xml:space="preserve">; </w:t>
      </w:r>
      <w:hyperlink w:anchor="_ENREF_94" w:tooltip="Holdsworth, 2012 #120" w:history="1">
        <w:r w:rsidRPr="0060218C">
          <w:rPr>
            <w:noProof/>
          </w:rPr>
          <w:t>Holdsworth et al., 2012</w:t>
        </w:r>
      </w:hyperlink>
      <w:r w:rsidRPr="0060218C">
        <w:rPr>
          <w:noProof/>
        </w:rPr>
        <w:t xml:space="preserve">; </w:t>
      </w:r>
      <w:hyperlink w:anchor="_ENREF_99" w:tooltip="Hounslow, 2011 #127" w:history="1">
        <w:r w:rsidRPr="0060218C">
          <w:rPr>
            <w:noProof/>
          </w:rPr>
          <w:t>Hounslow et al., 2011</w:t>
        </w:r>
      </w:hyperlink>
      <w:r w:rsidRPr="0060218C">
        <w:rPr>
          <w:noProof/>
        </w:rPr>
        <w:t xml:space="preserve">; </w:t>
      </w:r>
      <w:hyperlink w:anchor="_ENREF_103" w:tooltip="Källmén, 2008 #135" w:history="1">
        <w:r w:rsidRPr="0060218C">
          <w:rPr>
            <w:noProof/>
          </w:rPr>
          <w:t>Källmén, Andersson</w:t>
        </w:r>
        <w:r>
          <w:rPr>
            <w:noProof/>
          </w:rPr>
          <w:t>,</w:t>
        </w:r>
        <w:r w:rsidRPr="0060218C">
          <w:rPr>
            <w:noProof/>
          </w:rPr>
          <w:t xml:space="preserve"> &amp; Andren, 2008</w:t>
        </w:r>
      </w:hyperlink>
      <w:r w:rsidRPr="0060218C">
        <w:rPr>
          <w:noProof/>
        </w:rPr>
        <w:t xml:space="preserve">; </w:t>
      </w:r>
      <w:hyperlink w:anchor="_ENREF_110" w:tooltip="Lloyd, 2010 #159" w:history="1">
        <w:r w:rsidRPr="0060218C">
          <w:rPr>
            <w:noProof/>
          </w:rPr>
          <w:t>Lloyd et al., 2010</w:t>
        </w:r>
      </w:hyperlink>
      <w:r w:rsidRPr="0060218C">
        <w:rPr>
          <w:noProof/>
        </w:rPr>
        <w:t xml:space="preserve">; </w:t>
      </w:r>
      <w:hyperlink w:anchor="_ENREF_113" w:tooltip="Martin, 2013 #164" w:history="1">
        <w:r w:rsidRPr="0060218C">
          <w:rPr>
            <w:noProof/>
          </w:rPr>
          <w:t>Martin et al., 2013</w:t>
        </w:r>
      </w:hyperlink>
      <w:r w:rsidRPr="0060218C">
        <w:rPr>
          <w:noProof/>
        </w:rPr>
        <w:t xml:space="preserve">; </w:t>
      </w:r>
      <w:hyperlink w:anchor="_ENREF_125" w:tooltip="Najavits, 2011 #194" w:history="1">
        <w:r w:rsidRPr="0060218C">
          <w:rPr>
            <w:noProof/>
          </w:rPr>
          <w:t>Najavits, Meyer, Johnson</w:t>
        </w:r>
        <w:r>
          <w:rPr>
            <w:noProof/>
          </w:rPr>
          <w:t>,</w:t>
        </w:r>
        <w:r w:rsidRPr="0060218C">
          <w:rPr>
            <w:noProof/>
          </w:rPr>
          <w:t xml:space="preserve"> &amp; Korn, 2011</w:t>
        </w:r>
      </w:hyperlink>
      <w:r w:rsidRPr="0060218C">
        <w:rPr>
          <w:noProof/>
        </w:rPr>
        <w:t>)</w:t>
      </w:r>
      <w:r w:rsidRPr="0060218C">
        <w:fldChar w:fldCharType="end"/>
      </w:r>
      <w:r w:rsidRPr="0060218C">
        <w:t xml:space="preserve">; social impairment </w:t>
      </w:r>
      <w:r w:rsidRPr="0060218C">
        <w:lastRenderedPageBreak/>
        <w:fldChar w:fldCharType="begin">
          <w:fldData xml:space="preserve">PEVuZE5vdGU+PENpdGU+PEF1dGhvcj5Bcml5YWJ1ZGRoaXBob25nczwvQXV0aG9yPjxZZWFyPjIw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</w:fldData>
        </w:fldChar>
      </w:r>
      <w:r w:rsidRPr="0060218C">
        <w:instrText xml:space="preserve"> ADDIN EN.CITE </w:instrText>
      </w:r>
      <w:r w:rsidRPr="0060218C">
        <w:fldChar w:fldCharType="begin">
          <w:fldData xml:space="preserve">PEVuZE5vdGU+PENpdGU+PEF1dGhvcj5Bcml5YWJ1ZGRoaXBob25nczwvQXV0aG9yPjxZZWFyPjIw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</w:fldData>
        </w:fldChar>
      </w:r>
      <w:r w:rsidRPr="0060218C">
        <w:instrText xml:space="preserve"> ADDIN EN.CITE.DATA </w:instrText>
      </w:r>
      <w:r w:rsidRPr="0060218C">
        <w:fldChar w:fldCharType="end"/>
      </w:r>
      <w:r w:rsidRPr="0060218C">
        <w:fldChar w:fldCharType="separate"/>
      </w:r>
      <w:r w:rsidRPr="0060218C">
        <w:rPr>
          <w:noProof/>
        </w:rPr>
        <w:t>(</w:t>
      </w:r>
      <w:hyperlink w:anchor="_ENREF_9" w:tooltip="Ariyabuddhiphongs, 2012 #1301" w:history="1">
        <w:r w:rsidRPr="0060218C">
          <w:rPr>
            <w:noProof/>
          </w:rPr>
          <w:t>Ariyabuddhiphongs, 2012</w:t>
        </w:r>
      </w:hyperlink>
      <w:r w:rsidRPr="0060218C">
        <w:rPr>
          <w:noProof/>
        </w:rPr>
        <w:t xml:space="preserve">; </w:t>
      </w:r>
      <w:hyperlink w:anchor="_ENREF_20" w:tooltip="Bissitt, 1988 #16" w:history="1">
        <w:r w:rsidRPr="0060218C">
          <w:rPr>
            <w:noProof/>
          </w:rPr>
          <w:t>Bissitt et al., 1988</w:t>
        </w:r>
      </w:hyperlink>
      <w:r w:rsidRPr="0060218C">
        <w:rPr>
          <w:noProof/>
        </w:rPr>
        <w:t xml:space="preserve">; </w:t>
      </w:r>
      <w:hyperlink w:anchor="_ENREF_67" w:tooltip="Dickson, 2002 #63" w:history="1">
        <w:r w:rsidRPr="0060218C">
          <w:rPr>
            <w:noProof/>
          </w:rPr>
          <w:t>Dickson et al., 2002</w:t>
        </w:r>
      </w:hyperlink>
      <w:r w:rsidRPr="0060218C">
        <w:rPr>
          <w:noProof/>
        </w:rPr>
        <w:t xml:space="preserve">; </w:t>
      </w:r>
      <w:hyperlink w:anchor="_ENREF_97" w:tooltip="Holdsworth, 2013 #124" w:history="1">
        <w:r w:rsidRPr="0060218C">
          <w:rPr>
            <w:noProof/>
          </w:rPr>
          <w:t>Holdswor</w:t>
        </w:r>
        <w:r>
          <w:rPr>
            <w:noProof/>
          </w:rPr>
          <w:t>th &amp;</w:t>
        </w:r>
        <w:r w:rsidRPr="0060218C">
          <w:rPr>
            <w:noProof/>
          </w:rPr>
          <w:t xml:space="preserve"> Tiyce, 2013</w:t>
        </w:r>
      </w:hyperlink>
      <w:r w:rsidRPr="0060218C">
        <w:rPr>
          <w:noProof/>
        </w:rPr>
        <w:t xml:space="preserve">; </w:t>
      </w:r>
      <w:hyperlink w:anchor="_ENREF_130" w:tooltip="Parker, 2013 #207" w:history="1">
        <w:r w:rsidRPr="0060218C">
          <w:rPr>
            <w:noProof/>
          </w:rPr>
          <w:t>Parker, Summerfeldt, Kloosterman, Keefer</w:t>
        </w:r>
        <w:r>
          <w:rPr>
            <w:noProof/>
          </w:rPr>
          <w:t>,</w:t>
        </w:r>
        <w:r w:rsidRPr="0060218C">
          <w:rPr>
            <w:noProof/>
          </w:rPr>
          <w:t xml:space="preserve"> &amp; Taylor, 2013</w:t>
        </w:r>
      </w:hyperlink>
      <w:r w:rsidRPr="0060218C">
        <w:rPr>
          <w:noProof/>
        </w:rPr>
        <w:t xml:space="preserve">; </w:t>
      </w:r>
      <w:hyperlink w:anchor="_ENREF_149" w:tooltip="Welte, 2009 #273" w:history="1">
        <w:r w:rsidRPr="0060218C">
          <w:rPr>
            <w:noProof/>
          </w:rPr>
          <w:t>Welte, Barnes, Tidwell</w:t>
        </w:r>
        <w:r>
          <w:rPr>
            <w:noProof/>
          </w:rPr>
          <w:t>,</w:t>
        </w:r>
        <w:r w:rsidRPr="0060218C">
          <w:rPr>
            <w:noProof/>
          </w:rPr>
          <w:t xml:space="preserve"> &amp; Hoffman, 2009</w:t>
        </w:r>
      </w:hyperlink>
      <w:r w:rsidRPr="0060218C">
        <w:rPr>
          <w:noProof/>
        </w:rPr>
        <w:t>)</w:t>
      </w:r>
      <w:r w:rsidRPr="0060218C">
        <w:fldChar w:fldCharType="end"/>
      </w:r>
      <w:r w:rsidRPr="0060218C">
        <w:t xml:space="preserve">; and age related health impairments </w:t>
      </w:r>
      <w:r w:rsidRPr="0060218C">
        <w:fldChar w:fldCharType="begin">
          <w:fldData xml:space="preserve">PEVuZE5vdGU+PENpdGU+PEF1dGhvcj5Bcml5YWJ1ZGRoaXBob25nczwvQXV0aG9yPjxZZWFyPjIw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</w:fldData>
        </w:fldChar>
      </w:r>
      <w:r w:rsidRPr="0060218C">
        <w:instrText xml:space="preserve"> ADDIN EN.CITE </w:instrText>
      </w:r>
      <w:r w:rsidRPr="0060218C">
        <w:fldChar w:fldCharType="begin">
          <w:fldData xml:space="preserve">PEVuZE5vdGU+PENpdGU+PEF1dGhvcj5Bcml5YWJ1ZGRoaXBob25nczwvQXV0aG9yPjxZZWFyPjIw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</w:fldData>
        </w:fldChar>
      </w:r>
      <w:r w:rsidRPr="0060218C">
        <w:instrText xml:space="preserve"> ADDIN EN.CITE.DATA </w:instrText>
      </w:r>
      <w:r w:rsidRPr="0060218C">
        <w:fldChar w:fldCharType="end"/>
      </w:r>
      <w:r w:rsidRPr="0060218C">
        <w:fldChar w:fldCharType="separate"/>
      </w:r>
      <w:r w:rsidRPr="0060218C">
        <w:rPr>
          <w:noProof/>
        </w:rPr>
        <w:t>(</w:t>
      </w:r>
      <w:hyperlink w:anchor="_ENREF_9" w:tooltip="Ariyabuddhiphongs, 2012 #1301" w:history="1">
        <w:r w:rsidRPr="0060218C">
          <w:rPr>
            <w:noProof/>
          </w:rPr>
          <w:t>Ariyabuddhiphongs, 2012</w:t>
        </w:r>
      </w:hyperlink>
      <w:r w:rsidRPr="0060218C">
        <w:rPr>
          <w:noProof/>
        </w:rPr>
        <w:t xml:space="preserve">; </w:t>
      </w:r>
      <w:hyperlink w:anchor="_ENREF_134" w:tooltip="Phillips, 2009 #218" w:history="1">
        <w:r w:rsidRPr="0060218C">
          <w:rPr>
            <w:noProof/>
          </w:rPr>
          <w:t>Phillips, 2009</w:t>
        </w:r>
      </w:hyperlink>
      <w:r w:rsidRPr="0060218C">
        <w:rPr>
          <w:noProof/>
        </w:rPr>
        <w:t>)</w:t>
      </w:r>
      <w:r w:rsidRPr="0060218C">
        <w:fldChar w:fldCharType="end"/>
      </w:r>
      <w:r w:rsidRPr="0060218C">
        <w:t>.</w:t>
      </w:r>
      <w:r>
        <w:t xml:space="preserve"> </w:t>
      </w:r>
      <w:r w:rsidRPr="0060218C">
        <w:t>The escalation of such comorbidities may be a result of mutual, bi-directional causation between gambling and other comorbidities (alcoholism and homelessness)</w:t>
      </w:r>
      <w:r w:rsidRPr="0060218C">
        <w:rPr>
          <w:noProof/>
        </w:rPr>
        <w:t xml:space="preserve"> (</w:t>
      </w:r>
      <w:hyperlink w:anchor="_ENREF_69" w:tooltip="Dussault, 2011 #71" w:history="1">
        <w:r w:rsidRPr="0060218C">
          <w:rPr>
            <w:noProof/>
          </w:rPr>
          <w:t>Dussault et al., 2011</w:t>
        </w:r>
      </w:hyperlink>
      <w:r w:rsidRPr="0060218C">
        <w:rPr>
          <w:noProof/>
        </w:rPr>
        <w:t xml:space="preserve">; </w:t>
      </w:r>
      <w:hyperlink w:anchor="_ENREF_94" w:tooltip="Holdsworth, 2012 #120" w:history="1">
        <w:r w:rsidRPr="0060218C">
          <w:rPr>
            <w:noProof/>
          </w:rPr>
          <w:t>Holdsworth et al., 2012</w:t>
        </w:r>
      </w:hyperlink>
      <w:r w:rsidRPr="0060218C">
        <w:rPr>
          <w:noProof/>
        </w:rPr>
        <w:t xml:space="preserve">; </w:t>
      </w:r>
      <w:hyperlink w:anchor="_ENREF_97" w:tooltip="Holdsworth, 2013 #124" w:history="1">
        <w:r>
          <w:rPr>
            <w:noProof/>
          </w:rPr>
          <w:t>Holdsworth &amp;</w:t>
        </w:r>
        <w:r w:rsidRPr="0060218C">
          <w:rPr>
            <w:noProof/>
          </w:rPr>
          <w:t xml:space="preserve"> Tiyce, 2013</w:t>
        </w:r>
      </w:hyperlink>
      <w:r w:rsidRPr="0060218C">
        <w:rPr>
          <w:noProof/>
        </w:rPr>
        <w:t xml:space="preserve">; </w:t>
      </w:r>
      <w:hyperlink w:anchor="_ENREF_110" w:tooltip="Lloyd, 2010 #159" w:history="1">
        <w:r w:rsidRPr="0060218C">
          <w:rPr>
            <w:noProof/>
          </w:rPr>
          <w:t>Lloyd et al. 2010</w:t>
        </w:r>
      </w:hyperlink>
      <w:r w:rsidRPr="0060218C">
        <w:rPr>
          <w:noProof/>
        </w:rPr>
        <w:t xml:space="preserve">; </w:t>
      </w:r>
      <w:hyperlink w:anchor="_ENREF_113" w:tooltip="Martin, 2013 #164" w:history="1">
        <w:r w:rsidRPr="0060218C">
          <w:rPr>
            <w:noProof/>
          </w:rPr>
          <w:t>Martin et al., 2013</w:t>
        </w:r>
      </w:hyperlink>
      <w:r w:rsidRPr="0060218C">
        <w:rPr>
          <w:noProof/>
        </w:rPr>
        <w:t xml:space="preserve">), </w:t>
      </w:r>
      <w:r w:rsidRPr="0060218C">
        <w:t xml:space="preserve">given that many share the same risk/protective factors as gambling </w:t>
      </w:r>
      <w:r w:rsidRPr="0060218C">
        <w:rPr>
          <w:noProof/>
        </w:rPr>
        <w:t>(</w:t>
      </w:r>
      <w:hyperlink w:anchor="_ENREF_67" w:tooltip="Dickson, 2002 #63" w:history="1">
        <w:r w:rsidRPr="0060218C">
          <w:rPr>
            <w:noProof/>
          </w:rPr>
          <w:t>Dickson et al., 2002</w:t>
        </w:r>
      </w:hyperlink>
      <w:r w:rsidRPr="0060218C">
        <w:rPr>
          <w:noProof/>
        </w:rPr>
        <w:t xml:space="preserve">; </w:t>
      </w:r>
      <w:hyperlink w:anchor="_ENREF_69" w:tooltip="Dussault, 2011 #71" w:history="1">
        <w:r w:rsidRPr="0060218C">
          <w:rPr>
            <w:noProof/>
          </w:rPr>
          <w:t>Dussault et al., 2011</w:t>
        </w:r>
      </w:hyperlink>
      <w:r w:rsidRPr="0060218C">
        <w:rPr>
          <w:noProof/>
        </w:rPr>
        <w:t xml:space="preserve">; </w:t>
      </w:r>
      <w:hyperlink w:anchor="_ENREF_93" w:tooltip="Hodgins, 2005 #116" w:history="1">
        <w:r w:rsidRPr="0060218C">
          <w:rPr>
            <w:noProof/>
          </w:rPr>
          <w:t>Hodgins et al., 2005</w:t>
        </w:r>
      </w:hyperlink>
      <w:r w:rsidRPr="0060218C">
        <w:rPr>
          <w:noProof/>
        </w:rPr>
        <w:t xml:space="preserve">; </w:t>
      </w:r>
      <w:hyperlink w:anchor="_ENREF_94" w:tooltip="Holdsworth, 2012 #120" w:history="1">
        <w:r w:rsidRPr="0060218C">
          <w:rPr>
            <w:noProof/>
          </w:rPr>
          <w:t>Holdsworth et al., 2012</w:t>
        </w:r>
      </w:hyperlink>
      <w:r w:rsidRPr="0060218C">
        <w:rPr>
          <w:noProof/>
        </w:rPr>
        <w:t xml:space="preserve">; Hounslow et al., 2011). </w:t>
      </w:r>
    </w:p>
    <w:p w14:paraId="7E4E6207" w14:textId="470B53B2" w:rsidR="005E39E4" w:rsidRPr="0060218C" w:rsidRDefault="005E39E4" w:rsidP="00D51E07">
      <w:pPr>
        <w:pStyle w:val="VRGFBodycontent"/>
      </w:pPr>
      <w:r w:rsidRPr="0060218C">
        <w:rPr>
          <w:noProof/>
        </w:rPr>
        <w:t xml:space="preserve">At a national level, evidence has been found </w:t>
      </w:r>
      <w:r>
        <w:rPr>
          <w:noProof/>
        </w:rPr>
        <w:t>for relationships</w:t>
      </w:r>
      <w:r w:rsidRPr="0060218C">
        <w:rPr>
          <w:noProof/>
        </w:rPr>
        <w:t xml:space="preserve"> between problem gambling, physical health</w:t>
      </w:r>
      <w:r>
        <w:rPr>
          <w:noProof/>
        </w:rPr>
        <w:t>,</w:t>
      </w:r>
      <w:r w:rsidRPr="0060218C">
        <w:rPr>
          <w:noProof/>
        </w:rPr>
        <w:t xml:space="preserve"> and self-reported health.</w:t>
      </w:r>
      <w:r>
        <w:rPr>
          <w:noProof/>
        </w:rPr>
        <w:t xml:space="preserve"> </w:t>
      </w:r>
      <w:r w:rsidRPr="0060218C">
        <w:t xml:space="preserve">The </w:t>
      </w:r>
      <w:r>
        <w:t>New Zealand 2012</w:t>
      </w:r>
      <w:r w:rsidRPr="0060218C">
        <w:t xml:space="preserve"> National Gambling Study (Abbott et al., 2014a) noted that reported good health decreased with increasing risk of problem gambling</w:t>
      </w:r>
      <w:r w:rsidR="004C2C8E">
        <w:t>.</w:t>
      </w:r>
      <w:r w:rsidR="008610D3">
        <w:t xml:space="preserve"> </w:t>
      </w:r>
      <w:r w:rsidRPr="0060218C">
        <w:t>Fifty-seven percent of non-gamblers and 54% of recreational gamblers reported their general health to be good or excellent</w:t>
      </w:r>
      <w:r w:rsidR="004C2C8E">
        <w:t>.</w:t>
      </w:r>
      <w:r w:rsidR="008610D3">
        <w:t xml:space="preserve"> </w:t>
      </w:r>
      <w:r w:rsidRPr="0060218C">
        <w:t>There was a steady decline with increased gambling risk, with 44% of low-risk gamblers, 36% of moderate-risk gamblers and only 22% of problem gamblers reporting good or excellent general health (Abbott et al., 2014a)</w:t>
      </w:r>
      <w:r>
        <w:t>,</w:t>
      </w:r>
      <w:r w:rsidRPr="0060218C">
        <w:t xml:space="preserve"> demonstrating a strong association between gambling risk level and harm to an individual’s health</w:t>
      </w:r>
      <w:r w:rsidR="004C2C8E">
        <w:t>.</w:t>
      </w:r>
      <w:r w:rsidR="008610D3">
        <w:t xml:space="preserve"> </w:t>
      </w:r>
      <w:r w:rsidRPr="0060218C">
        <w:t xml:space="preserve">Furthermore, people experiencing problems with gambling </w:t>
      </w:r>
      <w:r>
        <w:t>often</w:t>
      </w:r>
      <w:r w:rsidRPr="0060218C">
        <w:t xml:space="preserve"> rated their health as </w:t>
      </w:r>
      <w:r>
        <w:t xml:space="preserve">only </w:t>
      </w:r>
      <w:r w:rsidRPr="0060218C">
        <w:t xml:space="preserve">fair or poor (33%) whilst for other </w:t>
      </w:r>
      <w:r>
        <w:t xml:space="preserve">lower risk </w:t>
      </w:r>
      <w:r w:rsidRPr="0060218C">
        <w:t xml:space="preserve">groups this ranged </w:t>
      </w:r>
      <w:r>
        <w:t xml:space="preserve">lower at </w:t>
      </w:r>
      <w:r w:rsidRPr="0060218C">
        <w:t>between 14% and 20% (Abbott et al., 2014a)</w:t>
      </w:r>
      <w:r w:rsidR="004C2C8E">
        <w:t>.</w:t>
      </w:r>
      <w:r w:rsidR="008610D3">
        <w:t xml:space="preserve"> </w:t>
      </w:r>
      <w:r w:rsidRPr="0060218C">
        <w:t>These findings were consistent with another large general population survey</w:t>
      </w:r>
      <w:r>
        <w:t xml:space="preserve"> (N=</w:t>
      </w:r>
      <w:r w:rsidRPr="0060218C">
        <w:t>7,010) that found people who participated in gambling at high intensities (as measured by expenditure and losses relative to income) experienced significantly worse physical and mental health (</w:t>
      </w:r>
      <w:r>
        <w:t>SHORE</w:t>
      </w:r>
      <w:r w:rsidRPr="0060218C">
        <w:t xml:space="preserve">, 2008). </w:t>
      </w:r>
    </w:p>
    <w:p w14:paraId="2013A6F9" w14:textId="7A36363D" w:rsidR="005E39E4" w:rsidRPr="0060218C" w:rsidRDefault="005E39E4" w:rsidP="00D51E07">
      <w:pPr>
        <w:pStyle w:val="VRGFBodycontent"/>
      </w:pPr>
      <w:r w:rsidRPr="0060218C">
        <w:t>International research has identified some concerning patterns of harm relating to individual health and multiple risk factors</w:t>
      </w:r>
      <w:r w:rsidR="004C2C8E">
        <w:t>.</w:t>
      </w:r>
      <w:r w:rsidR="008610D3">
        <w:t xml:space="preserve"> </w:t>
      </w:r>
      <w:r w:rsidRPr="0060218C">
        <w:t>Black, Shaw, McCormick and Allen (2013) conducted a case control study (matched on age and gender) investigating the biological determinants of people who met the criteria for DSM-IV pathological gambling</w:t>
      </w:r>
      <w:r w:rsidR="004C2C8E">
        <w:t>.</w:t>
      </w:r>
      <w:r w:rsidR="008610D3">
        <w:t xml:space="preserve"> </w:t>
      </w:r>
      <w:r w:rsidRPr="0060218C">
        <w:t>Those who met the criteria for pathological gambling (DSM-IV) had more medical and mental health conditions, had a higher body mass index (BMI), were less likely to participate in regular exercise</w:t>
      </w:r>
      <w:r>
        <w:t>,</w:t>
      </w:r>
      <w:r w:rsidRPr="0060218C">
        <w:t xml:space="preserve"> and were more likely to be classified obese</w:t>
      </w:r>
      <w:r w:rsidR="004C2C8E">
        <w:t>.</w:t>
      </w:r>
      <w:r w:rsidR="008610D3">
        <w:t xml:space="preserve"> </w:t>
      </w:r>
      <w:r w:rsidRPr="0060218C">
        <w:t>They were also more likely to engage in unhealthy lifestyle behaviours such as excessive alcohol consumption, smoking</w:t>
      </w:r>
      <w:r>
        <w:t>,</w:t>
      </w:r>
      <w:r w:rsidRPr="0060218C">
        <w:t xml:space="preserve"> and watching more than 20 hours of television per week, and were less likely to seek health care (medical and dental) due to financial pressure (Black et al., 2013)</w:t>
      </w:r>
      <w:r w:rsidR="004C2C8E">
        <w:t>.</w:t>
      </w:r>
      <w:r w:rsidR="008610D3">
        <w:t xml:space="preserve"> </w:t>
      </w:r>
      <w:r w:rsidRPr="00707813">
        <w:t>These risk factors translated into poorer health outcomes with lower ratings of self-health, more emergency department visits, and increased likelihood of hospitalisation for a psychiatric condition (Black et al., 2013)</w:t>
      </w:r>
      <w:r w:rsidR="004C2C8E" w:rsidRPr="00707813">
        <w:t>.</w:t>
      </w:r>
      <w:r w:rsidR="008610D3">
        <w:t xml:space="preserve"> </w:t>
      </w:r>
      <w:r w:rsidRPr="0060218C">
        <w:t>It is important, however, to be cautious in how these findings are interpreted</w:t>
      </w:r>
      <w:r w:rsidR="004C2C8E">
        <w:t>.</w:t>
      </w:r>
      <w:r w:rsidR="008610D3">
        <w:t xml:space="preserve"> </w:t>
      </w:r>
      <w:r w:rsidRPr="0060218C">
        <w:t>The causal sequence between gambling behaviour, behavioural health determinants</w:t>
      </w:r>
      <w:r>
        <w:t>,</w:t>
      </w:r>
      <w:r w:rsidRPr="0060218C">
        <w:t xml:space="preserve"> and health outcomes is not established by this study and a third variable</w:t>
      </w:r>
      <w:r>
        <w:t>’s</w:t>
      </w:r>
      <w:r w:rsidRPr="0060218C">
        <w:t xml:space="preserve"> influence (for example </w:t>
      </w:r>
      <w:r>
        <w:t>socio-economic</w:t>
      </w:r>
      <w:r w:rsidRPr="0060218C">
        <w:t xml:space="preserve"> status) cannot be discounted</w:t>
      </w:r>
      <w:r w:rsidR="004C2C8E">
        <w:t>.</w:t>
      </w:r>
      <w:r w:rsidR="008610D3">
        <w:t xml:space="preserve"> </w:t>
      </w:r>
      <w:r w:rsidRPr="0060218C">
        <w:t xml:space="preserve">Nevertheless, there are some obvious cases in which gambling can be identified as a causal factor; for example gambling is a </w:t>
      </w:r>
      <w:r>
        <w:t>sedentary behaviour (Cousins &amp;</w:t>
      </w:r>
      <w:r w:rsidRPr="0060218C">
        <w:t xml:space="preserve"> Witcher, 2007) that increases the risk for other biological determinants of health.</w:t>
      </w:r>
    </w:p>
    <w:p w14:paraId="2CF95ED2" w14:textId="610FE982" w:rsidR="005E39E4" w:rsidRPr="00D147C8" w:rsidRDefault="005E39E4" w:rsidP="00D51E07">
      <w:pPr>
        <w:pStyle w:val="VRGFBodycontent"/>
      </w:pPr>
      <w:r w:rsidRPr="00D147C8">
        <w:t>In New Zealand, the 2012 National Gambling Study found that those experiencing</w:t>
      </w:r>
      <w:r>
        <w:t>,</w:t>
      </w:r>
      <w:r w:rsidRPr="00D147C8">
        <w:t xml:space="preserve"> or at risk of developing</w:t>
      </w:r>
      <w:r>
        <w:t>,</w:t>
      </w:r>
      <w:r w:rsidRPr="00D147C8">
        <w:t xml:space="preserve"> gambling problems had higher rates of tobacco, alcohol</w:t>
      </w:r>
      <w:r>
        <w:t>,</w:t>
      </w:r>
      <w:r w:rsidRPr="00D147C8">
        <w:t xml:space="preserve"> and substance (drug) use (Abbott et al., 2014a)</w:t>
      </w:r>
      <w:r w:rsidR="004C2C8E">
        <w:t>.</w:t>
      </w:r>
      <w:r w:rsidR="008610D3">
        <w:t xml:space="preserve"> </w:t>
      </w:r>
      <w:r w:rsidRPr="00D147C8">
        <w:t>People experiencing problems with gambling were significantly more likely to have smoked more than 100 cigarettes in their lifetime, and significantly more problem and moderate-risk gamblers than recreational gamblers were current smokers</w:t>
      </w:r>
      <w:r w:rsidR="004C2C8E">
        <w:t>.</w:t>
      </w:r>
      <w:r w:rsidR="008610D3">
        <w:t xml:space="preserve"> </w:t>
      </w:r>
      <w:r w:rsidRPr="00D147C8">
        <w:t>Similarly, people experiencing problems with gambling</w:t>
      </w:r>
      <w:r>
        <w:t>;</w:t>
      </w:r>
      <w:r w:rsidRPr="00D147C8">
        <w:t xml:space="preserve"> and to a lesser extent, moderate-risk and low-risk gamblers</w:t>
      </w:r>
      <w:r>
        <w:t>;</w:t>
      </w:r>
      <w:r w:rsidRPr="00D147C8">
        <w:t xml:space="preserve"> more often reported cannabis use in the past twelve months than recreational and non-gamblers, and were more likely to engage with other substances including ecstasy, amphetamines, party pills, </w:t>
      </w:r>
      <w:r w:rsidRPr="00D147C8">
        <w:lastRenderedPageBreak/>
        <w:t>stimulants</w:t>
      </w:r>
      <w:r>
        <w:t>,</w:t>
      </w:r>
      <w:r w:rsidRPr="00D147C8">
        <w:t xml:space="preserve"> and benzodiazepines (Abbott et al., 2014a)</w:t>
      </w:r>
      <w:r w:rsidR="004C2C8E">
        <w:t>.</w:t>
      </w:r>
      <w:r w:rsidR="008610D3">
        <w:t xml:space="preserve"> </w:t>
      </w:r>
      <w:r w:rsidRPr="00D147C8">
        <w:t>Additionally, these same groups also reported higher levels of alcohol misuse (Abbott et al., 2014a)</w:t>
      </w:r>
      <w:r w:rsidR="004C2C8E">
        <w:t>.</w:t>
      </w:r>
      <w:r w:rsidR="008610D3">
        <w:t xml:space="preserve"> </w:t>
      </w:r>
      <w:r w:rsidRPr="00D147C8">
        <w:t>These findings were consistent with a study using a client based sample (N=462) seeking help for gambling problems via the New Zealand National Gambling Helpline which found</w:t>
      </w:r>
      <w:r>
        <w:t xml:space="preserve"> that</w:t>
      </w:r>
      <w:r w:rsidRPr="00D147C8">
        <w:t xml:space="preserve"> 60% of the sample smoked tobacco, 12% reported substantial or moderate drug problems and 62% met the criteria for alcohol misuse (Abbott et al., 2012). </w:t>
      </w:r>
    </w:p>
    <w:p w14:paraId="75B77940" w14:textId="53B1BEDB" w:rsidR="005E39E4" w:rsidRPr="0060218C" w:rsidRDefault="005E39E4" w:rsidP="00D51E07">
      <w:pPr>
        <w:pStyle w:val="VRGFBodycontent"/>
      </w:pPr>
      <w:r w:rsidRPr="0060218C">
        <w:t xml:space="preserve">The </w:t>
      </w:r>
      <w:r>
        <w:t>New Zealand 2012</w:t>
      </w:r>
      <w:r w:rsidRPr="0060218C">
        <w:t xml:space="preserve"> National Gambling Study </w:t>
      </w:r>
      <w:r w:rsidR="00FA49BE" w:rsidRPr="0060218C">
        <w:t xml:space="preserve">(Abbott et al., 2014a </w:t>
      </w:r>
      <w:r w:rsidR="00FA49BE">
        <w:t xml:space="preserve">) </w:t>
      </w:r>
      <w:r w:rsidRPr="0060218C">
        <w:t xml:space="preserve">and results from the client-based study </w:t>
      </w:r>
      <w:r w:rsidR="00FA49BE" w:rsidRPr="0060218C">
        <w:t>(Abbott et al., 2012)</w:t>
      </w:r>
      <w:r w:rsidR="00FA49BE">
        <w:t xml:space="preserve"> </w:t>
      </w:r>
      <w:r w:rsidRPr="0060218C">
        <w:t>also indicate that problem gambling behaviour has substantial links to mental health problems and psychological wellbeing</w:t>
      </w:r>
      <w:r w:rsidR="004C2C8E">
        <w:t>.</w:t>
      </w:r>
      <w:r w:rsidR="008610D3">
        <w:t xml:space="preserve"> </w:t>
      </w:r>
      <w:r w:rsidRPr="0060218C">
        <w:t xml:space="preserve">From those seeking treatment for gambling problems, 56% had high levels of psychological disorder (as measured by the Kessler Scale) (Abbott et al., 2012), as did 46% of people experiencing problems with gambling in the </w:t>
      </w:r>
      <w:r>
        <w:t>New Zealand 2012</w:t>
      </w:r>
      <w:r w:rsidRPr="0060218C">
        <w:t xml:space="preserve"> National Gambling Study (Abbott et al., 2014a)</w:t>
      </w:r>
      <w:r w:rsidR="004C2C8E">
        <w:t>.</w:t>
      </w:r>
      <w:r w:rsidR="008610D3">
        <w:t xml:space="preserve"> </w:t>
      </w:r>
      <w:r w:rsidRPr="0060218C">
        <w:t>People classified as problem gamblers further reported higher rates of depression and anxiety (both 21%) relative to non-gamblers (6%, 5%) and non-problem gamblers (7%, 5%) (Abbott et al., 2014a)</w:t>
      </w:r>
      <w:r w:rsidR="004C2C8E">
        <w:t>.</w:t>
      </w:r>
      <w:r w:rsidR="008610D3">
        <w:t xml:space="preserve"> </w:t>
      </w:r>
      <w:r w:rsidRPr="0060218C">
        <w:t>In client-based samples, 58% of subjects met the diagnostic criteria for major depression while a further 12% were considered to experience minor depression (Abbott et al., 2012)</w:t>
      </w:r>
      <w:r w:rsidR="004C2C8E">
        <w:t>.</w:t>
      </w:r>
      <w:r w:rsidR="008610D3">
        <w:t xml:space="preserve"> </w:t>
      </w:r>
      <w:r w:rsidRPr="0060218C">
        <w:t>Both these findings have been supported in a previous New Zealand general population surveys</w:t>
      </w:r>
      <w:r>
        <w:t>,</w:t>
      </w:r>
      <w:r w:rsidRPr="0060218C">
        <w:t xml:space="preserve"> which showed that 60% of those with at least a moderate gambling problem</w:t>
      </w:r>
      <w:r>
        <w:t>s</w:t>
      </w:r>
      <w:r w:rsidRPr="0060218C">
        <w:t xml:space="preserve"> indicated </w:t>
      </w:r>
      <w:r>
        <w:t xml:space="preserve">that </w:t>
      </w:r>
      <w:r w:rsidRPr="0060218C">
        <w:t>they suffered depression as a result of their gambling (</w:t>
      </w:r>
      <w:r>
        <w:t>SHORE</w:t>
      </w:r>
      <w:r w:rsidRPr="0060218C">
        <w:t>, 2008)</w:t>
      </w:r>
      <w:r w:rsidR="004C2C8E">
        <w:t>.</w:t>
      </w:r>
      <w:r w:rsidR="008610D3">
        <w:t xml:space="preserve"> </w:t>
      </w:r>
      <w:r w:rsidRPr="0060218C">
        <w:t>The differences in the prevalence between the population survey and client survey could be due to either a temporal difference, or a difference in personal characteristics</w:t>
      </w:r>
      <w:r w:rsidR="004C2C8E">
        <w:t>.</w:t>
      </w:r>
      <w:r w:rsidR="008610D3">
        <w:t xml:space="preserve"> </w:t>
      </w:r>
      <w:r w:rsidRPr="0060218C">
        <w:t>A temporal difference suggests the experience of gambling problems could cause or exacerbate mental health issues</w:t>
      </w:r>
      <w:r w:rsidR="004C2C8E">
        <w:t>.</w:t>
      </w:r>
      <w:r w:rsidR="008610D3">
        <w:t xml:space="preserve"> </w:t>
      </w:r>
      <w:r w:rsidRPr="0060218C">
        <w:t>Likewise the difference could reflect personal characteristics of those who seek treatment – with help seeking populations exhibiting more severe gambling problems and greater comorbidities.</w:t>
      </w:r>
      <w:r>
        <w:t xml:space="preserve"> </w:t>
      </w:r>
    </w:p>
    <w:p w14:paraId="1AB379B9" w14:textId="49C9FF8B" w:rsidR="005E39E4" w:rsidRPr="0060218C" w:rsidRDefault="005E39E4" w:rsidP="00D51E07">
      <w:pPr>
        <w:pStyle w:val="VRGFBodycontent"/>
      </w:pPr>
      <w:r w:rsidRPr="0060218C">
        <w:t>The links between problem gambling and mortality are complex and yet to be fully explored across multiple causes of mortality</w:t>
      </w:r>
      <w:r w:rsidR="00743528">
        <w:t>.</w:t>
      </w:r>
      <w:r w:rsidR="008610D3">
        <w:t xml:space="preserve"> </w:t>
      </w:r>
      <w:r w:rsidRPr="0060218C">
        <w:t xml:space="preserve">Gambling as </w:t>
      </w:r>
      <w:r>
        <w:t xml:space="preserve">a </w:t>
      </w:r>
      <w:r w:rsidRPr="0060218C">
        <w:t>determinant influences proximal biological determinants, but to a greater degree has a strong influence on distal determinants through complex causal pathways that make it challenging to capture in reporting protocols</w:t>
      </w:r>
      <w:r w:rsidR="00743528">
        <w:t>.</w:t>
      </w:r>
      <w:r w:rsidR="008610D3">
        <w:t xml:space="preserve"> </w:t>
      </w:r>
      <w:r w:rsidRPr="0060218C">
        <w:t xml:space="preserve">For example, problem gambling may result in </w:t>
      </w:r>
      <w:r>
        <w:t>increases in blood pressure, loss of sleep, and contribute to behaviours detrimental to health such as sedentary behaviour, however there is also a significant impact on health through upstream, or social determinants of health</w:t>
      </w:r>
      <w:r w:rsidR="00743528">
        <w:t>.</w:t>
      </w:r>
      <w:r w:rsidR="008610D3">
        <w:t xml:space="preserve"> </w:t>
      </w:r>
      <w:r>
        <w:t>These include impacts on employment, income, family, neighbourhood, social cohesion, and life course</w:t>
      </w:r>
      <w:r w:rsidR="00743528">
        <w:t>.</w:t>
      </w:r>
      <w:r w:rsidR="008610D3">
        <w:t xml:space="preserve"> </w:t>
      </w:r>
      <w:r>
        <w:t>These determinants, whilst not as immediate in their impact, can be more pervasive</w:t>
      </w:r>
      <w:r w:rsidR="00743528">
        <w:t>.</w:t>
      </w:r>
      <w:r w:rsidR="008610D3">
        <w:t xml:space="preserve"> </w:t>
      </w:r>
      <w:r w:rsidRPr="0060218C">
        <w:t>While currently the contribution of gambling to morbidity could be identifiable through mention of psychological determinants (such as depression, stress</w:t>
      </w:r>
      <w:r>
        <w:t>,</w:t>
      </w:r>
      <w:r w:rsidRPr="0060218C">
        <w:t xml:space="preserve"> or anxiety), the contribution of biological determinants of mortality</w:t>
      </w:r>
      <w:r w:rsidR="00A54BD3">
        <w:t>,</w:t>
      </w:r>
      <w:r>
        <w:t xml:space="preserve"> </w:t>
      </w:r>
      <w:r w:rsidRPr="0060218C">
        <w:t>as outlined in Black et al.’s (2013) study</w:t>
      </w:r>
      <w:r w:rsidR="00A54BD3">
        <w:t>,</w:t>
      </w:r>
      <w:r w:rsidRPr="0060218C">
        <w:t xml:space="preserve"> are yet to be fully explored</w:t>
      </w:r>
      <w:r w:rsidR="00743528">
        <w:t>.</w:t>
      </w:r>
      <w:r w:rsidR="008610D3">
        <w:t xml:space="preserve"> </w:t>
      </w:r>
      <w:r w:rsidRPr="0060218C">
        <w:t>However, there has been some consideration of mortality within international gambling research focusing on suicide (Carroll, Davidson, Marsh</w:t>
      </w:r>
      <w:r>
        <w:t>,</w:t>
      </w:r>
      <w:r w:rsidRPr="0060218C">
        <w:t xml:space="preserve"> &amp; Rodgers, 2011; Ledgerwood, Steinberg, Wu</w:t>
      </w:r>
      <w:r>
        <w:t>,</w:t>
      </w:r>
      <w:r w:rsidRPr="0060218C">
        <w:t xml:space="preserve"> &amp; Potenza, 2</w:t>
      </w:r>
      <w:r>
        <w:t>005; Petry &amp;</w:t>
      </w:r>
      <w:r w:rsidRPr="0060218C">
        <w:t xml:space="preserve"> Kiluk, 2002</w:t>
      </w:r>
      <w:r>
        <w:t>; Blaszczynski &amp;</w:t>
      </w:r>
      <w:r w:rsidRPr="0060218C">
        <w:t xml:space="preserve"> Farrell 1998)</w:t>
      </w:r>
      <w:r w:rsidR="00743528">
        <w:t>.</w:t>
      </w:r>
      <w:r w:rsidR="008610D3">
        <w:t xml:space="preserve"> </w:t>
      </w:r>
      <w:r w:rsidRPr="0060218C">
        <w:t xml:space="preserve">Suicidal ideation and </w:t>
      </w:r>
      <w:r>
        <w:t>suicide attempts</w:t>
      </w:r>
      <w:r w:rsidRPr="0060218C">
        <w:t xml:space="preserve"> </w:t>
      </w:r>
      <w:r>
        <w:t>are</w:t>
      </w:r>
      <w:r w:rsidRPr="0060218C">
        <w:t xml:space="preserve"> positively correlated with gambling severity (Battersby, Tolchard, Schurrah</w:t>
      </w:r>
      <w:r>
        <w:t>,</w:t>
      </w:r>
      <w:r w:rsidRPr="0060218C">
        <w:t xml:space="preserve"> &amp; Thomas, 2006) with higher rates of suicide </w:t>
      </w:r>
      <w:r>
        <w:t xml:space="preserve">in particular </w:t>
      </w:r>
      <w:r w:rsidRPr="0060218C">
        <w:t xml:space="preserve">being </w:t>
      </w:r>
      <w:r>
        <w:t>associated with</w:t>
      </w:r>
      <w:r w:rsidRPr="0060218C">
        <w:t xml:space="preserve"> youth experiencing gambling problems (Nower, Gupta, Blaszczynski</w:t>
      </w:r>
      <w:r>
        <w:t>,</w:t>
      </w:r>
      <w:r w:rsidRPr="0060218C">
        <w:t xml:space="preserve"> &amp; Derevensky, 2004)</w:t>
      </w:r>
      <w:r w:rsidR="00743528">
        <w:t>.</w:t>
      </w:r>
      <w:r w:rsidR="008610D3">
        <w:t xml:space="preserve"> </w:t>
      </w:r>
      <w:r w:rsidRPr="0060218C">
        <w:t>The relationship between gambling and suicide has been reported in New Zealand with 1.4%</w:t>
      </w:r>
      <w:r>
        <w:t xml:space="preserve"> (N=</w:t>
      </w:r>
      <w:r w:rsidRPr="0060218C">
        <w:t>150) of users of a national telephone helpline for problem gambling reporting suicide ideation in 2011; six of those clients had previously attempted suicide (Norton, 2012)</w:t>
      </w:r>
      <w:r w:rsidR="00743528">
        <w:t>.</w:t>
      </w:r>
      <w:r w:rsidR="008610D3">
        <w:t xml:space="preserve"> </w:t>
      </w:r>
      <w:r w:rsidRPr="0060218C">
        <w:t xml:space="preserve">In a previous study, </w:t>
      </w:r>
      <w:r>
        <w:t>70</w:t>
      </w:r>
      <w:r w:rsidRPr="0060218C">
        <w:t xml:space="preserve"> patients admitted to an Auckland hospital following a suicide attempt completed a brief problem gambling screen (the EIGHT Screen) administered by hospital staff (Penfold, Hatcher, Sullivan</w:t>
      </w:r>
      <w:r>
        <w:t>,</w:t>
      </w:r>
      <w:r w:rsidRPr="0060218C">
        <w:t xml:space="preserve"> &amp; Collins, 2006a)</w:t>
      </w:r>
      <w:r w:rsidR="00743528">
        <w:t>.</w:t>
      </w:r>
      <w:r w:rsidR="008610D3">
        <w:t xml:space="preserve"> </w:t>
      </w:r>
      <w:r w:rsidRPr="0060218C">
        <w:t>Twelve (17%) of the patients returned positive results for problem gambling with half of these having previously attempted suicide</w:t>
      </w:r>
      <w:r w:rsidR="00743528">
        <w:t>.</w:t>
      </w:r>
      <w:r w:rsidR="008610D3">
        <w:t xml:space="preserve"> </w:t>
      </w:r>
      <w:r w:rsidRPr="0060218C">
        <w:t xml:space="preserve">These patients were more likely to be Māori and experiencing </w:t>
      </w:r>
      <w:r w:rsidRPr="0060218C">
        <w:lastRenderedPageBreak/>
        <w:t>problems with alcohol consumption (measured by the CAGE alcohol screen) (Penfold, Hatcher, Sullivan</w:t>
      </w:r>
      <w:r>
        <w:t>,</w:t>
      </w:r>
      <w:r w:rsidRPr="0060218C">
        <w:t xml:space="preserve"> &amp; Collins, 2006b)</w:t>
      </w:r>
      <w:r w:rsidR="00743528">
        <w:t>.</w:t>
      </w:r>
      <w:r w:rsidR="008610D3">
        <w:t xml:space="preserve"> </w:t>
      </w:r>
      <w:r w:rsidRPr="0060218C">
        <w:t xml:space="preserve">Similarly, exploratory qualitative research among Pacific communities in New Zealand identified suicide as one of the many extreme impacts caused by gambling and </w:t>
      </w:r>
      <w:r>
        <w:t xml:space="preserve">related </w:t>
      </w:r>
      <w:r w:rsidRPr="0060218C">
        <w:t>financial deficit</w:t>
      </w:r>
      <w:r>
        <w:t>s</w:t>
      </w:r>
      <w:r w:rsidRPr="0060218C">
        <w:t xml:space="preserve"> (Bellringer, Fa’amatuainu, Taylor, Coombes, Poon</w:t>
      </w:r>
      <w:r>
        <w:t>,</w:t>
      </w:r>
      <w:r w:rsidRPr="0060218C">
        <w:t xml:space="preserve"> &amp; Abbott, 2013).</w:t>
      </w:r>
    </w:p>
    <w:p w14:paraId="72517037" w14:textId="67FF88F3" w:rsidR="005E39E4" w:rsidRDefault="005E39E4" w:rsidP="00D51E07">
      <w:pPr>
        <w:pStyle w:val="VRGFBodycontent"/>
      </w:pPr>
      <w:r w:rsidRPr="0060218C">
        <w:t>It is important to note that both suicide and gambling are part of a much more complex interaction of determinants and morbidities</w:t>
      </w:r>
      <w:r w:rsidR="00743528">
        <w:t>.</w:t>
      </w:r>
      <w:r w:rsidR="008610D3">
        <w:t xml:space="preserve"> </w:t>
      </w:r>
      <w:r w:rsidRPr="0060218C">
        <w:t>As argued by some researchers</w:t>
      </w:r>
      <w:r>
        <w:t xml:space="preserve">, </w:t>
      </w:r>
      <w:r w:rsidRPr="0060218C">
        <w:t xml:space="preserve">to say gambling causes suicide </w:t>
      </w:r>
      <w:r>
        <w:t>may oversimplify</w:t>
      </w:r>
      <w:r w:rsidRPr="0060218C">
        <w:t xml:space="preserve"> the issue, leading to misunderstandings regarding the solution (Mac</w:t>
      </w:r>
      <w:r>
        <w:t>C</w:t>
      </w:r>
      <w:r w:rsidRPr="0060218C">
        <w:t xml:space="preserve">allum </w:t>
      </w:r>
      <w:r>
        <w:t>&amp;</w:t>
      </w:r>
      <w:r w:rsidRPr="0060218C">
        <w:t xml:space="preserve"> Blaszczykski, 2003, Penfold et al., 2006b, Séguin et al., 2010)</w:t>
      </w:r>
      <w:r w:rsidR="00743528">
        <w:t>.</w:t>
      </w:r>
      <w:r w:rsidR="008610D3">
        <w:t xml:space="preserve"> </w:t>
      </w:r>
      <w:r w:rsidRPr="0060218C">
        <w:t xml:space="preserve">Instead, attribution of the role of gambling in suicide relies on what Blaszczyski and Marfels (2003) refer to as </w:t>
      </w:r>
      <w:r w:rsidRPr="0060218C">
        <w:rPr>
          <w:i/>
        </w:rPr>
        <w:t xml:space="preserve">subjective judgements </w:t>
      </w:r>
      <w:r w:rsidRPr="0060218C">
        <w:t>(</w:t>
      </w:r>
      <w:r>
        <w:t>also highlighted by Gray, 2013)</w:t>
      </w:r>
      <w:r w:rsidRPr="0060218C">
        <w:t xml:space="preserve"> in establishing the presence and contribution of problems being experienced with gambling</w:t>
      </w:r>
      <w:r w:rsidR="00743528">
        <w:t>.</w:t>
      </w:r>
      <w:r w:rsidR="008610D3">
        <w:t xml:space="preserve"> </w:t>
      </w:r>
      <w:r w:rsidRPr="0060218C">
        <w:t xml:space="preserve">Like other crisis level harms, suicide has a relatively large impact but with very low prevalence; therefore </w:t>
      </w:r>
      <w:r>
        <w:t xml:space="preserve">suicide </w:t>
      </w:r>
      <w:r w:rsidRPr="0060218C">
        <w:t>would be a relatively minor component of the aggregated amount of harm caused by gambling</w:t>
      </w:r>
      <w:r>
        <w:t xml:space="preserve"> based on only a count of harms</w:t>
      </w:r>
      <w:r w:rsidRPr="0060218C">
        <w:t>.</w:t>
      </w:r>
    </w:p>
    <w:p w14:paraId="53A8E05E" w14:textId="77777777" w:rsidR="00D51E07" w:rsidRPr="0060218C" w:rsidRDefault="00D51E07" w:rsidP="00D51E07">
      <w:pPr>
        <w:pStyle w:val="VRGFBodycontent"/>
      </w:pPr>
    </w:p>
    <w:p w14:paraId="394AEF28" w14:textId="11A1D75D" w:rsidR="005E39E4" w:rsidRPr="0060218C" w:rsidRDefault="005E39E4" w:rsidP="005E39E4">
      <w:pPr>
        <w:pStyle w:val="VRGFHead4"/>
      </w:pPr>
      <w:bookmarkStart w:id="55" w:name="_Toc283813353"/>
      <w:bookmarkStart w:id="56" w:name="_Toc283813422"/>
      <w:bookmarkStart w:id="57" w:name="_Toc285109113"/>
      <w:r w:rsidRPr="0060218C">
        <w:t>E</w:t>
      </w:r>
      <w:r w:rsidR="00D51E07">
        <w:t xml:space="preserve">motional or psychological impact </w:t>
      </w:r>
      <w:bookmarkEnd w:id="55"/>
      <w:bookmarkEnd w:id="56"/>
      <w:bookmarkEnd w:id="57"/>
    </w:p>
    <w:p w14:paraId="0AC5B112" w14:textId="124B4FB9" w:rsidR="005E39E4" w:rsidRPr="0060218C" w:rsidRDefault="005E39E4" w:rsidP="00D51E07">
      <w:pPr>
        <w:pStyle w:val="VRGFBodycontent"/>
      </w:pPr>
      <w:r w:rsidRPr="0060218C">
        <w:t>As previously identified, problem gambling has been found to have adverse effects on mental health and psychological wellbeing (Abbott et al., 2012; Abbott et al., 2014a)</w:t>
      </w:r>
      <w:r w:rsidR="00743528">
        <w:t>.</w:t>
      </w:r>
      <w:r w:rsidR="008610D3">
        <w:t xml:space="preserve"> </w:t>
      </w:r>
      <w:r w:rsidRPr="0060218C">
        <w:t>While these aspects refer to clinically diagnosable or recognised disorders such as depression or anxiety disorder, problem gambling can also affect the emotions and psychological distress experienced on a day-to-day level</w:t>
      </w:r>
      <w:r w:rsidR="00743528">
        <w:t>.</w:t>
      </w:r>
      <w:r w:rsidR="008610D3">
        <w:t xml:space="preserve"> </w:t>
      </w:r>
      <w:r w:rsidRPr="0060218C">
        <w:t xml:space="preserve">International research has identified harm in terms of emotional or psychological distress as experiences of guilt, anxiety, </w:t>
      </w:r>
      <w:r>
        <w:t xml:space="preserve">and </w:t>
      </w:r>
      <w:r w:rsidRPr="0060218C">
        <w:t>helplessness</w:t>
      </w:r>
      <w:r>
        <w:t>;</w:t>
      </w:r>
      <w:r w:rsidRPr="0060218C">
        <w:t xml:space="preserve"> as well as shame, stigma, grief</w:t>
      </w:r>
      <w:r>
        <w:t>, and</w:t>
      </w:r>
      <w:r w:rsidRPr="0060218C">
        <w:t xml:space="preserve"> self-hatred (Productivity Commission, 2010; Raisamo, Hame, Murto</w:t>
      </w:r>
      <w:r>
        <w:t>,</w:t>
      </w:r>
      <w:r w:rsidRPr="0060218C">
        <w:t xml:space="preserve"> &amp; Lintonen, 2013)</w:t>
      </w:r>
      <w:r w:rsidR="00743528">
        <w:t>.</w:t>
      </w:r>
      <w:r w:rsidR="008610D3">
        <w:t xml:space="preserve"> </w:t>
      </w:r>
      <w:r w:rsidRPr="0060218C">
        <w:t xml:space="preserve">Indeed, the New Zealand </w:t>
      </w:r>
      <w:r>
        <w:t xml:space="preserve">2012 </w:t>
      </w:r>
      <w:r w:rsidRPr="0060218C">
        <w:t>National Gambling study found that 4% of those who gambled within the last 12 months had experienced feelings of guilt (Abbott et al., 2014a)</w:t>
      </w:r>
      <w:r w:rsidR="00743528">
        <w:t>.</w:t>
      </w:r>
      <w:r w:rsidR="008610D3">
        <w:t xml:space="preserve"> </w:t>
      </w:r>
      <w:r w:rsidRPr="0060218C">
        <w:t>There has been limited investigation of the relationship between emotional stat</w:t>
      </w:r>
      <w:r>
        <w:t>es and gambling severity (Yi &amp;</w:t>
      </w:r>
      <w:r w:rsidRPr="0060218C">
        <w:t xml:space="preserve"> Kanetkar, 2011) and there are still significant gaps in our objective understanding of this type of harm. </w:t>
      </w:r>
    </w:p>
    <w:p w14:paraId="5D26A35A" w14:textId="64376785" w:rsidR="005E39E4" w:rsidRDefault="005E39E4" w:rsidP="00D51E07">
      <w:pPr>
        <w:pStyle w:val="VRGFBodycontent"/>
      </w:pPr>
      <w:r w:rsidRPr="0060218C">
        <w:t>The two aspects of emotional or psychological distress to receive attention are those of shame and stigma</w:t>
      </w:r>
      <w:r w:rsidR="00743528">
        <w:t>.</w:t>
      </w:r>
      <w:r w:rsidR="008610D3">
        <w:t xml:space="preserve"> </w:t>
      </w:r>
      <w:r>
        <w:t>In</w:t>
      </w:r>
      <w:r w:rsidRPr="0060218C">
        <w:t xml:space="preserve"> the </w:t>
      </w:r>
      <w:r>
        <w:t>New Zealand 2012</w:t>
      </w:r>
      <w:r w:rsidRPr="0060218C">
        <w:t xml:space="preserve"> National Gambling</w:t>
      </w:r>
      <w:r>
        <w:t xml:space="preserve"> Study</w:t>
      </w:r>
      <w:r w:rsidRPr="0060218C">
        <w:t>, 2% of people reported experiencing criticism because of their gambling (Abbott et al., 2014a)</w:t>
      </w:r>
      <w:r w:rsidR="00743528">
        <w:t>.</w:t>
      </w:r>
      <w:r w:rsidR="008610D3">
        <w:t xml:space="preserve"> </w:t>
      </w:r>
      <w:r w:rsidRPr="0060218C">
        <w:t>Stigma and shame are not just an outcome of gambling behaviour but can also perpetuate other levels of harm, particularly in some New Zealand communities where there are broad social circles and extended family ties</w:t>
      </w:r>
      <w:r w:rsidR="00743528">
        <w:t>.</w:t>
      </w:r>
      <w:r w:rsidR="008610D3">
        <w:t xml:space="preserve"> </w:t>
      </w:r>
      <w:r w:rsidRPr="0060218C">
        <w:t>This has been investigated in terms of the issues associated with problem gambling in Asian families where communities identified stigma and face-saving as cultural values and beliefs, suggesting that such states could potentially reduce help-seeking and community connectedness (Sobrun-Maharaj et al., 2012)</w:t>
      </w:r>
      <w:r w:rsidR="00743528">
        <w:t>.</w:t>
      </w:r>
      <w:r w:rsidR="008610D3">
        <w:t xml:space="preserve"> </w:t>
      </w:r>
      <w:r w:rsidRPr="0060218C">
        <w:t>Instead, individuals may isolate themselves by refusing to attend social events for fear of being stigmatised; exacerbating feelings of shame and the experience of other harmful outcomes (i.e.</w:t>
      </w:r>
      <w:r>
        <w:t>,</w:t>
      </w:r>
      <w:r w:rsidRPr="0060218C">
        <w:t xml:space="preserve"> relationship breakdowns)</w:t>
      </w:r>
      <w:r w:rsidR="00743528">
        <w:t>.</w:t>
      </w:r>
      <w:r w:rsidR="008610D3">
        <w:t xml:space="preserve"> </w:t>
      </w:r>
      <w:r w:rsidRPr="0060218C">
        <w:t>Not only can shame and stigma affect social and community connectedness, but they can also severely impede help</w:t>
      </w:r>
      <w:r>
        <w:t>-</w:t>
      </w:r>
      <w:r w:rsidRPr="0060218C">
        <w:t>seeking, early detection</w:t>
      </w:r>
      <w:r>
        <w:t>,</w:t>
      </w:r>
      <w:r w:rsidRPr="0060218C">
        <w:t xml:space="preserve"> and future treatment</w:t>
      </w:r>
      <w:r w:rsidR="00743528">
        <w:t>.</w:t>
      </w:r>
      <w:r w:rsidR="008610D3">
        <w:t xml:space="preserve"> </w:t>
      </w:r>
      <w:r w:rsidRPr="0060218C">
        <w:t>The role of stigma as a health determinant, its impact on other health behaviours relating to self-care, and more upstream health determinants such as social inclusion and connectedness has yet to be fully explored within New Zealand communities.</w:t>
      </w:r>
    </w:p>
    <w:p w14:paraId="08CFC1DC" w14:textId="77777777" w:rsidR="00D51E07" w:rsidRPr="0060218C" w:rsidRDefault="00D51E07" w:rsidP="00D51E07">
      <w:pPr>
        <w:pStyle w:val="VRGFBodycontent"/>
      </w:pPr>
    </w:p>
    <w:p w14:paraId="2E55AD28" w14:textId="5783FA1C" w:rsidR="005E39E4" w:rsidRPr="0060218C" w:rsidRDefault="005E39E4" w:rsidP="005E39E4">
      <w:pPr>
        <w:pStyle w:val="VRGFHead4"/>
      </w:pPr>
      <w:bookmarkStart w:id="58" w:name="_Toc283813354"/>
      <w:bookmarkStart w:id="59" w:name="_Toc283813423"/>
      <w:bookmarkStart w:id="60" w:name="_Toc285109114"/>
      <w:r w:rsidRPr="0060218C">
        <w:lastRenderedPageBreak/>
        <w:t>F</w:t>
      </w:r>
      <w:r w:rsidR="00D51E07">
        <w:t xml:space="preserve">inancial </w:t>
      </w:r>
      <w:bookmarkEnd w:id="58"/>
      <w:bookmarkEnd w:id="59"/>
      <w:bookmarkEnd w:id="60"/>
    </w:p>
    <w:p w14:paraId="27E09BDE" w14:textId="4677BA75" w:rsidR="005E39E4" w:rsidRPr="0060218C" w:rsidRDefault="005E39E4" w:rsidP="00D51E07">
      <w:pPr>
        <w:pStyle w:val="VRGFBodycontent"/>
      </w:pPr>
      <w:r w:rsidRPr="0060218C">
        <w:t>Financial harm does not simply refer to the crisis level harms such as bankruptcy or loss of a major asset (e.g</w:t>
      </w:r>
      <w:r>
        <w:t>.,</w:t>
      </w:r>
      <w:r w:rsidRPr="0060218C">
        <w:t xml:space="preserve"> house, car, business) that usually precipitates help-seeking behaviour</w:t>
      </w:r>
      <w:r w:rsidR="00743528">
        <w:t>.</w:t>
      </w:r>
      <w:r w:rsidR="008610D3">
        <w:t xml:space="preserve"> </w:t>
      </w:r>
      <w:r w:rsidRPr="0060218C">
        <w:t>Financial harms can include escalating harms such as the erosion of savings, juggling or failure to pay bills, borrowing money, or a decline in the standard of living</w:t>
      </w:r>
      <w:r w:rsidR="00743528">
        <w:t>.</w:t>
      </w:r>
      <w:r w:rsidR="008610D3">
        <w:t xml:space="preserve"> </w:t>
      </w:r>
      <w:r w:rsidRPr="0060218C">
        <w:t>A function of financial harm is deprivation where individuals go without necessities as a result of increasing or perpetual gambling behaviours</w:t>
      </w:r>
      <w:r w:rsidR="00743528">
        <w:t>.</w:t>
      </w:r>
      <w:r w:rsidR="008610D3">
        <w:t xml:space="preserve"> </w:t>
      </w:r>
      <w:r w:rsidRPr="0060218C">
        <w:t xml:space="preserve">The trajectory of this process - from loss of discretionary consumer items to deprivation to crisis - differs substantially depending on other factors such as </w:t>
      </w:r>
      <w:r>
        <w:t>socio-economic</w:t>
      </w:r>
      <w:r w:rsidRPr="0060218C">
        <w:t xml:space="preserve"> status, income, lifestyle</w:t>
      </w:r>
      <w:r>
        <w:t>,</w:t>
      </w:r>
      <w:r w:rsidRPr="0060218C">
        <w:t xml:space="preserve"> and severity of the gambling problem</w:t>
      </w:r>
      <w:r w:rsidR="00743528">
        <w:t>.</w:t>
      </w:r>
      <w:r w:rsidR="008610D3">
        <w:t xml:space="preserve"> </w:t>
      </w:r>
      <w:r w:rsidRPr="0060218C">
        <w:t>This makes it difficult to develop a universally applicable conceptualisation of financial harm</w:t>
      </w:r>
      <w:r w:rsidR="00743528">
        <w:t>.</w:t>
      </w:r>
      <w:r w:rsidR="008610D3">
        <w:t xml:space="preserve"> </w:t>
      </w:r>
      <w:r w:rsidRPr="0060218C">
        <w:t xml:space="preserve">A large portion of </w:t>
      </w:r>
      <w:r>
        <w:t>gambling-related</w:t>
      </w:r>
      <w:r w:rsidRPr="0060218C">
        <w:t xml:space="preserve"> harm and losses </w:t>
      </w:r>
      <w:r>
        <w:t>is</w:t>
      </w:r>
      <w:r w:rsidRPr="0060218C">
        <w:t xml:space="preserve"> often experienced by those </w:t>
      </w:r>
      <w:r>
        <w:t>living in</w:t>
      </w:r>
      <w:r w:rsidRPr="0060218C">
        <w:t xml:space="preserve"> low-income areas</w:t>
      </w:r>
      <w:r>
        <w:t>,</w:t>
      </w:r>
      <w:r w:rsidRPr="0060218C">
        <w:t xml:space="preserve"> and who are </w:t>
      </w:r>
      <w:r>
        <w:t xml:space="preserve">consequently </w:t>
      </w:r>
      <w:r w:rsidRPr="0060218C">
        <w:t>more likely to be receiving welfare benefits (Wynd, 2005)</w:t>
      </w:r>
      <w:r w:rsidR="00743528">
        <w:t>.</w:t>
      </w:r>
      <w:r w:rsidR="008610D3">
        <w:t xml:space="preserve"> </w:t>
      </w:r>
      <w:r w:rsidRPr="0060218C">
        <w:t xml:space="preserve">In considering deprivation, the </w:t>
      </w:r>
      <w:r>
        <w:t>New Zealand 2012</w:t>
      </w:r>
      <w:r w:rsidRPr="0060218C">
        <w:t xml:space="preserve"> National Gambling Study assessed whether individuals had gone without quality food or </w:t>
      </w:r>
      <w:r>
        <w:t>home-heating</w:t>
      </w:r>
      <w:r w:rsidR="00743528">
        <w:t>.</w:t>
      </w:r>
      <w:r w:rsidR="008610D3">
        <w:t xml:space="preserve"> </w:t>
      </w:r>
      <w:r w:rsidRPr="0060218C">
        <w:t>People experiencing problems with gambling were found to have higher levels of deprivation, with almost three-quarters reporting they were forced to purchase cheaper food during the past twelve months compared to a quarter of adults generally (Abbott et al., 2014a)</w:t>
      </w:r>
      <w:r w:rsidR="00743528">
        <w:t>.</w:t>
      </w:r>
      <w:r w:rsidR="008610D3">
        <w:t xml:space="preserve"> </w:t>
      </w:r>
      <w:r w:rsidRPr="0060218C">
        <w:t>Moderate-risk and low-risk gamblers also experienced some of these deprivations more frequently than non-gamblers and non-problem gamblers</w:t>
      </w:r>
      <w:r w:rsidR="00743528">
        <w:t>.</w:t>
      </w:r>
      <w:r w:rsidR="008610D3">
        <w:t xml:space="preserve"> </w:t>
      </w:r>
      <w:r w:rsidRPr="0060218C">
        <w:t xml:space="preserve">In an earlier study conducted by the Salvation Army investigating </w:t>
      </w:r>
      <w:r>
        <w:t>Foodbank</w:t>
      </w:r>
      <w:r w:rsidRPr="0060218C">
        <w:t xml:space="preserve"> clients, 37% of people accessing </w:t>
      </w:r>
      <w:r>
        <w:t>Foodbank</w:t>
      </w:r>
      <w:r w:rsidRPr="0060218C">
        <w:t xml:space="preserve"> services were either problem gamblers themselves or were affected by the gambling of others (Salvation Army and Abacus Counselling &amp; Training Services Ltd, 2005)</w:t>
      </w:r>
      <w:r w:rsidR="00743528">
        <w:t>.</w:t>
      </w:r>
      <w:r w:rsidR="008610D3">
        <w:t xml:space="preserve"> </w:t>
      </w:r>
      <w:r w:rsidRPr="0060218C">
        <w:t xml:space="preserve">The authors were of the opinion that due to the participation in the survey being voluntary, the percentage of clients who were </w:t>
      </w:r>
      <w:r>
        <w:t xml:space="preserve">both </w:t>
      </w:r>
      <w:r w:rsidRPr="0060218C">
        <w:t xml:space="preserve">accessing the </w:t>
      </w:r>
      <w:r>
        <w:t>Foodbank services</w:t>
      </w:r>
      <w:r w:rsidRPr="0060218C">
        <w:t xml:space="preserve"> and affected by problem gambling was probably higher</w:t>
      </w:r>
      <w:r w:rsidR="00743528">
        <w:t>.</w:t>
      </w:r>
      <w:r w:rsidR="008610D3">
        <w:t xml:space="preserve"> </w:t>
      </w:r>
      <w:r w:rsidRPr="0060218C">
        <w:t xml:space="preserve">Findings such as these suggest a link between problem gambling and poverty, particularly given that areas with the highest number of </w:t>
      </w:r>
      <w:r>
        <w:t>Foodbank</w:t>
      </w:r>
      <w:r w:rsidRPr="0060218C">
        <w:t xml:space="preserve"> clients and lower </w:t>
      </w:r>
      <w:r>
        <w:t>socio-economic</w:t>
      </w:r>
      <w:r w:rsidRPr="0060218C">
        <w:t xml:space="preserve"> statuses seem to have the largest numbers of EGMs (Salvation Army and Abacus Counselling &amp; Training Services Ltd, 2005, Wynd, 2005)</w:t>
      </w:r>
      <w:r w:rsidR="00743528">
        <w:t>.</w:t>
      </w:r>
      <w:r w:rsidR="008610D3">
        <w:t xml:space="preserve"> </w:t>
      </w:r>
      <w:r w:rsidRPr="0060218C">
        <w:t xml:space="preserve">While EGM numbers in such locations may simply be reflective of consumer demand, it is reasonable to suggest that the placement of EGMs in lower </w:t>
      </w:r>
      <w:r>
        <w:t>socio-economic</w:t>
      </w:r>
      <w:r w:rsidRPr="0060218C">
        <w:t xml:space="preserve"> markets may be further perpetuating disadvantage within these communities</w:t>
      </w:r>
      <w:r w:rsidR="00743528">
        <w:t>.</w:t>
      </w:r>
      <w:r w:rsidR="008610D3">
        <w:t xml:space="preserve"> </w:t>
      </w:r>
      <w:r w:rsidRPr="0060218C">
        <w:t xml:space="preserve">Research investigating the distribution of EGMs across areas of New Zealand showed that the ratio of EGMs to people in higher </w:t>
      </w:r>
      <w:r>
        <w:t>socio-economic</w:t>
      </w:r>
      <w:r w:rsidRPr="0060218C">
        <w:t xml:space="preserve"> areas were 1 to 465 compared to 1 to 75.5 in poorer areas of t</w:t>
      </w:r>
      <w:r>
        <w:t>he community (Wheeler, Rigby, &amp;</w:t>
      </w:r>
      <w:r w:rsidRPr="0060218C">
        <w:t xml:space="preserve"> Huriwai, 2006)</w:t>
      </w:r>
      <w:r w:rsidR="00743528">
        <w:t>.</w:t>
      </w:r>
      <w:r w:rsidR="008610D3">
        <w:t xml:space="preserve"> </w:t>
      </w:r>
      <w:r>
        <w:t>P</w:t>
      </w:r>
      <w:r w:rsidRPr="0060218C">
        <w:t>oorer communities are more vulnerable to gambling problems, not only by possessing more limited financial resources, but also</w:t>
      </w:r>
      <w:r>
        <w:t xml:space="preserve"> due to an</w:t>
      </w:r>
      <w:r w:rsidRPr="0060218C">
        <w:t xml:space="preserve"> increased susceptibility to the cognitive fallacy that a “big win” may break them out of poverty (Wheeler et al., 2006)</w:t>
      </w:r>
      <w:r w:rsidR="00743528">
        <w:t>.</w:t>
      </w:r>
      <w:r w:rsidR="008610D3">
        <w:t xml:space="preserve"> </w:t>
      </w:r>
      <w:r w:rsidRPr="0060218C">
        <w:t>A general population prevalence study identified differences in self-reports of actual income relative to ratings of financial situation</w:t>
      </w:r>
      <w:r w:rsidR="00113811">
        <w:t xml:space="preserve">. </w:t>
      </w:r>
      <w:r w:rsidR="00113811" w:rsidRPr="00113811">
        <w:t>Compared to participants who experienced lower gambling losses those who experienced higher gambling losses, rated themselves as being financially good or very good despite having lower incomes</w:t>
      </w:r>
      <w:r w:rsidR="00113811">
        <w:t xml:space="preserve"> </w:t>
      </w:r>
      <w:r w:rsidRPr="0060218C">
        <w:t>(</w:t>
      </w:r>
      <w:r>
        <w:t>SHORE</w:t>
      </w:r>
      <w:r w:rsidRPr="0060218C">
        <w:t>, 2008)</w:t>
      </w:r>
      <w:r w:rsidR="00743528">
        <w:t>.</w:t>
      </w:r>
      <w:r w:rsidR="008610D3">
        <w:t xml:space="preserve"> </w:t>
      </w:r>
      <w:r w:rsidR="005818FF">
        <w:t>O</w:t>
      </w:r>
      <w:r w:rsidRPr="0060218C">
        <w:t xml:space="preserve">verall, </w:t>
      </w:r>
      <w:r w:rsidR="005818FF">
        <w:t xml:space="preserve">however, </w:t>
      </w:r>
      <w:r w:rsidRPr="0060218C">
        <w:t>participants perceived gambling to have a negative effect on their financial situation, housing situation and material standard of living</w:t>
      </w:r>
      <w:r w:rsidR="00743528">
        <w:t>.</w:t>
      </w:r>
      <w:r w:rsidR="008610D3">
        <w:t xml:space="preserve"> </w:t>
      </w:r>
      <w:r>
        <w:t>N</w:t>
      </w:r>
      <w:r w:rsidRPr="0060218C">
        <w:t>o association was found between these variables and problem gambling risk level (</w:t>
      </w:r>
      <w:r>
        <w:t>SHORE</w:t>
      </w:r>
      <w:r w:rsidRPr="0060218C">
        <w:t>, 2008).</w:t>
      </w:r>
    </w:p>
    <w:p w14:paraId="6EC8604C" w14:textId="13A6E745" w:rsidR="005E39E4" w:rsidRPr="0060218C" w:rsidRDefault="005E39E4" w:rsidP="00D51E07">
      <w:pPr>
        <w:pStyle w:val="VRGFBodycontent"/>
      </w:pPr>
      <w:r w:rsidRPr="0060218C">
        <w:t>The interactions between gambling and financial harm are complex</w:t>
      </w:r>
      <w:r w:rsidR="00743528">
        <w:t>.</w:t>
      </w:r>
      <w:r w:rsidR="008610D3">
        <w:t xml:space="preserve"> </w:t>
      </w:r>
      <w:r w:rsidRPr="0060218C">
        <w:t>Some ethnic groups</w:t>
      </w:r>
      <w:r>
        <w:t xml:space="preserve"> (i.e., </w:t>
      </w:r>
      <w:r w:rsidRPr="0060218C">
        <w:t xml:space="preserve">those from lower </w:t>
      </w:r>
      <w:r>
        <w:t>socio-economic</w:t>
      </w:r>
      <w:r w:rsidRPr="0060218C">
        <w:t xml:space="preserve"> backgrounds, or those experiencing comorbidities associated with gambling</w:t>
      </w:r>
      <w:r>
        <w:t>)</w:t>
      </w:r>
      <w:r w:rsidRPr="0060218C">
        <w:t xml:space="preserve"> are more likely to be vulnerable to financial harm than others</w:t>
      </w:r>
      <w:r w:rsidR="00743528">
        <w:t>.</w:t>
      </w:r>
      <w:r w:rsidR="008610D3">
        <w:t xml:space="preserve"> </w:t>
      </w:r>
      <w:r w:rsidRPr="0060218C">
        <w:t>Similarly, financial harm may also be dependent on the mode of gambling behaviour</w:t>
      </w:r>
      <w:r w:rsidR="00743528">
        <w:t>.</w:t>
      </w:r>
      <w:r w:rsidR="008610D3">
        <w:t xml:space="preserve"> </w:t>
      </w:r>
      <w:r w:rsidRPr="0060218C">
        <w:t>For instance, a population study (</w:t>
      </w:r>
      <w:r>
        <w:t>SHORE</w:t>
      </w:r>
      <w:r w:rsidRPr="0060218C">
        <w:t>, 2008) showed Pākehā gamblers who wagered on TAB/race track and casino EGMs rated themselves better off financially than Pacific respondents who gambled on EGMs in a bar or casino</w:t>
      </w:r>
      <w:r w:rsidR="00743528">
        <w:t>.</w:t>
      </w:r>
      <w:r w:rsidR="008610D3">
        <w:t xml:space="preserve"> </w:t>
      </w:r>
      <w:r w:rsidRPr="0060218C">
        <w:t xml:space="preserve">Māori EGM users rated themselves has having the worst housing situation compared to Pākehā and </w:t>
      </w:r>
      <w:r w:rsidRPr="0060218C">
        <w:lastRenderedPageBreak/>
        <w:t>Pacific gamblers</w:t>
      </w:r>
      <w:r w:rsidR="00743528">
        <w:t>.</w:t>
      </w:r>
      <w:r w:rsidR="008610D3">
        <w:t xml:space="preserve"> </w:t>
      </w:r>
      <w:r w:rsidRPr="0060218C">
        <w:t>These findings suggest that experiences of financial harm may possibly arise due to a combination or interaction of multiple risk factors that render some individuals more vulnerable than others</w:t>
      </w:r>
      <w:r w:rsidR="00743528">
        <w:t>.</w:t>
      </w:r>
      <w:r w:rsidR="008610D3">
        <w:t xml:space="preserve"> </w:t>
      </w:r>
      <w:r w:rsidRPr="0060218C">
        <w:t>In some of these population groups (e.g. Māori and Pacific groups), financial burdens and gambling problems can be exacerbated due to the lending, sharing</w:t>
      </w:r>
      <w:r>
        <w:t>,</w:t>
      </w:r>
      <w:r w:rsidRPr="0060218C">
        <w:t xml:space="preserve"> and borrowing of money between others in the </w:t>
      </w:r>
      <w:r w:rsidRPr="001E4DF2">
        <w:t>communities (Families Commission, 2012; Dyall et al., 2009a)</w:t>
      </w:r>
      <w:r w:rsidR="00743528">
        <w:t>.</w:t>
      </w:r>
      <w:r w:rsidR="008610D3">
        <w:t xml:space="preserve"> </w:t>
      </w:r>
      <w:r w:rsidRPr="0060218C">
        <w:t>These interactions can aid in concealing the gambling problem, increasing debt and financial worries while the gambling problem remains untreated.</w:t>
      </w:r>
      <w:r>
        <w:t xml:space="preserve"> </w:t>
      </w:r>
    </w:p>
    <w:p w14:paraId="18233CD9" w14:textId="78A91509" w:rsidR="005E39E4" w:rsidRDefault="005E39E4" w:rsidP="00D51E07">
      <w:pPr>
        <w:pStyle w:val="VRGFBodycontent"/>
      </w:pPr>
      <w:r w:rsidRPr="0060218C">
        <w:t>While some international research has provided links between gambling and extreme experiences of financial harm such as homelessness (Australian Institute of Health and Welfare, 2009)</w:t>
      </w:r>
      <w:r>
        <w:t>,</w:t>
      </w:r>
      <w:r w:rsidRPr="0060218C">
        <w:t xml:space="preserve"> the breadth of </w:t>
      </w:r>
      <w:r>
        <w:t>gambling-related</w:t>
      </w:r>
      <w:r w:rsidRPr="0060218C">
        <w:t xml:space="preserve"> financial harm in New Zealand remains relatively unexplored</w:t>
      </w:r>
      <w:r w:rsidR="00743528">
        <w:t>.</w:t>
      </w:r>
      <w:r w:rsidR="008610D3">
        <w:t xml:space="preserve"> </w:t>
      </w:r>
      <w:r w:rsidRPr="0060218C">
        <w:t xml:space="preserve">Much of the research tends to focus on </w:t>
      </w:r>
      <w:r>
        <w:t>gambling-related</w:t>
      </w:r>
      <w:r w:rsidRPr="0060218C">
        <w:t xml:space="preserve"> expenditure, episodic losses and gambling frequency rather than investigating the broader financial impacts</w:t>
      </w:r>
      <w:r w:rsidR="00743528">
        <w:t>.</w:t>
      </w:r>
      <w:r w:rsidR="008610D3">
        <w:t xml:space="preserve"> </w:t>
      </w:r>
      <w:r w:rsidRPr="0060218C">
        <w:t>Some authors suggest the use of tracking “resource flows” in order to obtain data on how financial harm occurs and is shared</w:t>
      </w:r>
      <w:r w:rsidR="00743528">
        <w:t>.</w:t>
      </w:r>
      <w:r w:rsidR="008610D3">
        <w:t xml:space="preserve"> </w:t>
      </w:r>
      <w:r w:rsidRPr="0060218C">
        <w:t xml:space="preserve">Bertossa and Harvey (2012) noted the value of research undertaken </w:t>
      </w:r>
      <w:r>
        <w:t>to</w:t>
      </w:r>
      <w:r w:rsidRPr="0060218C">
        <w:t xml:space="preserve"> track money trails to determine the relationship between gambling and the harm experienced (including to the family and the community)</w:t>
      </w:r>
      <w:r w:rsidR="00743528">
        <w:t>.</w:t>
      </w:r>
      <w:r w:rsidR="008610D3">
        <w:t xml:space="preserve"> </w:t>
      </w:r>
      <w:r w:rsidRPr="0060218C">
        <w:t>While this was only a small sample (one community)</w:t>
      </w:r>
      <w:r>
        <w:t>,</w:t>
      </w:r>
      <w:r w:rsidRPr="0060218C">
        <w:t xml:space="preserve"> they were able to identify the pattern of money flow to distinguish where it was being spent, by whom and for what purpose</w:t>
      </w:r>
      <w:r w:rsidR="00743528">
        <w:t>.</w:t>
      </w:r>
      <w:r w:rsidR="008610D3">
        <w:t xml:space="preserve"> </w:t>
      </w:r>
      <w:r w:rsidRPr="0060218C">
        <w:t xml:space="preserve">These methods, whilst highly informative, particularly given the available resources </w:t>
      </w:r>
      <w:r>
        <w:t>on</w:t>
      </w:r>
      <w:r w:rsidRPr="0060218C">
        <w:t xml:space="preserve"> money sharing in some New Zealand populations, are very resource heavy and challenging to implement on larger scales. </w:t>
      </w:r>
    </w:p>
    <w:p w14:paraId="7D1ED88A" w14:textId="77777777" w:rsidR="00D51E07" w:rsidRPr="0060218C" w:rsidRDefault="00D51E07" w:rsidP="00D51E07">
      <w:pPr>
        <w:pStyle w:val="VRGFBodycontent"/>
      </w:pPr>
    </w:p>
    <w:p w14:paraId="1AE2006A" w14:textId="6526EDD0" w:rsidR="005E39E4" w:rsidRPr="0060218C" w:rsidRDefault="00D51E07" w:rsidP="005E39E4">
      <w:pPr>
        <w:pStyle w:val="VRGFHead4"/>
      </w:pPr>
      <w:bookmarkStart w:id="61" w:name="_Toc283813355"/>
      <w:bookmarkStart w:id="62" w:name="_Toc283813424"/>
      <w:bookmarkStart w:id="63" w:name="_Toc285109115"/>
      <w:r>
        <w:t xml:space="preserve">Reduced work performance </w:t>
      </w:r>
      <w:bookmarkEnd w:id="61"/>
      <w:bookmarkEnd w:id="62"/>
      <w:bookmarkEnd w:id="63"/>
    </w:p>
    <w:p w14:paraId="6B36A318" w14:textId="53E83885" w:rsidR="005E39E4" w:rsidRPr="0060218C" w:rsidRDefault="005E39E4" w:rsidP="00D51E07">
      <w:pPr>
        <w:pStyle w:val="VRGFBodycontent"/>
      </w:pPr>
      <w:r w:rsidRPr="0060218C">
        <w:t>There are multiple ways in which problem gambling can affect employment or study commitments</w:t>
      </w:r>
      <w:r>
        <w:t>,</w:t>
      </w:r>
      <w:r w:rsidRPr="0060218C">
        <w:t xml:space="preserve"> </w:t>
      </w:r>
      <w:r>
        <w:t xml:space="preserve">and </w:t>
      </w:r>
      <w:r w:rsidRPr="0060218C">
        <w:t>reduced performance in these areas can contribute to both short and long-term impairment to finances and social relationships</w:t>
      </w:r>
      <w:r w:rsidR="00743528">
        <w:t>.</w:t>
      </w:r>
      <w:r w:rsidR="008610D3">
        <w:t xml:space="preserve"> </w:t>
      </w:r>
      <w:r w:rsidRPr="0060218C">
        <w:t>Preoccupation with gambling can impair st</w:t>
      </w:r>
      <w:r>
        <w:t>udying or working relationships,</w:t>
      </w:r>
      <w:r w:rsidRPr="0060218C">
        <w:t xml:space="preserve"> result in poorer work performance (e</w:t>
      </w:r>
      <w:r>
        <w:t>.</w:t>
      </w:r>
      <w:r w:rsidRPr="0060218C">
        <w:t>g.</w:t>
      </w:r>
      <w:r>
        <w:t>,</w:t>
      </w:r>
      <w:r w:rsidRPr="0060218C">
        <w:t xml:space="preserve"> gambling on internet devices at work</w:t>
      </w:r>
      <w:r>
        <w:t>)</w:t>
      </w:r>
      <w:r w:rsidRPr="0060218C">
        <w:t xml:space="preserve"> </w:t>
      </w:r>
      <w:r>
        <w:t>(</w:t>
      </w:r>
      <w:r w:rsidRPr="0060218C">
        <w:t>Griffiths, 2009)</w:t>
      </w:r>
      <w:r>
        <w:t>,</w:t>
      </w:r>
      <w:r w:rsidRPr="0060218C">
        <w:t xml:space="preserve"> absenteeism due to gambling</w:t>
      </w:r>
      <w:r>
        <w:t>,</w:t>
      </w:r>
      <w:r w:rsidRPr="0060218C">
        <w:t xml:space="preserve"> theft of resources to support gambling activities</w:t>
      </w:r>
      <w:r>
        <w:t>,</w:t>
      </w:r>
      <w:r w:rsidRPr="0060218C">
        <w:t xml:space="preserve"> and eventually</w:t>
      </w:r>
      <w:r>
        <w:t>,</w:t>
      </w:r>
      <w:r w:rsidRPr="0060218C">
        <w:t xml:space="preserve"> termination of employment or enrolment</w:t>
      </w:r>
      <w:r w:rsidR="00743528">
        <w:t>.</w:t>
      </w:r>
      <w:r w:rsidR="008610D3">
        <w:t xml:space="preserve"> </w:t>
      </w:r>
      <w:r w:rsidRPr="0060218C">
        <w:t>It is important to note that in addition to paid employment and study, these same impacts can occur in volunteering (Wall, Peter, You, Mavoa</w:t>
      </w:r>
      <w:r>
        <w:t>,</w:t>
      </w:r>
      <w:r w:rsidRPr="0060218C">
        <w:t xml:space="preserve"> &amp; Witten, 2010), which </w:t>
      </w:r>
      <w:r>
        <w:t xml:space="preserve">otherwise </w:t>
      </w:r>
      <w:r w:rsidRPr="0060218C">
        <w:t xml:space="preserve">provides value to the community. </w:t>
      </w:r>
    </w:p>
    <w:p w14:paraId="2A1BBF97" w14:textId="654D1EF2" w:rsidR="005E39E4" w:rsidRDefault="005E39E4" w:rsidP="00D51E07">
      <w:pPr>
        <w:pStyle w:val="VRGFBodycontent"/>
      </w:pPr>
      <w:r w:rsidRPr="0060218C">
        <w:t>Where employment is the primary or major source of household income, harm to employment can contribute to financial harm and relationships</w:t>
      </w:r>
      <w:r w:rsidR="00743528">
        <w:t>.</w:t>
      </w:r>
      <w:r w:rsidR="008610D3">
        <w:t xml:space="preserve"> </w:t>
      </w:r>
      <w:r w:rsidRPr="0060218C">
        <w:t xml:space="preserve">Over half of those experiencing problems with gambling, </w:t>
      </w:r>
      <w:r>
        <w:t xml:space="preserve">as </w:t>
      </w:r>
      <w:r w:rsidRPr="0060218C">
        <w:t xml:space="preserve">surveyed in the </w:t>
      </w:r>
      <w:r>
        <w:t>New Zealand 2012</w:t>
      </w:r>
      <w:r w:rsidRPr="0060218C">
        <w:t xml:space="preserve"> National Gambling Study, reported being out of paid work for more than a month with around a third having received some sort of benefit within the previous year (Abbott et al., 2014a)</w:t>
      </w:r>
      <w:r w:rsidR="00743528">
        <w:t>.</w:t>
      </w:r>
      <w:r w:rsidR="008610D3">
        <w:t xml:space="preserve"> </w:t>
      </w:r>
      <w:r w:rsidRPr="0060218C">
        <w:t xml:space="preserve">Whilst lack of work may not necessarily be an outcome of gambling, this is consistent with results from previous studies </w:t>
      </w:r>
      <w:r>
        <w:t>which</w:t>
      </w:r>
      <w:r w:rsidRPr="0060218C">
        <w:t xml:space="preserve"> found that those classed as heavier gamblers in New Zealand (a minimum of 3 hours spent gambling a week and/or a loss of at least 5% income) were more likely to report poorer work performance (Abbott, 2001a; 2001b; </w:t>
      </w:r>
      <w:r>
        <w:t>SHORE 2008</w:t>
      </w:r>
      <w:r w:rsidRPr="0060218C">
        <w:t>; S</w:t>
      </w:r>
      <w:r>
        <w:t>HORE</w:t>
      </w:r>
      <w:r w:rsidRPr="0060218C">
        <w:t xml:space="preserve"> &amp;</w:t>
      </w:r>
      <w:r w:rsidR="004D2A63">
        <w:t xml:space="preserve"> </w:t>
      </w:r>
      <w:r w:rsidR="004D2A63" w:rsidRPr="004D2A63">
        <w:t>Te Rōpū Whāriki</w:t>
      </w:r>
      <w:r w:rsidRPr="0060218C">
        <w:t xml:space="preserve">, 2006). </w:t>
      </w:r>
    </w:p>
    <w:p w14:paraId="217E32A2" w14:textId="77777777" w:rsidR="00D51E07" w:rsidRPr="0060218C" w:rsidRDefault="00D51E07" w:rsidP="00D51E07">
      <w:pPr>
        <w:pStyle w:val="VRGFBodycontent"/>
      </w:pPr>
    </w:p>
    <w:p w14:paraId="0591BEAE" w14:textId="5C89C2E1" w:rsidR="005E39E4" w:rsidRPr="0060218C" w:rsidRDefault="005E39E4" w:rsidP="005E39E4">
      <w:pPr>
        <w:pStyle w:val="VRGFHead4"/>
      </w:pPr>
      <w:bookmarkStart w:id="64" w:name="_Toc283813356"/>
      <w:bookmarkStart w:id="65" w:name="_Toc283813425"/>
      <w:bookmarkStart w:id="66" w:name="_Toc285109116"/>
      <w:r w:rsidRPr="0060218C">
        <w:lastRenderedPageBreak/>
        <w:t>R</w:t>
      </w:r>
      <w:r w:rsidR="00D51E07">
        <w:t xml:space="preserve">elationship disruption </w:t>
      </w:r>
      <w:bookmarkEnd w:id="64"/>
      <w:bookmarkEnd w:id="65"/>
      <w:bookmarkEnd w:id="66"/>
    </w:p>
    <w:p w14:paraId="434CBCE0" w14:textId="390DB479" w:rsidR="005E39E4" w:rsidRPr="0060218C" w:rsidRDefault="005E39E4" w:rsidP="00D51E07">
      <w:pPr>
        <w:pStyle w:val="VRGFBodycontent"/>
      </w:pPr>
      <w:r w:rsidRPr="0060218C">
        <w:t>There is a strong connection between problem gambling and the breakdown of family and personal relationships</w:t>
      </w:r>
      <w:r w:rsidR="00743528">
        <w:t>.</w:t>
      </w:r>
      <w:r w:rsidR="008610D3">
        <w:t xml:space="preserve"> </w:t>
      </w:r>
      <w:r w:rsidRPr="0060218C">
        <w:t xml:space="preserve">Research indicates that people experiencing problems with gambling are more likely to be separated or divorced, and </w:t>
      </w:r>
      <w:r>
        <w:t xml:space="preserve">also </w:t>
      </w:r>
      <w:r w:rsidRPr="0060218C">
        <w:t xml:space="preserve">experiencing higher levels of conflict </w:t>
      </w:r>
      <w:r w:rsidR="000525B8">
        <w:t>in</w:t>
      </w:r>
      <w:r w:rsidR="000525B8" w:rsidRPr="0060218C">
        <w:t xml:space="preserve"> </w:t>
      </w:r>
      <w:r>
        <w:t xml:space="preserve">other personal </w:t>
      </w:r>
      <w:r w:rsidRPr="0060218C">
        <w:t>relationships (McMillen &amp; Marshall, 2004)</w:t>
      </w:r>
      <w:r w:rsidR="00743528">
        <w:t>.</w:t>
      </w:r>
      <w:r w:rsidR="008610D3">
        <w:t xml:space="preserve"> </w:t>
      </w:r>
      <w:r w:rsidRPr="0060218C">
        <w:t>Again, it must be emphasised that the direction of causality is uncertain; relationship dysfunction may be a cause or an outcome of gambling, or both may be outcomes of a third factor</w:t>
      </w:r>
      <w:r w:rsidR="00743528">
        <w:t>.</w:t>
      </w:r>
      <w:r w:rsidR="008610D3">
        <w:t xml:space="preserve"> </w:t>
      </w:r>
      <w:r w:rsidRPr="0060218C">
        <w:t xml:space="preserve">The </w:t>
      </w:r>
      <w:r>
        <w:t>New Zealand 2012</w:t>
      </w:r>
      <w:r w:rsidRPr="0060218C">
        <w:t xml:space="preserve"> National Gambling Study</w:t>
      </w:r>
      <w:r w:rsidRPr="0060218C" w:rsidDel="001F5F13">
        <w:t xml:space="preserve"> </w:t>
      </w:r>
      <w:r w:rsidRPr="0060218C">
        <w:t>found that, relative to the general population and recreational gamblers, people experiencing problems with gambling more often reported an increase in the number of arguments with someone close (39% vs. 4% of non-problem gamblers) (Abbott et al., 2014a)</w:t>
      </w:r>
      <w:r w:rsidR="00743528">
        <w:t>.</w:t>
      </w:r>
      <w:r w:rsidR="008610D3">
        <w:t xml:space="preserve"> </w:t>
      </w:r>
      <w:r w:rsidRPr="0060218C">
        <w:t xml:space="preserve">Compared to non-gamblers, those who were categorised as moderate and low-risk gamblers reported more troubles with work, </w:t>
      </w:r>
      <w:r>
        <w:t xml:space="preserve">a </w:t>
      </w:r>
      <w:r w:rsidRPr="0060218C">
        <w:t>boss or superior</w:t>
      </w:r>
      <w:r>
        <w:t>,</w:t>
      </w:r>
      <w:r w:rsidRPr="0060218C">
        <w:t xml:space="preserve"> and increased arguments with someone close (Abbott et al., 2014a). </w:t>
      </w:r>
    </w:p>
    <w:p w14:paraId="71F6C8E5" w14:textId="03D5E17C" w:rsidR="005E39E4" w:rsidRDefault="005E39E4" w:rsidP="00D51E07">
      <w:pPr>
        <w:pStyle w:val="VRGFBodycontent"/>
      </w:pPr>
      <w:r w:rsidRPr="0060218C">
        <w:t xml:space="preserve">Most research that examines harm in terms of relationships tends to be conceptualised at a crisis level, </w:t>
      </w:r>
      <w:r>
        <w:t>for example,</w:t>
      </w:r>
      <w:r w:rsidRPr="0060218C">
        <w:t xml:space="preserve"> relationship breakdown</w:t>
      </w:r>
      <w:r>
        <w:t>,</w:t>
      </w:r>
      <w:r w:rsidRPr="0060218C">
        <w:t xml:space="preserve"> that prompts individuals to seek treatment (Carroll et al., 2011; Breen, Hing</w:t>
      </w:r>
      <w:r>
        <w:t>,</w:t>
      </w:r>
      <w:r w:rsidRPr="0060218C">
        <w:t xml:space="preserve"> &amp; Gordon, 2013; Brown, Killian</w:t>
      </w:r>
      <w:r>
        <w:t>,</w:t>
      </w:r>
      <w:r w:rsidRPr="0060218C">
        <w:t xml:space="preserve"> &amp; Evans, 2005)</w:t>
      </w:r>
      <w:r w:rsidR="00743528">
        <w:t>.</w:t>
      </w:r>
      <w:r w:rsidR="008610D3">
        <w:t xml:space="preserve"> </w:t>
      </w:r>
      <w:r w:rsidRPr="0060218C">
        <w:t>Less is known about the process of escalation, or lower level harms that fall within the category of conflict and disruption to relationships</w:t>
      </w:r>
      <w:r w:rsidR="00743528">
        <w:t>.</w:t>
      </w:r>
      <w:r w:rsidR="008610D3">
        <w:t xml:space="preserve"> </w:t>
      </w:r>
      <w:r w:rsidRPr="0060218C">
        <w:t>Similarly there is a focus on the spouse or partner of the individual who gambles</w:t>
      </w:r>
      <w:r w:rsidR="00743528">
        <w:t>.</w:t>
      </w:r>
      <w:r w:rsidR="008610D3">
        <w:t xml:space="preserve"> </w:t>
      </w:r>
      <w:r w:rsidRPr="0060218C">
        <w:t>Whilst this relationship is often harmed most significantly, other relationships such as workplace relationships, friends, parents, siblings, children, extended family</w:t>
      </w:r>
      <w:r>
        <w:t>,</w:t>
      </w:r>
      <w:r w:rsidRPr="0060218C">
        <w:t xml:space="preserve"> and other social, political</w:t>
      </w:r>
      <w:r>
        <w:t>,</w:t>
      </w:r>
      <w:r w:rsidRPr="0060218C">
        <w:t xml:space="preserve"> or cultural affiliations can also be affected</w:t>
      </w:r>
      <w:r w:rsidR="00743528">
        <w:t>.</w:t>
      </w:r>
      <w:r w:rsidR="008610D3">
        <w:t xml:space="preserve"> </w:t>
      </w:r>
      <w:r w:rsidRPr="0060218C">
        <w:t>Similarly, it is important to distinguish that harm to relationships is not only a harm in itself, but can also contribute to adverse emotional states, poorer health outcomes and even homelessness whilst potentially exacerbating the gambling problem and other comorbidities</w:t>
      </w:r>
      <w:r w:rsidR="00743528">
        <w:t>.</w:t>
      </w:r>
      <w:r w:rsidR="008610D3">
        <w:t xml:space="preserve"> </w:t>
      </w:r>
      <w:r w:rsidRPr="0060218C">
        <w:t xml:space="preserve">In the </w:t>
      </w:r>
      <w:r>
        <w:t>New Zealand 2012</w:t>
      </w:r>
      <w:r w:rsidRPr="0060218C">
        <w:t xml:space="preserve"> National Gambling Study</w:t>
      </w:r>
      <w:r>
        <w:t>,</w:t>
      </w:r>
      <w:r w:rsidRPr="0060218C">
        <w:t xml:space="preserve"> around one in 12 participants were of the view that they had been affected personally by another person’s gambling</w:t>
      </w:r>
      <w:r w:rsidR="00743528">
        <w:t>.</w:t>
      </w:r>
      <w:r w:rsidR="008610D3">
        <w:t xml:space="preserve"> </w:t>
      </w:r>
      <w:r w:rsidRPr="0060218C">
        <w:t>Adverse financial impacts were mentioned most often, followed by relationship break-ups, stress to family, loss of trust, anger, frustration</w:t>
      </w:r>
      <w:r>
        <w:t>,</w:t>
      </w:r>
      <w:r w:rsidRPr="0060218C">
        <w:t xml:space="preserve"> and resentment</w:t>
      </w:r>
      <w:r w:rsidR="00743528">
        <w:t>.</w:t>
      </w:r>
      <w:r w:rsidR="008610D3">
        <w:t xml:space="preserve"> </w:t>
      </w:r>
      <w:r w:rsidRPr="0060218C">
        <w:t xml:space="preserve">Approximately one in 33 adults </w:t>
      </w:r>
      <w:r>
        <w:t>reported</w:t>
      </w:r>
      <w:r w:rsidRPr="0060218C">
        <w:t xml:space="preserve"> an argument about gambling in their household during the past 12 months and around one in 36 reported that their family or household had gone without something they needed or</w:t>
      </w:r>
      <w:r w:rsidR="00E70CDA">
        <w:t xml:space="preserve"> that</w:t>
      </w:r>
      <w:r w:rsidRPr="0060218C">
        <w:t xml:space="preserve"> bills were not paid because of gambling (Abbott et al., 2014a). </w:t>
      </w:r>
    </w:p>
    <w:p w14:paraId="2C061B50" w14:textId="77777777" w:rsidR="00D51E07" w:rsidRPr="0060218C" w:rsidRDefault="00D51E07" w:rsidP="00D51E07">
      <w:pPr>
        <w:pStyle w:val="VRGFBodycontent"/>
      </w:pPr>
    </w:p>
    <w:p w14:paraId="2385EC22" w14:textId="0C5D057C" w:rsidR="005E39E4" w:rsidRPr="0060218C" w:rsidRDefault="005E39E4" w:rsidP="005E39E4">
      <w:pPr>
        <w:pStyle w:val="VRGFHead4"/>
      </w:pPr>
      <w:bookmarkStart w:id="67" w:name="_Toc283813357"/>
      <w:bookmarkStart w:id="68" w:name="_Toc283813426"/>
      <w:bookmarkStart w:id="69" w:name="_Toc285109117"/>
      <w:r w:rsidRPr="0060218C">
        <w:t>C</w:t>
      </w:r>
      <w:r w:rsidR="00D51E07">
        <w:t xml:space="preserve">riminality </w:t>
      </w:r>
      <w:bookmarkEnd w:id="67"/>
      <w:bookmarkEnd w:id="68"/>
      <w:bookmarkEnd w:id="69"/>
    </w:p>
    <w:p w14:paraId="63C0A067" w14:textId="4745D060" w:rsidR="005E39E4" w:rsidRPr="0060218C" w:rsidRDefault="005E39E4" w:rsidP="00D51E07">
      <w:pPr>
        <w:pStyle w:val="VRGFBodycontent"/>
      </w:pPr>
      <w:r w:rsidRPr="0060218C">
        <w:t>Problem gambling has also been found to be associated with criminal behaviour for both the general population and those within the prison system, most commonly being associated with property crimes and fraud (</w:t>
      </w:r>
      <w:r w:rsidR="008E1D7E">
        <w:t xml:space="preserve">Abbott &amp; McKenna, 2000; Abbott, McKenna &amp; Giles, 2000; </w:t>
      </w:r>
      <w:r w:rsidRPr="0060218C">
        <w:t xml:space="preserve">Carroll et al., 2011; Breen et al., 2013; Brown et al., 2005; </w:t>
      </w:r>
      <w:r>
        <w:t>SHORE</w:t>
      </w:r>
      <w:r w:rsidRPr="0060218C">
        <w:t>, 2008)</w:t>
      </w:r>
      <w:r w:rsidR="00743528">
        <w:t>.</w:t>
      </w:r>
      <w:r w:rsidR="008610D3">
        <w:t xml:space="preserve"> </w:t>
      </w:r>
      <w:r w:rsidR="00AD1049">
        <w:t xml:space="preserve">However, studies conducted with recently sentenced males and females in New Zealand prisons indicated that many gambling-related offences were undetected by others or did not lead to criminal convictions (Abbott &amp; McKenna, 2000; Abbott et al., 2000). </w:t>
      </w:r>
      <w:r w:rsidRPr="0060218C">
        <w:t xml:space="preserve">In one formative investigation, </w:t>
      </w:r>
      <w:r>
        <w:t>32</w:t>
      </w:r>
      <w:r w:rsidRPr="0060218C">
        <w:t xml:space="preserve"> gamblers (</w:t>
      </w:r>
      <w:r>
        <w:t>26</w:t>
      </w:r>
      <w:r w:rsidRPr="0060218C">
        <w:t xml:space="preserve"> being classified as problem gamblers) were interviewed to provide insight into the links between gambling and crime in New Zealand</w:t>
      </w:r>
      <w:r w:rsidR="00743528">
        <w:t>.</w:t>
      </w:r>
      <w:r w:rsidR="008610D3">
        <w:t xml:space="preserve"> </w:t>
      </w:r>
      <w:r w:rsidRPr="0060218C">
        <w:t>Results indicated that a third of the participants reported that their gambling had led to problems with police or to a conviction for crimes relating to gambling</w:t>
      </w:r>
      <w:r w:rsidR="00743528">
        <w:t>.</w:t>
      </w:r>
      <w:r w:rsidR="008610D3">
        <w:t xml:space="preserve"> </w:t>
      </w:r>
      <w:r w:rsidRPr="0060218C">
        <w:t>Almost two-thirds of participants reported their gambling behaviours were associated with, contributed to, and/or caused the crimes they had committed (Bellringer et al., 2009)</w:t>
      </w:r>
      <w:r w:rsidR="00743528">
        <w:t>.</w:t>
      </w:r>
      <w:r w:rsidR="008610D3">
        <w:t xml:space="preserve"> </w:t>
      </w:r>
      <w:r w:rsidRPr="0060218C">
        <w:t>Findings from this study supported earlier findings from a 2007 general population survey</w:t>
      </w:r>
      <w:r w:rsidR="008C0BFF">
        <w:t xml:space="preserve"> (SHORE, 2008)</w:t>
      </w:r>
      <w:r w:rsidRPr="0060218C">
        <w:t xml:space="preserve"> that suggested people with high gambling participation were significantly more likely to engage in illegal activities than people with </w:t>
      </w:r>
      <w:r w:rsidRPr="0060218C">
        <w:lastRenderedPageBreak/>
        <w:t>low participation or who did not gamble</w:t>
      </w:r>
      <w:r w:rsidR="00743528">
        <w:t>.</w:t>
      </w:r>
      <w:r w:rsidR="008610D3">
        <w:t xml:space="preserve"> </w:t>
      </w:r>
      <w:r w:rsidRPr="0060218C">
        <w:t>For those who were involved in criminal behaviours, a quarter believed they would not have committed the crime if they had not been gambling in the last 12 months (</w:t>
      </w:r>
      <w:r>
        <w:t>SHORE</w:t>
      </w:r>
      <w:r w:rsidR="009E0127">
        <w:t>,</w:t>
      </w:r>
      <w:r>
        <w:t xml:space="preserve"> 2008</w:t>
      </w:r>
      <w:r w:rsidRPr="0060218C">
        <w:t>).</w:t>
      </w:r>
      <w:r w:rsidR="008E1D7E">
        <w:t xml:space="preserve"> This finding is consistent with the prior prison studies, which found that few of the inmates started their crim</w:t>
      </w:r>
      <w:r w:rsidR="005744E6">
        <w:t xml:space="preserve">inal careers because of </w:t>
      </w:r>
      <w:r w:rsidR="008E1D7E">
        <w:t>gambling</w:t>
      </w:r>
      <w:r w:rsidR="005744E6">
        <w:t xml:space="preserve"> but that many subsequently became problem gamblers, with gambling being a reason for </w:t>
      </w:r>
      <w:r w:rsidR="00AD1049">
        <w:t xml:space="preserve">the </w:t>
      </w:r>
      <w:r w:rsidR="005744E6">
        <w:t>criminal behaviours (Abbott &amp; McKenna, 2000; Abbott et al., 2000).</w:t>
      </w:r>
    </w:p>
    <w:p w14:paraId="6FD67744" w14:textId="30288C93" w:rsidR="005E39E4" w:rsidRPr="0060218C" w:rsidRDefault="005E39E4" w:rsidP="00D51E07">
      <w:pPr>
        <w:pStyle w:val="VRGFBodycontent"/>
      </w:pPr>
      <w:r w:rsidRPr="0060218C">
        <w:t xml:space="preserve">Consistent with the other </w:t>
      </w:r>
      <w:r>
        <w:t>gambling-related</w:t>
      </w:r>
      <w:r w:rsidRPr="0060218C">
        <w:t xml:space="preserve"> harms, there are identified factors that contribute to the likelihood of participating in illegal behaviours</w:t>
      </w:r>
      <w:r w:rsidR="00743528">
        <w:t>.</w:t>
      </w:r>
      <w:r w:rsidR="008610D3">
        <w:t xml:space="preserve"> </w:t>
      </w:r>
      <w:r w:rsidRPr="0060218C">
        <w:t>Those who play poker or card games in private venues (</w:t>
      </w:r>
      <w:r>
        <w:t xml:space="preserve">e.g., </w:t>
      </w:r>
      <w:r w:rsidRPr="0060218C">
        <w:t>theirs or a friend’s home) or engage in EGM play in bars</w:t>
      </w:r>
      <w:r>
        <w:t>,</w:t>
      </w:r>
      <w:r w:rsidRPr="0060218C">
        <w:t xml:space="preserve"> were significantly more likely to be involved in criminal activities compared to those who never gamble (</w:t>
      </w:r>
      <w:r>
        <w:t>SHORE</w:t>
      </w:r>
      <w:r w:rsidRPr="0060218C">
        <w:t xml:space="preserve">, 2008). </w:t>
      </w:r>
    </w:p>
    <w:p w14:paraId="11AA6278" w14:textId="2BD768C4" w:rsidR="005E39E4" w:rsidRDefault="005E39E4" w:rsidP="00D51E07">
      <w:pPr>
        <w:pStyle w:val="VRGFBodycontent"/>
      </w:pPr>
      <w:r w:rsidRPr="0060218C">
        <w:t>Individual harms are separate to gambling or problem gambling, although a close association between problem gambling level is identified for each of the domains of harm</w:t>
      </w:r>
      <w:r w:rsidR="00743528">
        <w:t>.</w:t>
      </w:r>
      <w:r w:rsidR="008610D3">
        <w:t xml:space="preserve"> </w:t>
      </w:r>
      <w:r w:rsidRPr="0060218C">
        <w:t>These harms do not occur in isolation and often interact with one another, often exacerbating or creating other harms</w:t>
      </w:r>
      <w:r w:rsidR="00743528">
        <w:t>.</w:t>
      </w:r>
      <w:r w:rsidR="008610D3">
        <w:t xml:space="preserve"> </w:t>
      </w:r>
      <w:r w:rsidRPr="0060218C">
        <w:t>However, there has been little consideration within the literature as to how these harms are manifested</w:t>
      </w:r>
      <w:r w:rsidR="00743528">
        <w:t>.</w:t>
      </w:r>
      <w:r w:rsidR="008610D3">
        <w:t xml:space="preserve"> </w:t>
      </w:r>
      <w:r w:rsidRPr="0060218C">
        <w:t>Generally, the focus within the research to date has been the crisis point that triggers help</w:t>
      </w:r>
      <w:r>
        <w:t>-</w:t>
      </w:r>
      <w:r w:rsidRPr="0060218C">
        <w:t>seeking behaviours (e.g. relationship separation, bankruptcy) for those classed as problem gamblers with little consideration as to how those with lower levels of problem gambling risk (non-problem or recreational gambler through to moderate-risk gambler) experience these harms</w:t>
      </w:r>
      <w:r w:rsidR="00743528">
        <w:t>.</w:t>
      </w:r>
      <w:r w:rsidR="008610D3">
        <w:t xml:space="preserve"> </w:t>
      </w:r>
      <w:r w:rsidRPr="0060218C">
        <w:t>Similarly most of the research stops at the crisis level with little investigation into legacy harms</w:t>
      </w:r>
      <w:r>
        <w:t xml:space="preserve"> (i.e., </w:t>
      </w:r>
      <w:r w:rsidRPr="0060218C">
        <w:t xml:space="preserve">how harm continues to be experienced even after </w:t>
      </w:r>
      <w:r>
        <w:t>intensive</w:t>
      </w:r>
      <w:r w:rsidRPr="0060218C">
        <w:t xml:space="preserve"> gambling stops</w:t>
      </w:r>
      <w:r>
        <w:t>)</w:t>
      </w:r>
      <w:r w:rsidRPr="0060218C">
        <w:t>.</w:t>
      </w:r>
    </w:p>
    <w:p w14:paraId="67A80B95" w14:textId="77777777" w:rsidR="00D51E07" w:rsidRPr="0060218C" w:rsidRDefault="00D51E07" w:rsidP="00D51E07">
      <w:pPr>
        <w:pStyle w:val="VRGFBodycontent"/>
      </w:pPr>
    </w:p>
    <w:p w14:paraId="50904553" w14:textId="15B99477" w:rsidR="005E39E4" w:rsidRPr="0060218C" w:rsidRDefault="005E39E4" w:rsidP="005E39E4">
      <w:pPr>
        <w:pStyle w:val="VRGFHead3"/>
      </w:pPr>
      <w:bookmarkStart w:id="70" w:name="_Toc462737993"/>
      <w:bookmarkStart w:id="71" w:name="_Toc283813358"/>
      <w:bookmarkStart w:id="72" w:name="_Toc283813427"/>
      <w:bookmarkStart w:id="73" w:name="_Toc285109118"/>
      <w:r w:rsidRPr="0060218C">
        <w:t>H</w:t>
      </w:r>
      <w:r w:rsidR="00D51E07">
        <w:t>arm to family and significant others</w:t>
      </w:r>
      <w:bookmarkEnd w:id="70"/>
      <w:r w:rsidR="00D51E07">
        <w:t xml:space="preserve"> </w:t>
      </w:r>
      <w:bookmarkEnd w:id="71"/>
      <w:bookmarkEnd w:id="72"/>
      <w:bookmarkEnd w:id="73"/>
    </w:p>
    <w:p w14:paraId="49C04FAD" w14:textId="41F3BFD9" w:rsidR="005E39E4" w:rsidRDefault="005E39E4" w:rsidP="00D51E07">
      <w:pPr>
        <w:pStyle w:val="VRGFBodycontent"/>
      </w:pPr>
      <w:r>
        <w:t>Gamblers are not the only people who experience gambling-related harm</w:t>
      </w:r>
      <w:r w:rsidR="00743528">
        <w:t>.</w:t>
      </w:r>
      <w:r w:rsidR="008610D3">
        <w:t xml:space="preserve"> </w:t>
      </w:r>
      <w:r w:rsidRPr="0060218C">
        <w:t>Consistent with the public health approach to gambling, the connection to other individuals through psychological, emotional, physical, economic</w:t>
      </w:r>
      <w:r>
        <w:t>,</w:t>
      </w:r>
      <w:r w:rsidRPr="0060218C">
        <w:t xml:space="preserve"> and familial pathways creates a vector for the transmission of the harm</w:t>
      </w:r>
      <w:r w:rsidR="00743528">
        <w:t>.</w:t>
      </w:r>
      <w:r w:rsidR="008610D3">
        <w:t xml:space="preserve"> </w:t>
      </w:r>
      <w:r w:rsidRPr="0060218C">
        <w:t xml:space="preserve">Generally, there are </w:t>
      </w:r>
      <w:r>
        <w:t xml:space="preserve">four </w:t>
      </w:r>
      <w:r w:rsidRPr="0060218C">
        <w:t>discrete groups that have different experiences of harms related to an individual’s gambling behaviour; these are: the immediate family; extended family</w:t>
      </w:r>
      <w:r>
        <w:t>;</w:t>
      </w:r>
      <w:r w:rsidRPr="0060218C">
        <w:t xml:space="preserve"> friends and whānau</w:t>
      </w:r>
      <w:r w:rsidR="00743528">
        <w:t>.</w:t>
      </w:r>
      <w:r w:rsidR="008610D3">
        <w:t xml:space="preserve"> </w:t>
      </w:r>
      <w:r w:rsidRPr="0060218C">
        <w:t>Estimates indicate that one person</w:t>
      </w:r>
      <w:r>
        <w:t>’</w:t>
      </w:r>
      <w:r w:rsidRPr="0060218C">
        <w:t>s gambling problem typically affects five to 10 people (Productivity Commission, 1999)</w:t>
      </w:r>
      <w:r w:rsidR="00743528">
        <w:t>.</w:t>
      </w:r>
      <w:r w:rsidR="008610D3">
        <w:t xml:space="preserve"> </w:t>
      </w:r>
      <w:r w:rsidRPr="0060218C">
        <w:t>The impact of gambling as experienced by others was highlighted in the 2012 New Zealand National Gambling Study</w:t>
      </w:r>
      <w:r w:rsidR="00743528">
        <w:t>.</w:t>
      </w:r>
      <w:r w:rsidR="008610D3">
        <w:t xml:space="preserve"> </w:t>
      </w:r>
      <w:r w:rsidRPr="0060218C">
        <w:t>Approximately one</w:t>
      </w:r>
      <w:r>
        <w:t>-</w:t>
      </w:r>
      <w:r w:rsidRPr="0060218C">
        <w:t>third of adults said they knew at least one person who they thought has (or had) a problem with gambling while about 8% reported that someone else’s gambling had affected them personally</w:t>
      </w:r>
      <w:r w:rsidR="00743528">
        <w:t>.</w:t>
      </w:r>
      <w:r w:rsidR="008610D3">
        <w:t xml:space="preserve"> </w:t>
      </w:r>
      <w:r w:rsidRPr="0060218C">
        <w:t xml:space="preserve">Impacts most commonly reported were detrimental financial impacts, followed by loss of relationship, stress to family, loss or lack of trust, anger, frustration and resentment as well as pity and efforts to help (Abbot et al., 2014a). </w:t>
      </w:r>
    </w:p>
    <w:p w14:paraId="0B816177" w14:textId="77777777" w:rsidR="00D51E07" w:rsidRPr="0060218C" w:rsidRDefault="00D51E07" w:rsidP="00D51E07">
      <w:pPr>
        <w:pStyle w:val="VRGFBodycontent"/>
      </w:pPr>
    </w:p>
    <w:p w14:paraId="71BD8779" w14:textId="1FEF8A6C" w:rsidR="005E39E4" w:rsidRPr="0060218C" w:rsidRDefault="005E39E4" w:rsidP="005E39E4">
      <w:pPr>
        <w:pStyle w:val="VRGFHead4"/>
      </w:pPr>
      <w:bookmarkStart w:id="74" w:name="_Toc283813359"/>
      <w:bookmarkStart w:id="75" w:name="_Toc283813428"/>
      <w:bookmarkStart w:id="76" w:name="_Toc285109119"/>
      <w:r w:rsidRPr="0060218C">
        <w:t>T</w:t>
      </w:r>
      <w:r w:rsidR="00D51E07">
        <w:t xml:space="preserve">he immediate family </w:t>
      </w:r>
      <w:bookmarkEnd w:id="74"/>
      <w:bookmarkEnd w:id="75"/>
      <w:bookmarkEnd w:id="76"/>
    </w:p>
    <w:p w14:paraId="0F030ED1" w14:textId="62D30A22" w:rsidR="005E39E4" w:rsidRDefault="005E39E4" w:rsidP="00D51E07">
      <w:pPr>
        <w:pStyle w:val="VRGFBodycontent"/>
      </w:pPr>
      <w:r w:rsidRPr="0060218C">
        <w:t>The immediate family generally refers to those directly involved with a person who gambles, such as spouses/partners, children, siblings</w:t>
      </w:r>
      <w:r>
        <w:t>,</w:t>
      </w:r>
      <w:r w:rsidRPr="0060218C">
        <w:t xml:space="preserve"> and parents</w:t>
      </w:r>
      <w:r w:rsidR="00743528">
        <w:t>.</w:t>
      </w:r>
      <w:r w:rsidR="008610D3">
        <w:t xml:space="preserve"> </w:t>
      </w:r>
      <w:r w:rsidRPr="0060218C">
        <w:t>A general population study (</w:t>
      </w:r>
      <w:r>
        <w:t>SHORE</w:t>
      </w:r>
      <w:r w:rsidRPr="0060218C">
        <w:t xml:space="preserve">, 2008) found that approximately 12% of people had at least one person in their lives </w:t>
      </w:r>
      <w:r>
        <w:t xml:space="preserve">who </w:t>
      </w:r>
      <w:r w:rsidRPr="0060218C">
        <w:t>they considered to be a heavy gambler in the past 12 months</w:t>
      </w:r>
      <w:r w:rsidR="00743528">
        <w:t>.</w:t>
      </w:r>
      <w:r w:rsidR="008610D3">
        <w:t xml:space="preserve"> </w:t>
      </w:r>
      <w:r w:rsidRPr="0060218C">
        <w:t xml:space="preserve">The </w:t>
      </w:r>
      <w:r>
        <w:t>New Zealand 2012</w:t>
      </w:r>
      <w:r w:rsidRPr="0060218C">
        <w:t xml:space="preserve"> National Gambling Study found that about a third of adults said they knew at least one person who they thought has (or had) a problem with gambling and about eight percent reported that it had affected them personally</w:t>
      </w:r>
      <w:r w:rsidR="00743528">
        <w:t>.</w:t>
      </w:r>
      <w:r w:rsidR="008610D3">
        <w:t xml:space="preserve"> </w:t>
      </w:r>
      <w:r>
        <w:t xml:space="preserve">Two </w:t>
      </w:r>
      <w:r>
        <w:lastRenderedPageBreak/>
        <w:t>per</w:t>
      </w:r>
      <w:r w:rsidRPr="0060218C">
        <w:t>cent of adults considered their spouse or partner to have or have had a gambling problem</w:t>
      </w:r>
      <w:r w:rsidR="00743528">
        <w:t>.</w:t>
      </w:r>
      <w:r w:rsidR="008610D3">
        <w:t xml:space="preserve"> </w:t>
      </w:r>
      <w:r w:rsidRPr="0060218C">
        <w:t>Corresponding estimates are fathers (4%), mothers (2%), brothers (3%), sisters (1%), sons or daughters (1%), workmates (5%), another close family member (9%), an additional close family member (1%), a friend or someone in the respondent’s life (14%)</w:t>
      </w:r>
      <w:r w:rsidR="00743528">
        <w:t>.</w:t>
      </w:r>
      <w:r w:rsidR="008610D3">
        <w:t xml:space="preserve"> </w:t>
      </w:r>
      <w:r w:rsidRPr="0060218C">
        <w:t>Those who reported experiencing the most negative effects were close family members (partners, children, parents, siblings)</w:t>
      </w:r>
      <w:r w:rsidR="00743528">
        <w:t>.</w:t>
      </w:r>
      <w:r w:rsidR="008610D3">
        <w:t xml:space="preserve"> </w:t>
      </w:r>
      <w:r w:rsidRPr="0060218C">
        <w:t>The most commonly reported impacts included</w:t>
      </w:r>
      <w:r>
        <w:t>,</w:t>
      </w:r>
      <w:r w:rsidRPr="0060218C">
        <w:t xml:space="preserve"> ph</w:t>
      </w:r>
      <w:r>
        <w:t>ysical health, mental wellbeing, housing situation, material standard of living, relationships, caregiving for children, feelings about self,</w:t>
      </w:r>
      <w:r w:rsidRPr="0060218C">
        <w:t xml:space="preserve"> overall quality of life</w:t>
      </w:r>
      <w:r>
        <w:t>,</w:t>
      </w:r>
      <w:r w:rsidRPr="0060218C">
        <w:t xml:space="preserve"> and overall satisfaction with life (Abbott et al., 2014a)</w:t>
      </w:r>
      <w:r w:rsidR="00743528">
        <w:t>.</w:t>
      </w:r>
      <w:r w:rsidR="008610D3">
        <w:t xml:space="preserve"> </w:t>
      </w:r>
      <w:r w:rsidRPr="0060218C">
        <w:t xml:space="preserve">People co-habiting (partners and children) often experienced greater levels of harm due to the sharing of finances and responsibilities as well as greater emotional investments within the relationship. </w:t>
      </w:r>
    </w:p>
    <w:p w14:paraId="439E1D70" w14:textId="77777777" w:rsidR="00D51E07" w:rsidRPr="0060218C" w:rsidRDefault="00D51E07" w:rsidP="00D51E07">
      <w:pPr>
        <w:pStyle w:val="VRGFBodycontent"/>
      </w:pPr>
    </w:p>
    <w:p w14:paraId="035C2419" w14:textId="3FA2389F" w:rsidR="005E39E4" w:rsidRPr="0060218C" w:rsidRDefault="005E39E4" w:rsidP="005E39E4">
      <w:pPr>
        <w:pStyle w:val="VRGFHead4"/>
      </w:pPr>
      <w:bookmarkStart w:id="77" w:name="_Toc283813360"/>
      <w:bookmarkStart w:id="78" w:name="_Toc283813429"/>
      <w:bookmarkStart w:id="79" w:name="_Toc285109120"/>
      <w:r w:rsidRPr="0060218C">
        <w:t>T</w:t>
      </w:r>
      <w:r w:rsidR="00D51E07">
        <w:t xml:space="preserve">he spouse or partner </w:t>
      </w:r>
      <w:bookmarkEnd w:id="77"/>
      <w:bookmarkEnd w:id="78"/>
      <w:bookmarkEnd w:id="79"/>
    </w:p>
    <w:p w14:paraId="00E18118" w14:textId="45CD302E" w:rsidR="005E39E4" w:rsidRPr="0060218C" w:rsidRDefault="005E39E4" w:rsidP="00D51E07">
      <w:pPr>
        <w:pStyle w:val="VRGFBodycontent"/>
      </w:pPr>
      <w:r w:rsidRPr="0060218C">
        <w:t>There are a number of international studies examining the harms caused to partners and spouses that are of relevance to New Zealand</w:t>
      </w:r>
      <w:r w:rsidR="00743528">
        <w:t>.</w:t>
      </w:r>
      <w:r w:rsidR="008610D3">
        <w:t xml:space="preserve"> </w:t>
      </w:r>
      <w:r w:rsidRPr="0060218C">
        <w:t>One Australian study identified the harms most commonly reported by partners as being financial impacts (incre</w:t>
      </w:r>
      <w:r>
        <w:t>ased debt and financial strain),</w:t>
      </w:r>
      <w:r w:rsidRPr="0060218C">
        <w:t xml:space="preserve"> breakdown of re</w:t>
      </w:r>
      <w:r>
        <w:t>lationships due to conflict,</w:t>
      </w:r>
      <w:r w:rsidRPr="0060218C">
        <w:t xml:space="preserve"> loss of trust due to dishonesty and conc</w:t>
      </w:r>
      <w:r>
        <w:t>ealment of the gambling problem,</w:t>
      </w:r>
      <w:r w:rsidRPr="0060218C">
        <w:t xml:space="preserve"> and a change in roles within the marriage from working together to becoming the “gatekeeper” (Holdsworth, Nuske, Tiyce</w:t>
      </w:r>
      <w:r>
        <w:t>,</w:t>
      </w:r>
      <w:r w:rsidRPr="0060218C">
        <w:t xml:space="preserve"> &amp; Hing, 2013b)</w:t>
      </w:r>
      <w:r w:rsidR="00743528">
        <w:t>.</w:t>
      </w:r>
      <w:r w:rsidR="008610D3">
        <w:t xml:space="preserve"> </w:t>
      </w:r>
      <w:r w:rsidRPr="0060218C">
        <w:t>Practical impacts require partners to go without daily h</w:t>
      </w:r>
      <w:r>
        <w:t>ousehold items and quality food,</w:t>
      </w:r>
      <w:r w:rsidRPr="0060218C">
        <w:t xml:space="preserve"> suffer financial burdens such as juggling payments, loss of utilities</w:t>
      </w:r>
      <w:r>
        <w:t>,</w:t>
      </w:r>
      <w:r w:rsidRPr="0060218C">
        <w:t xml:space="preserve"> and indebtedness whilst experiencing the shame and stigma that occurs when deficits become apparent to others (Dickson-Swift, James</w:t>
      </w:r>
      <w:r>
        <w:t>,</w:t>
      </w:r>
      <w:r w:rsidRPr="0060218C">
        <w:t xml:space="preserve"> &amp; Kippen, 2005)</w:t>
      </w:r>
      <w:r w:rsidR="00743528">
        <w:t>.</w:t>
      </w:r>
      <w:r w:rsidR="008610D3">
        <w:t xml:space="preserve"> </w:t>
      </w:r>
      <w:r w:rsidRPr="0060218C">
        <w:t>Partners and spouses additionally experienced poorer health outcomes and development or exacerbation of maladaptive coping mechanisms themselves (such as alcoholism</w:t>
      </w:r>
      <w:r>
        <w:t xml:space="preserve"> and</w:t>
      </w:r>
      <w:r w:rsidRPr="0060218C">
        <w:t xml:space="preserve"> overeating)</w:t>
      </w:r>
      <w:r w:rsidR="00743528">
        <w:t>.</w:t>
      </w:r>
      <w:r w:rsidR="008610D3">
        <w:t xml:space="preserve"> </w:t>
      </w:r>
      <w:r w:rsidRPr="0060218C">
        <w:t>A similar complex causality between harms as experienced by gamblers has also been observed in partners, such as inability to afford medication or treatment (Holdsworth, Nuske</w:t>
      </w:r>
      <w:r>
        <w:t>,</w:t>
      </w:r>
      <w:r w:rsidRPr="0060218C">
        <w:t xml:space="preserve"> &amp; Breen, 2013a).</w:t>
      </w:r>
    </w:p>
    <w:p w14:paraId="6622170F" w14:textId="1500B125" w:rsidR="005E39E4" w:rsidRPr="0060218C" w:rsidRDefault="005E39E4" w:rsidP="00D51E07">
      <w:pPr>
        <w:pStyle w:val="VRGFBodycontent"/>
      </w:pPr>
      <w:r w:rsidRPr="0060218C">
        <w:t>Experiences of isolation and self-blame have been explored internationally within qualitative studies</w:t>
      </w:r>
      <w:r w:rsidR="00743528">
        <w:t>.</w:t>
      </w:r>
      <w:r w:rsidR="008610D3">
        <w:t xml:space="preserve"> </w:t>
      </w:r>
      <w:r w:rsidRPr="0060218C">
        <w:t xml:space="preserve">Isolation occurs through either partner distancing themselves due to feelings of shame, or by others distancing themselves from partners </w:t>
      </w:r>
      <w:r>
        <w:t xml:space="preserve">who gamble </w:t>
      </w:r>
      <w:r w:rsidRPr="0060218C">
        <w:t>(Dickenson-Swift et al., 2005)</w:t>
      </w:r>
      <w:r w:rsidR="00743528">
        <w:t>.</w:t>
      </w:r>
      <w:r w:rsidR="00113811">
        <w:t xml:space="preserve"> </w:t>
      </w:r>
      <w:r w:rsidR="00113811" w:rsidRPr="00113811">
        <w:t>Most common reasons for affected others isolating themselves from partners who gamble were the gambler’s actions, usually related to issues of trust in relation to financial matters.</w:t>
      </w:r>
      <w:r w:rsidR="00113811">
        <w:t xml:space="preserve"> </w:t>
      </w:r>
      <w:r w:rsidRPr="0060218C">
        <w:t>Other reasons identified as causing feelings of isolation</w:t>
      </w:r>
      <w:r w:rsidR="006A2EDD">
        <w:t xml:space="preserve"> among affected others</w:t>
      </w:r>
      <w:r w:rsidRPr="0060218C">
        <w:t xml:space="preserve"> related to perceptions of safety in gambling venues due to the temptation to gamble and a loss of sense of self (Dickenson-Swift et al., 2005; Holdsworth et al., 2013b)</w:t>
      </w:r>
      <w:r w:rsidR="00743528">
        <w:t>.</w:t>
      </w:r>
      <w:r w:rsidR="008610D3">
        <w:t xml:space="preserve"> </w:t>
      </w:r>
      <w:r w:rsidRPr="0060218C">
        <w:t>Self-blame is another identified pervasive harm and refers to the idea that they should have been able to save or prevent the person from gambling</w:t>
      </w:r>
      <w:r w:rsidR="00743528">
        <w:t>.</w:t>
      </w:r>
      <w:r w:rsidR="008610D3">
        <w:t xml:space="preserve"> </w:t>
      </w:r>
      <w:r w:rsidRPr="0060218C">
        <w:t xml:space="preserve">It also encompasses the imbalance between the perception of harm between a </w:t>
      </w:r>
      <w:r>
        <w:t>gambler</w:t>
      </w:r>
      <w:r w:rsidRPr="0060218C">
        <w:t xml:space="preserve"> and </w:t>
      </w:r>
      <w:r>
        <w:t>their partner</w:t>
      </w:r>
      <w:r w:rsidR="00743528">
        <w:t>.</w:t>
      </w:r>
      <w:r w:rsidR="008610D3">
        <w:t xml:space="preserve"> </w:t>
      </w:r>
      <w:r w:rsidRPr="0060218C">
        <w:t>In a Canadian study, male pathological gamblers did not consider harms to be as severe as their partner did (Ferland</w:t>
      </w:r>
      <w:r>
        <w:t xml:space="preserve"> et al.</w:t>
      </w:r>
      <w:r w:rsidRPr="0060218C">
        <w:t>, 2008)</w:t>
      </w:r>
      <w:r w:rsidR="00743528">
        <w:t>.</w:t>
      </w:r>
      <w:r w:rsidR="008610D3">
        <w:t xml:space="preserve"> </w:t>
      </w:r>
      <w:r w:rsidRPr="0060218C">
        <w:t xml:space="preserve">It is suggested this may be due to a gender bias, which is consistent with other international research that indicates women often seek help for another person’s gambling problem (Heater </w:t>
      </w:r>
      <w:r>
        <w:t>&amp;</w:t>
      </w:r>
      <w:r w:rsidRPr="0060218C">
        <w:t xml:space="preserve"> Patton, 2006; Hing, Tiyce, Holdsworth</w:t>
      </w:r>
      <w:r>
        <w:t>,</w:t>
      </w:r>
      <w:r w:rsidRPr="0060218C">
        <w:t xml:space="preserve"> &amp; Nuske, 2013; McMillen, Marshall, Murphy, Lorenzen</w:t>
      </w:r>
      <w:r>
        <w:t>,</w:t>
      </w:r>
      <w:r w:rsidRPr="0060218C">
        <w:t xml:space="preserve"> &amp; Waugh, 2004)</w:t>
      </w:r>
      <w:r w:rsidR="00743528">
        <w:t>.</w:t>
      </w:r>
      <w:r w:rsidR="008610D3">
        <w:t xml:space="preserve"> </w:t>
      </w:r>
      <w:r w:rsidRPr="0060218C">
        <w:t xml:space="preserve">Despite the harm often experienced by spouses or partners, support </w:t>
      </w:r>
      <w:r w:rsidR="007F308A">
        <w:t xml:space="preserve">for them </w:t>
      </w:r>
      <w:r w:rsidRPr="0060218C">
        <w:t>has been identified as improving treatment outcomes for people experiencing problems with gambling (Ingle, Marotta, McMillan</w:t>
      </w:r>
      <w:r>
        <w:t>,</w:t>
      </w:r>
      <w:r w:rsidRPr="0060218C">
        <w:t xml:space="preserve"> &amp; Wisdom, 2008).</w:t>
      </w:r>
    </w:p>
    <w:p w14:paraId="44DB9422" w14:textId="62DC45F5" w:rsidR="005E39E4" w:rsidRPr="0060218C" w:rsidRDefault="005E39E4" w:rsidP="00D51E07">
      <w:pPr>
        <w:pStyle w:val="VRGFBodycontent"/>
      </w:pPr>
      <w:r w:rsidRPr="0060218C">
        <w:t>One area highlighted in both New Zealand and international literature is the link between problem gambling and intimate partner violence (IPV)</w:t>
      </w:r>
      <w:r w:rsidR="00743528">
        <w:t>.</w:t>
      </w:r>
      <w:r w:rsidR="008610D3">
        <w:t xml:space="preserve"> </w:t>
      </w:r>
      <w:r w:rsidRPr="0060218C">
        <w:t xml:space="preserve">A Canadian study found that problem gambling increased the odds of perpetrating dating violence (AOR 5.7 to 11.9), severe marital violence (AOR </w:t>
      </w:r>
      <w:r w:rsidRPr="0060218C">
        <w:lastRenderedPageBreak/>
        <w:t>20.4) and severe child abuse (AOR 13.2) even when adjusted for mental disorders (Afifi, Brownridge, MacMillian</w:t>
      </w:r>
      <w:r>
        <w:t>,</w:t>
      </w:r>
      <w:r w:rsidRPr="0060218C">
        <w:t xml:space="preserve"> &amp; Sareen, 2010)</w:t>
      </w:r>
      <w:r w:rsidR="00743528">
        <w:t>.</w:t>
      </w:r>
      <w:r w:rsidR="008610D3">
        <w:t xml:space="preserve"> </w:t>
      </w:r>
      <w:r w:rsidRPr="0060218C">
        <w:t>There were two significant limitations to the study, the first being that the DSM-IV criteria was used to determine the exposure so there was no ability to stratify the sample to more detailed problem gambling risk levels</w:t>
      </w:r>
      <w:r w:rsidR="00743528">
        <w:t>.</w:t>
      </w:r>
      <w:r w:rsidR="008610D3">
        <w:t xml:space="preserve"> </w:t>
      </w:r>
      <w:r w:rsidRPr="0060218C">
        <w:t>The other limitation was the cross-sectional nature of the study, which limited the understanding of causal mechanisms</w:t>
      </w:r>
      <w:r w:rsidR="00743528">
        <w:t>.</w:t>
      </w:r>
      <w:r w:rsidR="008610D3">
        <w:t xml:space="preserve"> </w:t>
      </w:r>
      <w:r w:rsidRPr="0060218C">
        <w:t>Other Canadian research conducted by Korman and colleagues (2008), who sampled 248 problem gamblers, identified that 63% of participants had either experienced or perpetrated IPV, with 25% of cases being at the severe end of the scale</w:t>
      </w:r>
      <w:r w:rsidR="00743528">
        <w:t>.</w:t>
      </w:r>
      <w:r w:rsidR="008610D3">
        <w:t xml:space="preserve"> </w:t>
      </w:r>
      <w:r w:rsidRPr="0060218C">
        <w:t xml:space="preserve">This has been shown to be consistent with other studies showing higher rates of IPV for partners </w:t>
      </w:r>
      <w:r w:rsidR="009E4D5D">
        <w:t>of</w:t>
      </w:r>
      <w:r w:rsidR="009E4D5D" w:rsidRPr="0060218C">
        <w:t xml:space="preserve"> </w:t>
      </w:r>
      <w:r w:rsidRPr="0060218C">
        <w:t>pathological gamblers within Chinese communities (Liao, 2008)</w:t>
      </w:r>
      <w:r w:rsidR="00743528">
        <w:t>.</w:t>
      </w:r>
      <w:r w:rsidR="008610D3">
        <w:t xml:space="preserve"> </w:t>
      </w:r>
      <w:r w:rsidRPr="0060218C">
        <w:t>Again this study was cross-sectional, and thus caution must be exercised in assuming any causality especially given the complex interaction of issues of dysfunction related to gambling and relationships that can contribute to IPV</w:t>
      </w:r>
      <w:r w:rsidR="00743528">
        <w:t>.</w:t>
      </w:r>
      <w:r w:rsidR="008610D3">
        <w:t xml:space="preserve"> </w:t>
      </w:r>
      <w:r w:rsidRPr="0060218C">
        <w:t>In a recent Australian study, Suomi et al. (2013) identified from a sample of 120 help</w:t>
      </w:r>
      <w:r>
        <w:t>-</w:t>
      </w:r>
      <w:r w:rsidRPr="0060218C">
        <w:t>seeking family members of people experiencing problems with gambling, that 52.5% had experienced violence</w:t>
      </w:r>
      <w:r w:rsidR="00743528">
        <w:t>.</w:t>
      </w:r>
      <w:r w:rsidR="008610D3">
        <w:t xml:space="preserve"> </w:t>
      </w:r>
      <w:r w:rsidRPr="0060218C">
        <w:t>Twenty percent of those had experienced violence as victims, 11% as perpetrators, and 26% as both victims and perpetrators (Suomi et al., 2013)</w:t>
      </w:r>
      <w:r w:rsidR="00743528">
        <w:t>.</w:t>
      </w:r>
      <w:r w:rsidR="008610D3">
        <w:t xml:space="preserve"> </w:t>
      </w:r>
      <w:r w:rsidRPr="0060218C">
        <w:t>In each of these studies</w:t>
      </w:r>
      <w:r>
        <w:t>,</w:t>
      </w:r>
      <w:r w:rsidRPr="0060218C">
        <w:t xml:space="preserve"> it is difficult to distinguish the degree to which gambling is contributing to IPV, particularly given the comorbidity with other dysfunctions such as alcoholism (Breen, 2012b)</w:t>
      </w:r>
      <w:r w:rsidR="00743528">
        <w:t>.</w:t>
      </w:r>
      <w:r w:rsidR="008610D3">
        <w:t xml:space="preserve"> </w:t>
      </w:r>
      <w:r w:rsidRPr="0060218C">
        <w:t>However, in the latter study</w:t>
      </w:r>
      <w:r>
        <w:t>,</w:t>
      </w:r>
      <w:r w:rsidRPr="0060218C">
        <w:t xml:space="preserve"> gambling problems were reported to have often preceded the incidence of violence as a trigger event or issue (Breen, 2012a; Suomi et al., 2013)</w:t>
      </w:r>
      <w:r w:rsidR="00743528">
        <w:t>.</w:t>
      </w:r>
      <w:r w:rsidR="008610D3">
        <w:t xml:space="preserve"> </w:t>
      </w:r>
      <w:r w:rsidRPr="0060218C">
        <w:t>Suomi et al. (2013) found that when the partner of the person who gambles was the perpetrator of violence, it was most often a reaction to accumulated anger and mistrust and, when they were victims, it tended to be expressions of the gambler’s feelings of loss and frustration</w:t>
      </w:r>
      <w:r w:rsidR="00743528">
        <w:t>.</w:t>
      </w:r>
      <w:r w:rsidR="008610D3">
        <w:t xml:space="preserve"> </w:t>
      </w:r>
      <w:r w:rsidRPr="0060218C">
        <w:t>The study further identified that parents and partners were more often the perpetrators of violence but found no gender differences in violence conducted either by the partner or the gambler (Suomi et al., 2013)</w:t>
      </w:r>
      <w:r w:rsidR="00743528">
        <w:t>.</w:t>
      </w:r>
      <w:r w:rsidR="008610D3">
        <w:t xml:space="preserve"> </w:t>
      </w:r>
      <w:r w:rsidRPr="0060218C">
        <w:t>A longitudinal study of Pacific Island Families in New Zealand found that in Year 2 of data collection there was no association between gambling and IPV victimisation in either mothers or fathers</w:t>
      </w:r>
      <w:r w:rsidR="00533686">
        <w:t>;</w:t>
      </w:r>
      <w:r w:rsidRPr="0060218C">
        <w:t xml:space="preserve"> </w:t>
      </w:r>
      <w:r>
        <w:t>however</w:t>
      </w:r>
      <w:r w:rsidR="00533686">
        <w:t>,</w:t>
      </w:r>
      <w:r>
        <w:t xml:space="preserve"> </w:t>
      </w:r>
      <w:r w:rsidRPr="0060218C">
        <w:t>there were significant relationships between problem drinking and IPV (Schluter, Abbott</w:t>
      </w:r>
      <w:r>
        <w:t>,</w:t>
      </w:r>
      <w:r w:rsidRPr="0060218C">
        <w:t xml:space="preserve"> &amp; Bellringer, 2008)</w:t>
      </w:r>
      <w:r w:rsidR="00743528">
        <w:t>.</w:t>
      </w:r>
      <w:r w:rsidR="008610D3">
        <w:t xml:space="preserve"> </w:t>
      </w:r>
      <w:r w:rsidRPr="0060218C">
        <w:t>Four years later, Year 6 data indicated that for the fathers of the cohort, gambling was associated with being perpetrators as well as victims of verbal aggression; perpetration of physical violence was three times more likely to be reported by at-risk/problem gambler fathers than non-problem gambler fathers</w:t>
      </w:r>
      <w:r w:rsidR="00743528">
        <w:t>.</w:t>
      </w:r>
      <w:r w:rsidR="008610D3">
        <w:t xml:space="preserve"> </w:t>
      </w:r>
      <w:r w:rsidRPr="0060218C">
        <w:t>Conversely, for the cohort of mothers, at risk/problem gambling was associated with lower odds of perpetrating violence (Bellringer, Abbott, Williams</w:t>
      </w:r>
      <w:r>
        <w:t>,</w:t>
      </w:r>
      <w:r w:rsidRPr="0060218C">
        <w:t xml:space="preserve"> &amp; Gao, 2008)</w:t>
      </w:r>
      <w:r w:rsidR="00743528">
        <w:t>.</w:t>
      </w:r>
      <w:r w:rsidR="008610D3">
        <w:t xml:space="preserve"> </w:t>
      </w:r>
      <w:r w:rsidRPr="0060218C">
        <w:t>These findings further highlight the complex dynamics in an environment of dysfunction and the danger of making assumptions of causal sequence from cross-sectional studies.</w:t>
      </w:r>
    </w:p>
    <w:p w14:paraId="36CEC10E" w14:textId="1206FAE9" w:rsidR="005E39E4" w:rsidRDefault="005E39E4" w:rsidP="00D51E07">
      <w:pPr>
        <w:pStyle w:val="VRGFBodycontent"/>
      </w:pPr>
      <w:r w:rsidRPr="0060218C">
        <w:t>Cultural differences have not been explored in terms of the experience of harm to partners or whether a collectivist culture acts as a protective factor to partners</w:t>
      </w:r>
      <w:r w:rsidR="00743528">
        <w:t>.</w:t>
      </w:r>
      <w:r w:rsidR="008610D3">
        <w:t xml:space="preserve"> </w:t>
      </w:r>
      <w:r w:rsidRPr="0060218C">
        <w:t>When considering harm to partners within a New Zealand context, the collectivist nature of some cultures may mean that partners receive more support (rather than being isolated)</w:t>
      </w:r>
      <w:r>
        <w:t>,</w:t>
      </w:r>
      <w:r w:rsidRPr="0060218C">
        <w:t xml:space="preserve"> </w:t>
      </w:r>
      <w:r>
        <w:t>than</w:t>
      </w:r>
      <w:r w:rsidRPr="0060218C">
        <w:t xml:space="preserve"> seen in Westernised cultures (e.g. amongst Pākehā, or in Australia and Canada). </w:t>
      </w:r>
    </w:p>
    <w:p w14:paraId="4D6310FD" w14:textId="77777777" w:rsidR="00D51E07" w:rsidRPr="0060218C" w:rsidRDefault="00D51E07" w:rsidP="00D51E07">
      <w:pPr>
        <w:pStyle w:val="VRGFBodycontent"/>
      </w:pPr>
    </w:p>
    <w:p w14:paraId="34D114B9" w14:textId="052F9763" w:rsidR="005E39E4" w:rsidRPr="0060218C" w:rsidRDefault="005E39E4" w:rsidP="005E39E4">
      <w:pPr>
        <w:pStyle w:val="VRGFHead4"/>
      </w:pPr>
      <w:bookmarkStart w:id="80" w:name="_Toc283813361"/>
      <w:bookmarkStart w:id="81" w:name="_Toc283813430"/>
      <w:bookmarkStart w:id="82" w:name="_Toc285109121"/>
      <w:r w:rsidRPr="0060218C">
        <w:t>C</w:t>
      </w:r>
      <w:r w:rsidR="00D51E07">
        <w:t xml:space="preserve">hildren </w:t>
      </w:r>
      <w:bookmarkEnd w:id="80"/>
      <w:bookmarkEnd w:id="81"/>
      <w:bookmarkEnd w:id="82"/>
    </w:p>
    <w:p w14:paraId="5414C07E" w14:textId="40155A48" w:rsidR="005E39E4" w:rsidRPr="0060218C" w:rsidRDefault="005E39E4" w:rsidP="00D51E07">
      <w:pPr>
        <w:pStyle w:val="VRGFBodycontent"/>
      </w:pPr>
      <w:r w:rsidRPr="0060218C">
        <w:t>No large-scale quantitative studies could be identified for this review that had examined the nature of harm experienced by children of people experiencing problems with gambling</w:t>
      </w:r>
      <w:r w:rsidR="00743528">
        <w:t>.</w:t>
      </w:r>
      <w:r w:rsidR="008610D3">
        <w:t xml:space="preserve"> </w:t>
      </w:r>
      <w:r w:rsidRPr="0060218C">
        <w:t>This was unsurprising given the vulnerability and ethical difficulties associated with accessing this population</w:t>
      </w:r>
      <w:r w:rsidR="00743528">
        <w:t>.</w:t>
      </w:r>
      <w:r w:rsidR="008610D3">
        <w:t xml:space="preserve"> </w:t>
      </w:r>
      <w:r w:rsidRPr="0060218C">
        <w:t xml:space="preserve">The experiences of children have been sampled via small qualitative studies that offer more in-depth </w:t>
      </w:r>
      <w:r w:rsidRPr="0060218C">
        <w:lastRenderedPageBreak/>
        <w:t>analysis; or through data collected by administrative systems associated with welfare reporting</w:t>
      </w:r>
      <w:r w:rsidR="00743528">
        <w:t>.</w:t>
      </w:r>
      <w:r w:rsidR="008610D3">
        <w:t xml:space="preserve"> </w:t>
      </w:r>
      <w:r w:rsidRPr="0060218C">
        <w:t>Harms affecting the household exacerbated by both direct and indirect transmission of harms by the parent(s), and the neglect experienced by the child living under such circumstances has been well documented (Breen, 2012a; Darbyshire, Oster</w:t>
      </w:r>
      <w:r>
        <w:t>,</w:t>
      </w:r>
      <w:r w:rsidRPr="0060218C">
        <w:t xml:space="preserve"> &amp; Carrig, 2001a; 2001b; Minister for Gambling South Australian Government, 2007).</w:t>
      </w:r>
      <w:r>
        <w:t xml:space="preserve"> </w:t>
      </w:r>
    </w:p>
    <w:p w14:paraId="3B297FF5" w14:textId="016F0199" w:rsidR="005E39E4" w:rsidRPr="0060218C" w:rsidRDefault="005E39E4" w:rsidP="00D51E07">
      <w:pPr>
        <w:pStyle w:val="VRGFBodycontent"/>
      </w:pPr>
      <w:r w:rsidRPr="0060218C">
        <w:t>Children under the care of people experiencing problems with gambling are often harmed through deprivation of essential items due to financial harms</w:t>
      </w:r>
      <w:r w:rsidR="00743528">
        <w:t>.</w:t>
      </w:r>
      <w:r w:rsidR="008610D3">
        <w:t xml:space="preserve"> </w:t>
      </w:r>
      <w:r w:rsidRPr="0060218C">
        <w:t>They may also be exposed to broken homes, damaged relationships, physical and emotional harm (both to themselves and their parents and siblings)</w:t>
      </w:r>
      <w:r>
        <w:t>,</w:t>
      </w:r>
      <w:r w:rsidRPr="0060218C">
        <w:t xml:space="preserve"> and are at higher risk of eventually experiencing problems with gambling themselves</w:t>
      </w:r>
      <w:r w:rsidR="00743528">
        <w:t>.</w:t>
      </w:r>
      <w:r w:rsidR="008610D3">
        <w:t xml:space="preserve"> </w:t>
      </w:r>
      <w:r w:rsidRPr="0060218C">
        <w:t>Anecdotal catalogues of harm have suggested multiple forms of harms that could be ex</w:t>
      </w:r>
      <w:r>
        <w:t>perienced by children including neglect, staying up late, losing sleep, missing school,</w:t>
      </w:r>
      <w:r w:rsidRPr="0060218C">
        <w:t xml:space="preserve"> being hungr</w:t>
      </w:r>
      <w:r>
        <w:t>y,</w:t>
      </w:r>
      <w:r w:rsidRPr="0060218C">
        <w:t xml:space="preserve"> eating mor</w:t>
      </w:r>
      <w:r>
        <w:t>e take away or convenience food,</w:t>
      </w:r>
      <w:r w:rsidRPr="0060218C">
        <w:t xml:space="preserve"> and potential vulnerability to abuse through lack of supervision (Dion, Collin-Vézina, De La Sablonniére, Phillippe-Labbé</w:t>
      </w:r>
      <w:r>
        <w:t>,</w:t>
      </w:r>
      <w:r w:rsidRPr="0060218C">
        <w:t xml:space="preserve"> &amp; Griffard, 2010)</w:t>
      </w:r>
      <w:r w:rsidR="00743528">
        <w:t>.</w:t>
      </w:r>
      <w:r w:rsidR="008610D3">
        <w:t xml:space="preserve"> </w:t>
      </w:r>
      <w:r w:rsidRPr="0060218C">
        <w:t>Children of problem gamblers are also more likely to experience some level of physical violence or abuse from their parents, particularly if the parent is experiencing other comorbidities such as alcohol abuse (Shaw, Forbush, Schlinder, Rosenman</w:t>
      </w:r>
      <w:r>
        <w:t>,</w:t>
      </w:r>
      <w:r w:rsidRPr="0060218C">
        <w:t xml:space="preserve"> &amp; Black, 2007)</w:t>
      </w:r>
      <w:r w:rsidR="00743528">
        <w:t>.</w:t>
      </w:r>
      <w:r w:rsidR="008610D3">
        <w:t xml:space="preserve"> </w:t>
      </w:r>
      <w:r w:rsidRPr="0060218C">
        <w:t>A specific episode of neglect can include children or infants being left unattended in casinos and casino car parks while their parents or carers gamble</w:t>
      </w:r>
      <w:r w:rsidR="00743528">
        <w:t>.</w:t>
      </w:r>
      <w:r w:rsidR="008610D3">
        <w:t xml:space="preserve"> </w:t>
      </w:r>
      <w:r w:rsidRPr="0060218C">
        <w:t xml:space="preserve">Figures from the Department of Internal Affairs (DIA) 2012, </w:t>
      </w:r>
      <w:r>
        <w:t>(</w:t>
      </w:r>
      <w:r w:rsidRPr="0060218C">
        <w:t>reported by the New Zealand Problem Gambling Foundation) showed that in the year 2011, the DIA dealt with 59 reports of children being neglected at casino venues (not inclusive of data from pubs or clubs).</w:t>
      </w:r>
    </w:p>
    <w:p w14:paraId="421EC035" w14:textId="4986EB73" w:rsidR="005E39E4" w:rsidRPr="0060218C" w:rsidRDefault="005E39E4" w:rsidP="00D51E07">
      <w:pPr>
        <w:pStyle w:val="VRGFBodycontent"/>
      </w:pPr>
      <w:r w:rsidRPr="0060218C">
        <w:t xml:space="preserve">Empirical work by Darbyshire et al. (2001a, 2001b) has provided the largest contribution to understanding the experiences of children with </w:t>
      </w:r>
      <w:r>
        <w:t>gambling-related</w:t>
      </w:r>
      <w:r w:rsidRPr="0060218C">
        <w:t xml:space="preserve"> harm</w:t>
      </w:r>
      <w:r w:rsidR="00743528">
        <w:t>.</w:t>
      </w:r>
      <w:r w:rsidR="008610D3">
        <w:t xml:space="preserve"> </w:t>
      </w:r>
      <w:r w:rsidRPr="0060218C">
        <w:t xml:space="preserve">They characterised this impact as a </w:t>
      </w:r>
      <w:r w:rsidRPr="0060218C">
        <w:rPr>
          <w:i/>
        </w:rPr>
        <w:t>pervasive loss</w:t>
      </w:r>
      <w:r w:rsidRPr="0060218C">
        <w:t xml:space="preserve"> that encompasses both physical and psychosocial aspects of wellbeing</w:t>
      </w:r>
      <w:r w:rsidR="00743528">
        <w:t>.</w:t>
      </w:r>
      <w:r w:rsidR="008610D3">
        <w:t xml:space="preserve"> </w:t>
      </w:r>
      <w:r w:rsidRPr="0060218C">
        <w:t>Children in these circumstances were found to be more likely to experience neglect or feelings of loss associated with the person who gambles</w:t>
      </w:r>
      <w:r w:rsidR="00743528">
        <w:t>.</w:t>
      </w:r>
      <w:r w:rsidR="008610D3">
        <w:t xml:space="preserve"> </w:t>
      </w:r>
      <w:r w:rsidRPr="0060218C">
        <w:t>Most commonly reported harms were</w:t>
      </w:r>
      <w:r w:rsidR="00806932">
        <w:t xml:space="preserve"> related to</w:t>
      </w:r>
      <w:r w:rsidRPr="0060218C">
        <w:t xml:space="preserve"> feelings of abandonment, altered relationships (both between the parent and child and the wider family), trust, security, sense of home, and insecurity of material needs (Darbyshire et al., 2001b)</w:t>
      </w:r>
      <w:r w:rsidR="00743528">
        <w:t>.</w:t>
      </w:r>
      <w:r w:rsidR="008610D3">
        <w:t xml:space="preserve"> </w:t>
      </w:r>
      <w:r w:rsidRPr="0060218C">
        <w:t>Other issues identified were abuse, emotional deprivation, poor role modelling, destructive behaviour problems, inadequate stress management skills, poor interpersonal relations, diminished coping abilities, greater risk of negative health outcomes, and psychosocial disruption due to the chaotic and unpredictable environment within the home</w:t>
      </w:r>
      <w:r w:rsidR="00743528">
        <w:t>.</w:t>
      </w:r>
      <w:r w:rsidR="008610D3">
        <w:t xml:space="preserve"> </w:t>
      </w:r>
      <w:r w:rsidRPr="0060218C">
        <w:t>Educational attendance could suffer as result of not getting to school, not being able to afford resources, missing school to look after parents, or an inability to engage with school properly due to distraction/poor nutrition</w:t>
      </w:r>
      <w:r w:rsidR="00743528">
        <w:t>.</w:t>
      </w:r>
      <w:r w:rsidR="008610D3">
        <w:t xml:space="preserve"> </w:t>
      </w:r>
      <w:r w:rsidRPr="0060218C">
        <w:t>It is notable that most or all of these impacts are also associated with low socio-economic status</w:t>
      </w:r>
      <w:r w:rsidR="00743528">
        <w:t>.</w:t>
      </w:r>
      <w:r w:rsidR="008610D3">
        <w:t xml:space="preserve"> </w:t>
      </w:r>
      <w:r w:rsidRPr="0060218C">
        <w:t>Children can become more socially isolated when they cannot attend normal social events (e.g.</w:t>
      </w:r>
      <w:r>
        <w:t>,</w:t>
      </w:r>
      <w:r w:rsidRPr="0060218C">
        <w:t xml:space="preserve"> parties, movies, sports)</w:t>
      </w:r>
      <w:r w:rsidR="00743528">
        <w:t>.</w:t>
      </w:r>
      <w:r w:rsidR="008610D3">
        <w:t xml:space="preserve"> </w:t>
      </w:r>
      <w:r w:rsidRPr="0060218C">
        <w:t>The wide range of specific forms of harm enumerated above illustrate a more general point that the specific forms in which harm manifests is often quite unique to each individual and family situation</w:t>
      </w:r>
      <w:r w:rsidR="00743528">
        <w:t>.</w:t>
      </w:r>
      <w:r w:rsidR="008610D3">
        <w:t xml:space="preserve"> </w:t>
      </w:r>
      <w:r w:rsidRPr="0060218C">
        <w:t>This presents a significant methodological challenge in measuring harm.</w:t>
      </w:r>
    </w:p>
    <w:p w14:paraId="30C081CE" w14:textId="5C42E914" w:rsidR="005E39E4" w:rsidRPr="0060218C" w:rsidRDefault="005E39E4" w:rsidP="00D51E07">
      <w:pPr>
        <w:pStyle w:val="VRGFBodycontent"/>
      </w:pPr>
      <w:r w:rsidRPr="0060218C">
        <w:t>The pervasive nature of the loss to children’s welfare is best captured in Darbyshire et al.’s (2001b) finding that children of people with gambling problems were less optimistic about the future, often expressing no hope for a change for the better</w:t>
      </w:r>
      <w:r w:rsidR="00743528">
        <w:t>.</w:t>
      </w:r>
      <w:r w:rsidR="008610D3">
        <w:t xml:space="preserve"> </w:t>
      </w:r>
      <w:r w:rsidRPr="0060218C">
        <w:t>Empirical evidence and the impact of legacy (long term) harms suggest their lack of optimism has some foundation</w:t>
      </w:r>
      <w:r w:rsidR="00743528">
        <w:t>.</w:t>
      </w:r>
      <w:r w:rsidR="008610D3">
        <w:t xml:space="preserve"> </w:t>
      </w:r>
      <w:r w:rsidRPr="0060218C">
        <w:t>When a family experiences harms like relationship breakdown, emotional strain and financial hardship, often the needs of children can be overlooked</w:t>
      </w:r>
      <w:r w:rsidR="00743528">
        <w:t>.</w:t>
      </w:r>
      <w:r w:rsidR="008610D3">
        <w:t xml:space="preserve"> </w:t>
      </w:r>
      <w:r w:rsidRPr="0060218C">
        <w:t>Deprivation of essential needs such as warmth, healthy or quality food</w:t>
      </w:r>
      <w:r>
        <w:t>,</w:t>
      </w:r>
      <w:r w:rsidRPr="0060218C">
        <w:t xml:space="preserve"> and sleep can result in other harms like health problems due to poor nutrition or malnutrition, issues at school</w:t>
      </w:r>
      <w:r>
        <w:t>,</w:t>
      </w:r>
      <w:r w:rsidRPr="0060218C">
        <w:t xml:space="preserve"> or adverse emotional states</w:t>
      </w:r>
      <w:r w:rsidR="00743528">
        <w:t>.</w:t>
      </w:r>
      <w:r w:rsidR="008610D3">
        <w:t xml:space="preserve"> </w:t>
      </w:r>
      <w:r w:rsidRPr="0060218C">
        <w:t xml:space="preserve">Children with parents experiencing problems with gambling are more </w:t>
      </w:r>
      <w:r w:rsidRPr="0060218C">
        <w:lastRenderedPageBreak/>
        <w:t>at risk of developing unhealthy behaviours (Rossen, Butler</w:t>
      </w:r>
      <w:r>
        <w:t>,</w:t>
      </w:r>
      <w:r w:rsidRPr="0060218C">
        <w:t xml:space="preserve"> &amp; Denny, 2011)</w:t>
      </w:r>
      <w:r w:rsidR="00743528">
        <w:t>.</w:t>
      </w:r>
      <w:r w:rsidR="008610D3">
        <w:t xml:space="preserve"> </w:t>
      </w:r>
      <w:r w:rsidRPr="0060218C">
        <w:t>American research involving family members showed, that compared to a control group, children with a parent experiencing problems with gambling were more likely to develop problems with drugs or alcohol, or develop a mental health or psychiatric disorder (Shaw et al., 2007)</w:t>
      </w:r>
      <w:r w:rsidR="00743528">
        <w:t>.</w:t>
      </w:r>
      <w:r w:rsidR="008610D3">
        <w:t xml:space="preserve"> </w:t>
      </w:r>
      <w:r w:rsidRPr="0060218C">
        <w:t>A consistent finding within the literature is that these children are more likely to develop problems with gambling themselves (Crisp et al., 2004)</w:t>
      </w:r>
      <w:r w:rsidR="00743528">
        <w:t>.</w:t>
      </w:r>
      <w:r w:rsidR="008610D3">
        <w:t xml:space="preserve"> </w:t>
      </w:r>
      <w:r w:rsidRPr="0060218C">
        <w:t>Australian research identified that children from families with a history of problem gambling were between 2 and 10 times more likely to develop a gambling problem later in life (Dowling, Jackson, Thomas, &amp; Frydenberg, 2010)</w:t>
      </w:r>
      <w:r w:rsidR="00743528">
        <w:t>.</w:t>
      </w:r>
      <w:r w:rsidR="008610D3">
        <w:t xml:space="preserve"> </w:t>
      </w:r>
      <w:r w:rsidRPr="0060218C">
        <w:t>A grounded theory analysis of interviews with 14 problem gambling parents and their 18 children conducted in New Zealand highlighted economic deprivation, relationship issues with parents, and challenges in dealing with other siblings</w:t>
      </w:r>
      <w:r w:rsidR="00743528">
        <w:t>.</w:t>
      </w:r>
      <w:r w:rsidR="008610D3">
        <w:t xml:space="preserve"> </w:t>
      </w:r>
      <w:r w:rsidRPr="0060218C">
        <w:t>Household circumstances mean that these children were performing parental roles and other adult behaviours within the family, resulting in excessive strain for young children who were not well equipped to function at these levels of strain (Wurtzberg &amp; Tan, 2011).</w:t>
      </w:r>
    </w:p>
    <w:p w14:paraId="6440796D" w14:textId="37FCA302" w:rsidR="005E39E4" w:rsidRDefault="005E39E4" w:rsidP="00D51E07">
      <w:pPr>
        <w:pStyle w:val="VRGFBodycontent"/>
      </w:pPr>
      <w:r w:rsidRPr="0060218C">
        <w:t>Dyall and colleagues (2009a) created a model as to how children in Māori communities are at risk if exposed to gambling from a young age</w:t>
      </w:r>
      <w:r w:rsidR="00743528">
        <w:t>.</w:t>
      </w:r>
      <w:r w:rsidR="008610D3">
        <w:t xml:space="preserve"> </w:t>
      </w:r>
      <w:r w:rsidRPr="0060218C">
        <w:t>Often Māori children participate in gambling activities such as housie (bingo) either at a community event or at home with their parents or whānau</w:t>
      </w:r>
      <w:r w:rsidR="00743528">
        <w:t>.</w:t>
      </w:r>
      <w:r w:rsidR="008610D3">
        <w:t xml:space="preserve"> </w:t>
      </w:r>
      <w:r w:rsidRPr="0060218C">
        <w:t>Gambling may be considered a normal activity that is central to their social life and enhances community connectedness</w:t>
      </w:r>
      <w:r w:rsidR="00743528">
        <w:t>.</w:t>
      </w:r>
      <w:r w:rsidR="008610D3">
        <w:t xml:space="preserve"> </w:t>
      </w:r>
      <w:r w:rsidRPr="0060218C">
        <w:t>This observation confirms the importance of recognising that the definition of dysfunctional behaviour is construed by the cultural context</w:t>
      </w:r>
      <w:r w:rsidR="00743528">
        <w:t>.</w:t>
      </w:r>
      <w:r w:rsidR="008610D3">
        <w:t xml:space="preserve"> </w:t>
      </w:r>
      <w:r w:rsidRPr="0060218C">
        <w:t>Conflict or stress within the family home that can arise from parents gambling problems can often push children to seek an escape, which may even include gambling itself</w:t>
      </w:r>
      <w:r w:rsidR="00743528">
        <w:t>.</w:t>
      </w:r>
      <w:r w:rsidR="008610D3">
        <w:t xml:space="preserve"> </w:t>
      </w:r>
      <w:r w:rsidRPr="0060218C">
        <w:t>As they get older, children become more and more reliant upon this escape</w:t>
      </w:r>
      <w:r>
        <w:t>,</w:t>
      </w:r>
      <w:r w:rsidRPr="0060218C">
        <w:t xml:space="preserve"> putting them at risk of developing a serious gambling problem</w:t>
      </w:r>
      <w:r w:rsidR="00743528">
        <w:t>.</w:t>
      </w:r>
      <w:r w:rsidR="008610D3">
        <w:t xml:space="preserve"> </w:t>
      </w:r>
      <w:r w:rsidRPr="0060218C">
        <w:t xml:space="preserve">It should be noted that this model was designed based on interviews with a small sample of Māori participants </w:t>
      </w:r>
      <w:r>
        <w:t>(N=</w:t>
      </w:r>
      <w:r w:rsidRPr="0060218C">
        <w:t>7) and, therefore, may not reflect the same pathway experienced by all Māori or those from other ethnic backgrounds.</w:t>
      </w:r>
      <w:r>
        <w:t xml:space="preserve"> </w:t>
      </w:r>
    </w:p>
    <w:p w14:paraId="0DCF6040" w14:textId="77777777" w:rsidR="00D51E07" w:rsidRPr="0060218C" w:rsidRDefault="00D51E07" w:rsidP="00D51E07">
      <w:pPr>
        <w:pStyle w:val="VRGFBodycontent"/>
      </w:pPr>
    </w:p>
    <w:p w14:paraId="187F3047" w14:textId="7948C9DC" w:rsidR="005E39E4" w:rsidRPr="0060218C" w:rsidRDefault="005E39E4" w:rsidP="005E39E4">
      <w:pPr>
        <w:pStyle w:val="VRGFHead4"/>
      </w:pPr>
      <w:bookmarkStart w:id="83" w:name="_Toc283813362"/>
      <w:bookmarkStart w:id="84" w:name="_Toc283813431"/>
      <w:bookmarkStart w:id="85" w:name="_Toc285109122"/>
      <w:r w:rsidRPr="0060218C">
        <w:t>E</w:t>
      </w:r>
      <w:r w:rsidR="00D51E07">
        <w:t>xtended family, friends, and wh</w:t>
      </w:r>
      <w:r w:rsidR="00D37111" w:rsidRPr="00D37111">
        <w:t>ā</w:t>
      </w:r>
      <w:r w:rsidR="00D51E07">
        <w:t xml:space="preserve">nau </w:t>
      </w:r>
      <w:bookmarkEnd w:id="83"/>
      <w:bookmarkEnd w:id="84"/>
      <w:bookmarkEnd w:id="85"/>
    </w:p>
    <w:p w14:paraId="626BD9ED" w14:textId="572F2167" w:rsidR="005E39E4" w:rsidRDefault="005E39E4" w:rsidP="00D51E07">
      <w:pPr>
        <w:pStyle w:val="VRGFBodycontent"/>
      </w:pPr>
      <w:r w:rsidRPr="0060218C">
        <w:t>Just as immediate family members and close friends experience harm related to gambling, similarly, the connection through psychological, emotional, physical, economic</w:t>
      </w:r>
      <w:r>
        <w:t>,</w:t>
      </w:r>
      <w:r w:rsidRPr="0060218C">
        <w:t xml:space="preserve"> and familial pathways creates a vector for the transmission of the harm further out</w:t>
      </w:r>
      <w:r w:rsidR="00743528">
        <w:t>.</w:t>
      </w:r>
      <w:r w:rsidR="008610D3">
        <w:t xml:space="preserve"> </w:t>
      </w:r>
      <w:r w:rsidRPr="0060218C">
        <w:t>Whilst the majority of the focus of research to date has been targeted at investigating harms to immediate or direct family, there has been very little investigation into how problem gambling may harm those outside family circles, especially where they try to support the person who gambles, their partner</w:t>
      </w:r>
      <w:r>
        <w:t>,</w:t>
      </w:r>
      <w:r w:rsidRPr="0060218C">
        <w:t xml:space="preserve"> or children</w:t>
      </w:r>
      <w:r w:rsidR="00743528">
        <w:t>.</w:t>
      </w:r>
      <w:r w:rsidR="008610D3">
        <w:t xml:space="preserve"> </w:t>
      </w:r>
      <w:r w:rsidRPr="0060218C">
        <w:t>Such harms may include increased responsibility for children (e.g. transporting to and from school or babysitting), being asked to lend money, providing support and guidance, being subject to petty theft or stealing to fuel gambling habits and, in extreme cases, offering accommodation or utilities</w:t>
      </w:r>
      <w:r>
        <w:t xml:space="preserve"> payments</w:t>
      </w:r>
      <w:r w:rsidRPr="0060218C">
        <w:t xml:space="preserve"> when financial or relationship harms reach crisis point</w:t>
      </w:r>
      <w:r w:rsidR="00743528">
        <w:t>.</w:t>
      </w:r>
      <w:r w:rsidR="008610D3">
        <w:t xml:space="preserve"> </w:t>
      </w:r>
      <w:r w:rsidRPr="0060218C">
        <w:t>It is theorised that many of these factors can produce their own harms on extended family or friends, putting pressure on their resources, relationships and physical and psychological wellbeing</w:t>
      </w:r>
      <w:r w:rsidR="00743528">
        <w:t>.</w:t>
      </w:r>
      <w:r w:rsidR="008610D3">
        <w:t xml:space="preserve"> </w:t>
      </w:r>
      <w:r w:rsidRPr="0060218C">
        <w:t>Such harms will also depend heavily on the strength of the familial, cultural, economic or political affiliations</w:t>
      </w:r>
      <w:r>
        <w:t>,</w:t>
      </w:r>
      <w:r w:rsidRPr="0060218C">
        <w:t xml:space="preserve"> and what is expected of a person within these systems. </w:t>
      </w:r>
    </w:p>
    <w:p w14:paraId="3AE27A1A" w14:textId="77777777" w:rsidR="00D51E07" w:rsidRDefault="00D51E07" w:rsidP="00D51E07">
      <w:pPr>
        <w:pStyle w:val="VRGFBodycontent"/>
      </w:pPr>
    </w:p>
    <w:p w14:paraId="4BF8220A" w14:textId="77777777" w:rsidR="003366FB" w:rsidRPr="0060218C" w:rsidRDefault="003366FB" w:rsidP="00D51E07">
      <w:pPr>
        <w:pStyle w:val="VRGFBodycontent"/>
      </w:pPr>
    </w:p>
    <w:p w14:paraId="5E943389" w14:textId="443E5FA1" w:rsidR="005E39E4" w:rsidRPr="0060218C" w:rsidRDefault="005E39E4" w:rsidP="005E39E4">
      <w:pPr>
        <w:pStyle w:val="VRGFHead3"/>
      </w:pPr>
      <w:bookmarkStart w:id="86" w:name="_Toc462737994"/>
      <w:bookmarkStart w:id="87" w:name="_Toc283813363"/>
      <w:bookmarkStart w:id="88" w:name="_Toc283813432"/>
      <w:bookmarkStart w:id="89" w:name="_Toc285109123"/>
      <w:r w:rsidRPr="0060218C">
        <w:lastRenderedPageBreak/>
        <w:t>H</w:t>
      </w:r>
      <w:r w:rsidR="00D51E07">
        <w:t>arms to the broader community</w:t>
      </w:r>
      <w:bookmarkEnd w:id="86"/>
      <w:r w:rsidR="00D51E07">
        <w:t xml:space="preserve"> </w:t>
      </w:r>
      <w:bookmarkEnd w:id="87"/>
      <w:bookmarkEnd w:id="88"/>
      <w:bookmarkEnd w:id="89"/>
    </w:p>
    <w:p w14:paraId="7689F1D2" w14:textId="3063B148" w:rsidR="005E39E4" w:rsidRDefault="005E39E4" w:rsidP="00D51E07">
      <w:pPr>
        <w:pStyle w:val="VRGFBodycontent"/>
      </w:pPr>
      <w:r w:rsidRPr="0060218C">
        <w:t xml:space="preserve">The measurement of </w:t>
      </w:r>
      <w:r>
        <w:t>gambling-related</w:t>
      </w:r>
      <w:r w:rsidRPr="0060218C">
        <w:t xml:space="preserve"> community level harms is difficult given the breadth of potential influence and the interaction between gambling and many other public health issues</w:t>
      </w:r>
      <w:r w:rsidR="00743528">
        <w:t>.</w:t>
      </w:r>
      <w:r w:rsidR="008610D3">
        <w:t xml:space="preserve"> </w:t>
      </w:r>
      <w:r w:rsidRPr="0060218C">
        <w:t>Earlier attempts to quantify community level harms were made by William and Schwer (2005), who used a small sample of Gamblers Anonymous members in Nevada, USA</w:t>
      </w:r>
      <w:r w:rsidR="00743528">
        <w:t>.</w:t>
      </w:r>
      <w:r w:rsidR="008610D3">
        <w:t xml:space="preserve"> </w:t>
      </w:r>
      <w:r w:rsidRPr="0060218C">
        <w:t>Estimates of their self-reported work, levels of debt, proceeds from crime and costs to judicial systems, and welfare systems were collected and costs were extrapolated to rates of gambling severity for that State</w:t>
      </w:r>
      <w:r w:rsidR="00743528">
        <w:t>.</w:t>
      </w:r>
      <w:r w:rsidR="008610D3">
        <w:t xml:space="preserve"> </w:t>
      </w:r>
      <w:r w:rsidRPr="0060218C">
        <w:t>The methodology was limited</w:t>
      </w:r>
      <w:r>
        <w:t>;</w:t>
      </w:r>
      <w:r w:rsidRPr="0060218C">
        <w:t xml:space="preserve"> as there was no consideration of the costs associated with people who were not gambling in a problematic manner, nor did they include measures such as job turnover, absenteeism</w:t>
      </w:r>
      <w:r>
        <w:t>,</w:t>
      </w:r>
      <w:r w:rsidRPr="0060218C">
        <w:t xml:space="preserve"> and generational influences of impact </w:t>
      </w:r>
      <w:r w:rsidR="00177224">
        <w:t>on</w:t>
      </w:r>
      <w:r w:rsidR="00177224" w:rsidRPr="0060218C">
        <w:t xml:space="preserve"> </w:t>
      </w:r>
      <w:r w:rsidRPr="0060218C">
        <w:t>family</w:t>
      </w:r>
      <w:r>
        <w:t>;</w:t>
      </w:r>
      <w:r w:rsidRPr="0060218C">
        <w:t xml:space="preserve"> making the attribution of costs incomplete</w:t>
      </w:r>
      <w:r w:rsidR="00743528">
        <w:t>.</w:t>
      </w:r>
      <w:r w:rsidR="008610D3">
        <w:t xml:space="preserve"> </w:t>
      </w:r>
      <w:r w:rsidRPr="0060218C">
        <w:t xml:space="preserve">Within New Zealand, studies have sought to investigate community level harms from gambling (Wall et al., 2010) and have theorised two possible pathways through which gambling exposure may impact on community wellbeing: harm arising </w:t>
      </w:r>
      <w:r w:rsidRPr="0060218C">
        <w:rPr>
          <w:i/>
        </w:rPr>
        <w:t xml:space="preserve">directly </w:t>
      </w:r>
      <w:r>
        <w:t>through crime and disorder;</w:t>
      </w:r>
      <w:r w:rsidRPr="0060218C">
        <w:t xml:space="preserve"> and </w:t>
      </w:r>
      <w:r w:rsidRPr="0060218C">
        <w:rPr>
          <w:i/>
        </w:rPr>
        <w:t>indirectly</w:t>
      </w:r>
      <w:r w:rsidRPr="0060218C">
        <w:t xml:space="preserve"> through the costs that gambling affected households impose on other households in their neighbourhoods. </w:t>
      </w:r>
    </w:p>
    <w:p w14:paraId="27E78007" w14:textId="77777777" w:rsidR="00D51E07" w:rsidRPr="0060218C" w:rsidRDefault="00D51E07" w:rsidP="00D51E07">
      <w:pPr>
        <w:pStyle w:val="VRGFBodycontent"/>
      </w:pPr>
    </w:p>
    <w:p w14:paraId="250F0A70" w14:textId="7ADF956D" w:rsidR="005E39E4" w:rsidRPr="0060218C" w:rsidRDefault="005E39E4" w:rsidP="005E39E4">
      <w:pPr>
        <w:pStyle w:val="VRGFHead4"/>
      </w:pPr>
      <w:bookmarkStart w:id="90" w:name="_Toc283813364"/>
      <w:bookmarkStart w:id="91" w:name="_Toc283813433"/>
      <w:bookmarkStart w:id="92" w:name="_Toc285109124"/>
      <w:r w:rsidRPr="0060218C">
        <w:t>D</w:t>
      </w:r>
      <w:r w:rsidR="00D51E07">
        <w:t xml:space="preserve">irect harms </w:t>
      </w:r>
      <w:bookmarkEnd w:id="90"/>
      <w:bookmarkEnd w:id="91"/>
      <w:bookmarkEnd w:id="92"/>
    </w:p>
    <w:p w14:paraId="4D103BFC" w14:textId="0D6FB7E8" w:rsidR="005E39E4" w:rsidRPr="0060218C" w:rsidRDefault="005E39E4" w:rsidP="00D51E07">
      <w:pPr>
        <w:pStyle w:val="VRGFBodycontent"/>
      </w:pPr>
      <w:r w:rsidRPr="0060218C">
        <w:t>In New Zealand, higher exposure to gambling opportunities has been statistically linked to higher crime rates for all categories of crime (Wall et al., 2010)</w:t>
      </w:r>
      <w:r w:rsidR="00743528">
        <w:t>.</w:t>
      </w:r>
      <w:r w:rsidR="008610D3">
        <w:t xml:space="preserve"> </w:t>
      </w:r>
      <w:r w:rsidRPr="0060218C">
        <w:t xml:space="preserve">EGM density measures (especially number of machines within a 5,000 metre buffer) were also associated with the </w:t>
      </w:r>
      <w:r>
        <w:t xml:space="preserve">local </w:t>
      </w:r>
      <w:r w:rsidRPr="0060218C">
        <w:t>crime rate (Wall et al., 2010)</w:t>
      </w:r>
      <w:r w:rsidR="00743528">
        <w:t>.</w:t>
      </w:r>
      <w:r w:rsidR="008610D3">
        <w:t xml:space="preserve"> </w:t>
      </w:r>
      <w:r w:rsidRPr="0060218C">
        <w:t>A formative qualitative investigation of the link between gambling and crime focused particularly on unreported crime and the nature of the resulting harms experienced by individuals, families, whānau</w:t>
      </w:r>
      <w:r>
        <w:t>,</w:t>
      </w:r>
      <w:r w:rsidRPr="0060218C">
        <w:t xml:space="preserve"> and communities (Bellringer et al</w:t>
      </w:r>
      <w:r>
        <w:t>.</w:t>
      </w:r>
      <w:r w:rsidRPr="0060218C">
        <w:t>, 2009)</w:t>
      </w:r>
      <w:r w:rsidR="00743528">
        <w:t>.</w:t>
      </w:r>
      <w:r w:rsidR="008610D3">
        <w:t xml:space="preserve"> </w:t>
      </w:r>
      <w:r w:rsidRPr="0060218C">
        <w:t>Problem gambling treatment providers, gambling industry staff</w:t>
      </w:r>
      <w:r>
        <w:t>,</w:t>
      </w:r>
      <w:r w:rsidRPr="0060218C">
        <w:t xml:space="preserve"> and community groups identified financial harm to the community resulting from theft to support gambling as most prevalent, as well as social security/services and benefit-related crimes</w:t>
      </w:r>
      <w:r w:rsidR="00743528">
        <w:t>.</w:t>
      </w:r>
      <w:r w:rsidR="008610D3">
        <w:t xml:space="preserve"> </w:t>
      </w:r>
      <w:r w:rsidRPr="0060218C">
        <w:t>Strain on the community caused by gamblers who expect to be ‘bailed-out’ by their community, or who abuse positions of power or trust within their communities</w:t>
      </w:r>
      <w:r>
        <w:t xml:space="preserve">, </w:t>
      </w:r>
      <w:r w:rsidRPr="0060218C">
        <w:t>was also highlighted by participants in this study as direct harms to the community.</w:t>
      </w:r>
      <w:r>
        <w:t xml:space="preserve"> </w:t>
      </w:r>
    </w:p>
    <w:p w14:paraId="02DA0F76" w14:textId="6383FD9A" w:rsidR="005E39E4" w:rsidRPr="0060218C" w:rsidRDefault="005E39E4" w:rsidP="001B2940">
      <w:pPr>
        <w:pStyle w:val="VRGFBodycontent"/>
      </w:pPr>
      <w:r w:rsidRPr="0060218C">
        <w:t>Evidence surrounding the links between gambling and crime is incomplete and under-reported within New Zealand and internationally</w:t>
      </w:r>
      <w:r w:rsidR="00743528">
        <w:t>.</w:t>
      </w:r>
      <w:r w:rsidR="008610D3">
        <w:t xml:space="preserve"> </w:t>
      </w:r>
      <w:r w:rsidRPr="0060218C">
        <w:t>The Australian Institute for Gambling Research (AIGR) (2001) analysed the impact of crime at two casinos in New Zealand (in Auckland and Christchurch) and found that the impacts of crime at both casinos were not as extensive as predicted</w:t>
      </w:r>
      <w:r w:rsidR="00743528">
        <w:t>.</w:t>
      </w:r>
      <w:r w:rsidR="008610D3">
        <w:t xml:space="preserve"> </w:t>
      </w:r>
      <w:r w:rsidRPr="0060218C">
        <w:t>Further, since there was little reliable data on crimes committed to fund gambling, it was not possible to determine the impact of the casinos on crime</w:t>
      </w:r>
      <w:r w:rsidR="00743528">
        <w:t>.</w:t>
      </w:r>
      <w:r w:rsidR="008610D3">
        <w:t xml:space="preserve"> </w:t>
      </w:r>
      <w:r w:rsidRPr="0060218C">
        <w:t>The authors concluded that while the New Zealand Department of Internal Affairs (DIA) had previously found no significant evidence to directly link crime with gambling, this may be because precise statistical data has not been available</w:t>
      </w:r>
      <w:r w:rsidR="00743528">
        <w:t>.</w:t>
      </w:r>
      <w:r w:rsidR="008610D3">
        <w:t xml:space="preserve"> </w:t>
      </w:r>
      <w:r w:rsidRPr="0060218C">
        <w:t xml:space="preserve">AIGR (2001) assert that while analysts agree that gambling is indeed linked to crime, the most significant finding from their literature review of gambling and crime is that there is </w:t>
      </w:r>
      <w:r>
        <w:t xml:space="preserve">a lack of data or evidence to </w:t>
      </w:r>
      <w:r w:rsidRPr="0060218C">
        <w:t>form valid assessment of levels of gambling-related crime</w:t>
      </w:r>
      <w:r w:rsidR="00743528">
        <w:t>.</w:t>
      </w:r>
      <w:r w:rsidR="008610D3">
        <w:t xml:space="preserve"> </w:t>
      </w:r>
      <w:r w:rsidRPr="0060218C">
        <w:t>The literature on gambling and crime has been found to be questionable and often contradictory (Bellringer et al, 2009).</w:t>
      </w:r>
      <w:r>
        <w:t xml:space="preserve"> </w:t>
      </w:r>
    </w:p>
    <w:p w14:paraId="028FDE57" w14:textId="51690A52" w:rsidR="005E39E4" w:rsidRPr="0060218C" w:rsidRDefault="005E39E4" w:rsidP="001B2940">
      <w:pPr>
        <w:pStyle w:val="VRGFBodycontent"/>
      </w:pPr>
      <w:r w:rsidRPr="0060218C">
        <w:t>The Independent Gambling Authority (2004) in Australia identified a sequence of systematic issues contributing to under-reporting that includes crimes that are not detected, crimes that are not reported, and gambling not being linked to the crime as a contributing issue</w:t>
      </w:r>
      <w:r w:rsidR="009D23C6">
        <w:t>.</w:t>
      </w:r>
      <w:r w:rsidR="008610D3">
        <w:t xml:space="preserve"> </w:t>
      </w:r>
      <w:r w:rsidRPr="0060218C">
        <w:t>Of the data obtained relating to gambling and crime, most is self-reported</w:t>
      </w:r>
      <w:r>
        <w:t xml:space="preserve"> and</w:t>
      </w:r>
      <w:r w:rsidRPr="0060218C">
        <w:t xml:space="preserve"> sourced from people seeking treatment</w:t>
      </w:r>
      <w:r w:rsidR="009D23C6">
        <w:t>.</w:t>
      </w:r>
      <w:r w:rsidR="008610D3">
        <w:t xml:space="preserve"> </w:t>
      </w:r>
      <w:r w:rsidRPr="0060218C">
        <w:lastRenderedPageBreak/>
        <w:t xml:space="preserve">This </w:t>
      </w:r>
      <w:r>
        <w:t>is problematic</w:t>
      </w:r>
      <w:r w:rsidRPr="0060218C">
        <w:t xml:space="preserve"> as only a small percentage of people experiencing gambling problems seek treatment</w:t>
      </w:r>
      <w:r w:rsidR="009D23C6">
        <w:t>.</w:t>
      </w:r>
      <w:r w:rsidR="008610D3">
        <w:t xml:space="preserve"> </w:t>
      </w:r>
      <w:r w:rsidRPr="0060218C">
        <w:t xml:space="preserve">The Independent Gambling Authority (2004) suggested that information relating to gambling behaviours is rarely collected as it adds no value to law enforcement operations </w:t>
      </w:r>
      <w:r>
        <w:t>that</w:t>
      </w:r>
      <w:r w:rsidRPr="0060218C">
        <w:t xml:space="preserve"> are generally focused on the immediate manifestation of crime (i.e.</w:t>
      </w:r>
      <w:r>
        <w:t>,</w:t>
      </w:r>
      <w:r w:rsidRPr="0060218C">
        <w:t xml:space="preserve"> theft, extortion, fraud, prostitution) rather than what may have caused the crime</w:t>
      </w:r>
      <w:r w:rsidR="009D23C6">
        <w:t>.</w:t>
      </w:r>
      <w:r w:rsidR="008610D3">
        <w:t xml:space="preserve"> </w:t>
      </w:r>
      <w:r w:rsidRPr="0060218C">
        <w:t>Unlike other public health issues such as alcohol and drug use, screening for problem gambling does not occur</w:t>
      </w:r>
      <w:r w:rsidR="009D23C6">
        <w:t>.</w:t>
      </w:r>
      <w:r w:rsidR="008610D3">
        <w:t xml:space="preserve"> </w:t>
      </w:r>
      <w:r w:rsidRPr="0060218C">
        <w:t>Despite the potential for problem gambling screening to highlight patterns and measures of prevalence for the development of interventions targeted at gambling, reporting does not occur as it provides no immediate benefit to law enforcement</w:t>
      </w:r>
      <w:r w:rsidR="009D23C6">
        <w:t>.</w:t>
      </w:r>
      <w:r w:rsidR="008610D3">
        <w:t xml:space="preserve"> </w:t>
      </w:r>
      <w:r w:rsidRPr="0060218C">
        <w:t>Nevertheless, addressing the motivations for crime due to gambling could ultimately reduce the demand on law enforcement (Minchin, 2006)</w:t>
      </w:r>
      <w:r w:rsidR="009D23C6">
        <w:t>.</w:t>
      </w:r>
      <w:r w:rsidR="008610D3">
        <w:t xml:space="preserve"> </w:t>
      </w:r>
      <w:r w:rsidRPr="0060218C">
        <w:t xml:space="preserve">Similarly, the failure to offer or mandate treatment programmes in sentencing might reduce the potential to improve rehabilitation and reduce the likelihood of recidivism. </w:t>
      </w:r>
    </w:p>
    <w:p w14:paraId="6451531F" w14:textId="1484A813" w:rsidR="005E39E4" w:rsidRPr="0060218C" w:rsidRDefault="005E39E4" w:rsidP="001B2940">
      <w:pPr>
        <w:pStyle w:val="VRGFBodycontent"/>
      </w:pPr>
      <w:r w:rsidRPr="0060218C">
        <w:t>The links between gambling and crime have also been noted through studies of incarcerated populations in New Zealand (Abbott, McKenna</w:t>
      </w:r>
      <w:r>
        <w:t>,</w:t>
      </w:r>
      <w:r w:rsidRPr="0060218C">
        <w:t xml:space="preserve"> &amp; Giles, 2000; Bellringer et al., 2009; SHORE, 2008)</w:t>
      </w:r>
      <w:r w:rsidR="009D23C6">
        <w:t>.</w:t>
      </w:r>
      <w:r w:rsidR="008610D3">
        <w:t xml:space="preserve"> </w:t>
      </w:r>
      <w:r w:rsidRPr="0060218C">
        <w:t>Within the prison population, an estimated 23% of men and 34% of women meet the criteria for probable problem and pathological gambling within the six months prior to imprisonment (Abbott &amp; McKenna, 2000; Abbott, et al., 2000)</w:t>
      </w:r>
      <w:r w:rsidR="009D23C6">
        <w:t>.</w:t>
      </w:r>
      <w:r w:rsidR="008610D3">
        <w:t xml:space="preserve"> </w:t>
      </w:r>
      <w:r w:rsidRPr="0060218C">
        <w:t>Additionally for men in prison, average monthly gambling expenditure prior to incarceration was reportedly six times higher than for the general population of men (Abbott et al., 2000)</w:t>
      </w:r>
      <w:r w:rsidR="009D23C6">
        <w:t>.</w:t>
      </w:r>
      <w:r w:rsidR="008610D3">
        <w:t xml:space="preserve"> </w:t>
      </w:r>
      <w:r w:rsidRPr="0060218C">
        <w:t>Abbott and McKenna (2000) identified that similar differences were apparent for recently sentenced women inmates, with one in three female prisoners having a current problem with gambling</w:t>
      </w:r>
      <w:r w:rsidR="009D23C6">
        <w:t>.</w:t>
      </w:r>
      <w:r w:rsidR="008610D3">
        <w:t xml:space="preserve"> </w:t>
      </w:r>
      <w:r w:rsidRPr="0060218C">
        <w:t>This study also indicated one quarter of participants (half of those women screened as problem gamblers) had committed a crime to obtain money to gamble (Abbott &amp; McKenna, 2005)</w:t>
      </w:r>
      <w:r w:rsidR="009D23C6">
        <w:t>.</w:t>
      </w:r>
      <w:r w:rsidR="008610D3">
        <w:t xml:space="preserve"> </w:t>
      </w:r>
      <w:r w:rsidRPr="0060218C">
        <w:t>However, care should be taken not to infer that the same proportion of gamblers in the general population have also committed a crime</w:t>
      </w:r>
      <w:r w:rsidR="009D23C6">
        <w:t>.</w:t>
      </w:r>
      <w:r w:rsidR="008610D3">
        <w:t xml:space="preserve"> </w:t>
      </w:r>
      <w:r w:rsidRPr="0060218C">
        <w:t>The authors also indicated that participants had engaged in criminal activity prior to sentencing that was unrelated to their gambling</w:t>
      </w:r>
      <w:r w:rsidR="009D23C6">
        <w:t>.</w:t>
      </w:r>
      <w:r w:rsidR="008610D3">
        <w:t xml:space="preserve"> </w:t>
      </w:r>
      <w:r w:rsidRPr="0060218C">
        <w:t>Further, a more recent study by Casey et al</w:t>
      </w:r>
      <w:r w:rsidR="009D23C6">
        <w:t>.</w:t>
      </w:r>
      <w:r w:rsidR="008610D3">
        <w:t xml:space="preserve"> </w:t>
      </w:r>
      <w:r w:rsidRPr="0060218C">
        <w:t>(2011) found patterns of rule breaking and illegal activities in youths who gambled (compared to non-gamblers)</w:t>
      </w:r>
      <w:r w:rsidR="009D23C6">
        <w:t>.</w:t>
      </w:r>
      <w:r w:rsidR="008610D3">
        <w:t xml:space="preserve"> </w:t>
      </w:r>
      <w:r w:rsidRPr="0060218C">
        <w:t>There have been several other investigations that have provided evidence for higher rates of problem gambling within incarcerated populations (see Independent Gamb</w:t>
      </w:r>
      <w:r>
        <w:t>ling Authority, 2004; Turner &amp;</w:t>
      </w:r>
      <w:r w:rsidRPr="0060218C">
        <w:t xml:space="preserve"> McAvoy, 2011; Turner, Preston, McAvoy</w:t>
      </w:r>
      <w:r>
        <w:t>,</w:t>
      </w:r>
      <w:r w:rsidRPr="0060218C">
        <w:t xml:space="preserve"> &amp; Gillam, 2012). </w:t>
      </w:r>
    </w:p>
    <w:p w14:paraId="1EEEC0D9" w14:textId="0AEA802C" w:rsidR="005E39E4" w:rsidRDefault="005E39E4" w:rsidP="001B2940">
      <w:pPr>
        <w:pStyle w:val="VRGFBodycontent"/>
      </w:pPr>
      <w:r w:rsidRPr="0060218C">
        <w:t>Other direct community related harms that have been given less attention are those relating to health and welfare costs</w:t>
      </w:r>
      <w:r w:rsidR="009D23C6">
        <w:t>.</w:t>
      </w:r>
      <w:r w:rsidR="008610D3">
        <w:t xml:space="preserve"> </w:t>
      </w:r>
      <w:r w:rsidRPr="0060218C">
        <w:t>Inclusive are the direct costs of treating the gambling problem itself (i.e.</w:t>
      </w:r>
      <w:r>
        <w:t xml:space="preserve">, </w:t>
      </w:r>
      <w:r w:rsidRPr="0060218C">
        <w:t xml:space="preserve">counselling, treatment or support) but also indirect costs associated with treating </w:t>
      </w:r>
      <w:r>
        <w:t>gambling-related</w:t>
      </w:r>
      <w:r w:rsidRPr="0060218C">
        <w:t xml:space="preserve"> harms (i.e.</w:t>
      </w:r>
      <w:r>
        <w:t xml:space="preserve">, </w:t>
      </w:r>
      <w:r w:rsidRPr="0060218C">
        <w:t>psychological and emotional harms, family breakdown, health problems) and harms experienced by affected others</w:t>
      </w:r>
      <w:r w:rsidR="009D23C6">
        <w:t>.</w:t>
      </w:r>
      <w:r w:rsidR="008610D3">
        <w:t xml:space="preserve"> </w:t>
      </w:r>
      <w:r w:rsidRPr="0060218C">
        <w:t>Black et al. (2013) noted that people with gambling problems tended to delay medical care thus having a higher frequency of emergency room visits</w:t>
      </w:r>
      <w:r w:rsidR="009D23C6">
        <w:t>.</w:t>
      </w:r>
      <w:r w:rsidR="008610D3">
        <w:t xml:space="preserve"> </w:t>
      </w:r>
      <w:r w:rsidRPr="0060218C">
        <w:t>Early intervention prevention activities are less expensive than emergency treatment for a health problem, and the delay in treatment increases the cost to the community both directly in terms of additional resources required and indirectly through burdening family, friends</w:t>
      </w:r>
      <w:r>
        <w:t>,</w:t>
      </w:r>
      <w:r w:rsidRPr="0060218C">
        <w:t xml:space="preserve"> or others with greater workloads or responsibilities (a form of opportunity cost).</w:t>
      </w:r>
      <w:r>
        <w:t xml:space="preserve"> </w:t>
      </w:r>
    </w:p>
    <w:p w14:paraId="2D4020C6" w14:textId="77777777" w:rsidR="001B2940" w:rsidRPr="0060218C" w:rsidRDefault="001B2940" w:rsidP="001B2940">
      <w:pPr>
        <w:pStyle w:val="VRGFBodycontent"/>
      </w:pPr>
    </w:p>
    <w:p w14:paraId="486908F1" w14:textId="5259392F" w:rsidR="005E39E4" w:rsidRPr="0060218C" w:rsidRDefault="001B2940" w:rsidP="005E39E4">
      <w:pPr>
        <w:pStyle w:val="VRGFHead4"/>
      </w:pPr>
      <w:bookmarkStart w:id="93" w:name="_Toc283813365"/>
      <w:bookmarkStart w:id="94" w:name="_Toc283813434"/>
      <w:bookmarkStart w:id="95" w:name="_Toc285109125"/>
      <w:r>
        <w:t xml:space="preserve">Indirect harms </w:t>
      </w:r>
      <w:bookmarkEnd w:id="93"/>
      <w:bookmarkEnd w:id="94"/>
      <w:bookmarkEnd w:id="95"/>
    </w:p>
    <w:p w14:paraId="0088E3AA" w14:textId="1D51076B" w:rsidR="005E39E4" w:rsidRPr="0060218C" w:rsidRDefault="005E39E4" w:rsidP="001B2940">
      <w:pPr>
        <w:pStyle w:val="VRGFBodycontent"/>
      </w:pPr>
      <w:r w:rsidRPr="0060218C">
        <w:t>One of the most pervasive harms to the community is how gambling continues to perpetuate cycles of disadvantage by affecting factors that contribute to poverty, poor health, and lower levels of human and social capital, thus compounding and concentrating harms</w:t>
      </w:r>
      <w:r w:rsidR="009D23C6">
        <w:t>.</w:t>
      </w:r>
      <w:r w:rsidR="008610D3">
        <w:t xml:space="preserve"> </w:t>
      </w:r>
      <w:r w:rsidRPr="0060218C">
        <w:t xml:space="preserve">Given the disproportionate number </w:t>
      </w:r>
      <w:r w:rsidRPr="0060218C">
        <w:lastRenderedPageBreak/>
        <w:t>of EGMs located within poorer communities (Wynd, 2005) and the vulnerability of these groups, this is of particular concern</w:t>
      </w:r>
      <w:r>
        <w:t>;</w:t>
      </w:r>
      <w:r w:rsidRPr="0060218C">
        <w:t xml:space="preserve"> as evidenced by some populations (such as lower </w:t>
      </w:r>
      <w:r>
        <w:t>socio-economic</w:t>
      </w:r>
      <w:r w:rsidRPr="0060218C">
        <w:t xml:space="preserve"> and ethnic groups) experiencing greater losses than other populations (</w:t>
      </w:r>
      <w:r>
        <w:t>SHORE</w:t>
      </w:r>
      <w:r w:rsidRPr="0060218C">
        <w:t>, 2008)</w:t>
      </w:r>
      <w:r w:rsidR="009D23C6">
        <w:t>.</w:t>
      </w:r>
      <w:r w:rsidR="008610D3">
        <w:t xml:space="preserve"> </w:t>
      </w:r>
      <w:r w:rsidRPr="0060218C">
        <w:t xml:space="preserve">It has been suggested that the nature of disadvantage motivates people to gamble as a form of </w:t>
      </w:r>
      <w:r w:rsidRPr="0060218C">
        <w:rPr>
          <w:i/>
        </w:rPr>
        <w:t>justice seeking</w:t>
      </w:r>
      <w:r w:rsidRPr="0060218C">
        <w:t xml:space="preserve"> (Callan, Ellard, Shead</w:t>
      </w:r>
      <w:r>
        <w:t>,</w:t>
      </w:r>
      <w:r w:rsidRPr="0060218C">
        <w:t xml:space="preserve"> &amp; Hodgins, 2008), that is, as a means to retrieve what they feel they deserve or to try to catch up with the rest of society (Clarke, </w:t>
      </w:r>
      <w:r>
        <w:t>et al.</w:t>
      </w:r>
      <w:r w:rsidRPr="0060218C">
        <w:t>, 2006)</w:t>
      </w:r>
      <w:r w:rsidR="009D23C6">
        <w:t>.</w:t>
      </w:r>
      <w:r w:rsidR="008610D3">
        <w:t xml:space="preserve"> </w:t>
      </w:r>
      <w:r w:rsidRPr="0060218C">
        <w:t>Such ideation reflects a misplaced form of aspiration of contemporary consumer culture (Casey, 2003)</w:t>
      </w:r>
      <w:r w:rsidR="009D23C6">
        <w:t>.</w:t>
      </w:r>
      <w:r w:rsidR="008610D3">
        <w:t xml:space="preserve"> </w:t>
      </w:r>
    </w:p>
    <w:p w14:paraId="1E92A9A1" w14:textId="49BF2AA5" w:rsidR="005E39E4" w:rsidRDefault="005E39E4" w:rsidP="001B2940">
      <w:pPr>
        <w:pStyle w:val="VRGFBodycontent"/>
      </w:pPr>
      <w:r w:rsidRPr="0060218C">
        <w:t>There have been efforts to quantify and measure different indicators of community harm in New Zealand beyond the experiences of crime (Wall et al., 2010)</w:t>
      </w:r>
      <w:r w:rsidR="009D23C6">
        <w:t>.</w:t>
      </w:r>
      <w:r w:rsidR="008610D3">
        <w:t xml:space="preserve"> </w:t>
      </w:r>
      <w:r>
        <w:t>For example,</w:t>
      </w:r>
      <w:r w:rsidRPr="0060218C">
        <w:t xml:space="preserve"> schooling outcomes, social capital, volunteering, involvement in school boards, food parcel distribution, poverty valuation, debt risk</w:t>
      </w:r>
      <w:r>
        <w:t>,</w:t>
      </w:r>
      <w:r w:rsidRPr="0060218C">
        <w:t xml:space="preserve"> and children at risk were suggested to be indicators of community level harms (Wall et al., 2010)</w:t>
      </w:r>
      <w:r w:rsidR="009D23C6">
        <w:t>.</w:t>
      </w:r>
      <w:r w:rsidR="008610D3">
        <w:t xml:space="preserve"> </w:t>
      </w:r>
      <w:r w:rsidRPr="0060218C">
        <w:t>The authors developed and adapted routinely collected data sets to measure these indicators and applied statistical modelling techniques to investigate associations between community-based gambling opportunities (in terms of EGM density and distance) and levels of gambling harm</w:t>
      </w:r>
      <w:r w:rsidR="009D23C6">
        <w:t>.</w:t>
      </w:r>
      <w:r w:rsidR="008610D3">
        <w:t xml:space="preserve"> </w:t>
      </w:r>
      <w:r w:rsidRPr="0060218C">
        <w:t>Area deprivation and population characteristics were also taken into consideration</w:t>
      </w:r>
      <w:r w:rsidR="009D23C6">
        <w:t>.</w:t>
      </w:r>
      <w:r w:rsidR="008610D3">
        <w:t xml:space="preserve"> </w:t>
      </w:r>
      <w:r w:rsidRPr="0060218C">
        <w:t>Key findings showed that indicators of crime, social capital</w:t>
      </w:r>
      <w:r>
        <w:t>,</w:t>
      </w:r>
      <w:r w:rsidRPr="0060218C">
        <w:t xml:space="preserve"> and volunteering seemed negatively associated with EGM exposure</w:t>
      </w:r>
      <w:r w:rsidR="009D23C6">
        <w:t>.</w:t>
      </w:r>
      <w:r w:rsidR="008610D3">
        <w:t xml:space="preserve"> </w:t>
      </w:r>
      <w:r w:rsidRPr="0060218C">
        <w:t>In relation to social capital and volunteering, a higher density of EGMs was significantly associated with worse perceptions of a community’s social capital and lower levels of volunteering</w:t>
      </w:r>
      <w:r w:rsidR="009D23C6">
        <w:t>.</w:t>
      </w:r>
      <w:r w:rsidR="008610D3">
        <w:t xml:space="preserve"> </w:t>
      </w:r>
      <w:r w:rsidRPr="0060218C">
        <w:t>Participants also reported lower levels of trust, less sense of belonging, lower ratings of community cohesion</w:t>
      </w:r>
      <w:r>
        <w:t>,</w:t>
      </w:r>
      <w:r w:rsidRPr="0060218C">
        <w:t xml:space="preserve"> and poorer relationships with others (Wall et al., 2010)</w:t>
      </w:r>
      <w:r w:rsidR="009D23C6">
        <w:t>.</w:t>
      </w:r>
      <w:r w:rsidR="008610D3">
        <w:t xml:space="preserve"> </w:t>
      </w:r>
      <w:r w:rsidRPr="0060218C">
        <w:t xml:space="preserve">It is conceivable that </w:t>
      </w:r>
      <w:r>
        <w:t>gambling-related</w:t>
      </w:r>
      <w:r w:rsidRPr="0060218C">
        <w:t xml:space="preserve"> crime could produce indirect effects on the cost of insurance premiums, goods</w:t>
      </w:r>
      <w:r>
        <w:t>,</w:t>
      </w:r>
      <w:r w:rsidRPr="0060218C">
        <w:t xml:space="preserve"> and services within a community</w:t>
      </w:r>
      <w:r>
        <w:t>, h</w:t>
      </w:r>
      <w:r w:rsidRPr="0060218C">
        <w:t>owever</w:t>
      </w:r>
      <w:r>
        <w:t>,</w:t>
      </w:r>
      <w:r w:rsidRPr="0060218C">
        <w:t xml:space="preserve"> these were not explicitly measured in the study by Wall and colleagues (2010).</w:t>
      </w:r>
      <w:r>
        <w:t xml:space="preserve"> </w:t>
      </w:r>
    </w:p>
    <w:p w14:paraId="62C1B0F0" w14:textId="77777777" w:rsidR="001B2940" w:rsidRPr="0060218C" w:rsidRDefault="001B2940" w:rsidP="001B2940">
      <w:pPr>
        <w:pStyle w:val="VRGFBodycontent"/>
      </w:pPr>
    </w:p>
    <w:p w14:paraId="7B825A28" w14:textId="54509E40" w:rsidR="005E39E4" w:rsidRPr="0060218C" w:rsidRDefault="005E39E4" w:rsidP="005E39E4">
      <w:pPr>
        <w:pStyle w:val="VRGFHead3"/>
      </w:pPr>
      <w:bookmarkStart w:id="96" w:name="_Toc462737995"/>
      <w:bookmarkStart w:id="97" w:name="_Toc283813366"/>
      <w:bookmarkStart w:id="98" w:name="_Toc283813435"/>
      <w:bookmarkStart w:id="99" w:name="_Toc285109126"/>
      <w:r w:rsidRPr="0060218C">
        <w:t>H</w:t>
      </w:r>
      <w:r w:rsidR="001B2940">
        <w:t>arms in M</w:t>
      </w:r>
      <w:r w:rsidRPr="00D37111">
        <w:t>ā</w:t>
      </w:r>
      <w:r w:rsidR="001B2940">
        <w:t>ori and other New Zealand communities</w:t>
      </w:r>
      <w:bookmarkEnd w:id="96"/>
      <w:r w:rsidR="001B2940">
        <w:t xml:space="preserve"> </w:t>
      </w:r>
      <w:bookmarkEnd w:id="97"/>
      <w:bookmarkEnd w:id="98"/>
      <w:bookmarkEnd w:id="99"/>
    </w:p>
    <w:p w14:paraId="52C99F9D" w14:textId="3EF48DB6" w:rsidR="005E39E4" w:rsidRPr="0060218C" w:rsidRDefault="005E39E4" w:rsidP="001B2940">
      <w:pPr>
        <w:pStyle w:val="VRGFBodycontent"/>
      </w:pPr>
      <w:r w:rsidRPr="0060218C">
        <w:t>There is strong evidence indicating that certain ethnic groups disproportionately experience harm related to gambling (e.g. Abbott &amp; Volberg, 2000)</w:t>
      </w:r>
      <w:r w:rsidR="009D23C6">
        <w:t>.</w:t>
      </w:r>
      <w:r w:rsidR="008610D3">
        <w:t xml:space="preserve"> </w:t>
      </w:r>
      <w:r w:rsidRPr="0060218C">
        <w:t>The most frequently cited reasons for this</w:t>
      </w:r>
      <w:r>
        <w:t xml:space="preserve"> are</w:t>
      </w:r>
      <w:r w:rsidRPr="0060218C">
        <w:t xml:space="preserve"> the </w:t>
      </w:r>
      <w:r>
        <w:t>socio-economic</w:t>
      </w:r>
      <w:r w:rsidRPr="0060218C">
        <w:t xml:space="preserve"> and political status of such groups within society (e.g. depri</w:t>
      </w:r>
      <w:r>
        <w:t>vation, lack of representation); access to gambling venues;</w:t>
      </w:r>
      <w:r w:rsidRPr="0060218C">
        <w:t xml:space="preserve"> cultural beliefs, values, practices and processes of colonisation; and migration and acculturation (e.g. Clarke et al., </w:t>
      </w:r>
      <w:r w:rsidRPr="00A22D10">
        <w:t>2006;</w:t>
      </w:r>
      <w:r w:rsidRPr="0060218C">
        <w:t xml:space="preserve"> Raylu &amp; Oei, </w:t>
      </w:r>
      <w:r w:rsidRPr="00FF38E0">
        <w:t>2004; Rintoul</w:t>
      </w:r>
      <w:r w:rsidRPr="0060218C">
        <w:t>, Livingstone, Mellor, &amp; Jolley, 2012)</w:t>
      </w:r>
      <w:r w:rsidR="009D23C6">
        <w:t>.</w:t>
      </w:r>
      <w:r w:rsidR="008610D3">
        <w:t xml:space="preserve"> </w:t>
      </w:r>
      <w:r w:rsidRPr="0060218C">
        <w:t xml:space="preserve">In the absence of an appropriate measure to assess harm, the level of problem gambling risk is used instead with a reasonable assumption that harm increases somewhat </w:t>
      </w:r>
      <w:r>
        <w:t>in line</w:t>
      </w:r>
      <w:r w:rsidRPr="0060218C">
        <w:t xml:space="preserve"> with problem gambling risk</w:t>
      </w:r>
      <w:r w:rsidR="009D23C6">
        <w:t>.</w:t>
      </w:r>
      <w:r w:rsidR="008610D3">
        <w:t xml:space="preserve"> </w:t>
      </w:r>
      <w:r w:rsidRPr="0060218C">
        <w:t xml:space="preserve">In New Zealand, problem gambling prevalence </w:t>
      </w:r>
      <w:r w:rsidR="00C90E42">
        <w:t>is</w:t>
      </w:r>
      <w:r w:rsidR="00C90E42" w:rsidRPr="0060218C">
        <w:t xml:space="preserve"> </w:t>
      </w:r>
      <w:r w:rsidRPr="0060218C">
        <w:t>significantly higher for Māori and Pacific populations; this has been the case over a couple of decades</w:t>
      </w:r>
      <w:r w:rsidR="009D23C6">
        <w:t>.</w:t>
      </w:r>
      <w:r w:rsidR="008610D3">
        <w:t xml:space="preserve"> </w:t>
      </w:r>
      <w:r w:rsidRPr="0060218C">
        <w:t xml:space="preserve">In 2012, for Māori, 6% were classified as problem or moderate-risk gamblers, 8% of Pacific </w:t>
      </w:r>
      <w:r w:rsidR="00C90E42">
        <w:t>people</w:t>
      </w:r>
      <w:r w:rsidRPr="0060218C">
        <w:t>, 3% of Asian</w:t>
      </w:r>
      <w:r w:rsidR="00C90E42">
        <w:t xml:space="preserve"> people</w:t>
      </w:r>
      <w:r w:rsidRPr="0060218C">
        <w:t xml:space="preserve"> and 1.8% of European/Other</w:t>
      </w:r>
      <w:r w:rsidR="00C90E42">
        <w:t xml:space="preserve"> people</w:t>
      </w:r>
      <w:r w:rsidRPr="0060218C">
        <w:t xml:space="preserve"> (Abbott et al., 2014a)</w:t>
      </w:r>
      <w:r w:rsidR="009D23C6">
        <w:t>.</w:t>
      </w:r>
      <w:r w:rsidR="008610D3">
        <w:t xml:space="preserve"> </w:t>
      </w:r>
      <w:r w:rsidRPr="0060218C">
        <w:t>It is clear that Māori are at particular risk of experiencing harm from gambling, and Pacific people, if they gamble, are much more likely than others to develop gambling problems (Abbott &amp; Volberg, 2000; Abbott et al., 2014a).</w:t>
      </w:r>
      <w:r>
        <w:t xml:space="preserve"> </w:t>
      </w:r>
    </w:p>
    <w:p w14:paraId="1BFD1BA2" w14:textId="4B448517" w:rsidR="005E39E4" w:rsidRDefault="005E39E4" w:rsidP="001B2940">
      <w:pPr>
        <w:pStyle w:val="VRGFBodycontent"/>
      </w:pPr>
      <w:r w:rsidRPr="0060218C">
        <w:t>Statistics on help-seeking show that primary modes of problematic gambling can differ by ethnicity</w:t>
      </w:r>
      <w:r w:rsidR="009D23C6">
        <w:t>.</w:t>
      </w:r>
      <w:r w:rsidR="008610D3">
        <w:t xml:space="preserve"> </w:t>
      </w:r>
      <w:r w:rsidRPr="0060218C">
        <w:t xml:space="preserve">In the 2013/2014 </w:t>
      </w:r>
      <w:r>
        <w:t xml:space="preserve">financial </w:t>
      </w:r>
      <w:r w:rsidRPr="0060218C">
        <w:t>year, 31% of all presentations to problem gambling services were in relation to non-casino EGM gambling</w:t>
      </w:r>
      <w:r w:rsidR="009D23C6">
        <w:t>.</w:t>
      </w:r>
      <w:r w:rsidR="008610D3">
        <w:t xml:space="preserve"> </w:t>
      </w:r>
      <w:r w:rsidRPr="0060218C">
        <w:t>However, 70% of Māori identified non-casino EGMs as the primary problematic mode, compared to 37% of Pacific people and just nine percent of Asian gamblers (Ministry of Health, 2014)</w:t>
      </w:r>
      <w:r w:rsidR="009D23C6">
        <w:t>.</w:t>
      </w:r>
      <w:r w:rsidR="008610D3">
        <w:t xml:space="preserve"> </w:t>
      </w:r>
      <w:r w:rsidRPr="0060218C">
        <w:t xml:space="preserve">Asian gamblers were more likely to identify casino table </w:t>
      </w:r>
      <w:r w:rsidRPr="0060218C">
        <w:lastRenderedPageBreak/>
        <w:t>gambling as problematic, and Pacific people identified lottery products and housie (bingo) more often than other groups</w:t>
      </w:r>
      <w:r w:rsidR="009D23C6">
        <w:t>.</w:t>
      </w:r>
      <w:r w:rsidR="008610D3">
        <w:t xml:space="preserve"> </w:t>
      </w:r>
      <w:r>
        <w:t>A study by Lin, Casswell, Huckle, You, and Asiasiga (2011)</w:t>
      </w:r>
      <w:r w:rsidRPr="0060218C">
        <w:t xml:space="preserve"> sought to explore how the impact of different modes of gambling on quality of life differs for different ethnic groups in New Zealand</w:t>
      </w:r>
      <w:r w:rsidR="009D23C6">
        <w:t>.</w:t>
      </w:r>
      <w:r w:rsidR="008610D3">
        <w:t xml:space="preserve"> </w:t>
      </w:r>
      <w:r w:rsidRPr="0060218C">
        <w:t>These authors interviewed Pākehā/European</w:t>
      </w:r>
      <w:r>
        <w:t xml:space="preserve"> (N=</w:t>
      </w:r>
      <w:r w:rsidRPr="0060218C">
        <w:t>4,068), Māori (</w:t>
      </w:r>
      <w:r>
        <w:t>N=</w:t>
      </w:r>
      <w:r w:rsidRPr="0060218C">
        <w:t>1,162), Pacific people</w:t>
      </w:r>
      <w:r>
        <w:t xml:space="preserve"> (N=</w:t>
      </w:r>
      <w:r w:rsidRPr="0060218C">
        <w:t>1,031)</w:t>
      </w:r>
      <w:r>
        <w:t>,</w:t>
      </w:r>
      <w:r w:rsidRPr="0060218C">
        <w:t xml:space="preserve"> and Chinese and Korean people</w:t>
      </w:r>
      <w:r>
        <w:t xml:space="preserve"> (N=984) in their study</w:t>
      </w:r>
      <w:r w:rsidRPr="0060218C">
        <w:t xml:space="preserve"> assessing gambling participation and quality of life</w:t>
      </w:r>
      <w:r w:rsidR="009D23C6">
        <w:t>.</w:t>
      </w:r>
      <w:r w:rsidR="008610D3">
        <w:t xml:space="preserve"> </w:t>
      </w:r>
      <w:r w:rsidRPr="0060218C">
        <w:t>Māori and Pacific participants showed significant associations between gambling participation (especially time spent on non-casino EGMs) and poorer self-ratings on quality of life indicators (e.g. physical health, mental wellbeing, relationship quality, child</w:t>
      </w:r>
      <w:r>
        <w:t>-</w:t>
      </w:r>
      <w:r w:rsidRPr="0060218C">
        <w:t>rearing ability</w:t>
      </w:r>
      <w:r w:rsidR="003D3355">
        <w:t>,</w:t>
      </w:r>
      <w:r w:rsidRPr="0060218C">
        <w:t xml:space="preserve"> quality of life, satisfaction with life, and material standard of living)</w:t>
      </w:r>
      <w:r w:rsidR="009D23C6">
        <w:t>.</w:t>
      </w:r>
      <w:r w:rsidR="008610D3">
        <w:t xml:space="preserve"> </w:t>
      </w:r>
      <w:r w:rsidRPr="0060218C">
        <w:t>In contrast, significant associations between participation and wellbeing for Pākehā/European participants were all positive and there was no relationship between participation in non-casino EGM gambling and wellbeing</w:t>
      </w:r>
      <w:r w:rsidR="009D23C6">
        <w:t>.</w:t>
      </w:r>
      <w:r w:rsidR="008610D3">
        <w:t xml:space="preserve"> </w:t>
      </w:r>
      <w:r w:rsidRPr="0060218C">
        <w:t>Findings for Chinese and Korean participants were more mixed</w:t>
      </w:r>
      <w:r w:rsidR="000E2254">
        <w:t>;</w:t>
      </w:r>
      <w:r w:rsidRPr="0060218C">
        <w:t xml:space="preserve"> for example</w:t>
      </w:r>
      <w:r w:rsidR="000E2254">
        <w:t>,</w:t>
      </w:r>
      <w:r w:rsidRPr="0060218C">
        <w:t xml:space="preserve"> playing casino table games was associated with better self-reported housing situation, whilst playing poker at home was associated with better relationships and poorer self-rated study performance</w:t>
      </w:r>
      <w:r w:rsidR="009D23C6">
        <w:t>.</w:t>
      </w:r>
      <w:r w:rsidR="008610D3">
        <w:t xml:space="preserve"> </w:t>
      </w:r>
      <w:r w:rsidRPr="0060218C">
        <w:t>Lin et al. (2011) provided some evidence that different gambling modes are associated with different harm (in different domains of life) depending on ethnic background</w:t>
      </w:r>
      <w:r w:rsidR="009D23C6">
        <w:t>.</w:t>
      </w:r>
      <w:r w:rsidR="008610D3">
        <w:t xml:space="preserve"> </w:t>
      </w:r>
      <w:r w:rsidRPr="0060218C">
        <w:t>They also commented that much more research is needed to understand gambling harm experienced in different cultural communities.</w:t>
      </w:r>
      <w:r>
        <w:t xml:space="preserve"> </w:t>
      </w:r>
    </w:p>
    <w:p w14:paraId="1F7FD1F2" w14:textId="77777777" w:rsidR="001B2940" w:rsidRPr="0060218C" w:rsidRDefault="001B2940" w:rsidP="001B2940">
      <w:pPr>
        <w:pStyle w:val="VRGFBodycontent"/>
      </w:pPr>
    </w:p>
    <w:p w14:paraId="5819E846" w14:textId="1E5A71E7" w:rsidR="005E39E4" w:rsidRPr="0060218C" w:rsidRDefault="005E39E4" w:rsidP="005E39E4">
      <w:pPr>
        <w:pStyle w:val="VRGFHead3"/>
      </w:pPr>
      <w:bookmarkStart w:id="100" w:name="_Toc283813367"/>
      <w:bookmarkStart w:id="101" w:name="_Toc283813436"/>
      <w:bookmarkStart w:id="102" w:name="_Toc285109127"/>
      <w:bookmarkStart w:id="103" w:name="_Toc462737996"/>
      <w:r w:rsidRPr="0060218C">
        <w:t>M</w:t>
      </w:r>
      <w:r w:rsidR="001B2940" w:rsidRPr="001B2940">
        <w:t>ā</w:t>
      </w:r>
      <w:r w:rsidR="001B2940">
        <w:t>ori</w:t>
      </w:r>
      <w:bookmarkEnd w:id="100"/>
      <w:bookmarkEnd w:id="101"/>
      <w:bookmarkEnd w:id="102"/>
      <w:bookmarkEnd w:id="103"/>
    </w:p>
    <w:p w14:paraId="54D87A4C" w14:textId="78C75B44" w:rsidR="00BB6B8F" w:rsidRPr="00BB6B8F" w:rsidRDefault="00BB6B8F" w:rsidP="00BB6B8F">
      <w:pPr>
        <w:pStyle w:val="VRGFBodycontent"/>
      </w:pPr>
      <w:r w:rsidRPr="00BB6B8F">
        <w:t>Māori suffer more adverse impacts of gambling and experience more problem gambling than do non-Māori (Abbott &amp; Volberg, 2000;</w:t>
      </w:r>
      <w:r w:rsidR="00263368">
        <w:t xml:space="preserve"> </w:t>
      </w:r>
      <w:r w:rsidR="00263368" w:rsidRPr="00263368">
        <w:t>Abbott et al., 2014a</w:t>
      </w:r>
      <w:r w:rsidRPr="00BB6B8F">
        <w:t>; Dyall, 2004)</w:t>
      </w:r>
      <w:r w:rsidR="009D23C6">
        <w:t>.</w:t>
      </w:r>
      <w:r w:rsidR="008610D3">
        <w:t xml:space="preserve"> </w:t>
      </w:r>
      <w:r w:rsidRPr="00BB6B8F">
        <w:t>Gambling activities such as horse raising were introduced in New Zealand with the arrival of new settlers from Europe in the 19</w:t>
      </w:r>
      <w:r w:rsidRPr="00BB6B8F">
        <w:rPr>
          <w:vertAlign w:val="superscript"/>
        </w:rPr>
        <w:t>th</w:t>
      </w:r>
      <w:r w:rsidRPr="00BB6B8F">
        <w:t xml:space="preserve"> century and Māori became quickly absorbed in such activities (Grant, 1991)</w:t>
      </w:r>
      <w:r w:rsidR="009D23C6">
        <w:t>.</w:t>
      </w:r>
      <w:r w:rsidR="008610D3">
        <w:t xml:space="preserve"> </w:t>
      </w:r>
      <w:r w:rsidRPr="00BB6B8F">
        <w:t>Considering that gambling was not a norm within traditional Māori culture (Dyall &amp; Morrison, 2002) their introduction to gambling highlights historical European influences on this culture</w:t>
      </w:r>
      <w:r w:rsidR="009D23C6">
        <w:t>.</w:t>
      </w:r>
      <w:r w:rsidR="008610D3">
        <w:t xml:space="preserve"> </w:t>
      </w:r>
      <w:r w:rsidRPr="00BB6B8F">
        <w:t>Culture-related harms have since been associated with the use of Māori cultural symbols and practices in gambling advertising</w:t>
      </w:r>
      <w:r w:rsidR="009D23C6">
        <w:t>.</w:t>
      </w:r>
      <w:r w:rsidR="008610D3">
        <w:t xml:space="preserve"> </w:t>
      </w:r>
      <w:r w:rsidRPr="00BB6B8F">
        <w:t>Dyall, Tse and Kingi (2009) referred to the opening ceremonies of casinos in New Zealand in the 1990s in which large Māori carvings were placed within the venues to symbolise welcome and protection, and where kaumātua (Māori elders) were invited to enhance the venues’ safety through cultural and spiritual rituals</w:t>
      </w:r>
      <w:r w:rsidR="009D23C6">
        <w:t>.</w:t>
      </w:r>
      <w:r w:rsidR="008610D3">
        <w:t xml:space="preserve"> </w:t>
      </w:r>
      <w:r w:rsidRPr="00BB6B8F">
        <w:t>The authors argued that this was utilisation of Māori culture to promote and legitimise gambling venues as a safe place for Māori and was thus undermining of Māori culture</w:t>
      </w:r>
      <w:r w:rsidR="009D23C6">
        <w:t>.</w:t>
      </w:r>
      <w:r w:rsidR="008610D3">
        <w:t xml:space="preserve"> </w:t>
      </w:r>
      <w:r w:rsidRPr="00BB6B8F">
        <w:t>Morrison and Boulton (2013) noted how Māori symbols such as the “TikiTiki” (which symbolises good fortune) in electronic gaming machines (EGMs) was a feature that female Māori gamblers connected with, as it gave them a feeling of being welcomed and a way to identify with their own culture</w:t>
      </w:r>
      <w:r w:rsidR="009D23C6">
        <w:t>.</w:t>
      </w:r>
      <w:r w:rsidR="008610D3">
        <w:t xml:space="preserve"> </w:t>
      </w:r>
      <w:r w:rsidRPr="00BB6B8F">
        <w:t>The authors argued that such use of cultural symbols in EGMs was deliberate and had a definite impact on gambling among Māori women</w:t>
      </w:r>
      <w:r w:rsidR="009D23C6">
        <w:t>.</w:t>
      </w:r>
      <w:r w:rsidR="008610D3">
        <w:t xml:space="preserve"> </w:t>
      </w:r>
      <w:r w:rsidRPr="00BB6B8F">
        <w:t>Noting the ongoing strategic use of cultural symbols, including those of other ethnic minority groups</w:t>
      </w:r>
      <w:r w:rsidRPr="00BB6B8F">
        <w:rPr>
          <w:vertAlign w:val="superscript"/>
        </w:rPr>
        <w:footnoteReference w:id="1"/>
      </w:r>
      <w:r w:rsidRPr="00BB6B8F">
        <w:t xml:space="preserve"> in gambling promotion and advertising (without prior consultation with the respective communities), Dyall, Tse and Kingi (2009) called for improvements to advertising regulations which would prohibit such use of culture, particularly considering that it encourages gambling among high risk groups.</w:t>
      </w:r>
      <w:r w:rsidR="00BE3642">
        <w:t xml:space="preserve"> </w:t>
      </w:r>
    </w:p>
    <w:p w14:paraId="0FD88DD7" w14:textId="500AE685" w:rsidR="00BB6B8F" w:rsidRPr="00BB6B8F" w:rsidRDefault="00BB6B8F" w:rsidP="00BB6B8F">
      <w:pPr>
        <w:pStyle w:val="VRGFBodycontent"/>
      </w:pPr>
      <w:r w:rsidRPr="00BB6B8F">
        <w:t>A number of other studies have highlighted recurring patterns of harm experienced by Māori</w:t>
      </w:r>
      <w:r w:rsidR="009D23C6">
        <w:t>.</w:t>
      </w:r>
      <w:r w:rsidR="008610D3">
        <w:t xml:space="preserve"> </w:t>
      </w:r>
      <w:r w:rsidRPr="00BB6B8F">
        <w:t xml:space="preserve">A study on the socio-economic impacts of gambling in New Zealand by SHORE &amp; Te Rōpū Whāriki (2006) </w:t>
      </w:r>
      <w:r w:rsidRPr="00BB6B8F">
        <w:lastRenderedPageBreak/>
        <w:t>found that some gambling effects were unique to Māori; these included destruction of Māori family values and caregiving practices, damage to mana (prestige, status, spiritual power), and emotional harms in terms of a person’s wairua (spirit/soul) and identity</w:t>
      </w:r>
      <w:r w:rsidR="009D23C6">
        <w:t>.</w:t>
      </w:r>
      <w:r w:rsidR="008610D3">
        <w:t xml:space="preserve"> </w:t>
      </w:r>
      <w:r w:rsidRPr="00BB6B8F">
        <w:t>Likewise, other qualitative research with Māori whānau and communities has suggested impacts such as the erosion of social and cultural capital and Māori cultural and family values, and the neglect of children and erosion of family relationships caused by reduced time and money available to families (Dyall &amp; Hand, 2003; Dyall et al., 2009a; Dyall, 2007)</w:t>
      </w:r>
      <w:r w:rsidR="009D23C6">
        <w:t>.</w:t>
      </w:r>
      <w:r w:rsidR="008610D3">
        <w:t xml:space="preserve"> </w:t>
      </w:r>
      <w:r w:rsidRPr="00BB6B8F">
        <w:t>In an exploratory qualitative study on the effects of gambling on whānau members and others affected by someone else’s gambling, Dyall (2010) noted that these were wide ranging for Māori families</w:t>
      </w:r>
      <w:r w:rsidR="009D23C6">
        <w:t>.</w:t>
      </w:r>
      <w:r w:rsidR="008610D3">
        <w:t xml:space="preserve"> </w:t>
      </w:r>
      <w:r w:rsidRPr="00BB6B8F">
        <w:t>Impacts on whānau included child neglect, whakamā (shame), loss of respect for and of a trustful relationship with the gambler, negative consequences of resultant debt, and emotional distress and depression</w:t>
      </w:r>
      <w:r w:rsidR="009D23C6">
        <w:t>.</w:t>
      </w:r>
      <w:r w:rsidR="008610D3">
        <w:t xml:space="preserve"> </w:t>
      </w:r>
      <w:r w:rsidRPr="00BB6B8F">
        <w:t>In the New Zealand 2012 National Gambling Study, when asked about the impacts of others’ gambling, Māori (30%) and Pacific people (32%) more often referred to adverse financial impacts than European/Other (19%) and Asian (23%)</w:t>
      </w:r>
      <w:r w:rsidR="009D23C6">
        <w:t>.</w:t>
      </w:r>
      <w:r w:rsidR="008610D3">
        <w:t xml:space="preserve"> </w:t>
      </w:r>
      <w:r w:rsidRPr="00BB6B8F">
        <w:t>Māori, relative to Asian people, more often mentioned feeling sorry for or concern for the gambler, and loss of time together (Abbott, et al., 2014a).</w:t>
      </w:r>
      <w:r w:rsidR="00BE3642">
        <w:t xml:space="preserve"> </w:t>
      </w:r>
    </w:p>
    <w:p w14:paraId="01C63332" w14:textId="4030AB9B" w:rsidR="00BB6B8F" w:rsidRPr="00BB6B8F" w:rsidRDefault="00BB6B8F" w:rsidP="00BB6B8F">
      <w:pPr>
        <w:pStyle w:val="VRGFBodycontent"/>
      </w:pPr>
      <w:r w:rsidRPr="00BB6B8F">
        <w:t>In a study by Watene et al., (2009), the authors reported</w:t>
      </w:r>
      <w:r w:rsidR="00BE3642">
        <w:t xml:space="preserve"> </w:t>
      </w:r>
      <w:r w:rsidRPr="00BB6B8F">
        <w:t>that gambling and gambling addiction, can encourage an individualised view of the world, which erodes or changes traditional concepts such as whānau, whanaunagatanga (relationship, kinship, sense of family connection and belonging) and koha (gifts and contributions to others that maintain social relationships and have connotations of reciprocity)</w:t>
      </w:r>
      <w:r w:rsidR="009D23C6">
        <w:t>.</w:t>
      </w:r>
      <w:r w:rsidR="008610D3">
        <w:t xml:space="preserve"> </w:t>
      </w:r>
      <w:r w:rsidRPr="00BB6B8F">
        <w:t>A different study on gambling impacts in Manukau City (where the Māori population ranks first in size out of the 73 districts in New Zealand), identified harms to children, loss of mana and theft to pay for gambling as common experiences (Rankine &amp; Haigh, 2003)</w:t>
      </w:r>
      <w:r w:rsidR="009D23C6">
        <w:t>.</w:t>
      </w:r>
      <w:r w:rsidR="008610D3">
        <w:t xml:space="preserve"> </w:t>
      </w:r>
      <w:r w:rsidRPr="00BB6B8F">
        <w:t>Echoing earlier findings, Lin et al. (2011) highlighted how Māori, alongside Pacific people, differed from other ethnic groups in New Zealand in terms of gambling harms</w:t>
      </w:r>
      <w:r w:rsidR="00B97738" w:rsidRPr="00B97738">
        <w:t xml:space="preserve"> </w:t>
      </w:r>
      <w:r w:rsidR="00B97738" w:rsidRPr="00BB6B8F">
        <w:t>experienced</w:t>
      </w:r>
      <w:r w:rsidR="009D23C6">
        <w:t>.</w:t>
      </w:r>
      <w:r w:rsidR="008610D3">
        <w:t xml:space="preserve"> </w:t>
      </w:r>
      <w:r w:rsidRPr="00BB6B8F">
        <w:t>Their study, which included a sample of 1,162 Māori respondents, found significant relationship between time spent on electronic gaming machines and lower quality of life self-ratings suc</w:t>
      </w:r>
      <w:r w:rsidR="004170F5">
        <w:t>h as perceptions of mental well</w:t>
      </w:r>
      <w:r w:rsidRPr="00BB6B8F">
        <w:t>being, relationship quality, overall life satisfaction, living standards and child rearing capabilities</w:t>
      </w:r>
      <w:r w:rsidR="009D23C6">
        <w:t>.</w:t>
      </w:r>
      <w:r w:rsidR="008610D3">
        <w:t xml:space="preserve"> </w:t>
      </w:r>
      <w:r w:rsidRPr="00BB6B8F">
        <w:t xml:space="preserve">Additionally, a study which looked into connections between alcohol abuse, problem gambling and suicide attempts found that individuals of Māori descent who had attempted suicide tended to test positive concurrently for gambling problems and alcohol abuse, suggesting </w:t>
      </w:r>
      <w:r w:rsidR="00503B8C">
        <w:t>a</w:t>
      </w:r>
      <w:r w:rsidR="00503B8C" w:rsidRPr="00BB6B8F">
        <w:t xml:space="preserve"> </w:t>
      </w:r>
      <w:r w:rsidRPr="00BB6B8F">
        <w:t>higher level of vulnerability of this ethnic group in New Zealand in terms of gambling risks (Penfold, Hatcher, Sullivan &amp; Collins, 2006).</w:t>
      </w:r>
      <w:r w:rsidR="00BE3642">
        <w:t xml:space="preserve"> </w:t>
      </w:r>
    </w:p>
    <w:p w14:paraId="2BA6C095" w14:textId="380785F7" w:rsidR="00BB6B8F" w:rsidRPr="00BB6B8F" w:rsidRDefault="00BB6B8F" w:rsidP="00BB6B8F">
      <w:pPr>
        <w:pStyle w:val="VRGFBodycontent"/>
      </w:pPr>
      <w:r w:rsidRPr="00BB6B8F">
        <w:t xml:space="preserve">Studies that have focused on gambling among Māori women (who tend to be marginalised and come from economically deprived backgrounds) have highlighted their early exposure to gambling, normalisation of gambling within their communities, and </w:t>
      </w:r>
      <w:r w:rsidR="00C26151">
        <w:t xml:space="preserve">the </w:t>
      </w:r>
      <w:r w:rsidRPr="00BB6B8F">
        <w:t xml:space="preserve">harms experienced by this group </w:t>
      </w:r>
      <w:r w:rsidR="00C26151">
        <w:t xml:space="preserve">(e.g. </w:t>
      </w:r>
      <w:r w:rsidRPr="00BB6B8F">
        <w:t>loss of status and self-esteem, and impacts on finances, relationships, health and wellbeing</w:t>
      </w:r>
      <w:r w:rsidR="00C26151">
        <w:t>)</w:t>
      </w:r>
      <w:r w:rsidRPr="00BB6B8F">
        <w:t xml:space="preserve"> (Morrison, 2004; Morrison, 2008; Morrison &amp; Wilson, 2015)</w:t>
      </w:r>
      <w:r w:rsidR="009D23C6">
        <w:t>.</w:t>
      </w:r>
      <w:r w:rsidR="008610D3">
        <w:t xml:space="preserve"> </w:t>
      </w:r>
      <w:r w:rsidRPr="00BB6B8F">
        <w:t>In one study that was based on a sample of women prisoners containing a large proportion of Māori women</w:t>
      </w:r>
      <w:r w:rsidRPr="00BB6B8F">
        <w:rPr>
          <w:vertAlign w:val="superscript"/>
        </w:rPr>
        <w:footnoteReference w:id="2"/>
      </w:r>
      <w:r w:rsidR="00BE3642">
        <w:t xml:space="preserve"> </w:t>
      </w:r>
      <w:r w:rsidRPr="00BB6B8F">
        <w:t>almost all reported having gambled six months prior to their imprisonment (Abbott &amp; McKenna, 2005)</w:t>
      </w:r>
      <w:r w:rsidR="009D23C6">
        <w:t>.</w:t>
      </w:r>
      <w:r w:rsidR="008610D3">
        <w:t xml:space="preserve"> </w:t>
      </w:r>
      <w:r w:rsidRPr="00BB6B8F">
        <w:t>Considering that this study highlighted possible relationships between respondents’ problem gambling status and their offending patterns, this raises concerns over gambling-related criminal activities among Māori women</w:t>
      </w:r>
      <w:r w:rsidR="009D23C6">
        <w:t>.</w:t>
      </w:r>
      <w:r w:rsidR="008610D3">
        <w:t xml:space="preserve"> </w:t>
      </w:r>
      <w:r w:rsidRPr="00BB6B8F">
        <w:t xml:space="preserve">The prevalence of problematic gambling among Māori women also leads to concerns of </w:t>
      </w:r>
      <w:r w:rsidRPr="00BB6B8F">
        <w:lastRenderedPageBreak/>
        <w:t xml:space="preserve">potential negative consequential impacts such as child neglect and abuse, for instance leaving children unattended in gambling venue car parks (Grogan, 2012). </w:t>
      </w:r>
    </w:p>
    <w:p w14:paraId="099AF00A" w14:textId="2806F5A5" w:rsidR="00BB6B8F" w:rsidRDefault="00BB6B8F" w:rsidP="00BB6B8F">
      <w:pPr>
        <w:pStyle w:val="VRGFBodycontent"/>
      </w:pPr>
      <w:r w:rsidRPr="00BB6B8F">
        <w:t>It has been suggested that for Māori, gambling has come to represent hope and the possibility of changing financial status as well as a means to escape boredom and trauma</w:t>
      </w:r>
      <w:r w:rsidR="009D23C6">
        <w:t>.</w:t>
      </w:r>
      <w:r w:rsidR="008610D3">
        <w:t xml:space="preserve"> </w:t>
      </w:r>
      <w:r w:rsidRPr="00BB6B8F">
        <w:t>The accessibility of gambling products in low income communities, where many Māori reside, is consistently noted as being of concern (Dyall, 2007; Clarke et al, 2006).</w:t>
      </w:r>
    </w:p>
    <w:p w14:paraId="66512E22" w14:textId="77777777" w:rsidR="005E39E4" w:rsidRPr="0060218C" w:rsidRDefault="005E39E4" w:rsidP="005E39E4"/>
    <w:p w14:paraId="5363AB69" w14:textId="6E850F09" w:rsidR="005E39E4" w:rsidRPr="0060218C" w:rsidRDefault="005E39E4" w:rsidP="005E39E4">
      <w:pPr>
        <w:pStyle w:val="VRGFHead3"/>
      </w:pPr>
      <w:bookmarkStart w:id="104" w:name="_Toc462737997"/>
      <w:bookmarkStart w:id="105" w:name="_Toc283813368"/>
      <w:bookmarkStart w:id="106" w:name="_Toc283813437"/>
      <w:bookmarkStart w:id="107" w:name="_Toc285109128"/>
      <w:r w:rsidRPr="0060218C">
        <w:t>P</w:t>
      </w:r>
      <w:r w:rsidR="001B2940">
        <w:t>acific people</w:t>
      </w:r>
      <w:bookmarkEnd w:id="104"/>
      <w:r w:rsidR="001B2940">
        <w:t xml:space="preserve"> </w:t>
      </w:r>
      <w:bookmarkEnd w:id="105"/>
      <w:bookmarkEnd w:id="106"/>
      <w:bookmarkEnd w:id="107"/>
    </w:p>
    <w:p w14:paraId="31B3CBEA" w14:textId="5A44E26C" w:rsidR="005E39E4" w:rsidRPr="0060218C" w:rsidRDefault="005E39E4" w:rsidP="001B2940">
      <w:pPr>
        <w:pStyle w:val="VRGFBodycontent"/>
      </w:pPr>
      <w:r w:rsidRPr="0060218C">
        <w:t xml:space="preserve">The Health Research Council of New Zealand uses the term ‘Pasifika’ to refer to indigenous groups from the Pacific Islands who are “linguistically, culturally and geographically distinctive from each other” (Health Research Council of New Zealand, </w:t>
      </w:r>
      <w:r w:rsidRPr="00531DE5">
        <w:t>2004</w:t>
      </w:r>
      <w:r w:rsidRPr="0060218C">
        <w:t>)</w:t>
      </w:r>
      <w:r w:rsidR="009D23C6">
        <w:t>.</w:t>
      </w:r>
      <w:r w:rsidR="008610D3">
        <w:t xml:space="preserve"> </w:t>
      </w:r>
      <w:r w:rsidRPr="0060218C">
        <w:t>In 2013, 7.4 percent of the New Zealand population (295,941 people) identified with one or more Pacific ethnic groups</w:t>
      </w:r>
      <w:r w:rsidR="009D23C6">
        <w:t>.</w:t>
      </w:r>
      <w:r w:rsidR="008610D3">
        <w:t xml:space="preserve"> </w:t>
      </w:r>
      <w:r w:rsidRPr="0060218C">
        <w:t>The five largest Pacific ethnic groups are Samoan, Cook Islander, Tongan, Niuean, and Fijian people (Statistics New Zealand, 2014a)</w:t>
      </w:r>
      <w:r w:rsidR="009D23C6">
        <w:t>.</w:t>
      </w:r>
      <w:r w:rsidR="008610D3">
        <w:t xml:space="preserve"> </w:t>
      </w:r>
      <w:r w:rsidRPr="0060218C">
        <w:t>Although a large proportion of Pacific people do not gamble (as reflected in the lower participation rate compared with the national average), those who do gamble are at greater risk of developing problem gambling (Ministry of Health, 2009; 2012)</w:t>
      </w:r>
      <w:r w:rsidR="009D23C6">
        <w:t>.</w:t>
      </w:r>
      <w:r w:rsidR="008610D3">
        <w:t xml:space="preserve"> </w:t>
      </w:r>
      <w:r w:rsidRPr="0060218C">
        <w:t>It has also been shown that whilst fewer Pacific people take part in gambling activities than the general population, a disproportionate number of those who do gamble have a higher expenditure than other population groups; referred to as a ‘bimodal’ distribution for gambling (Abbott &amp; Volberg, 2000)</w:t>
      </w:r>
    </w:p>
    <w:p w14:paraId="59A291A5" w14:textId="53682385" w:rsidR="005E39E4" w:rsidRPr="0060218C" w:rsidRDefault="005E39E4" w:rsidP="001B2940">
      <w:pPr>
        <w:pStyle w:val="VRGFBodycontent"/>
      </w:pPr>
      <w:r w:rsidRPr="0060218C">
        <w:t xml:space="preserve">Nationally representative prevalence surveys conducted in 1991 and 1999 estimated that Pacific populations were over six times more likely to experience problems than European/Pākehā populations </w:t>
      </w:r>
      <w:r>
        <w:t>(</w:t>
      </w:r>
      <w:r w:rsidRPr="0060218C">
        <w:t>Abbott &amp; Volberg, 1991; 2000)</w:t>
      </w:r>
      <w:r w:rsidR="009D23C6">
        <w:t>.</w:t>
      </w:r>
      <w:r w:rsidR="008610D3">
        <w:t xml:space="preserve"> </w:t>
      </w:r>
      <w:r w:rsidRPr="0060218C">
        <w:t xml:space="preserve">These findings have also been supported by the recent </w:t>
      </w:r>
      <w:r>
        <w:t xml:space="preserve">New Zealand </w:t>
      </w:r>
      <w:r w:rsidRPr="0060218C">
        <w:t>2012 National Gambling Study (Abbott et al.,</w:t>
      </w:r>
      <w:r>
        <w:t xml:space="preserve"> </w:t>
      </w:r>
      <w:r w:rsidRPr="0060218C">
        <w:t>2014a)</w:t>
      </w:r>
      <w:r w:rsidR="009D23C6">
        <w:t>.</w:t>
      </w:r>
      <w:r w:rsidR="008610D3">
        <w:t xml:space="preserve"> </w:t>
      </w:r>
      <w:r w:rsidRPr="0060218C">
        <w:t xml:space="preserve">Abbott and Volberg (2000) suggest that the </w:t>
      </w:r>
      <w:r>
        <w:t>bimodal pattern of engagement in gambling activity</w:t>
      </w:r>
      <w:r w:rsidRPr="0060218C">
        <w:t xml:space="preserve"> is one reason why Pacific peoples are more likely than others to develop gambling problems</w:t>
      </w:r>
      <w:r w:rsidR="009D23C6">
        <w:t>.</w:t>
      </w:r>
      <w:r w:rsidR="008610D3">
        <w:t xml:space="preserve"> </w:t>
      </w:r>
      <w:r w:rsidRPr="00486EE9">
        <w:t xml:space="preserve">In addition, </w:t>
      </w:r>
      <w:r>
        <w:t xml:space="preserve">prevalence surveys show that </w:t>
      </w:r>
      <w:r w:rsidRPr="00486EE9">
        <w:t xml:space="preserve">when re-interviewed </w:t>
      </w:r>
      <w:r>
        <w:t>seven</w:t>
      </w:r>
      <w:r w:rsidRPr="00486EE9">
        <w:t xml:space="preserve"> years after the first assessment, Pacific peoples were less likely than New Zealand Europeans to have overcome gambling problems, suggesting that Pacific peoples were more likely to have persisting gambling problems (Abbott, 2001</w:t>
      </w:r>
      <w:r>
        <w:t>)</w:t>
      </w:r>
      <w:r w:rsidR="009D23C6">
        <w:t>.</w:t>
      </w:r>
      <w:r w:rsidR="008610D3">
        <w:t xml:space="preserve"> </w:t>
      </w:r>
      <w:r w:rsidRPr="0060218C">
        <w:t>Other research has indicated that gambling participation is associated with cultural beliefs, practices</w:t>
      </w:r>
      <w:r>
        <w:t>,</w:t>
      </w:r>
      <w:r w:rsidRPr="0060218C">
        <w:t xml:space="preserve"> and obligations amongst Samoan and Tongan communities, such as for fa’alavelave and other ‘gift-giving’ obligations (Anae et al., 2008; Bellringer et al., 2006; Cowley et al., 2004; Guttenbeil-Po’uhila et al., 2004; Perese &amp; Faleafa, 2000; Tse et al., 2005, 2012)</w:t>
      </w:r>
      <w:r w:rsidR="009D23C6">
        <w:t>.</w:t>
      </w:r>
      <w:r w:rsidR="008610D3">
        <w:t xml:space="preserve"> </w:t>
      </w:r>
      <w:r w:rsidRPr="0060218C">
        <w:t>For example, Pacific mothers who follow a gift giving cultural practice seem more likely to gamble and spend more money per week on gambling; and migrant Pacific mothers are more likely to gamble than those who are New Zealand born (Bellringer et al., 2006).</w:t>
      </w:r>
      <w:r>
        <w:t xml:space="preserve"> </w:t>
      </w:r>
    </w:p>
    <w:p w14:paraId="4CBA4547" w14:textId="5C2BF55E" w:rsidR="005E39E4" w:rsidRPr="0060218C" w:rsidRDefault="005E39E4" w:rsidP="001B2940">
      <w:pPr>
        <w:pStyle w:val="VRGFBodycontent"/>
      </w:pPr>
      <w:r w:rsidRPr="0060218C">
        <w:t>In 2013</w:t>
      </w:r>
      <w:r>
        <w:t>,</w:t>
      </w:r>
      <w:r w:rsidRPr="0060218C">
        <w:t xml:space="preserve"> the Gambling and Addictions Research Centre completed research into the impacts of gambling on Pacific families and communities in New Zealand</w:t>
      </w:r>
      <w:r w:rsidR="009D23C6">
        <w:t>.</w:t>
      </w:r>
      <w:r w:rsidR="008610D3">
        <w:t xml:space="preserve"> </w:t>
      </w:r>
      <w:r w:rsidRPr="0060218C">
        <w:t>This research involved secondary analyses of Pacific data from existing data sets, as well as focus groups and interviews with key Pacific stakeholders (Bellringer et al., 2013)</w:t>
      </w:r>
      <w:r w:rsidR="009D23C6">
        <w:t>.</w:t>
      </w:r>
      <w:r w:rsidR="008610D3">
        <w:t xml:space="preserve"> </w:t>
      </w:r>
      <w:r w:rsidRPr="0060218C">
        <w:t>In one data set, almost three-quarters of respondents who gambled reported losing money on gambling, although only 15% reported negative financial impacts due to their own gambling (and 13% reported winning money overall, on gambling)</w:t>
      </w:r>
      <w:r w:rsidR="009D23C6">
        <w:t>.</w:t>
      </w:r>
      <w:r w:rsidR="008610D3">
        <w:t xml:space="preserve"> </w:t>
      </w:r>
      <w:r>
        <w:t>Approximately o</w:t>
      </w:r>
      <w:r w:rsidRPr="0060218C">
        <w:t>ne-fifth (21%) of respondents reported negative financial impacts from someone else’s gambling, along with negative feelings about self (20%) and negative impacts on life satisfaction (18%)</w:t>
      </w:r>
      <w:r w:rsidR="009D23C6">
        <w:t>.</w:t>
      </w:r>
      <w:r w:rsidR="008610D3">
        <w:t xml:space="preserve"> </w:t>
      </w:r>
      <w:r w:rsidRPr="0060218C">
        <w:t xml:space="preserve">Similarly in another data set, 37% identified being ‘unable to pay for household </w:t>
      </w:r>
      <w:r w:rsidRPr="0060218C">
        <w:lastRenderedPageBreak/>
        <w:t>bills/food/rent’ as the top impact of harmful gambling and 32% identified ‘financial problems’</w:t>
      </w:r>
      <w:r w:rsidR="009D23C6">
        <w:t>.</w:t>
      </w:r>
      <w:r w:rsidR="008610D3">
        <w:t xml:space="preserve"> </w:t>
      </w:r>
      <w:r w:rsidRPr="0060218C">
        <w:t>The focus group and interview participants discussed the extreme nature of impacts caused by financial deficit including relationship breakdown, loss of accommodation and belongings, child neglect</w:t>
      </w:r>
      <w:r>
        <w:t>,</w:t>
      </w:r>
      <w:r w:rsidRPr="0060218C">
        <w:t xml:space="preserve"> and suicide</w:t>
      </w:r>
      <w:r w:rsidR="009D23C6">
        <w:t>.</w:t>
      </w:r>
      <w:r w:rsidR="008610D3">
        <w:t xml:space="preserve"> </w:t>
      </w:r>
      <w:r w:rsidRPr="0060218C">
        <w:t>Gambling participation differences were also noted whereby lotto/keno gamblers were less likely to report negative impacts on the various life domains than other gamblers, whilst frequent gamblers on continuous modes were more likely to report negative impacts, particularly on financial situation and overall quality of life (Bellringer et al., 2013).</w:t>
      </w:r>
      <w:r>
        <w:t xml:space="preserve"> </w:t>
      </w:r>
    </w:p>
    <w:p w14:paraId="21008292" w14:textId="77777777" w:rsidR="005E39E4" w:rsidRDefault="005E39E4" w:rsidP="001B2940">
      <w:pPr>
        <w:pStyle w:val="VRGFBodycontent"/>
      </w:pPr>
      <w:r w:rsidRPr="0060218C">
        <w:t>Another qualitative exploration of impacts of gambling in Samoan families and communities identified breakdown in family relationships (e.g. honesty, trust, time spent together) as a key impact as well as difficulty</w:t>
      </w:r>
      <w:r>
        <w:t xml:space="preserve"> providing for children’s needs;</w:t>
      </w:r>
      <w:r w:rsidRPr="0060218C">
        <w:t xml:space="preserve"> extra financial and care-giving burd</w:t>
      </w:r>
      <w:r>
        <w:t>en pushed on to extended family;</w:t>
      </w:r>
      <w:r w:rsidRPr="0060218C">
        <w:t xml:space="preserve"> budgeting and financial problems (leading to selli</w:t>
      </w:r>
      <w:r>
        <w:t>ng of possessions and eviction);</w:t>
      </w:r>
      <w:r w:rsidRPr="0060218C">
        <w:t xml:space="preserve"> reduced contribution to the community</w:t>
      </w:r>
      <w:r>
        <w:t>;</w:t>
      </w:r>
      <w:r w:rsidRPr="0060218C">
        <w:t xml:space="preserve"> as well as negative impacts on health, employment and education (Perese &amp; Faleafa, 2000).</w:t>
      </w:r>
      <w:r>
        <w:t xml:space="preserve"> </w:t>
      </w:r>
    </w:p>
    <w:p w14:paraId="019ECC8D" w14:textId="77777777" w:rsidR="001B2940" w:rsidRPr="0060218C" w:rsidRDefault="001B2940" w:rsidP="001B2940">
      <w:pPr>
        <w:pStyle w:val="VRGFBodycontent"/>
      </w:pPr>
    </w:p>
    <w:p w14:paraId="2B9DE359" w14:textId="5F41A933" w:rsidR="005E39E4" w:rsidRPr="0060218C" w:rsidRDefault="005E39E4" w:rsidP="005E39E4">
      <w:pPr>
        <w:pStyle w:val="VRGFHead3"/>
      </w:pPr>
      <w:bookmarkStart w:id="108" w:name="_Toc462737998"/>
      <w:bookmarkStart w:id="109" w:name="_Toc283813369"/>
      <w:bookmarkStart w:id="110" w:name="_Toc283813438"/>
      <w:bookmarkStart w:id="111" w:name="_Toc285109129"/>
      <w:r w:rsidRPr="0060218C">
        <w:t>A</w:t>
      </w:r>
      <w:r w:rsidR="001B2940">
        <w:t>sian people</w:t>
      </w:r>
      <w:bookmarkEnd w:id="108"/>
      <w:r w:rsidR="001B2940">
        <w:t xml:space="preserve"> </w:t>
      </w:r>
      <w:bookmarkEnd w:id="109"/>
      <w:bookmarkEnd w:id="110"/>
      <w:bookmarkEnd w:id="111"/>
    </w:p>
    <w:p w14:paraId="63278BAC" w14:textId="55E8244C" w:rsidR="005E39E4" w:rsidRPr="0060218C" w:rsidRDefault="005E39E4" w:rsidP="001B2940">
      <w:pPr>
        <w:pStyle w:val="VRGFBodycontent"/>
      </w:pPr>
      <w:r w:rsidRPr="0060218C">
        <w:t>The Asian community in New Zealand is also made up of many ethnicities with the five largest communities being Chinese, Indian, Filipino, Korean, and Japanese (Statistics New Zealand, 2014b)</w:t>
      </w:r>
      <w:r w:rsidR="009D23C6">
        <w:t>.</w:t>
      </w:r>
      <w:r w:rsidR="008610D3">
        <w:t xml:space="preserve"> </w:t>
      </w:r>
      <w:r w:rsidRPr="0060218C">
        <w:t>In New Zealand, it is well established that Asian clients seeking help for their gambling cite casino based gambling and more particularly, table games, as the primary mode of problematic gambling</w:t>
      </w:r>
      <w:r w:rsidR="009D23C6">
        <w:t>.</w:t>
      </w:r>
      <w:r w:rsidR="008610D3">
        <w:t xml:space="preserve"> </w:t>
      </w:r>
      <w:r w:rsidRPr="0060218C">
        <w:t>East Asian</w:t>
      </w:r>
      <w:r w:rsidRPr="0060218C">
        <w:rPr>
          <w:rStyle w:val="FootnoteReference"/>
        </w:rPr>
        <w:footnoteReference w:id="3"/>
      </w:r>
      <w:r w:rsidRPr="0060218C">
        <w:t xml:space="preserve"> clients made up 5.6% of all presentations to problem gambling services in the 2013/2014 year, almost half of whom were seeking help in relation to a problem with casino table games (Ministry of Health, 2014)</w:t>
      </w:r>
      <w:r w:rsidR="009D23C6">
        <w:t>.</w:t>
      </w:r>
      <w:r w:rsidR="008610D3">
        <w:t xml:space="preserve"> </w:t>
      </w:r>
      <w:r w:rsidRPr="0060218C">
        <w:t>Asian presentations have been slightly higher in previous years (e.g. 6% in 2005, 7.6% in 2007</w:t>
      </w:r>
      <w:r w:rsidR="00B15C5B">
        <w:t>)</w:t>
      </w:r>
      <w:r w:rsidRPr="0060218C">
        <w:t xml:space="preserve"> (Ministry of Health 2008</w:t>
      </w:r>
      <w:r>
        <w:t>b</w:t>
      </w:r>
      <w:r w:rsidRPr="0060218C">
        <w:t>)</w:t>
      </w:r>
      <w:r w:rsidR="009D23C6">
        <w:t>.</w:t>
      </w:r>
      <w:r w:rsidR="008610D3">
        <w:t xml:space="preserve"> </w:t>
      </w:r>
      <w:r w:rsidRPr="0060218C">
        <w:t>Asian gamblers have reported substantially higher losses than other ethnicities (a median of $4,000 in the 4 weeks prior to assessment compared to an overall median of $1,</w:t>
      </w:r>
      <w:r>
        <w:t>000)</w:t>
      </w:r>
      <w:r w:rsidR="009D23C6">
        <w:t>.</w:t>
      </w:r>
      <w:r w:rsidR="008610D3">
        <w:t xml:space="preserve"> </w:t>
      </w:r>
      <w:r w:rsidRPr="0060218C">
        <w:t>Asian clients represented 11% of clients contributing to these data while accounting for 41% of the reported losses (Ministry of Health, 2008</w:t>
      </w:r>
      <w:r>
        <w:t>b</w:t>
      </w:r>
      <w:r w:rsidRPr="0060218C">
        <w:t>)</w:t>
      </w:r>
      <w:r w:rsidR="009D23C6">
        <w:t>.</w:t>
      </w:r>
      <w:r w:rsidR="008610D3">
        <w:t xml:space="preserve"> </w:t>
      </w:r>
      <w:r w:rsidRPr="0060218C">
        <w:t xml:space="preserve">In the 2012 </w:t>
      </w:r>
      <w:r>
        <w:t xml:space="preserve">New Zealand </w:t>
      </w:r>
      <w:r w:rsidRPr="0060218C">
        <w:t>National Gambling Study, typical monthly expenditure on gambling was slightly higher among Asian participants than European/Other participants (mean $74 cf. $66), though Māori and Pacific participants reported higher monthly averages (mean $116 and $112 respectively) (Abbott et al., 2014b).</w:t>
      </w:r>
    </w:p>
    <w:p w14:paraId="7F26241E" w14:textId="41227FC3" w:rsidR="005E39E4" w:rsidRPr="0060218C" w:rsidRDefault="005E39E4" w:rsidP="001B2940">
      <w:pPr>
        <w:pStyle w:val="VRGFBodycontent"/>
      </w:pPr>
      <w:r w:rsidRPr="0060218C">
        <w:t>In New Zealand</w:t>
      </w:r>
      <w:r>
        <w:t>,</w:t>
      </w:r>
      <w:r w:rsidRPr="0060218C">
        <w:t xml:space="preserve"> it is hypothesised that the acculturation process, lack of experience in New Zealand commercial gambling environments, significant spare cash and free time, limited English ability, difficulty gaining employment</w:t>
      </w:r>
      <w:r>
        <w:t>,</w:t>
      </w:r>
      <w:r w:rsidRPr="0060218C">
        <w:t xml:space="preserve"> and disconnection from family, all create a negative cycle whereby stress leads to gambling to try to win money and/or escape pressures (Wong &amp; Tse, 2003)</w:t>
      </w:r>
      <w:r w:rsidR="009D23C6">
        <w:t>.</w:t>
      </w:r>
      <w:r w:rsidR="008610D3">
        <w:t xml:space="preserve"> </w:t>
      </w:r>
      <w:r w:rsidRPr="0060218C">
        <w:t>The lack of a cultural tradition of seeking support outside the family (‘face-saving’ avoidance of shame) is highlighted as both a significant barrier to help-seeking and a harmful impact of gambling where it contributes to disconnection and alienation from one’s community among Asian gamblers (Li &amp; Chan, 2006; Wong &amp; Tse, 2003).</w:t>
      </w:r>
      <w:r>
        <w:t xml:space="preserve"> </w:t>
      </w:r>
    </w:p>
    <w:p w14:paraId="75447C8B" w14:textId="2A3974CA" w:rsidR="005E39E4" w:rsidRDefault="005E39E4" w:rsidP="001B2940">
      <w:pPr>
        <w:pStyle w:val="VRGFBodycontent"/>
      </w:pPr>
      <w:r w:rsidRPr="0060218C">
        <w:t xml:space="preserve">Sobrun-Maharaj, </w:t>
      </w:r>
      <w:r>
        <w:t xml:space="preserve">et al., </w:t>
      </w:r>
      <w:r w:rsidRPr="0060218C">
        <w:t>(2012) recently undertook qualitative research into the impact of gambling and problem gambling on Asian families and communities in New Zealand</w:t>
      </w:r>
      <w:r w:rsidR="009D23C6">
        <w:t>.</w:t>
      </w:r>
      <w:r w:rsidR="008610D3">
        <w:t xml:space="preserve"> </w:t>
      </w:r>
      <w:r w:rsidRPr="0060218C">
        <w:t xml:space="preserve">Focus group and </w:t>
      </w:r>
      <w:r w:rsidRPr="0060218C">
        <w:lastRenderedPageBreak/>
        <w:t>interview consultation was held with problem gambling intervention staff and within Asian communities</w:t>
      </w:r>
      <w:r w:rsidR="009D23C6">
        <w:t>.</w:t>
      </w:r>
      <w:r w:rsidR="008610D3">
        <w:t xml:space="preserve"> </w:t>
      </w:r>
      <w:r w:rsidRPr="0060218C">
        <w:t>Key consequences of problem gambling for Asian</w:t>
      </w:r>
      <w:r>
        <w:t xml:space="preserve"> individuals were summarised as</w:t>
      </w:r>
      <w:r w:rsidRPr="0060218C">
        <w:t xml:space="preserve"> loss of </w:t>
      </w:r>
      <w:r>
        <w:t>social connection and isolation;</w:t>
      </w:r>
      <w:r w:rsidRPr="0060218C">
        <w:t xml:space="preserve"> loss of financial se</w:t>
      </w:r>
      <w:r>
        <w:t>curity;</w:t>
      </w:r>
      <w:r w:rsidRPr="0060218C">
        <w:t xml:space="preserve"> engagement in illicit activities (theft and pr</w:t>
      </w:r>
      <w:r>
        <w:t>ostitution) to support gambling;</w:t>
      </w:r>
      <w:r w:rsidRPr="0060218C">
        <w:t xml:space="preserve"> mental health issues</w:t>
      </w:r>
      <w:r>
        <w:t>;</w:t>
      </w:r>
      <w:r w:rsidRPr="0060218C">
        <w:t xml:space="preserve"> and family conflict (Sobrun-Maharaj et al., 2012)</w:t>
      </w:r>
      <w:r w:rsidR="009D23C6">
        <w:t>.</w:t>
      </w:r>
      <w:r w:rsidR="008610D3">
        <w:t xml:space="preserve"> </w:t>
      </w:r>
      <w:r w:rsidRPr="0060218C">
        <w:t>Key impacts on Asia</w:t>
      </w:r>
      <w:r>
        <w:t>n families and communities were</w:t>
      </w:r>
      <w:r w:rsidRPr="0060218C">
        <w:t xml:space="preserve"> loss of opportunities (becoming less able to achieve the kind of life for their families </w:t>
      </w:r>
      <w:r>
        <w:t>they envisaged with emigration);</w:t>
      </w:r>
      <w:r w:rsidRPr="0060218C">
        <w:t xml:space="preserve"> physical health issues (stress cause</w:t>
      </w:r>
      <w:r>
        <w:t>s illness among family members);</w:t>
      </w:r>
      <w:r w:rsidRPr="0060218C">
        <w:t xml:space="preserve"> material and mon</w:t>
      </w:r>
      <w:r>
        <w:t>etary loss within the community;</w:t>
      </w:r>
      <w:r w:rsidRPr="0060218C">
        <w:t xml:space="preserve"> loss of t</w:t>
      </w:r>
      <w:r>
        <w:t>rust and community cohesiveness</w:t>
      </w:r>
      <w:r w:rsidRPr="0060218C">
        <w:t xml:space="preserve"> </w:t>
      </w:r>
      <w:r w:rsidR="00982D91">
        <w:t>(</w:t>
      </w:r>
      <w:r w:rsidRPr="0060218C">
        <w:t>problem gamblin</w:t>
      </w:r>
      <w:r>
        <w:t>g dividing</w:t>
      </w:r>
      <w:r w:rsidRPr="0060218C">
        <w:t xml:space="preserve"> communities</w:t>
      </w:r>
      <w:r w:rsidR="00982D91">
        <w:t>)</w:t>
      </w:r>
      <w:r w:rsidRPr="0060218C">
        <w:t xml:space="preserve"> and</w:t>
      </w:r>
      <w:r>
        <w:t>;</w:t>
      </w:r>
      <w:r w:rsidRPr="0060218C">
        <w:t xml:space="preserve"> eroded social support mechanisms (Sobrun-Maharaj et al., 2012).</w:t>
      </w:r>
    </w:p>
    <w:p w14:paraId="7504FF3D" w14:textId="77777777" w:rsidR="001B2940" w:rsidRPr="0060218C" w:rsidRDefault="001B2940" w:rsidP="001B2940">
      <w:pPr>
        <w:pStyle w:val="VRGFBodycontent"/>
      </w:pPr>
    </w:p>
    <w:p w14:paraId="5F6AE531" w14:textId="10104DD9" w:rsidR="005E39E4" w:rsidRPr="0060218C" w:rsidRDefault="005E39E4" w:rsidP="00F53A40">
      <w:pPr>
        <w:pStyle w:val="VRGFHead3"/>
      </w:pPr>
      <w:bookmarkStart w:id="112" w:name="_Toc462737999"/>
      <w:bookmarkStart w:id="113" w:name="_Toc283813370"/>
      <w:bookmarkStart w:id="114" w:name="_Toc283813439"/>
      <w:bookmarkStart w:id="115" w:name="_Toc285109130"/>
      <w:r w:rsidRPr="0060218C">
        <w:t>S</w:t>
      </w:r>
      <w:r w:rsidR="001B2940">
        <w:t>ocial influences on the experience of harm</w:t>
      </w:r>
      <w:bookmarkEnd w:id="112"/>
      <w:r w:rsidR="001B2940">
        <w:t xml:space="preserve"> </w:t>
      </w:r>
      <w:bookmarkEnd w:id="113"/>
      <w:bookmarkEnd w:id="114"/>
      <w:bookmarkEnd w:id="115"/>
    </w:p>
    <w:p w14:paraId="22E77D04" w14:textId="49F25852" w:rsidR="005E39E4" w:rsidRPr="0060218C" w:rsidRDefault="005E39E4" w:rsidP="001B2940">
      <w:pPr>
        <w:pStyle w:val="VRGFBodycontent"/>
      </w:pPr>
      <w:r w:rsidRPr="0060218C">
        <w:t xml:space="preserve">Empirical research of gambling harms, including prevalence studies and qualitative investigations, suggest that there is a high degree of individual and environmental variability in the </w:t>
      </w:r>
      <w:r>
        <w:t>vulnerability to, and experience</w:t>
      </w:r>
      <w:r w:rsidRPr="0060218C">
        <w:t xml:space="preserve"> of</w:t>
      </w:r>
      <w:r>
        <w:t>,</w:t>
      </w:r>
      <w:r w:rsidRPr="0060218C">
        <w:t xml:space="preserve"> gambling harm</w:t>
      </w:r>
      <w:r w:rsidR="009D23C6">
        <w:t>.</w:t>
      </w:r>
      <w:r w:rsidR="008610D3">
        <w:t xml:space="preserve"> </w:t>
      </w:r>
      <w:r w:rsidRPr="0060218C">
        <w:t>Factors such as the gambling space, exposure to gambling from an early age, past trauma</w:t>
      </w:r>
      <w:r>
        <w:t>,</w:t>
      </w:r>
      <w:r w:rsidRPr="0060218C">
        <w:t xml:space="preserve"> and individual beliefs relating to gambling can all influence the severity and susceptibility to experiences of harm</w:t>
      </w:r>
      <w:r w:rsidR="009D23C6">
        <w:t>.</w:t>
      </w:r>
      <w:r w:rsidR="008610D3">
        <w:t xml:space="preserve"> </w:t>
      </w:r>
      <w:r w:rsidRPr="0060218C">
        <w:t xml:space="preserve">Despite many links being identified within the literature, the exact causal/moderating relationships between such factors and the quality or quantity of experienced harm are yet to be fully established. </w:t>
      </w:r>
    </w:p>
    <w:p w14:paraId="25B3D1BB" w14:textId="108478A6" w:rsidR="005E39E4" w:rsidRPr="0060218C" w:rsidRDefault="005E39E4" w:rsidP="001B2940">
      <w:pPr>
        <w:pStyle w:val="VRGFBodycontent"/>
      </w:pPr>
      <w:r w:rsidRPr="0060218C">
        <w:t>One of the most commonly studied aspects of gambling harm in the literature is that of comorbidity with other forms of harmful experience, such as mental illness or substance abuse</w:t>
      </w:r>
      <w:r w:rsidR="009D23C6">
        <w:t>.</w:t>
      </w:r>
      <w:r w:rsidR="008610D3">
        <w:t xml:space="preserve"> </w:t>
      </w:r>
      <w:r w:rsidRPr="0060218C">
        <w:t>However, the nature of the casual effects are difficult to confirm</w:t>
      </w:r>
      <w:r w:rsidR="009D23C6">
        <w:t>.</w:t>
      </w:r>
      <w:r w:rsidR="008610D3">
        <w:t xml:space="preserve"> </w:t>
      </w:r>
      <w:r w:rsidRPr="0060218C">
        <w:t xml:space="preserve">It is recognised that there are multiple complex interactions between gambling and other individual factors, regardless of gambling severity, that can either perpetuate each other, </w:t>
      </w:r>
      <w:r>
        <w:t xml:space="preserve">or </w:t>
      </w:r>
      <w:r w:rsidRPr="0060218C">
        <w:t>generate or exacerbate the experience of other harms (Blaszczynski, 2013)</w:t>
      </w:r>
      <w:r w:rsidR="009D23C6">
        <w:t>.</w:t>
      </w:r>
      <w:r w:rsidR="008610D3">
        <w:t xml:space="preserve"> </w:t>
      </w:r>
      <w:r w:rsidRPr="0060218C">
        <w:t xml:space="preserve">This idea of both </w:t>
      </w:r>
      <w:r w:rsidRPr="0060218C">
        <w:rPr>
          <w:i/>
        </w:rPr>
        <w:t xml:space="preserve">generating </w:t>
      </w:r>
      <w:r w:rsidRPr="0060218C">
        <w:t xml:space="preserve">and </w:t>
      </w:r>
      <w:r w:rsidRPr="0060218C">
        <w:rPr>
          <w:i/>
        </w:rPr>
        <w:t xml:space="preserve">exacerbating </w:t>
      </w:r>
      <w:r w:rsidRPr="0060218C">
        <w:t xml:space="preserve">harms has been identified within the New Zealand definition of </w:t>
      </w:r>
      <w:r>
        <w:t>gambling-related</w:t>
      </w:r>
      <w:r w:rsidRPr="0060218C">
        <w:t xml:space="preserve"> harm and has extended the boundaries for which harms are understood and distinguish</w:t>
      </w:r>
      <w:r>
        <w:t>ing</w:t>
      </w:r>
      <w:r w:rsidRPr="0060218C">
        <w:t xml:space="preserve"> harm as separate from definitions of problem gambling</w:t>
      </w:r>
      <w:r w:rsidR="009D23C6">
        <w:t>.</w:t>
      </w:r>
      <w:r w:rsidR="008610D3">
        <w:t xml:space="preserve"> </w:t>
      </w:r>
      <w:r w:rsidRPr="0060218C">
        <w:t xml:space="preserve">The most commonly mentioned comorbidities include substance use/abuse </w:t>
      </w:r>
      <w:r>
        <w:t>and mental health issues (particularly depression)</w:t>
      </w:r>
      <w:r w:rsidRPr="0060218C">
        <w:t xml:space="preserve"> which were all found to have strong associations with problem gambling in New Zealand prevalence studies (Abbott et al., 2014a)</w:t>
      </w:r>
      <w:r w:rsidR="009D23C6">
        <w:t>.</w:t>
      </w:r>
      <w:r w:rsidR="008610D3">
        <w:t xml:space="preserve"> </w:t>
      </w:r>
      <w:r w:rsidRPr="0060218C">
        <w:t>Comorbidities have received much international attention with findings relatively consistent within the literature (Abdollahnejad, Delfabbro</w:t>
      </w:r>
      <w:r>
        <w:t>,</w:t>
      </w:r>
      <w:r w:rsidRPr="0060218C">
        <w:t xml:space="preserve"> &amp; Denson, 2013; Cowlishaw, Merkouris, Chapman</w:t>
      </w:r>
      <w:r>
        <w:t>,</w:t>
      </w:r>
      <w:r w:rsidRPr="0060218C">
        <w:t xml:space="preserve"> &amp; Radermacher, 2014; el-Guebaly et al., 2006; Holdsworth et al., 2013a)</w:t>
      </w:r>
      <w:r w:rsidR="009D23C6">
        <w:t>.</w:t>
      </w:r>
      <w:r w:rsidR="008610D3">
        <w:t xml:space="preserve"> </w:t>
      </w:r>
      <w:r w:rsidRPr="0060218C">
        <w:t>Some researchers have suggested that other consumptive behaviours such as eating disorders and overspending may also be systematically associated with gambling behaviours (</w:t>
      </w:r>
      <w:r w:rsidRPr="00F66B85">
        <w:t>Boughton</w:t>
      </w:r>
      <w:r>
        <w:t xml:space="preserve"> &amp;</w:t>
      </w:r>
      <w:r w:rsidRPr="0060218C">
        <w:t xml:space="preserve"> Falenchuck, 2007, Holdsworth et al., 2013a)</w:t>
      </w:r>
      <w:r w:rsidR="009D23C6">
        <w:t>.</w:t>
      </w:r>
      <w:r w:rsidR="008610D3">
        <w:t xml:space="preserve"> </w:t>
      </w:r>
      <w:r w:rsidRPr="0060218C">
        <w:t>Through the consideration of comorbidities it has become clear that there is limited evidence to suggest uni-directional causation; as both gambling and the comorbid condition can be a result of one another, or reflect two outcomes of a third condition (e.g. unemployment or social disadvantage)</w:t>
      </w:r>
      <w:r w:rsidR="009D23C6">
        <w:t>.</w:t>
      </w:r>
      <w:r w:rsidR="008610D3">
        <w:t xml:space="preserve"> </w:t>
      </w:r>
      <w:r w:rsidRPr="0060218C">
        <w:t xml:space="preserve">Distinguishing the relative importance of the causal mechanisms requires expensive and methodologically challenging longitudinal studies - making it difficult to determine the degree to which gambling is the instrumental factor (Holdsworth et al., 2012). </w:t>
      </w:r>
    </w:p>
    <w:p w14:paraId="7E81AD26" w14:textId="02BC456E" w:rsidR="005E39E4" w:rsidRPr="0060218C" w:rsidRDefault="005E39E4" w:rsidP="001B2940">
      <w:pPr>
        <w:pStyle w:val="VRGFBodycontent"/>
      </w:pPr>
      <w:r w:rsidRPr="0060218C">
        <w:t>It has been suggested that gambling problems can often be</w:t>
      </w:r>
      <w:r>
        <w:t>,</w:t>
      </w:r>
      <w:r w:rsidRPr="00F66B85">
        <w:t xml:space="preserve"> at least partially</w:t>
      </w:r>
      <w:r>
        <w:t>,</w:t>
      </w:r>
      <w:r w:rsidRPr="0060218C">
        <w:t xml:space="preserve"> used as an adaptive coping mechanism in order to deal with or escape from a pre-existing stress or trauma</w:t>
      </w:r>
      <w:r w:rsidR="009D23C6">
        <w:t>.</w:t>
      </w:r>
      <w:r w:rsidR="008610D3">
        <w:t xml:space="preserve"> </w:t>
      </w:r>
      <w:r w:rsidRPr="0060218C">
        <w:t>These can be biological or psychological traumas</w:t>
      </w:r>
      <w:r w:rsidR="008610D3">
        <w:t xml:space="preserve"> </w:t>
      </w:r>
      <w:r w:rsidR="00590DAF">
        <w:t>such as</w:t>
      </w:r>
      <w:r w:rsidR="00590DAF" w:rsidRPr="0060218C">
        <w:t xml:space="preserve"> brain injury or mental illnesses </w:t>
      </w:r>
      <w:r w:rsidR="00590DAF">
        <w:t>like</w:t>
      </w:r>
      <w:r w:rsidR="00590DAF" w:rsidRPr="0060218C">
        <w:t xml:space="preserve"> post-traumatic stress disorder </w:t>
      </w:r>
      <w:r w:rsidR="00590DAF">
        <w:t>(</w:t>
      </w:r>
      <w:r w:rsidR="00590DAF" w:rsidRPr="0060218C">
        <w:t>Najavitis et al., 2011)</w:t>
      </w:r>
      <w:r w:rsidRPr="0060218C">
        <w:t xml:space="preserve"> or social traumas such as divorce, hardships</w:t>
      </w:r>
      <w:r>
        <w:t>,</w:t>
      </w:r>
      <w:r w:rsidRPr="0060218C">
        <w:t xml:space="preserve"> or other </w:t>
      </w:r>
      <w:r w:rsidRPr="0060218C">
        <w:lastRenderedPageBreak/>
        <w:t>problems (Abbott et al., 2014a)</w:t>
      </w:r>
      <w:r w:rsidR="009D23C6">
        <w:t>.</w:t>
      </w:r>
      <w:r w:rsidR="008610D3">
        <w:t xml:space="preserve"> </w:t>
      </w:r>
      <w:r w:rsidRPr="0060218C">
        <w:t>For instance, research into the gambling behaviours of Indigenous Canadian populations, showed that gambling was used as a means to escape racial discrimination that was influential in the development of post-traumatic stress disorder (Currie et al., 2013)</w:t>
      </w:r>
      <w:r w:rsidR="009D23C6">
        <w:t>.</w:t>
      </w:r>
      <w:r w:rsidR="008610D3">
        <w:t xml:space="preserve"> </w:t>
      </w:r>
      <w:r>
        <w:t>O</w:t>
      </w:r>
      <w:r w:rsidRPr="0060218C">
        <w:t xml:space="preserve">lder New Zealanders </w:t>
      </w:r>
      <w:r>
        <w:t>may</w:t>
      </w:r>
      <w:r w:rsidRPr="0060218C">
        <w:t xml:space="preserve"> gamble </w:t>
      </w:r>
      <w:r>
        <w:t xml:space="preserve">more </w:t>
      </w:r>
      <w:r w:rsidRPr="0060218C">
        <w:t xml:space="preserve">often </w:t>
      </w:r>
      <w:r>
        <w:t xml:space="preserve">due to </w:t>
      </w:r>
      <w:r w:rsidRPr="0060218C">
        <w:t xml:space="preserve">a desire for companionship in a safe public space – a </w:t>
      </w:r>
      <w:r>
        <w:t xml:space="preserve">potentially </w:t>
      </w:r>
      <w:r w:rsidRPr="0060218C">
        <w:t xml:space="preserve">influential coping mechanism for loneliness when the spouse is deceased. </w:t>
      </w:r>
    </w:p>
    <w:p w14:paraId="4FDC902D" w14:textId="6C90E5E6" w:rsidR="005E39E4" w:rsidRPr="0060218C" w:rsidRDefault="005E39E4" w:rsidP="001B2940">
      <w:pPr>
        <w:pStyle w:val="VRGFBodycontent"/>
      </w:pPr>
      <w:r w:rsidRPr="0060218C">
        <w:t>When considered as a coping mechanism, in the absence of gambling, other means of escapism may be adopted or alternatively used in conjunction with gambling (i.e. leading to comorbidities arising from a third variable, as described above)</w:t>
      </w:r>
      <w:r w:rsidR="009D23C6">
        <w:t>.</w:t>
      </w:r>
      <w:r w:rsidR="008610D3">
        <w:t xml:space="preserve"> </w:t>
      </w:r>
      <w:r w:rsidRPr="0060218C">
        <w:t>Thus, in some cases gambling is not necessarily the driving factor for the experience of harm, and should not be treated as the sole cause for subsequent experiences of harm</w:t>
      </w:r>
      <w:r w:rsidR="009D23C6">
        <w:t>.</w:t>
      </w:r>
      <w:r w:rsidR="008610D3">
        <w:t xml:space="preserve"> </w:t>
      </w:r>
      <w:r w:rsidRPr="0060218C">
        <w:t>Nevertheless, it may still contribute to harm that has its origins in another source, and may interact with co-occurring consequential activities (e.g. drinking), creating a snowball effect of harm</w:t>
      </w:r>
      <w:r w:rsidR="009D23C6">
        <w:t>.</w:t>
      </w:r>
      <w:r w:rsidR="008610D3">
        <w:t xml:space="preserve"> </w:t>
      </w:r>
      <w:r w:rsidRPr="0060218C">
        <w:t>An example of such pathway may be a trauma that results in an adverse emotional state leading to a need for escapism or social exclusion</w:t>
      </w:r>
      <w:r w:rsidR="009D23C6">
        <w:t>.</w:t>
      </w:r>
      <w:r w:rsidR="008610D3">
        <w:t xml:space="preserve"> </w:t>
      </w:r>
      <w:r w:rsidRPr="0060218C">
        <w:t>In order to cope with the trauma</w:t>
      </w:r>
      <w:r>
        <w:t>,</w:t>
      </w:r>
      <w:r w:rsidRPr="0060218C">
        <w:t xml:space="preserve"> the individual resorts to non-adaptive coping strategies (e.g.</w:t>
      </w:r>
      <w:r>
        <w:t>,</w:t>
      </w:r>
      <w:r w:rsidRPr="0060218C">
        <w:t xml:space="preserve"> gambling, alcoholism</w:t>
      </w:r>
      <w:r>
        <w:t>,</w:t>
      </w:r>
      <w:r w:rsidRPr="0060218C">
        <w:t xml:space="preserve"> and drug use), which generate their own harms</w:t>
      </w:r>
      <w:r>
        <w:t xml:space="preserve"> in turn</w:t>
      </w:r>
      <w:r w:rsidRPr="0060218C">
        <w:t>, exacerbating negative emotional states and, in conjunction, contributing to other harms (i.e.</w:t>
      </w:r>
      <w:r>
        <w:t>,</w:t>
      </w:r>
      <w:r w:rsidRPr="0060218C">
        <w:t xml:space="preserve"> relationship conflict)</w:t>
      </w:r>
      <w:r w:rsidR="009D23C6">
        <w:t>.</w:t>
      </w:r>
      <w:r w:rsidR="008610D3">
        <w:t xml:space="preserve"> </w:t>
      </w:r>
      <w:r w:rsidRPr="0060218C">
        <w:t>These negative emotional states may encourage more of the maladaptive behaviours, leading to the exacerbation of experienced harm</w:t>
      </w:r>
      <w:r w:rsidR="009D23C6">
        <w:t>.</w:t>
      </w:r>
      <w:r w:rsidR="008610D3">
        <w:t xml:space="preserve"> </w:t>
      </w:r>
      <w:r w:rsidRPr="0060218C">
        <w:t xml:space="preserve">This example demonstrates both influence of social context on gambling harm and the complexities in dealing with the interaction of gambling and other harms, due to the fact that gambling harm is </w:t>
      </w:r>
      <w:r>
        <w:t xml:space="preserve">part of </w:t>
      </w:r>
      <w:r w:rsidRPr="0060218C">
        <w:t xml:space="preserve">a </w:t>
      </w:r>
      <w:r w:rsidRPr="0060218C">
        <w:rPr>
          <w:i/>
        </w:rPr>
        <w:t>process</w:t>
      </w:r>
      <w:r w:rsidRPr="0060218C">
        <w:t xml:space="preserve"> that interacts with a number of social and individual factors over </w:t>
      </w:r>
      <w:r>
        <w:t xml:space="preserve">a </w:t>
      </w:r>
      <w:r w:rsidRPr="0060218C">
        <w:t xml:space="preserve">period of time. </w:t>
      </w:r>
    </w:p>
    <w:p w14:paraId="5B93F479" w14:textId="6B97B20F" w:rsidR="005E39E4" w:rsidRPr="0060218C" w:rsidRDefault="005E39E4" w:rsidP="001B2940">
      <w:pPr>
        <w:pStyle w:val="VRGFBodycontent"/>
      </w:pPr>
      <w:r w:rsidRPr="0060218C">
        <w:t xml:space="preserve">Bicego (2002) highlighted that </w:t>
      </w:r>
      <w:r>
        <w:t>gambling-related</w:t>
      </w:r>
      <w:r w:rsidRPr="0060218C">
        <w:t xml:space="preserve"> harms can also act as a determinant of the risk for other harms due to the relationship between the many different experiences of harm (e.g. isolation, trauma, lack of social cohesion, damaged social skills, loss of time, loss of money, conflict in relationships, employment shame, stigma</w:t>
      </w:r>
      <w:r>
        <w:t>,</w:t>
      </w:r>
      <w:r w:rsidRPr="0060218C">
        <w:t xml:space="preserve"> and mental health issues)</w:t>
      </w:r>
      <w:r w:rsidR="009D23C6">
        <w:t>.</w:t>
      </w:r>
      <w:r w:rsidR="008610D3">
        <w:t xml:space="preserve"> </w:t>
      </w:r>
      <w:r w:rsidRPr="0060218C">
        <w:t>These relationships can only be described in a probabilistic manner at a population level; the experience of harm in any given individual may be expected to follow a highly idiosyncratic path</w:t>
      </w:r>
      <w:r w:rsidR="009D23C6">
        <w:t>.</w:t>
      </w:r>
      <w:r w:rsidR="008610D3">
        <w:t xml:space="preserve"> </w:t>
      </w:r>
      <w:r w:rsidRPr="0060218C">
        <w:t>In other words, a recognition of the social determinants of harm does not entail that everyone who experiences a trauma or social disadvantage also then develops a gambling problem, nor does it mean that one must have these issues in order to have a gambling problem.</w:t>
      </w:r>
      <w:r>
        <w:t xml:space="preserve"> </w:t>
      </w:r>
    </w:p>
    <w:p w14:paraId="5616B5E6" w14:textId="3922E1B0" w:rsidR="005E39E4" w:rsidRPr="0060218C" w:rsidRDefault="005E39E4" w:rsidP="001B2940">
      <w:pPr>
        <w:pStyle w:val="VRGFBodycontent"/>
      </w:pPr>
      <w:r w:rsidRPr="0060218C">
        <w:t>Environmental and contextual factors can play a role in affecting the intensity and quality of gambling behaviour, potentially leading to increased risk of harm</w:t>
      </w:r>
      <w:r w:rsidR="009D23C6">
        <w:t>.</w:t>
      </w:r>
      <w:r w:rsidR="008610D3">
        <w:t xml:space="preserve"> </w:t>
      </w:r>
      <w:r w:rsidRPr="0060218C">
        <w:t>In the past, most research considering gambling environments related to the immediate physical space in which gambling occurs</w:t>
      </w:r>
      <w:r w:rsidR="009D23C6">
        <w:t>.</w:t>
      </w:r>
      <w:r w:rsidR="008610D3">
        <w:t xml:space="preserve"> </w:t>
      </w:r>
      <w:r w:rsidRPr="0060218C">
        <w:t>However, when considering the experiences of harm, it is now recognised that a community level approach is needed to understand the full scope of environmental influences; the most notable of which is the normalisation of gambling within a society or sub-population</w:t>
      </w:r>
      <w:r w:rsidR="009D23C6">
        <w:t>.</w:t>
      </w:r>
      <w:r w:rsidR="008610D3">
        <w:t xml:space="preserve"> </w:t>
      </w:r>
      <w:r w:rsidRPr="0060218C">
        <w:t>The most commonly internationally cited modes linked with the normalisation of gambling are video games (Delfabbro, King</w:t>
      </w:r>
      <w:r>
        <w:t>,</w:t>
      </w:r>
      <w:r w:rsidRPr="0060218C">
        <w:t xml:space="preserve"> &amp; Griffiths, 2013</w:t>
      </w:r>
      <w:r>
        <w:t>; Griffiths, 2008; Griffiths &amp;</w:t>
      </w:r>
      <w:r w:rsidRPr="0060218C">
        <w:t xml:space="preserve"> Wood, 2000), social media (Griffiths 2013), phone in quizzes (Griffiths</w:t>
      </w:r>
      <w:r>
        <w:t>,</w:t>
      </w:r>
      <w:r w:rsidRPr="0060218C">
        <w:t xml:space="preserve"> 2007), the integration of gambling into sports (Worthington, Brown, Crawford</w:t>
      </w:r>
      <w:r>
        <w:t>,</w:t>
      </w:r>
      <w:r w:rsidRPr="0060218C">
        <w:t xml:space="preserve"> &amp; Pickernell, 2007) and advertising that tends to focus on winning (McMullan &amp; Miller, 2009; Mc</w:t>
      </w:r>
      <w:r>
        <w:t>M</w:t>
      </w:r>
      <w:r w:rsidRPr="0060218C">
        <w:t>ullan, Miller</w:t>
      </w:r>
      <w:r>
        <w:t>,</w:t>
      </w:r>
      <w:r w:rsidRPr="0060218C">
        <w:t xml:space="preserve"> &amp; Perrier, 2012; Monaghan, Derevensky</w:t>
      </w:r>
      <w:r>
        <w:t>,</w:t>
      </w:r>
      <w:r w:rsidRPr="0060218C">
        <w:t xml:space="preserve"> &amp; Sklar, 2008)</w:t>
      </w:r>
      <w:r w:rsidR="009D23C6">
        <w:t>.</w:t>
      </w:r>
      <w:r w:rsidR="008610D3">
        <w:t xml:space="preserve"> </w:t>
      </w:r>
      <w:r w:rsidRPr="0060218C">
        <w:t>The normalisation of gambling into Western society has also been likened to that of fast food given its growing pervasiveness in the daily lifestyles of community members (Adams et al., 2009; Dyall, Tse</w:t>
      </w:r>
      <w:r>
        <w:t>,</w:t>
      </w:r>
      <w:r w:rsidR="001756EA">
        <w:t xml:space="preserve"> &amp; Kingi, 2009</w:t>
      </w:r>
      <w:r w:rsidRPr="0060218C">
        <w:t xml:space="preserve">). </w:t>
      </w:r>
    </w:p>
    <w:p w14:paraId="404D20A1" w14:textId="5CE04CF2" w:rsidR="005E39E4" w:rsidRPr="0060218C" w:rsidRDefault="005E39E4" w:rsidP="001B2940">
      <w:pPr>
        <w:pStyle w:val="VRGFBodycontent"/>
      </w:pPr>
      <w:r w:rsidRPr="0060218C">
        <w:t>Normalisation can occur through exposure through advertising, the family home, and through local community events or activities</w:t>
      </w:r>
      <w:r w:rsidR="009D23C6">
        <w:t>.</w:t>
      </w:r>
      <w:r w:rsidR="008610D3">
        <w:t xml:space="preserve"> </w:t>
      </w:r>
      <w:r w:rsidRPr="0060218C">
        <w:t>Children can be exposed to gambling from other avenues such as through their parents gambling behaviours</w:t>
      </w:r>
      <w:r w:rsidR="001A7E4B">
        <w:t>;</w:t>
      </w:r>
      <w:r w:rsidRPr="0060218C">
        <w:t xml:space="preserve"> family</w:t>
      </w:r>
      <w:r>
        <w:t>,</w:t>
      </w:r>
      <w:r w:rsidRPr="0060218C">
        <w:t xml:space="preserve"> or community events that involve games of </w:t>
      </w:r>
      <w:r w:rsidRPr="0060218C">
        <w:lastRenderedPageBreak/>
        <w:t>chance (such as raffles, or other games which require a “gamble” or unknown outcome)</w:t>
      </w:r>
      <w:r w:rsidR="001A7E4B">
        <w:t>;</w:t>
      </w:r>
      <w:r w:rsidRPr="0060218C">
        <w:t xml:space="preserve"> and</w:t>
      </w:r>
      <w:r w:rsidR="001A7E4B">
        <w:t>,</w:t>
      </w:r>
      <w:r w:rsidRPr="0060218C">
        <w:t xml:space="preserve"> even through education in finances, budgeting</w:t>
      </w:r>
      <w:r>
        <w:t>,</w:t>
      </w:r>
      <w:r w:rsidRPr="0060218C">
        <w:t xml:space="preserve"> and spending</w:t>
      </w:r>
      <w:r w:rsidR="009D23C6">
        <w:t>.</w:t>
      </w:r>
      <w:r w:rsidR="008610D3">
        <w:t xml:space="preserve"> </w:t>
      </w:r>
      <w:r w:rsidRPr="0060218C">
        <w:t>In the New Zealand social context, attention should be paid to the degree to which children are exposed to gambling</w:t>
      </w:r>
      <w:r w:rsidR="009D23C6">
        <w:t>.</w:t>
      </w:r>
      <w:r w:rsidR="008610D3">
        <w:t xml:space="preserve"> </w:t>
      </w:r>
      <w:r w:rsidRPr="0060218C">
        <w:t xml:space="preserve">A commonly reported form of exposure includes Māori and Pacific children participating in raising money for local causes (i.e., churches) through playing housie (bingo) with their families (e.g. Bellringer et al., 2014, 2014; Dyall, 2009a). </w:t>
      </w:r>
    </w:p>
    <w:p w14:paraId="69E9A5CA" w14:textId="471038C6" w:rsidR="005E39E4" w:rsidRPr="0060218C" w:rsidRDefault="005E39E4" w:rsidP="001B2940">
      <w:pPr>
        <w:pStyle w:val="VRGFBodycontent"/>
      </w:pPr>
      <w:r w:rsidRPr="0060218C">
        <w:t>As well as considering social, community, and family factors that can influence the potential for harm, one should also consider internal characteristics of the individual that may affect gambling behaviour and subsequent harms</w:t>
      </w:r>
      <w:r w:rsidR="009D23C6">
        <w:t>.</w:t>
      </w:r>
      <w:r w:rsidR="008610D3">
        <w:t xml:space="preserve"> </w:t>
      </w:r>
      <w:r w:rsidRPr="0060218C">
        <w:t>Those who have issues with self-regulation or control are more vulnerable to developing a gambling problem and, as such, are more susceptible to experiences of harm</w:t>
      </w:r>
      <w:r w:rsidR="009D23C6">
        <w:t>.</w:t>
      </w:r>
      <w:r w:rsidR="008610D3">
        <w:t xml:space="preserve"> </w:t>
      </w:r>
      <w:r w:rsidRPr="0060218C">
        <w:t>Problems with control and regulation may be assessed using specific measures of gambling behaviour</w:t>
      </w:r>
      <w:r w:rsidR="009D23C6">
        <w:t>.</w:t>
      </w:r>
      <w:r w:rsidR="008610D3">
        <w:t xml:space="preserve"> </w:t>
      </w:r>
      <w:r w:rsidRPr="0060218C">
        <w:t>Indicators of control or self-regulation problems include having trouble resisting gambling, and ceasing play; difficulty limiting bet sizes, expenditure, and time spent playing; and continuing to play after reaching set gambling limits</w:t>
      </w:r>
      <w:r w:rsidR="009D23C6">
        <w:t>.</w:t>
      </w:r>
      <w:r w:rsidR="008610D3">
        <w:t xml:space="preserve"> </w:t>
      </w:r>
      <w:r w:rsidRPr="0060218C">
        <w:t xml:space="preserve">Such variables that are instrumental in defining problems with control are also factors that are used to indicate categorisation of gambling severity and are, therefore, unsurprisingly associated with experiences of </w:t>
      </w:r>
      <w:r>
        <w:t>gambling-related</w:t>
      </w:r>
      <w:r w:rsidRPr="0060218C">
        <w:t xml:space="preserve"> harm</w:t>
      </w:r>
      <w:r w:rsidR="009D23C6">
        <w:t>.</w:t>
      </w:r>
      <w:r w:rsidR="008610D3">
        <w:t xml:space="preserve"> </w:t>
      </w:r>
      <w:r w:rsidRPr="0060218C">
        <w:t>However, it should be noted that people not classed as problem gamblers can also have problems with control</w:t>
      </w:r>
      <w:r w:rsidR="009D23C6">
        <w:t>.</w:t>
      </w:r>
      <w:r w:rsidR="008610D3">
        <w:t xml:space="preserve"> </w:t>
      </w:r>
      <w:r w:rsidRPr="0060218C">
        <w:t xml:space="preserve">This was supported by findings in the </w:t>
      </w:r>
      <w:r>
        <w:t>New Zealand 2012</w:t>
      </w:r>
      <w:r w:rsidRPr="0060218C">
        <w:t xml:space="preserve"> National Gambling Study</w:t>
      </w:r>
      <w:r w:rsidR="00C90E42">
        <w:t>,</w:t>
      </w:r>
      <w:r w:rsidRPr="0060218C">
        <w:t xml:space="preserve"> which found </w:t>
      </w:r>
      <w:r w:rsidR="00CE2912">
        <w:t>3.6% of adults</w:t>
      </w:r>
      <w:r w:rsidRPr="0060218C">
        <w:t xml:space="preserve"> experienced loss of control </w:t>
      </w:r>
      <w:r w:rsidR="00CE2912">
        <w:t>whilst gambling compared with</w:t>
      </w:r>
      <w:r w:rsidR="008610D3">
        <w:t xml:space="preserve"> </w:t>
      </w:r>
      <w:r w:rsidR="00CE2912">
        <w:t>0.7%</w:t>
      </w:r>
      <w:r w:rsidRPr="0060218C">
        <w:t xml:space="preserve"> of problem gamblers (Abbott et al., 2014a)</w:t>
      </w:r>
      <w:r w:rsidR="009D23C6">
        <w:t>.</w:t>
      </w:r>
      <w:r w:rsidR="008610D3">
        <w:t xml:space="preserve"> </w:t>
      </w:r>
      <w:r w:rsidRPr="0060218C">
        <w:t>Despite this, problems with self-regulation and control are most often investigated within samples of problem gamblers</w:t>
      </w:r>
      <w:r w:rsidR="009D23C6">
        <w:t>.</w:t>
      </w:r>
      <w:r w:rsidR="008610D3">
        <w:t xml:space="preserve"> </w:t>
      </w:r>
      <w:r w:rsidRPr="0060218C">
        <w:t xml:space="preserve">Therefore, harms resulting from problems with control in lower risk categories can largely go unnoticed or remain uninvestigated. </w:t>
      </w:r>
    </w:p>
    <w:p w14:paraId="438A2667" w14:textId="51D1CCA4" w:rsidR="005E39E4" w:rsidRPr="0060218C" w:rsidRDefault="005E39E4" w:rsidP="000F1754">
      <w:pPr>
        <w:pStyle w:val="VRGFBodycontent"/>
      </w:pPr>
      <w:r w:rsidRPr="0060218C">
        <w:t>Dissociation refers to an unthinking state associated with conscious or unconscious attempts to escape from reality (Dickerson, 1993)</w:t>
      </w:r>
      <w:r>
        <w:t>;</w:t>
      </w:r>
      <w:r w:rsidRPr="0060218C">
        <w:t xml:space="preserve"> often resulting in losing track of time, blacking out, not recalling</w:t>
      </w:r>
      <w:r w:rsidR="0086698D">
        <w:t xml:space="preserve"> </w:t>
      </w:r>
      <w:r w:rsidRPr="0060218C">
        <w:t>where you are or what you have done, or feeling as though you are someone else (Griffiths, 2006)</w:t>
      </w:r>
      <w:r w:rsidR="009D23C6">
        <w:t>.</w:t>
      </w:r>
      <w:r w:rsidR="008610D3">
        <w:t xml:space="preserve"> </w:t>
      </w:r>
      <w:r w:rsidRPr="0060218C">
        <w:t>In terms of gambling, dissociation is often in the form of losing track of time spent gambling and being unaware of expenditure or games played</w:t>
      </w:r>
      <w:r w:rsidR="009D23C6">
        <w:t>.</w:t>
      </w:r>
      <w:r w:rsidR="008610D3">
        <w:t xml:space="preserve"> </w:t>
      </w:r>
      <w:r w:rsidRPr="0060218C">
        <w:t xml:space="preserve">This most commonly occurs when playing games that require limited cognitive loads and </w:t>
      </w:r>
      <w:r>
        <w:t xml:space="preserve">when games </w:t>
      </w:r>
      <w:r w:rsidRPr="0060218C">
        <w:t>are played at an increased pace such as EGMs</w:t>
      </w:r>
      <w:r w:rsidR="009D23C6">
        <w:t>.</w:t>
      </w:r>
      <w:r w:rsidR="008610D3">
        <w:t xml:space="preserve"> </w:t>
      </w:r>
      <w:r w:rsidRPr="0060218C">
        <w:t>EGMs are said to increase players’ focus and immersion in the game due to consistent interaction between the person and the machine (Dickerson, 1993; Ladouceur &amp; Sévigny, 2006)</w:t>
      </w:r>
      <w:r w:rsidR="009D23C6">
        <w:t>.</w:t>
      </w:r>
      <w:r w:rsidR="008610D3">
        <w:t xml:space="preserve"> </w:t>
      </w:r>
      <w:r w:rsidRPr="0060218C">
        <w:t>As a result, dissociation is likely to increase game-rate resulting in lengthier gambling sessions, greater losses</w:t>
      </w:r>
      <w:r>
        <w:t>,</w:t>
      </w:r>
      <w:r w:rsidRPr="0060218C">
        <w:t xml:space="preserve"> and reduced control (Ladouceur &amp; Sévigny, 2006) putting individuals at risk of experiencing </w:t>
      </w:r>
      <w:r>
        <w:t>gambling-related</w:t>
      </w:r>
      <w:r w:rsidRPr="0060218C">
        <w:t xml:space="preserve"> harm. </w:t>
      </w:r>
    </w:p>
    <w:p w14:paraId="25F0061A" w14:textId="0151EF1F" w:rsidR="005E39E4" w:rsidRDefault="005E39E4" w:rsidP="001B2940">
      <w:pPr>
        <w:pStyle w:val="VRGFBodycontent"/>
      </w:pPr>
      <w:r w:rsidRPr="0060218C">
        <w:t>Finally, those who hold superstitions, faulty or erroneous cognitions</w:t>
      </w:r>
      <w:r>
        <w:t>,</w:t>
      </w:r>
      <w:r w:rsidRPr="0060218C">
        <w:t xml:space="preserve"> or misconceptions relating to gambling are often more likely to be vulnerable to harm</w:t>
      </w:r>
      <w:r w:rsidR="009D23C6">
        <w:t>.</w:t>
      </w:r>
      <w:r w:rsidR="008610D3">
        <w:t xml:space="preserve"> </w:t>
      </w:r>
      <w:r w:rsidRPr="0060218C">
        <w:t>Most commonly these occur due to a lack of understanding surrounding how the game works and the odds of winning</w:t>
      </w:r>
      <w:r w:rsidR="009D23C6">
        <w:t>.</w:t>
      </w:r>
      <w:r w:rsidR="008610D3">
        <w:t xml:space="preserve"> </w:t>
      </w:r>
      <w:r w:rsidRPr="0060218C">
        <w:t>Unlike other products where repeated consumption tends to result in greater familiarity and understanding, the frequency of which play is conducted does not lessen the extent to which these beliefs are maintained</w:t>
      </w:r>
      <w:r w:rsidR="009D23C6">
        <w:t>.</w:t>
      </w:r>
      <w:r w:rsidR="008610D3">
        <w:t xml:space="preserve"> </w:t>
      </w:r>
      <w:r w:rsidRPr="0060218C">
        <w:t>Instead, with repeated use these beliefs often become more entrenched, ultimately perpetuating the gambling behaviour</w:t>
      </w:r>
      <w:r w:rsidR="009D23C6">
        <w:t>.</w:t>
      </w:r>
      <w:r w:rsidR="008610D3">
        <w:t xml:space="preserve"> </w:t>
      </w:r>
      <w:r w:rsidRPr="0060218C">
        <w:t>An example of a common misconception is the “gamblers fallacy”</w:t>
      </w:r>
      <w:r w:rsidR="009D23C6">
        <w:t>.</w:t>
      </w:r>
      <w:r w:rsidR="008610D3">
        <w:t xml:space="preserve"> </w:t>
      </w:r>
      <w:r w:rsidRPr="0060218C">
        <w:t>According to this belief, a sequence of recent losses is considered to increase the probability of future wins despite the outcome of most gambling games being unrelated to previous outcomes and, therefore, neither wins nor losses alter the probability of future success</w:t>
      </w:r>
      <w:r w:rsidR="009D23C6">
        <w:t>.</w:t>
      </w:r>
      <w:r w:rsidR="008610D3">
        <w:t xml:space="preserve"> </w:t>
      </w:r>
      <w:r w:rsidRPr="0060218C">
        <w:t>Such distortions encourage disordered gambling (Barrault &amp; Varescon, 2013) and occur at all levels of gambling problems</w:t>
      </w:r>
      <w:r w:rsidR="009D23C6">
        <w:t>.</w:t>
      </w:r>
      <w:r w:rsidR="008610D3">
        <w:t xml:space="preserve"> </w:t>
      </w:r>
      <w:r w:rsidRPr="0060218C">
        <w:t>It appears likely that sub-cultural customs and beliefs may contribute to the development and maintenance of erroneous cognitions about gambling</w:t>
      </w:r>
      <w:r w:rsidR="009D23C6">
        <w:t>.</w:t>
      </w:r>
      <w:r w:rsidR="008610D3">
        <w:t xml:space="preserve"> </w:t>
      </w:r>
      <w:r w:rsidRPr="0060218C">
        <w:t xml:space="preserve">However, this is a topic that is still largely unexplored. </w:t>
      </w:r>
    </w:p>
    <w:p w14:paraId="0426CE45" w14:textId="0FE78B49" w:rsidR="005E39E4" w:rsidRPr="0060218C" w:rsidRDefault="005E39E4" w:rsidP="00F53A40">
      <w:pPr>
        <w:pStyle w:val="VRGFHead2"/>
      </w:pPr>
      <w:bookmarkStart w:id="116" w:name="_Toc462738000"/>
      <w:bookmarkStart w:id="117" w:name="_Toc283813371"/>
      <w:bookmarkStart w:id="118" w:name="_Toc283813440"/>
      <w:bookmarkStart w:id="119" w:name="_Toc285109131"/>
      <w:r w:rsidRPr="0060218C">
        <w:lastRenderedPageBreak/>
        <w:t xml:space="preserve">A </w:t>
      </w:r>
      <w:r w:rsidR="001B2940">
        <w:t>conceptual framework for gambling harm</w:t>
      </w:r>
      <w:bookmarkEnd w:id="116"/>
      <w:r w:rsidR="001B2940">
        <w:t xml:space="preserve"> </w:t>
      </w:r>
      <w:bookmarkEnd w:id="117"/>
      <w:bookmarkEnd w:id="118"/>
      <w:bookmarkEnd w:id="119"/>
    </w:p>
    <w:p w14:paraId="5FC3D0BB" w14:textId="3C27E424" w:rsidR="005E39E4" w:rsidRPr="0060218C" w:rsidRDefault="005E39E4" w:rsidP="001B2940">
      <w:pPr>
        <w:pStyle w:val="VRGFBodycontent"/>
      </w:pPr>
      <w:r w:rsidRPr="0060218C">
        <w:t>The first conceptual framework for understanding harmful gambling was developed by an international team of gambling researchers (Abbott et al., 201</w:t>
      </w:r>
      <w:r w:rsidR="00C64FD3">
        <w:t>5</w:t>
      </w:r>
      <w:r w:rsidRPr="0060218C">
        <w:t>)</w:t>
      </w:r>
      <w:r w:rsidR="009D23C6">
        <w:t>.</w:t>
      </w:r>
      <w:r w:rsidR="008610D3">
        <w:t xml:space="preserve"> </w:t>
      </w:r>
      <w:r w:rsidRPr="0060218C">
        <w:t>The objectives of this framework were: 1) to demonstrate the current state of interdisciplinary awareness of issues that impact on harmful gambling and the interaction between those factors; 2) to educate others in understanding the relationship and interaction of these factors to assist with informed decision making and provision of services by regulators, policy makers, service providers</w:t>
      </w:r>
      <w:r>
        <w:t>,</w:t>
      </w:r>
      <w:r w:rsidRPr="0060218C">
        <w:t xml:space="preserve"> and the general public; and 3) to navigate research towards gaps in knowledge that require further investigation (Abbott et al., 201</w:t>
      </w:r>
      <w:r w:rsidR="00C64FD3">
        <w:t>5</w:t>
      </w:r>
      <w:r w:rsidRPr="0060218C">
        <w:t xml:space="preserve">). </w:t>
      </w:r>
    </w:p>
    <w:p w14:paraId="762B8174" w14:textId="6168085A" w:rsidR="005E39E4" w:rsidRDefault="005E39E4" w:rsidP="001B2940">
      <w:pPr>
        <w:pStyle w:val="VRGFBodycontent"/>
      </w:pPr>
      <w:r w:rsidRPr="0060218C">
        <w:t xml:space="preserve">As per the New Zealand definition of harm, </w:t>
      </w:r>
      <w:r w:rsidR="00C21665">
        <w:t>t</w:t>
      </w:r>
      <w:r w:rsidRPr="0060218C">
        <w:t>he Conceptual Framework of Harmful Gambling went beyond the understanding of harm according to traditional categorisations of gambling severity (problem gambling versus recreational gambling) and considered</w:t>
      </w:r>
      <w:r w:rsidR="00794101">
        <w:t xml:space="preserve"> the degree of harm in relation to </w:t>
      </w:r>
      <w:r w:rsidRPr="0060218C">
        <w:t>frequency and severity of gambling behaviour (Abbott et al., 201</w:t>
      </w:r>
      <w:r w:rsidR="00C64FD3">
        <w:t>5</w:t>
      </w:r>
      <w:r w:rsidRPr="0060218C">
        <w:t>)</w:t>
      </w:r>
      <w:r w:rsidR="009D23C6">
        <w:t>.</w:t>
      </w:r>
      <w:r w:rsidR="008610D3">
        <w:t xml:space="preserve"> </w:t>
      </w:r>
      <w:r w:rsidRPr="0060218C">
        <w:t>Broadening the conceptualisation beyond individual gambling classifications makes room not only to consider others harmed by gambling behaviours (</w:t>
      </w:r>
      <w:r>
        <w:t>e.g.</w:t>
      </w:r>
      <w:r w:rsidRPr="0060218C">
        <w:t xml:space="preserve"> family, extended family, whānau, friends and community impacts), but also to appreciate the complexity of gambling harm and the extent to which it affects all aspects of health determinants</w:t>
      </w:r>
      <w:r w:rsidR="009D23C6">
        <w:t>.</w:t>
      </w:r>
      <w:r w:rsidR="008610D3">
        <w:t xml:space="preserve"> </w:t>
      </w:r>
      <w:r w:rsidRPr="0060218C">
        <w:t>An overview of the framework of factors that influence harmful gambling is presented in</w:t>
      </w:r>
      <w:r w:rsidR="00E008E1">
        <w:t xml:space="preserve"> </w:t>
      </w:r>
      <w:r w:rsidR="00E008E1">
        <w:fldChar w:fldCharType="begin"/>
      </w:r>
      <w:r w:rsidR="00E008E1">
        <w:instrText xml:space="preserve"> REF _Ref444351413 \h </w:instrText>
      </w:r>
      <w:r w:rsidR="00E008E1">
        <w:fldChar w:fldCharType="separate"/>
      </w:r>
      <w:r w:rsidR="0006479A">
        <w:t xml:space="preserve">Figure </w:t>
      </w:r>
      <w:r w:rsidR="0006479A">
        <w:rPr>
          <w:noProof/>
        </w:rPr>
        <w:t>1</w:t>
      </w:r>
      <w:r w:rsidR="00E008E1">
        <w:fldChar w:fldCharType="end"/>
      </w:r>
      <w:r w:rsidRPr="0060218C">
        <w:t xml:space="preserve">. </w:t>
      </w:r>
    </w:p>
    <w:p w14:paraId="41F6B709" w14:textId="0E741E6A" w:rsidR="001B2940" w:rsidRDefault="001B2940" w:rsidP="00444AFE">
      <w:pPr>
        <w:pStyle w:val="VRGFBodycontent"/>
        <w:spacing w:after="120"/>
      </w:pPr>
    </w:p>
    <w:p w14:paraId="5D399240" w14:textId="04AC764C" w:rsidR="00520C28" w:rsidRDefault="00520C28" w:rsidP="00444AFE">
      <w:pPr>
        <w:pStyle w:val="VRGFBodycontent"/>
        <w:spacing w:after="120"/>
      </w:pPr>
      <w:r>
        <w:rPr>
          <w:noProof/>
          <w:lang w:val="en-NZ" w:eastAsia="en-NZ"/>
        </w:rPr>
        <w:drawing>
          <wp:inline distT="0" distB="0" distL="0" distR="0" wp14:anchorId="6742FB4D" wp14:editId="243E8B56">
            <wp:extent cx="5372100" cy="3945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54" t="12114" r="16740"/>
                    <a:stretch/>
                  </pic:blipFill>
                  <pic:spPr bwMode="auto">
                    <a:xfrm>
                      <a:off x="0" y="0"/>
                      <a:ext cx="5385191" cy="3955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555963" w14:textId="49EBDB41" w:rsidR="00E008E1" w:rsidRDefault="00E008E1" w:rsidP="00E008E1">
      <w:pPr>
        <w:pStyle w:val="Caption"/>
      </w:pPr>
      <w:bookmarkStart w:id="120" w:name="_Ref444351413"/>
      <w:bookmarkStart w:id="121" w:name="_Toc462738084"/>
      <w:r>
        <w:t xml:space="preserve">Figure </w:t>
      </w:r>
      <w:fldSimple w:instr=" SEQ Figure \* ARABIC ">
        <w:r w:rsidR="0006479A">
          <w:rPr>
            <w:noProof/>
          </w:rPr>
          <w:t>1</w:t>
        </w:r>
      </w:fldSimple>
      <w:bookmarkEnd w:id="120"/>
      <w:r w:rsidR="009D23C6">
        <w:t>.</w:t>
      </w:r>
      <w:r w:rsidR="008610D3">
        <w:t xml:space="preserve"> </w:t>
      </w:r>
      <w:r>
        <w:t>Conceptual framework for factors influencing harmful gambling (Abbott et al., 201</w:t>
      </w:r>
      <w:r w:rsidR="00520C28">
        <w:t>5</w:t>
      </w:r>
      <w:r>
        <w:t>, p.</w:t>
      </w:r>
      <w:r w:rsidR="00520C28">
        <w:t>13</w:t>
      </w:r>
      <w:r>
        <w:t>)</w:t>
      </w:r>
      <w:bookmarkEnd w:id="121"/>
    </w:p>
    <w:p w14:paraId="06EACA24" w14:textId="0AE0154F" w:rsidR="005E39E4" w:rsidRDefault="005E39E4" w:rsidP="00E03DE0">
      <w:pPr>
        <w:pStyle w:val="VRGFBodycontent"/>
        <w:spacing w:before="240"/>
      </w:pPr>
      <w:r w:rsidRPr="0060218C">
        <w:t xml:space="preserve">The </w:t>
      </w:r>
      <w:r w:rsidRPr="006F47AB">
        <w:t>Conceptual</w:t>
      </w:r>
      <w:r w:rsidRPr="0060218C">
        <w:t xml:space="preserve"> Framework of Harmful Gambling reflects the values and perspectives incorporated within the New Zealand definition of harm and has been further developed through the incorporation </w:t>
      </w:r>
      <w:r w:rsidRPr="0060218C">
        <w:lastRenderedPageBreak/>
        <w:t>of public health approaches</w:t>
      </w:r>
      <w:r w:rsidR="009D23C6">
        <w:t>.</w:t>
      </w:r>
      <w:r w:rsidR="008610D3">
        <w:t xml:space="preserve"> </w:t>
      </w:r>
      <w:r w:rsidRPr="0060218C">
        <w:t>This framework is consistent with the World Health Organisation’s framework of the social determinants of health presented in</w:t>
      </w:r>
      <w:r w:rsidR="00E008E1">
        <w:t xml:space="preserve"> </w:t>
      </w:r>
      <w:r w:rsidR="00E008E1">
        <w:fldChar w:fldCharType="begin"/>
      </w:r>
      <w:r w:rsidR="00E008E1">
        <w:instrText xml:space="preserve"> REF _Ref444351468 \h </w:instrText>
      </w:r>
      <w:r w:rsidR="00E008E1">
        <w:fldChar w:fldCharType="separate"/>
      </w:r>
      <w:r w:rsidR="0006479A">
        <w:t xml:space="preserve">Figure </w:t>
      </w:r>
      <w:r w:rsidR="0006479A">
        <w:rPr>
          <w:noProof/>
        </w:rPr>
        <w:t>2</w:t>
      </w:r>
      <w:r w:rsidR="00E008E1">
        <w:fldChar w:fldCharType="end"/>
      </w:r>
      <w:r w:rsidRPr="0060218C">
        <w:t xml:space="preserve"> (Solar &amp; Irwin, 2010) and with other international frameworks of health determinants (such as in Australia, Australian Institute of Health and Welfare, 2014, p 3). </w:t>
      </w:r>
    </w:p>
    <w:p w14:paraId="78597814" w14:textId="77777777" w:rsidR="005E39E4" w:rsidRPr="0060218C" w:rsidRDefault="005E39E4" w:rsidP="00444AFE">
      <w:pPr>
        <w:spacing w:before="0" w:after="120" w:line="240" w:lineRule="auto"/>
      </w:pPr>
      <w:r w:rsidRPr="0060218C">
        <w:rPr>
          <w:noProof/>
          <w:lang w:val="en-NZ" w:eastAsia="en-NZ"/>
        </w:rPr>
        <w:drawing>
          <wp:inline distT="0" distB="0" distL="0" distR="0" wp14:anchorId="03C4FE17" wp14:editId="33D9FBD9">
            <wp:extent cx="4676775" cy="28104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5035" cy="2815381"/>
                    </a:xfrm>
                    <a:prstGeom prst="rect">
                      <a:avLst/>
                    </a:prstGeom>
                  </pic:spPr>
                </pic:pic>
              </a:graphicData>
            </a:graphic>
          </wp:inline>
        </w:drawing>
      </w:r>
    </w:p>
    <w:p w14:paraId="6414DFBB" w14:textId="3D1EC12F" w:rsidR="00E008E1" w:rsidRDefault="00E008E1" w:rsidP="00E008E1">
      <w:pPr>
        <w:pStyle w:val="Caption"/>
        <w:rPr>
          <w:b w:val="0"/>
        </w:rPr>
      </w:pPr>
      <w:bookmarkStart w:id="122" w:name="_Ref444351468"/>
      <w:bookmarkStart w:id="123" w:name="_Toc462738085"/>
      <w:r>
        <w:t xml:space="preserve">Figure </w:t>
      </w:r>
      <w:fldSimple w:instr=" SEQ Figure \* ARABIC ">
        <w:r w:rsidR="0006479A">
          <w:rPr>
            <w:noProof/>
          </w:rPr>
          <w:t>2</w:t>
        </w:r>
      </w:fldSimple>
      <w:bookmarkEnd w:id="122"/>
      <w:r w:rsidR="009D23C6">
        <w:t>.</w:t>
      </w:r>
      <w:r w:rsidR="008610D3">
        <w:t xml:space="preserve"> </w:t>
      </w:r>
      <w:r>
        <w:t>Final form of the CSDH conceptual framework (Solar &amp; Irwin, 2010, p. 6)</w:t>
      </w:r>
      <w:bookmarkEnd w:id="123"/>
    </w:p>
    <w:p w14:paraId="7577D1AD" w14:textId="77777777" w:rsidR="003366FB" w:rsidRDefault="003366FB" w:rsidP="001B2940">
      <w:pPr>
        <w:pStyle w:val="VRGFBodycontent"/>
      </w:pPr>
    </w:p>
    <w:p w14:paraId="626EF60C" w14:textId="27326DA9" w:rsidR="005E39E4" w:rsidRDefault="005E39E4" w:rsidP="001B2940">
      <w:pPr>
        <w:pStyle w:val="VRGFBodycontent"/>
      </w:pPr>
      <w:r w:rsidRPr="0060218C">
        <w:t>The development of the Conceptual Framework for Gambling Harm represents substantial gains in the multidisciplinary and international understanding of the phenomena of gambling and harm</w:t>
      </w:r>
      <w:r w:rsidR="009D23C6">
        <w:t>.</w:t>
      </w:r>
      <w:r w:rsidR="008610D3">
        <w:t xml:space="preserve"> </w:t>
      </w:r>
      <w:r w:rsidRPr="0060218C">
        <w:t>While many of these determinants of gambling harm have been identified within the literature, there is little understanding as to how they work (Abbott et al., 201</w:t>
      </w:r>
      <w:r w:rsidR="00520C28">
        <w:t>5</w:t>
      </w:r>
      <w:r w:rsidRPr="0060218C">
        <w:t>)</w:t>
      </w:r>
      <w:r w:rsidR="009D23C6">
        <w:t>.</w:t>
      </w:r>
      <w:r w:rsidR="008610D3">
        <w:t xml:space="preserve"> </w:t>
      </w:r>
      <w:r w:rsidRPr="0060218C">
        <w:t>This framework helps to identify these gaps in order to go beyond simply knowing the existence of these determinants, to quantifying and measuring the effects</w:t>
      </w:r>
      <w:r w:rsidR="009D23C6">
        <w:t>.</w:t>
      </w:r>
      <w:r w:rsidR="008610D3">
        <w:t xml:space="preserve"> </w:t>
      </w:r>
      <w:r w:rsidRPr="0060218C">
        <w:t>The first step is to cease limiting harms to an individual experience but rather to gain insight into the differentiation between harm and gambling behaviours</w:t>
      </w:r>
      <w:r w:rsidR="009D23C6">
        <w:t>.</w:t>
      </w:r>
      <w:r w:rsidR="008610D3">
        <w:t xml:space="preserve"> </w:t>
      </w:r>
      <w:r w:rsidRPr="0060218C">
        <w:t>Only then can the full scope of harms and the influence on others be fully appreciated and measures of assessment be developed.</w:t>
      </w:r>
    </w:p>
    <w:p w14:paraId="3F9E7284" w14:textId="77777777" w:rsidR="001B2940" w:rsidRPr="0060218C" w:rsidRDefault="001B2940" w:rsidP="001B2940">
      <w:pPr>
        <w:pStyle w:val="VRGFBodycontent"/>
      </w:pPr>
    </w:p>
    <w:p w14:paraId="55E2198D" w14:textId="2AEC473B" w:rsidR="005E39E4" w:rsidRPr="0060218C" w:rsidRDefault="005E39E4" w:rsidP="00F53A40">
      <w:pPr>
        <w:pStyle w:val="VRGFHead2"/>
      </w:pPr>
      <w:bookmarkStart w:id="124" w:name="_Toc462738001"/>
      <w:bookmarkStart w:id="125" w:name="_Toc283813372"/>
      <w:bookmarkStart w:id="126" w:name="_Toc283813441"/>
      <w:bookmarkStart w:id="127" w:name="_Toc285109132"/>
      <w:r w:rsidRPr="0060218C">
        <w:t>M</w:t>
      </w:r>
      <w:r w:rsidR="001B2940">
        <w:t>easurement of harm</w:t>
      </w:r>
      <w:bookmarkEnd w:id="124"/>
      <w:r w:rsidR="001B2940">
        <w:t xml:space="preserve"> </w:t>
      </w:r>
      <w:bookmarkEnd w:id="125"/>
      <w:bookmarkEnd w:id="126"/>
      <w:bookmarkEnd w:id="127"/>
    </w:p>
    <w:p w14:paraId="5DFB2557" w14:textId="510F4DBC" w:rsidR="005E39E4" w:rsidRDefault="005E39E4" w:rsidP="001B2940">
      <w:pPr>
        <w:pStyle w:val="VRGFBodycontent"/>
      </w:pPr>
      <w:r w:rsidRPr="0060218C">
        <w:t xml:space="preserve">Currently there is no comprehensive or empirically feasible way to measure </w:t>
      </w:r>
      <w:r>
        <w:t>gambling-related</w:t>
      </w:r>
      <w:r w:rsidRPr="0060218C">
        <w:t xml:space="preserve"> harms according to progressive conceptualisations that go beyond the individual</w:t>
      </w:r>
      <w:r w:rsidR="009D23C6">
        <w:t>.</w:t>
      </w:r>
      <w:r w:rsidR="008610D3">
        <w:t xml:space="preserve"> </w:t>
      </w:r>
      <w:r w:rsidRPr="0060218C">
        <w:t>This has been partly due to a lack of understanding surrounding the complexities of harm but also is a result of how harm has been measured within the literature</w:t>
      </w:r>
      <w:r w:rsidR="009D23C6">
        <w:t>.</w:t>
      </w:r>
      <w:r w:rsidR="008610D3">
        <w:t xml:space="preserve"> </w:t>
      </w:r>
      <w:r w:rsidRPr="0060218C">
        <w:t>Currie et al., (2009) identified three ways in which harm has traditionally been measured</w:t>
      </w:r>
      <w:r w:rsidR="009D23C6">
        <w:t>.</w:t>
      </w:r>
      <w:r w:rsidR="008610D3">
        <w:t xml:space="preserve"> </w:t>
      </w:r>
      <w:r w:rsidRPr="0060218C">
        <w:t>These are: diagnostic criteria for the categorisation of problem gambling, behavioural symptoms associated with problem gambling, and the experience of negative consequences resulting from problem gambling.</w:t>
      </w:r>
      <w:r>
        <w:t xml:space="preserve"> </w:t>
      </w:r>
    </w:p>
    <w:p w14:paraId="54044A33" w14:textId="77777777" w:rsidR="00485122" w:rsidRDefault="00485122" w:rsidP="001B2940">
      <w:pPr>
        <w:pStyle w:val="VRGFBodycontent"/>
      </w:pPr>
    </w:p>
    <w:p w14:paraId="06D462C2" w14:textId="6E4E5276" w:rsidR="005E39E4" w:rsidRPr="0060218C" w:rsidRDefault="005E39E4" w:rsidP="00F53A40">
      <w:pPr>
        <w:pStyle w:val="VRGFHead3"/>
      </w:pPr>
      <w:bookmarkStart w:id="128" w:name="_Toc462738002"/>
      <w:bookmarkStart w:id="129" w:name="_Toc283813373"/>
      <w:bookmarkStart w:id="130" w:name="_Toc283813442"/>
      <w:bookmarkStart w:id="131" w:name="_Toc285109133"/>
      <w:r w:rsidRPr="0060218C">
        <w:lastRenderedPageBreak/>
        <w:t>D</w:t>
      </w:r>
      <w:r w:rsidR="001B2940">
        <w:t>iagnostic criteria</w:t>
      </w:r>
      <w:bookmarkEnd w:id="128"/>
      <w:r w:rsidR="001B2940">
        <w:t xml:space="preserve"> </w:t>
      </w:r>
      <w:bookmarkEnd w:id="129"/>
      <w:bookmarkEnd w:id="130"/>
      <w:bookmarkEnd w:id="131"/>
    </w:p>
    <w:p w14:paraId="1CDD7263" w14:textId="7FB3EA96" w:rsidR="005E39E4" w:rsidRPr="00531DE5" w:rsidRDefault="005E39E4" w:rsidP="001B2940">
      <w:pPr>
        <w:pStyle w:val="VRGFBodycontent"/>
      </w:pPr>
      <w:r w:rsidRPr="00531DE5">
        <w:t>As mentioned in earlier sections, harm is often considered in terms of gambling severity (Binde, 2011)</w:t>
      </w:r>
      <w:r w:rsidR="009D23C6">
        <w:t>.</w:t>
      </w:r>
      <w:r w:rsidR="008610D3">
        <w:t xml:space="preserve"> </w:t>
      </w:r>
      <w:r w:rsidRPr="00531DE5">
        <w:t>While there are many conflicting ideas as to whether these measures are suitable, generally they are focused on issues surrounding accuracy, the tools used (e.g. PGSI &amp; SOGS), the complexity of the levels or spectrums of gambling severity, or methodological sampling issues (e.g</w:t>
      </w:r>
      <w:r w:rsidR="009D23C6">
        <w:t>.</w:t>
      </w:r>
      <w:r w:rsidR="008610D3">
        <w:t xml:space="preserve"> </w:t>
      </w:r>
      <w:r w:rsidRPr="00531DE5">
        <w:t>non-response and misreporting bias); none of which are especially useful in understanding harm</w:t>
      </w:r>
      <w:r w:rsidR="009D23C6">
        <w:t>.</w:t>
      </w:r>
      <w:r w:rsidR="008610D3">
        <w:t xml:space="preserve"> </w:t>
      </w:r>
      <w:r w:rsidRPr="00531DE5">
        <w:t>However, there has been some debate as to the extent to which the harm associated with gambling is the focal point in conceptualising problem gambling</w:t>
      </w:r>
      <w:r w:rsidR="009D23C6">
        <w:t>.</w:t>
      </w:r>
      <w:r w:rsidR="008610D3">
        <w:t xml:space="preserve"> </w:t>
      </w:r>
      <w:r w:rsidRPr="00531DE5">
        <w:t>That is, researchers suggest that measures should be orientated around the harms or problems generated through gambling rather than diagnostic categorisations of addiction or forms of individu</w:t>
      </w:r>
      <w:r>
        <w:t>al psychopathology (Svetieva &amp;</w:t>
      </w:r>
      <w:r w:rsidRPr="00531DE5">
        <w:t xml:space="preserve"> Walker, 2008). </w:t>
      </w:r>
    </w:p>
    <w:p w14:paraId="767A057F" w14:textId="70C9B89F" w:rsidR="005E39E4" w:rsidRPr="0060218C" w:rsidRDefault="005E39E4" w:rsidP="001B2940">
      <w:pPr>
        <w:pStyle w:val="VRGFBodycontent"/>
      </w:pPr>
      <w:r w:rsidRPr="0060218C">
        <w:t>Such arguments are reflected within a New Zealand definition of problem gambling that considers any gambling that causes harm to an individual, his or her family</w:t>
      </w:r>
      <w:r>
        <w:t>,</w:t>
      </w:r>
      <w:r w:rsidRPr="0060218C">
        <w:t xml:space="preserve"> or the wider community to be considered problematic (Department of Internal Affairs, 2013)</w:t>
      </w:r>
      <w:r w:rsidR="009D23C6">
        <w:t>.</w:t>
      </w:r>
      <w:r w:rsidR="008610D3">
        <w:t xml:space="preserve"> </w:t>
      </w:r>
      <w:r w:rsidRPr="0060218C">
        <w:t>As mentioned previously, this approach fails to distinguish harms as an outcome from indicators that are predictive of the problem (or clinical symptoms), potentially adding confusion to an already complex issue</w:t>
      </w:r>
      <w:r w:rsidR="009D23C6">
        <w:t>.</w:t>
      </w:r>
      <w:r w:rsidR="008610D3">
        <w:t xml:space="preserve"> </w:t>
      </w:r>
      <w:r w:rsidRPr="0060218C">
        <w:t>Similarly, it implies there must be an addiction problem in order for harm to be incurred</w:t>
      </w:r>
      <w:r w:rsidR="009D23C6">
        <w:t>.</w:t>
      </w:r>
      <w:r w:rsidR="008610D3">
        <w:t xml:space="preserve"> </w:t>
      </w:r>
      <w:r w:rsidRPr="0060218C">
        <w:t>Further, it lacks an appreciation of the range of harms that can be experienced at every level of problematic gambling (i.e.</w:t>
      </w:r>
      <w:r>
        <w:t>,</w:t>
      </w:r>
      <w:r w:rsidRPr="0060218C">
        <w:t xml:space="preserve"> the presence or absence of ‘problem gambling’ does not necessarily determine the degree of harm that is being experienced)</w:t>
      </w:r>
      <w:r w:rsidR="009D23C6">
        <w:t>.</w:t>
      </w:r>
      <w:r w:rsidR="008610D3">
        <w:t xml:space="preserve"> </w:t>
      </w:r>
      <w:r w:rsidRPr="0060218C">
        <w:t>These limitations have also been noted in Australian literature, suggesting that some people may experience gambling problems without necessarily experiencing severe harms whilst others may experience harms without experiencing pathological or clinically diagnosable symptoms (Productivity Commission, 2010).</w:t>
      </w:r>
      <w:r>
        <w:t xml:space="preserve"> </w:t>
      </w:r>
    </w:p>
    <w:p w14:paraId="4231C88E" w14:textId="631D2DC0" w:rsidR="005E39E4" w:rsidRPr="0060218C" w:rsidRDefault="005E39E4" w:rsidP="001B2940">
      <w:pPr>
        <w:pStyle w:val="VRGFBodycontent"/>
      </w:pPr>
      <w:r w:rsidRPr="0060218C">
        <w:t xml:space="preserve">The idea that harms could be experienced on any diagnostic level of gambling was noted by Blaszczynski (2013), supported in the development of the conceptual framework by Abbott et al (2013), and further highlighted in </w:t>
      </w:r>
      <w:r>
        <w:t>New Zealand 2012</w:t>
      </w:r>
      <w:r w:rsidRPr="0060218C">
        <w:t xml:space="preserve"> National Gambling Study</w:t>
      </w:r>
      <w:r w:rsidRPr="0060218C" w:rsidDel="001F5F13">
        <w:t xml:space="preserve"> </w:t>
      </w:r>
      <w:r w:rsidRPr="0060218C">
        <w:t xml:space="preserve">- as people at all gambling severity levels expressed experiencing some form of </w:t>
      </w:r>
      <w:r>
        <w:t>gambling-related</w:t>
      </w:r>
      <w:r w:rsidRPr="0060218C">
        <w:t xml:space="preserve"> harm (Abbott et al., 2014a)</w:t>
      </w:r>
      <w:r w:rsidR="009D23C6">
        <w:t>.</w:t>
      </w:r>
      <w:r w:rsidR="008610D3">
        <w:t xml:space="preserve"> </w:t>
      </w:r>
      <w:r w:rsidRPr="0060218C">
        <w:t xml:space="preserve">While there is strong evidence for the relationship between problem </w:t>
      </w:r>
      <w:r w:rsidR="009E7465">
        <w:t xml:space="preserve">severity </w:t>
      </w:r>
      <w:r w:rsidRPr="0060218C">
        <w:t>and harm as evidenced by increases of reported harm with higher categorisation of problem gambling (Abbott et al., 2014a), there appears to be an assumption that measures for prevention and treatment be targeted at the most extreme level of gambling problems</w:t>
      </w:r>
      <w:r w:rsidR="009D23C6">
        <w:t>.</w:t>
      </w:r>
      <w:r w:rsidR="008610D3">
        <w:t xml:space="preserve"> </w:t>
      </w:r>
      <w:r w:rsidRPr="0060218C">
        <w:t xml:space="preserve">This has tended to focus research on </w:t>
      </w:r>
      <w:r w:rsidRPr="00531DE5">
        <w:rPr>
          <w:spacing w:val="-2"/>
        </w:rPr>
        <w:t>crisis level gambling behaviours, whilst failing to consider harms across the full spectrum of gambling levels - criticisms also made by Rodgers, Caldwell and Butterworth (2009)</w:t>
      </w:r>
      <w:r w:rsidR="009D23C6">
        <w:rPr>
          <w:spacing w:val="-2"/>
        </w:rPr>
        <w:t>.</w:t>
      </w:r>
      <w:r w:rsidR="008610D3">
        <w:rPr>
          <w:spacing w:val="-2"/>
        </w:rPr>
        <w:t xml:space="preserve"> </w:t>
      </w:r>
      <w:r w:rsidRPr="00531DE5">
        <w:rPr>
          <w:spacing w:val="-2"/>
        </w:rPr>
        <w:t>Acute harms tend to occur in a small minority of the gambling population, whilst a far larger portion of the population experiences less acute harms</w:t>
      </w:r>
      <w:r w:rsidR="009D23C6">
        <w:rPr>
          <w:spacing w:val="-2"/>
        </w:rPr>
        <w:t>.</w:t>
      </w:r>
      <w:r w:rsidR="008610D3">
        <w:rPr>
          <w:spacing w:val="-2"/>
        </w:rPr>
        <w:t xml:space="preserve"> </w:t>
      </w:r>
      <w:r w:rsidRPr="00531DE5">
        <w:rPr>
          <w:spacing w:val="-2"/>
        </w:rPr>
        <w:t>Thus</w:t>
      </w:r>
      <w:r>
        <w:rPr>
          <w:spacing w:val="-2"/>
        </w:rPr>
        <w:t>,</w:t>
      </w:r>
      <w:r w:rsidRPr="00531DE5">
        <w:rPr>
          <w:spacing w:val="-2"/>
        </w:rPr>
        <w:t xml:space="preserve"> it is possible that the aggregate level of ‘diffuse harms’ occurring to non-acute problem gamblers in the broader community may actually exceed the quantity of harm occurring to problem gamblers</w:t>
      </w:r>
      <w:r w:rsidR="009D23C6">
        <w:rPr>
          <w:spacing w:val="-2"/>
        </w:rPr>
        <w:t>.</w:t>
      </w:r>
      <w:r w:rsidR="008610D3">
        <w:rPr>
          <w:spacing w:val="-2"/>
        </w:rPr>
        <w:t xml:space="preserve"> </w:t>
      </w:r>
      <w:r w:rsidRPr="00531DE5">
        <w:rPr>
          <w:spacing w:val="-2"/>
        </w:rPr>
        <w:t>For instance, people with lower incomes who experience crisis-level harms (such as bankruptcy) are relatively few compared to those who decrease their disposable income and limit their opportunities, by having higher expenditure on gambling (Abbott et al., 2014a)</w:t>
      </w:r>
      <w:r w:rsidR="009D23C6">
        <w:rPr>
          <w:spacing w:val="-2"/>
        </w:rPr>
        <w:t>.</w:t>
      </w:r>
      <w:r w:rsidR="008610D3">
        <w:rPr>
          <w:spacing w:val="-2"/>
        </w:rPr>
        <w:t xml:space="preserve"> </w:t>
      </w:r>
      <w:r w:rsidRPr="00531DE5">
        <w:rPr>
          <w:spacing w:val="-2"/>
        </w:rPr>
        <w:t>At a broader level, when a whole community starts to lower their disposable income due to gambling, it is possible that there are lower levels of revenue being invested back into the community.</w:t>
      </w:r>
      <w:r w:rsidRPr="0060218C">
        <w:t xml:space="preserve"> </w:t>
      </w:r>
    </w:p>
    <w:p w14:paraId="0AE7CD53" w14:textId="53FF9C89" w:rsidR="005E39E4" w:rsidRPr="0060218C" w:rsidRDefault="005E39E4" w:rsidP="001B2940">
      <w:pPr>
        <w:pStyle w:val="VRGFBodycontent"/>
      </w:pPr>
      <w:r w:rsidRPr="0060218C">
        <w:t>Rogers et al. (2009) criticised the classification levels as possessing not enough specific differentiation between the moderate levels of harm; resulting in them being grouped together with their differential experiences of harm going unexplored</w:t>
      </w:r>
      <w:r w:rsidR="009D23C6">
        <w:t>.</w:t>
      </w:r>
      <w:r w:rsidR="008610D3">
        <w:t xml:space="preserve"> </w:t>
      </w:r>
      <w:r w:rsidRPr="0060218C">
        <w:t xml:space="preserve">The experiences of those in the low to mid spectrum of gambling problems, and the process of development from one stage to another, seems </w:t>
      </w:r>
      <w:r w:rsidRPr="0060218C">
        <w:lastRenderedPageBreak/>
        <w:t>to be lacking in the research; insight that is both relevant and necessary for informing policy</w:t>
      </w:r>
      <w:r w:rsidR="009D23C6">
        <w:t>.</w:t>
      </w:r>
      <w:r w:rsidR="008610D3">
        <w:t xml:space="preserve"> </w:t>
      </w:r>
      <w:r w:rsidRPr="0060218C">
        <w:t>While safe (i.e. harm-free) levels of gambling are considered possible, this does not mean that recreational gamblers are immune from harm</w:t>
      </w:r>
      <w:r w:rsidR="009D23C6">
        <w:t>.</w:t>
      </w:r>
      <w:r w:rsidR="008610D3">
        <w:t xml:space="preserve"> </w:t>
      </w:r>
      <w:r w:rsidRPr="0060218C">
        <w:t>Investigations of the extent and degree of harms associated with recreational gambling are seriously lacking</w:t>
      </w:r>
      <w:r w:rsidR="009D23C6">
        <w:t>.</w:t>
      </w:r>
      <w:r w:rsidR="008610D3">
        <w:t xml:space="preserve"> </w:t>
      </w:r>
      <w:r w:rsidRPr="0060218C">
        <w:t>For instance, those who engage in occasional “binge” like gambling behaviours may not meet classifications for having any degree of gambling problems, due to the infrequency of their gambling behaviour</w:t>
      </w:r>
      <w:r w:rsidR="009D23C6">
        <w:t>.</w:t>
      </w:r>
      <w:r w:rsidR="008610D3">
        <w:t xml:space="preserve"> </w:t>
      </w:r>
      <w:r w:rsidRPr="0060218C">
        <w:t>However, they may still experience some level of intermittent or continuing harm from these sporadic problematic episodes</w:t>
      </w:r>
      <w:r w:rsidR="009D23C6">
        <w:t>.</w:t>
      </w:r>
      <w:r w:rsidR="008610D3">
        <w:t xml:space="preserve"> </w:t>
      </w:r>
      <w:r w:rsidRPr="0060218C">
        <w:t>There have been some efforts to understand the idea of “binging” in gambling conceptualisations (Breen</w:t>
      </w:r>
      <w:r>
        <w:t>,</w:t>
      </w:r>
      <w:r w:rsidRPr="0060218C">
        <w:t xml:space="preserve"> 2012a) but largely this has remained unexplored</w:t>
      </w:r>
      <w:r w:rsidR="009D23C6">
        <w:t>.</w:t>
      </w:r>
      <w:r w:rsidR="008610D3">
        <w:t xml:space="preserve"> </w:t>
      </w:r>
      <w:r w:rsidRPr="0060218C">
        <w:t>Perhaps moving away from the standard spectrum of gambling conceptualisation to one more reflective of those used for understanding alcohol consumption</w:t>
      </w:r>
      <w:r>
        <w:t xml:space="preserve"> </w:t>
      </w:r>
      <w:r w:rsidRPr="0060218C">
        <w:t xml:space="preserve">(that also incorporate “binging”) may highlight potential pathways for policy change while furthering understanding of gambling problems. </w:t>
      </w:r>
    </w:p>
    <w:p w14:paraId="79BCA58B" w14:textId="03B435D0" w:rsidR="005E39E4" w:rsidRDefault="005E39E4" w:rsidP="001B2940">
      <w:pPr>
        <w:pStyle w:val="VRGFBodycontent"/>
      </w:pPr>
      <w:r w:rsidRPr="0060218C">
        <w:t>The most recognised, reliable</w:t>
      </w:r>
      <w:r>
        <w:t>,</w:t>
      </w:r>
      <w:r w:rsidRPr="0060218C">
        <w:t xml:space="preserve"> and widely used measure of gambling problems, the PGSI, is not intended to specifically quantify harm</w:t>
      </w:r>
      <w:r w:rsidR="009D23C6">
        <w:t>.</w:t>
      </w:r>
      <w:r w:rsidR="008610D3">
        <w:t xml:space="preserve"> </w:t>
      </w:r>
      <w:r w:rsidRPr="0060218C">
        <w:t>Rather it was designed as a population measure of acute gambling-related problems</w:t>
      </w:r>
      <w:r w:rsidR="009D23C6">
        <w:t>.</w:t>
      </w:r>
      <w:r w:rsidR="008610D3">
        <w:t xml:space="preserve"> </w:t>
      </w:r>
      <w:r w:rsidRPr="0060218C">
        <w:t>Nevertheless, the instrument does contain items that capture seven adverse outcomes or harms associated with problem gambling</w:t>
      </w:r>
      <w:r w:rsidR="009D23C6">
        <w:t>.</w:t>
      </w:r>
      <w:r w:rsidR="008610D3">
        <w:t xml:space="preserve"> </w:t>
      </w:r>
      <w:r w:rsidRPr="0060218C">
        <w:t>Therefore, a promising approach to assessing harm at the population level may be to adapt or re-purpose the PGSI, so that inference can be made about the average quantity of harm that is experienced across the spectrum of PGSI scores</w:t>
      </w:r>
      <w:r w:rsidR="009D23C6">
        <w:t>.</w:t>
      </w:r>
      <w:r w:rsidR="008610D3">
        <w:t xml:space="preserve"> </w:t>
      </w:r>
      <w:r w:rsidRPr="0060218C">
        <w:t>This would require the linking of the PGSI with a meaningful metric that can be interpreted and aggregated over individuals in terms of harm experienced</w:t>
      </w:r>
      <w:r w:rsidR="009D23C6">
        <w:t>.</w:t>
      </w:r>
      <w:r w:rsidR="008610D3">
        <w:t xml:space="preserve"> </w:t>
      </w:r>
      <w:r w:rsidRPr="0060218C">
        <w:t xml:space="preserve">This in turn requires the operationalisation of the construct of harm as a quantitative exercise, for which public health methodologies would appear to be invaluable. </w:t>
      </w:r>
    </w:p>
    <w:p w14:paraId="53BD15A1" w14:textId="77777777" w:rsidR="001B2940" w:rsidRPr="0060218C" w:rsidRDefault="001B2940" w:rsidP="001B2940">
      <w:pPr>
        <w:pStyle w:val="VRGFBodycontent"/>
      </w:pPr>
    </w:p>
    <w:p w14:paraId="5527AEC5" w14:textId="345B0FB0" w:rsidR="005E39E4" w:rsidRPr="0060218C" w:rsidRDefault="001B2940" w:rsidP="00F53A40">
      <w:pPr>
        <w:pStyle w:val="VRGFHead3"/>
      </w:pPr>
      <w:bookmarkStart w:id="132" w:name="_Toc462738003"/>
      <w:bookmarkStart w:id="133" w:name="_Toc283813374"/>
      <w:bookmarkStart w:id="134" w:name="_Toc283813443"/>
      <w:bookmarkStart w:id="135" w:name="_Toc285109134"/>
      <w:r>
        <w:t>Behavioural indicators</w:t>
      </w:r>
      <w:bookmarkEnd w:id="132"/>
      <w:r>
        <w:t xml:space="preserve"> </w:t>
      </w:r>
      <w:bookmarkEnd w:id="133"/>
      <w:bookmarkEnd w:id="134"/>
      <w:bookmarkEnd w:id="135"/>
    </w:p>
    <w:p w14:paraId="6E689D58" w14:textId="7A0204F5" w:rsidR="005E39E4" w:rsidRPr="0060218C" w:rsidRDefault="005E39E4" w:rsidP="001B2940">
      <w:pPr>
        <w:pStyle w:val="VRGFBodycontent"/>
      </w:pPr>
      <w:r w:rsidRPr="0060218C">
        <w:t>Behavioural symptoms refer to the behaviours of consumption that occur that are</w:t>
      </w:r>
      <w:r w:rsidR="00400455">
        <w:t xml:space="preserve"> contributory</w:t>
      </w:r>
      <w:r w:rsidRPr="0060218C">
        <w:t xml:space="preserve"> to the development of gambling problems</w:t>
      </w:r>
      <w:r w:rsidR="009D23C6">
        <w:t>.</w:t>
      </w:r>
      <w:r w:rsidR="008610D3">
        <w:t xml:space="preserve"> </w:t>
      </w:r>
      <w:r w:rsidRPr="0060218C">
        <w:t>Such behaviours are generally developed prior to harm being experienced, precipitate harmful consequences</w:t>
      </w:r>
      <w:r>
        <w:t>,</w:t>
      </w:r>
      <w:r w:rsidRPr="0060218C">
        <w:t xml:space="preserve"> and perpetuate further problem gambling</w:t>
      </w:r>
      <w:r w:rsidR="009D23C6">
        <w:t xml:space="preserve">. </w:t>
      </w:r>
      <w:r w:rsidR="00400455" w:rsidRPr="00400455">
        <w:t>These behaviours might be considered as relatively reliable (albeit indirect) indicators of harm as excessive gambling is directly related to problem gambling.</w:t>
      </w:r>
      <w:r w:rsidR="00400455" w:rsidRPr="0060218C">
        <w:t xml:space="preserve"> </w:t>
      </w:r>
    </w:p>
    <w:p w14:paraId="3E693ABF" w14:textId="51B24173" w:rsidR="005E39E4" w:rsidRPr="0060218C" w:rsidRDefault="005E39E4" w:rsidP="001B2940">
      <w:pPr>
        <w:pStyle w:val="VRGFBodycontent"/>
      </w:pPr>
      <w:r w:rsidRPr="0060218C">
        <w:t>Most commonly, these behaviours are those related to excessive consumption, particularly the frequency of gambling behaviour, intensity of betting, high variability in betting amounts, increased bet sizes, higher number of games</w:t>
      </w:r>
      <w:r>
        <w:t>,</w:t>
      </w:r>
      <w:r w:rsidRPr="0060218C">
        <w:t xml:space="preserve"> and prolonged playing times</w:t>
      </w:r>
      <w:r w:rsidR="009D23C6">
        <w:t>.</w:t>
      </w:r>
      <w:r w:rsidR="008610D3">
        <w:t xml:space="preserve"> </w:t>
      </w:r>
      <w:r w:rsidRPr="0060218C">
        <w:t>Such behaviours have been most evidenced in research relating to EGM play (</w:t>
      </w:r>
      <w:r>
        <w:t>e.g.</w:t>
      </w:r>
      <w:r w:rsidRPr="0060218C">
        <w:t xml:space="preserve"> Walker, 2001; Williamson &amp; Walker, 2000</w:t>
      </w:r>
      <w:r w:rsidRPr="0060218C">
        <w:rPr>
          <w:sz w:val="24"/>
          <w:szCs w:val="24"/>
        </w:rPr>
        <w:t>)</w:t>
      </w:r>
      <w:r w:rsidR="009D23C6">
        <w:rPr>
          <w:sz w:val="24"/>
          <w:szCs w:val="24"/>
        </w:rPr>
        <w:t>.</w:t>
      </w:r>
      <w:r w:rsidR="008610D3">
        <w:rPr>
          <w:sz w:val="24"/>
          <w:szCs w:val="24"/>
        </w:rPr>
        <w:t xml:space="preserve"> </w:t>
      </w:r>
      <w:r w:rsidRPr="0060218C">
        <w:t>As a result, people tend to chase wins or develop cognitive distortions as to the likelihood of an impending win</w:t>
      </w:r>
      <w:r w:rsidR="009D23C6">
        <w:t>.</w:t>
      </w:r>
      <w:r w:rsidR="008610D3">
        <w:t xml:space="preserve"> </w:t>
      </w:r>
      <w:r w:rsidRPr="0060218C">
        <w:t>Such behaviours tend to prolong playing time, increase the number of games played and overall expenditure</w:t>
      </w:r>
      <w:r w:rsidR="009D23C6">
        <w:t>.</w:t>
      </w:r>
      <w:r w:rsidR="008610D3">
        <w:t xml:space="preserve"> </w:t>
      </w:r>
      <w:r w:rsidRPr="0060218C">
        <w:t>While behaviours such as these do not constitute harms in themselves, they should be recognised both as potential indicators and antecedents of the occurrence of harm.</w:t>
      </w:r>
    </w:p>
    <w:p w14:paraId="65FF7BF0" w14:textId="5FD6780E" w:rsidR="005E39E4" w:rsidRPr="0060218C" w:rsidRDefault="005E39E4" w:rsidP="001B2940">
      <w:pPr>
        <w:pStyle w:val="VRGFBodycontent"/>
      </w:pPr>
      <w:r w:rsidRPr="0060218C">
        <w:t>The behaviours mentioned above are not exclusive nor must they all be present to induce harm related to gambling</w:t>
      </w:r>
      <w:r w:rsidR="009D23C6">
        <w:t>.</w:t>
      </w:r>
      <w:r w:rsidR="008610D3">
        <w:t xml:space="preserve"> </w:t>
      </w:r>
      <w:r w:rsidRPr="0060218C">
        <w:t>For instance, Pacific Islander groups generally do not participate in gambling as much as other populations within New Zealand</w:t>
      </w:r>
      <w:r w:rsidR="009D23C6">
        <w:t>.</w:t>
      </w:r>
      <w:r w:rsidR="008610D3">
        <w:t xml:space="preserve"> </w:t>
      </w:r>
      <w:r w:rsidRPr="0060218C">
        <w:t xml:space="preserve">However, those who do participate are more at risk of problem gambling, as Pacific people’s </w:t>
      </w:r>
      <w:r w:rsidR="00321EDE">
        <w:t xml:space="preserve">gambling </w:t>
      </w:r>
      <w:r w:rsidRPr="0060218C">
        <w:t>expenditure is disproportionately higher than other groups</w:t>
      </w:r>
      <w:r w:rsidR="009D23C6">
        <w:t>.</w:t>
      </w:r>
      <w:r w:rsidR="008610D3">
        <w:t xml:space="preserve"> </w:t>
      </w:r>
      <w:r w:rsidRPr="0060218C">
        <w:t xml:space="preserve">This does not necessarily mean they are gambling more frequently or on more games, they could simply be placing larger bets on games that are played compared to others (Abbott et al, </w:t>
      </w:r>
      <w:r w:rsidRPr="0060218C">
        <w:lastRenderedPageBreak/>
        <w:t>2014a; Abbott, 2001</w:t>
      </w:r>
      <w:r>
        <w:t>b</w:t>
      </w:r>
      <w:r w:rsidRPr="0060218C">
        <w:t>; Abbott &amp; Volberg, 2000; Ministry of Health, 2009; 2010)</w:t>
      </w:r>
      <w:r w:rsidR="009D23C6">
        <w:t>.</w:t>
      </w:r>
      <w:r w:rsidR="008610D3">
        <w:t xml:space="preserve"> </w:t>
      </w:r>
      <w:r w:rsidRPr="0060218C">
        <w:t>These behaviours, the distribution of which is described as ‘bimodal’ by Abbott and Volberg (2000), have been noted in other research looking at Internet</w:t>
      </w:r>
      <w:r>
        <w:t xml:space="preserve"> gambling (Braverman &amp;</w:t>
      </w:r>
      <w:r w:rsidRPr="0060218C">
        <w:t xml:space="preserve"> Shaffer, 2012) and patterns of youth gambling (Boldero, Bell</w:t>
      </w:r>
      <w:r>
        <w:t>,</w:t>
      </w:r>
      <w:r w:rsidRPr="0060218C">
        <w:t xml:space="preserve"> &amp; Moore, 2010)</w:t>
      </w:r>
      <w:r w:rsidR="009D23C6">
        <w:t>.</w:t>
      </w:r>
      <w:r w:rsidR="008610D3">
        <w:t xml:space="preserve"> </w:t>
      </w:r>
      <w:r w:rsidRPr="0060218C">
        <w:t>The example above highlights the fact that an increased incidence of harm in a given ethnic population or demographic category could be due to one or more of the following factors: (1) increased partici</w:t>
      </w:r>
      <w:r>
        <w:t>pation in gambling in the group;</w:t>
      </w:r>
      <w:r w:rsidRPr="0060218C">
        <w:t xml:space="preserve"> (2) increased expenditure or excessive gambling by people who </w:t>
      </w:r>
      <w:r>
        <w:t>do participate;</w:t>
      </w:r>
      <w:r w:rsidRPr="0060218C">
        <w:t xml:space="preserve"> (3) a differing ability to support such a level of expenditure</w:t>
      </w:r>
      <w:r>
        <w:t>;</w:t>
      </w:r>
      <w:r w:rsidRPr="0060218C">
        <w:t xml:space="preserve"> and (4) a differing level of susceptibility to the harms generated by excessive gambling behaviour. </w:t>
      </w:r>
    </w:p>
    <w:p w14:paraId="15429C21" w14:textId="50710001" w:rsidR="005E39E4" w:rsidRPr="0060218C" w:rsidRDefault="005E39E4" w:rsidP="001B2940">
      <w:pPr>
        <w:pStyle w:val="VRGFBodycontent"/>
      </w:pPr>
      <w:r w:rsidRPr="0060218C">
        <w:t>Elements such as the environment (both social and physical) and the product itself can influence gambling behaviour and the vulnerability to harm (Breen &amp; Zimmerman, 2002)</w:t>
      </w:r>
      <w:r w:rsidR="00E03CA8">
        <w:t>.</w:t>
      </w:r>
      <w:r w:rsidR="008610D3">
        <w:t xml:space="preserve"> </w:t>
      </w:r>
      <w:r w:rsidRPr="0060218C">
        <w:t>For instance, venues can be designed in order to encourage overconsumption while product enhancements such as event dependent sound effects and visual displays on EGMs can make gambling appear exciting and appealing, initiating interest and further encouraging persistent and excessive gambling behaviour (Griffiths &amp; Parke, 2005; Parke &amp; Griffiths, 2006)</w:t>
      </w:r>
      <w:r w:rsidR="00E03CA8">
        <w:t>.</w:t>
      </w:r>
      <w:r w:rsidR="008610D3">
        <w:t xml:space="preserve"> </w:t>
      </w:r>
      <w:r w:rsidRPr="0060218C">
        <w:t>Broader social determinants also increase vulnerability</w:t>
      </w:r>
      <w:r w:rsidR="00E03CA8">
        <w:t>.</w:t>
      </w:r>
      <w:r w:rsidR="008610D3">
        <w:t xml:space="preserve"> </w:t>
      </w:r>
      <w:r w:rsidRPr="0060218C">
        <w:t xml:space="preserve">These include access and accessibility, cultural, </w:t>
      </w:r>
      <w:r>
        <w:t>socio-economic,</w:t>
      </w:r>
      <w:r w:rsidRPr="0060218C">
        <w:t xml:space="preserve"> and individual factors (Clarke et al., 2006)</w:t>
      </w:r>
      <w:r w:rsidR="00E03CA8">
        <w:t>.</w:t>
      </w:r>
      <w:r w:rsidR="008610D3">
        <w:t xml:space="preserve"> </w:t>
      </w:r>
      <w:r w:rsidRPr="0060218C">
        <w:t>This is highly evident in New Zealand as some ethnic groups are more vulnerable to problem gambling than others (Abbott et al., 2014a; Abbott &amp; Volberg, 2000; Dyall, 2004)</w:t>
      </w:r>
      <w:r w:rsidR="00E03CA8">
        <w:t>.</w:t>
      </w:r>
      <w:r w:rsidR="008610D3">
        <w:t xml:space="preserve"> </w:t>
      </w:r>
      <w:r w:rsidRPr="0060218C">
        <w:t xml:space="preserve">Additionally, those groups which are more vulnerable have been found to have greater accessibility to gambling opportunities given the disproportionate placing of EGMs in lower </w:t>
      </w:r>
      <w:r>
        <w:t>socio-economic</w:t>
      </w:r>
      <w:r w:rsidRPr="0060218C">
        <w:t xml:space="preserve"> areas (Clarke et al., 2006; Dyall, 2007; Salvation Army and Abacus Counselling &amp; Training Services Ltd, 2005; Wheeler et al., 2006; Wynd, 2005).</w:t>
      </w:r>
    </w:p>
    <w:p w14:paraId="376C4DB8" w14:textId="7AC03D56" w:rsidR="005E39E4" w:rsidRDefault="005E39E4" w:rsidP="001B2940">
      <w:pPr>
        <w:pStyle w:val="VRGFBodycontent"/>
      </w:pPr>
      <w:r w:rsidRPr="0060218C">
        <w:t xml:space="preserve">The risk of experiencing </w:t>
      </w:r>
      <w:r>
        <w:t>gambling-related</w:t>
      </w:r>
      <w:r w:rsidRPr="0060218C">
        <w:t xml:space="preserve"> harm has been found to increase steadily with </w:t>
      </w:r>
      <w:r w:rsidR="00B4558B">
        <w:t xml:space="preserve">gambling </w:t>
      </w:r>
      <w:r w:rsidRPr="0060218C">
        <w:t xml:space="preserve">frequency and expenditure (Currie, </w:t>
      </w:r>
      <w:r>
        <w:t>et al.,</w:t>
      </w:r>
      <w:r w:rsidRPr="0060218C">
        <w:t xml:space="preserve"> 2006)</w:t>
      </w:r>
      <w:r w:rsidR="00E03CA8">
        <w:t>.</w:t>
      </w:r>
      <w:r w:rsidR="008610D3">
        <w:t xml:space="preserve"> </w:t>
      </w:r>
      <w:r w:rsidRPr="0060218C">
        <w:t>This is not overly surprising as such behaviours are factors that are known to contribute to problem gambling, and problem gambling is directly related to experiences of harm</w:t>
      </w:r>
      <w:r w:rsidR="00E03CA8">
        <w:t>.</w:t>
      </w:r>
      <w:r w:rsidR="008610D3">
        <w:t xml:space="preserve"> </w:t>
      </w:r>
      <w:r w:rsidRPr="0060218C">
        <w:t>However, it does suggest that measures of behaviour may be able to reflect subsequent experiences of harm</w:t>
      </w:r>
      <w:r w:rsidR="00E03CA8">
        <w:t>.</w:t>
      </w:r>
      <w:r w:rsidR="008610D3">
        <w:t xml:space="preserve"> </w:t>
      </w:r>
      <w:r w:rsidRPr="0060218C">
        <w:t xml:space="preserve">It should </w:t>
      </w:r>
      <w:r w:rsidR="00E03CA8">
        <w:t xml:space="preserve">be noted that in Currie et al.’s </w:t>
      </w:r>
      <w:r w:rsidRPr="0060218C">
        <w:t xml:space="preserve">(2006) investigation of harm, the term </w:t>
      </w:r>
      <w:r>
        <w:t>‘</w:t>
      </w:r>
      <w:r w:rsidRPr="0060218C">
        <w:t>harm</w:t>
      </w:r>
      <w:r>
        <w:t>’</w:t>
      </w:r>
      <w:r w:rsidRPr="0060218C">
        <w:t xml:space="preserve"> was measured using a criteria from within the PGSI</w:t>
      </w:r>
      <w:r w:rsidR="00E03CA8">
        <w:t>.</w:t>
      </w:r>
      <w:r w:rsidR="008610D3">
        <w:t xml:space="preserve"> </w:t>
      </w:r>
      <w:r w:rsidRPr="0060218C">
        <w:t>Further investigations found similar results in that gambling behaviour</w:t>
      </w:r>
      <w:r>
        <w:t xml:space="preserve"> was strongly related to harm,</w:t>
      </w:r>
      <w:r w:rsidRPr="0060218C">
        <w:t xml:space="preserve"> however, measures of harm were similarly based on PGSI items or binary reports of harm being either present or absent (Currie et al., 2009)</w:t>
      </w:r>
      <w:r w:rsidR="00E03CA8">
        <w:t>.</w:t>
      </w:r>
      <w:r w:rsidR="008610D3">
        <w:t xml:space="preserve"> </w:t>
      </w:r>
      <w:r w:rsidRPr="0060218C">
        <w:t>Currie et al (2012) also attempted to use longitudinal data to asse</w:t>
      </w:r>
      <w:r>
        <w:t>ss low and high-risk behaviours</w:t>
      </w:r>
      <w:r w:rsidRPr="0060218C">
        <w:t xml:space="preserve"> and increased intensity</w:t>
      </w:r>
      <w:r>
        <w:t xml:space="preserve"> on the experiences of harm;</w:t>
      </w:r>
      <w:r w:rsidRPr="0060218C">
        <w:t xml:space="preserve"> while they were predictive, the construct of harm was not well established. </w:t>
      </w:r>
    </w:p>
    <w:p w14:paraId="2475B29F" w14:textId="77777777" w:rsidR="001B2940" w:rsidRPr="0060218C" w:rsidRDefault="001B2940" w:rsidP="001B2940">
      <w:pPr>
        <w:pStyle w:val="VRGFBodycontent"/>
      </w:pPr>
    </w:p>
    <w:p w14:paraId="50EE5A5E" w14:textId="664C0CF1" w:rsidR="005E39E4" w:rsidRPr="0060218C" w:rsidRDefault="005E39E4" w:rsidP="00F53A40">
      <w:pPr>
        <w:pStyle w:val="VRGFHead3"/>
      </w:pPr>
      <w:bookmarkStart w:id="136" w:name="_Toc462738004"/>
      <w:bookmarkStart w:id="137" w:name="_Toc283813375"/>
      <w:bookmarkStart w:id="138" w:name="_Toc283813444"/>
      <w:bookmarkStart w:id="139" w:name="_Toc285109135"/>
      <w:r w:rsidRPr="0060218C">
        <w:t>N</w:t>
      </w:r>
      <w:r w:rsidR="001B2940">
        <w:t>egative consequences</w:t>
      </w:r>
      <w:bookmarkEnd w:id="136"/>
      <w:r w:rsidR="001B2940">
        <w:t xml:space="preserve"> </w:t>
      </w:r>
      <w:bookmarkEnd w:id="137"/>
      <w:bookmarkEnd w:id="138"/>
      <w:bookmarkEnd w:id="139"/>
    </w:p>
    <w:p w14:paraId="630DAFC6" w14:textId="1421857D" w:rsidR="005E39E4" w:rsidRPr="0060218C" w:rsidRDefault="005E39E4" w:rsidP="001B2940">
      <w:pPr>
        <w:pStyle w:val="VRGFBodycontent"/>
      </w:pPr>
      <w:r w:rsidRPr="0060218C">
        <w:t>The final aspect most commonly used to measure harm is experience of negative consequences</w:t>
      </w:r>
      <w:r w:rsidR="00E03CA8">
        <w:t>.</w:t>
      </w:r>
      <w:r w:rsidR="008610D3">
        <w:t xml:space="preserve"> </w:t>
      </w:r>
      <w:r w:rsidRPr="0060218C">
        <w:t>Generally, measures of harmful consequences are obtained via self-report and cross-sectional surveys of those</w:t>
      </w:r>
      <w:r>
        <w:t xml:space="preserve"> persons</w:t>
      </w:r>
      <w:r w:rsidRPr="0060218C">
        <w:t xml:space="preserve"> seeking-treatment or in population prevalence studies</w:t>
      </w:r>
      <w:r w:rsidR="00E03CA8">
        <w:t>.</w:t>
      </w:r>
      <w:r w:rsidR="008610D3">
        <w:t xml:space="preserve"> </w:t>
      </w:r>
      <w:r w:rsidRPr="0060218C">
        <w:t xml:space="preserve">Despite these being used quite consistently, there are a number of issues associated with using measures of consequences in order to address gambling harm. </w:t>
      </w:r>
    </w:p>
    <w:p w14:paraId="1F1D20CA" w14:textId="2CBAB7B9" w:rsidR="005E39E4" w:rsidRPr="0060218C" w:rsidRDefault="005E39E4" w:rsidP="001B2940">
      <w:pPr>
        <w:pStyle w:val="VRGFBodycontent"/>
      </w:pPr>
      <w:r w:rsidRPr="0060218C">
        <w:t>The major problem associated with negative consequence measures is the construction or descriptions of harms within questionnaires or surveys used to obtain the data</w:t>
      </w:r>
      <w:r w:rsidR="00E03CA8">
        <w:t>.</w:t>
      </w:r>
      <w:r w:rsidR="008610D3">
        <w:t xml:space="preserve"> </w:t>
      </w:r>
      <w:r w:rsidRPr="0060218C">
        <w:t>The majority of these provide limited understanding as to the extent of these harms</w:t>
      </w:r>
      <w:r>
        <w:t>,</w:t>
      </w:r>
      <w:r w:rsidRPr="0060218C">
        <w:t xml:space="preserve"> as the wording of questions or criteria can be vague, subjective or lacking any extensive detail</w:t>
      </w:r>
      <w:r w:rsidR="00E03CA8">
        <w:t>.</w:t>
      </w:r>
      <w:r w:rsidR="008610D3">
        <w:t xml:space="preserve"> </w:t>
      </w:r>
      <w:r>
        <w:t>For instance, the use of the phrase</w:t>
      </w:r>
      <w:r w:rsidRPr="0060218C">
        <w:t xml:space="preserve"> “affected </w:t>
      </w:r>
      <w:r w:rsidRPr="0060218C">
        <w:lastRenderedPageBreak/>
        <w:t>relationship” does not provide any indication as to how and to what degree this relationship was “affected”</w:t>
      </w:r>
      <w:r w:rsidR="00E03CA8">
        <w:t>.</w:t>
      </w:r>
      <w:r w:rsidR="008610D3">
        <w:t xml:space="preserve"> </w:t>
      </w:r>
      <w:r w:rsidRPr="0060218C">
        <w:t>Even with the use of directional terminology such as negative or positive, there is still very little information to determine the full impact of harm as “negative health impacts” could be inclusive of relatively mild health conditions to severely impaired health</w:t>
      </w:r>
      <w:r w:rsidR="00E03CA8">
        <w:t>.</w:t>
      </w:r>
      <w:r w:rsidR="008610D3">
        <w:t xml:space="preserve"> </w:t>
      </w:r>
      <w:r w:rsidRPr="0060218C">
        <w:t>Actions or events such as “dismissal from work” or “relationship conflict” provide a better idea as to the harms experienced, yet still fail to indicate whether these were directly or indirectly associated with gambling or the specific precursors that led to the dismissal or relationship conflict</w:t>
      </w:r>
      <w:r w:rsidR="00E03CA8">
        <w:t>.</w:t>
      </w:r>
      <w:r w:rsidR="008610D3">
        <w:t xml:space="preserve"> </w:t>
      </w:r>
      <w:r w:rsidRPr="0060218C">
        <w:t>Given varying levels and functions of gambling consequences and the differences between measures used, such methods make it difficult to compare results both nationally and internationally</w:t>
      </w:r>
      <w:r w:rsidR="00E03CA8">
        <w:t>.</w:t>
      </w:r>
      <w:r w:rsidR="008610D3">
        <w:t xml:space="preserve"> </w:t>
      </w:r>
      <w:r w:rsidRPr="0060218C">
        <w:t>Similarly, due to the subjectivity of constructs and the lack of depth, it is hard to determine severity given that one report of, for example, “trouble with police”, could similarly refer to numerous experiences ranging from minor to relatively severe</w:t>
      </w:r>
      <w:r w:rsidR="00E03CA8">
        <w:t>.</w:t>
      </w:r>
      <w:r w:rsidR="008610D3">
        <w:t xml:space="preserve"> </w:t>
      </w:r>
    </w:p>
    <w:p w14:paraId="3B7FA167" w14:textId="7DE1E0D1" w:rsidR="005E39E4" w:rsidRPr="0060218C" w:rsidRDefault="005E39E4" w:rsidP="001B2940">
      <w:pPr>
        <w:pStyle w:val="VRGFBodycontent"/>
      </w:pPr>
      <w:r w:rsidRPr="0060218C">
        <w:t>Bertossa and Harvey (2012) further highlighted the limitations within the construction of these measures when respondents belong to varying (sub) groups</w:t>
      </w:r>
      <w:r w:rsidR="00E03CA8">
        <w:t>.</w:t>
      </w:r>
      <w:r w:rsidR="008610D3">
        <w:t xml:space="preserve"> </w:t>
      </w:r>
      <w:r w:rsidRPr="0060218C">
        <w:t>As previously suggested, such subjective presentation of consequences is open to broad levels of interpretation without specifically indicating to whom these negative experiences may be occurring</w:t>
      </w:r>
      <w:r w:rsidR="00E03CA8">
        <w:t>.</w:t>
      </w:r>
      <w:r w:rsidR="008610D3">
        <w:t xml:space="preserve"> </w:t>
      </w:r>
      <w:r w:rsidRPr="0060218C">
        <w:t xml:space="preserve">Particularly in Indigenous and other </w:t>
      </w:r>
      <w:r w:rsidR="00631142">
        <w:t xml:space="preserve">populations in </w:t>
      </w:r>
      <w:r w:rsidRPr="0060218C">
        <w:t>New Zealand where “family” refers to those outside of Western biological ideals of family, there may be some confusion as to who is actually privy to the consequences being measured</w:t>
      </w:r>
      <w:r w:rsidR="00E03CA8">
        <w:t>.</w:t>
      </w:r>
      <w:r w:rsidR="008610D3">
        <w:t xml:space="preserve"> </w:t>
      </w:r>
      <w:r w:rsidRPr="0060218C">
        <w:t>Similarly, the perception of what constitutes a negative consequence and the interpretation of these measures can be influenced by multiple factors</w:t>
      </w:r>
      <w:r w:rsidR="00E03CA8">
        <w:t>.</w:t>
      </w:r>
      <w:r w:rsidR="008610D3">
        <w:t xml:space="preserve"> </w:t>
      </w:r>
      <w:r w:rsidRPr="0060218C">
        <w:t>These include language, education, the framing of the questions, the sensitivity of the issue</w:t>
      </w:r>
      <w:r>
        <w:t>,</w:t>
      </w:r>
      <w:r w:rsidRPr="0060218C">
        <w:t xml:space="preserve"> and the shame or stigma associated with gambling</w:t>
      </w:r>
      <w:r w:rsidR="00E03CA8">
        <w:t>.</w:t>
      </w:r>
      <w:r w:rsidR="008610D3">
        <w:t xml:space="preserve"> </w:t>
      </w:r>
      <w:r w:rsidRPr="0060218C">
        <w:t>Such measures tend to overlook cultural or spiritual elements associated with interpretations of harm that can occur within different populations; thus generating specific and unique consequences.</w:t>
      </w:r>
    </w:p>
    <w:p w14:paraId="2A5FB2DA" w14:textId="49810572" w:rsidR="005E39E4" w:rsidRDefault="005E39E4" w:rsidP="001B2940">
      <w:pPr>
        <w:pStyle w:val="VRGFBodycontent"/>
      </w:pPr>
      <w:r w:rsidRPr="0060218C">
        <w:t xml:space="preserve">Finally, expenditure is commonly used to predict the risk or vulnerability to experiencing </w:t>
      </w:r>
      <w:r>
        <w:t>gambling-related</w:t>
      </w:r>
      <w:r w:rsidRPr="0060218C">
        <w:t xml:space="preserve"> harms (Broda, </w:t>
      </w:r>
      <w:r>
        <w:t>et al.,</w:t>
      </w:r>
      <w:r w:rsidRPr="0060218C">
        <w:t xml:space="preserve"> 2008)</w:t>
      </w:r>
      <w:r w:rsidR="00E03CA8">
        <w:t>.</w:t>
      </w:r>
      <w:r w:rsidR="008610D3">
        <w:t xml:space="preserve"> </w:t>
      </w:r>
      <w:r w:rsidRPr="0060218C">
        <w:t xml:space="preserve">As previously indicated, there is a high level of gambling expenditure by low-income earners in low </w:t>
      </w:r>
      <w:r>
        <w:t>socio-economic</w:t>
      </w:r>
      <w:r w:rsidRPr="0060218C">
        <w:t xml:space="preserve"> areas (</w:t>
      </w:r>
      <w:r>
        <w:t>SHORE</w:t>
      </w:r>
      <w:r w:rsidRPr="0060218C">
        <w:t>, 2008)</w:t>
      </w:r>
      <w:r w:rsidR="00E03CA8">
        <w:t>.</w:t>
      </w:r>
      <w:r w:rsidR="008610D3">
        <w:t xml:space="preserve"> </w:t>
      </w:r>
      <w:r w:rsidRPr="0060218C">
        <w:t>While for low-income individuals</w:t>
      </w:r>
      <w:r>
        <w:t>,</w:t>
      </w:r>
      <w:r w:rsidRPr="0060218C">
        <w:t xml:space="preserve"> the losses experienced may reflect high expenditure and, therefore, they may be more likely to experience harms, for those with higher incomes, the same expenditure may not result in the same experience of harm</w:t>
      </w:r>
      <w:r w:rsidR="00E03CA8">
        <w:t>.</w:t>
      </w:r>
      <w:r w:rsidR="008610D3">
        <w:t xml:space="preserve"> </w:t>
      </w:r>
      <w:r w:rsidRPr="0060218C">
        <w:t>In other words, individuals vary in their capacity to support a given level of gambling intensity</w:t>
      </w:r>
      <w:r w:rsidR="00E03CA8">
        <w:t>.</w:t>
      </w:r>
      <w:r w:rsidR="008610D3">
        <w:t xml:space="preserve"> </w:t>
      </w:r>
      <w:r w:rsidRPr="0060218C">
        <w:t xml:space="preserve">Therefore, using expenditure alone as a measure of harm is not effective in understanding the individual variability in the experience of gambling problems and harm. </w:t>
      </w:r>
    </w:p>
    <w:p w14:paraId="0E996FF1" w14:textId="77777777" w:rsidR="001B2940" w:rsidRPr="0060218C" w:rsidRDefault="001B2940" w:rsidP="001B2940">
      <w:pPr>
        <w:pStyle w:val="VRGFBodycontent"/>
      </w:pPr>
    </w:p>
    <w:p w14:paraId="345D2525" w14:textId="17EF26EE" w:rsidR="005E39E4" w:rsidRPr="0060218C" w:rsidRDefault="005E39E4" w:rsidP="00F53A40">
      <w:pPr>
        <w:pStyle w:val="VRGFHead3"/>
      </w:pPr>
      <w:bookmarkStart w:id="140" w:name="_Toc462738005"/>
      <w:bookmarkStart w:id="141" w:name="_Toc283813376"/>
      <w:bookmarkStart w:id="142" w:name="_Toc283813445"/>
      <w:bookmarkStart w:id="143" w:name="_Toc285109136"/>
      <w:r w:rsidRPr="0060218C">
        <w:t>H</w:t>
      </w:r>
      <w:r w:rsidR="001B2940">
        <w:t>ow should we be measuring harm?</w:t>
      </w:r>
      <w:bookmarkEnd w:id="140"/>
      <w:r w:rsidR="001B2940">
        <w:t xml:space="preserve"> </w:t>
      </w:r>
      <w:bookmarkEnd w:id="141"/>
      <w:bookmarkEnd w:id="142"/>
      <w:bookmarkEnd w:id="143"/>
    </w:p>
    <w:p w14:paraId="7466CF02" w14:textId="24D88AF0" w:rsidR="005E39E4" w:rsidRPr="0060218C" w:rsidRDefault="005E39E4" w:rsidP="001B2940">
      <w:pPr>
        <w:pStyle w:val="VRGFBodycontent"/>
      </w:pPr>
      <w:r w:rsidRPr="0060218C">
        <w:t>Traditionally, gambling harms have been incorporated into measurements of problem gambling</w:t>
      </w:r>
      <w:r w:rsidR="00E03CA8">
        <w:t>.</w:t>
      </w:r>
      <w:r w:rsidR="008610D3">
        <w:t xml:space="preserve"> </w:t>
      </w:r>
      <w:r w:rsidRPr="0060218C">
        <w:t>While these measures are important in understanding gambling problem severity, they do not provide a detailed or effective assessment of the interactions between problem gambling, exposure to gambling activities</w:t>
      </w:r>
      <w:r>
        <w:t>,</w:t>
      </w:r>
      <w:r w:rsidRPr="0060218C">
        <w:t xml:space="preserve"> and subsequent </w:t>
      </w:r>
      <w:r>
        <w:t>gambling-related</w:t>
      </w:r>
      <w:r w:rsidRPr="0060218C">
        <w:t xml:space="preserve"> harm</w:t>
      </w:r>
      <w:r w:rsidR="00E03CA8">
        <w:t>.</w:t>
      </w:r>
      <w:r w:rsidR="008610D3">
        <w:t xml:space="preserve"> </w:t>
      </w:r>
      <w:r w:rsidRPr="0060218C">
        <w:t>Additionally, important individual variability relating to the experience of harm over various facets of life and how these experiences differ in severity become lost and remain relatively unexplored</w:t>
      </w:r>
      <w:r w:rsidR="00E03CA8">
        <w:t>.</w:t>
      </w:r>
      <w:r w:rsidR="008610D3">
        <w:t xml:space="preserve"> </w:t>
      </w:r>
      <w:r w:rsidRPr="0060218C">
        <w:t xml:space="preserve">In order to grasp the full picture of </w:t>
      </w:r>
      <w:r>
        <w:t>gambling-related</w:t>
      </w:r>
      <w:r w:rsidRPr="0060218C">
        <w:t xml:space="preserve"> harms, there is a need for tools that measure both exposure to and experiences of harm, that can be related to the severity of the gambling problem, and that are both empirically and conceptually robust (Rodgers et al., 2009)</w:t>
      </w:r>
      <w:r w:rsidR="00E03CA8">
        <w:t>.</w:t>
      </w:r>
      <w:r w:rsidR="008610D3">
        <w:t xml:space="preserve"> </w:t>
      </w:r>
      <w:r w:rsidRPr="0060218C">
        <w:t>Additionally, such measures should be guided by and encourage comparisons with other public health issues, such as alcohol, in order to identify similar pathways, risks or modes of prevention that may facilitate research to address these commonalities</w:t>
      </w:r>
      <w:r w:rsidR="00E03CA8">
        <w:t>.</w:t>
      </w:r>
      <w:r w:rsidR="008610D3">
        <w:t xml:space="preserve"> </w:t>
      </w:r>
      <w:r w:rsidRPr="0060218C">
        <w:lastRenderedPageBreak/>
        <w:t>Such measures should also consider how these harms are affected beyond the influence of gambling severity</w:t>
      </w:r>
      <w:r w:rsidR="00E03CA8">
        <w:t>.</w:t>
      </w:r>
      <w:r w:rsidR="008610D3">
        <w:t xml:space="preserve"> </w:t>
      </w:r>
      <w:r w:rsidRPr="0060218C">
        <w:t>For instance, it is important to consider what types of exposure are significant contributors (</w:t>
      </w:r>
      <w:r>
        <w:t>e.g.</w:t>
      </w:r>
      <w:r w:rsidRPr="0060218C">
        <w:t xml:space="preserve"> intensity and frequency of play, environment) and how these interact with the development of harm</w:t>
      </w:r>
      <w:r w:rsidR="00E03CA8">
        <w:t>.</w:t>
      </w:r>
      <w:r w:rsidR="008610D3">
        <w:t xml:space="preserve"> </w:t>
      </w:r>
      <w:r w:rsidRPr="0060218C">
        <w:t>Recent collaborative efforts to develop a conceptual framework of harm have been the first attempts at providing a framework in which to guide research and policy</w:t>
      </w:r>
      <w:r w:rsidR="00E03CA8">
        <w:t>.</w:t>
      </w:r>
      <w:r w:rsidR="008610D3">
        <w:t xml:space="preserve"> </w:t>
      </w:r>
      <w:r w:rsidRPr="0060218C">
        <w:t>However, research into harms and risk still require work (Currie et al., 2012; Rodger</w:t>
      </w:r>
      <w:r>
        <w:t>s</w:t>
      </w:r>
      <w:r w:rsidRPr="0060218C">
        <w:t xml:space="preserve"> et al., 2009), particularly in the upstream or predictive determinants of harm such as cultural and social values, environment, accessibility and availability</w:t>
      </w:r>
      <w:r>
        <w:t>,</w:t>
      </w:r>
      <w:r w:rsidRPr="0060218C">
        <w:t xml:space="preserve"> and the promotion of gambling in relation to the experience of harm (Blaszczynski, 2013)</w:t>
      </w:r>
      <w:r w:rsidR="00E03CA8">
        <w:t>.</w:t>
      </w:r>
      <w:r w:rsidR="008610D3">
        <w:t xml:space="preserve"> </w:t>
      </w:r>
      <w:r w:rsidRPr="0060218C">
        <w:t>Identification of risk factors may help reduce the overall manifestation of harm that is generated by problem gambling (McCormack &amp; Griffiths, 2011)</w:t>
      </w:r>
    </w:p>
    <w:p w14:paraId="27208660" w14:textId="13B57454" w:rsidR="005E39E4" w:rsidRPr="0060218C" w:rsidRDefault="005E39E4" w:rsidP="001B2940">
      <w:pPr>
        <w:pStyle w:val="VRGFBodycontent"/>
      </w:pPr>
      <w:r w:rsidRPr="000804D5">
        <w:t>There have been multiple comparisons made between gambling and alcohol consumption within the</w:t>
      </w:r>
      <w:r w:rsidRPr="0060218C">
        <w:t xml:space="preserve"> literature</w:t>
      </w:r>
      <w:r w:rsidR="00E03CA8">
        <w:t>.</w:t>
      </w:r>
      <w:r w:rsidR="008610D3">
        <w:t xml:space="preserve"> </w:t>
      </w:r>
      <w:r w:rsidRPr="0060218C">
        <w:t>Rodgers et al. (2009) highlighted the various benefits of utilising measures of alcohol consumption in further understanding and guiding subsequent measures of exposure among other public health issues</w:t>
      </w:r>
      <w:r w:rsidR="00E03CA8">
        <w:t>.</w:t>
      </w:r>
      <w:r w:rsidR="008610D3">
        <w:t xml:space="preserve"> </w:t>
      </w:r>
      <w:r w:rsidRPr="0060218C">
        <w:t>The majority of attention has been given to identifying risk factors and defining gambling severity and thus these areas are relatively well understood</w:t>
      </w:r>
      <w:r w:rsidR="00E03CA8">
        <w:t>.</w:t>
      </w:r>
      <w:r w:rsidR="008610D3">
        <w:t xml:space="preserve"> </w:t>
      </w:r>
      <w:r w:rsidRPr="0060218C">
        <w:t>However</w:t>
      </w:r>
      <w:r>
        <w:t>,</w:t>
      </w:r>
      <w:r w:rsidRPr="0060218C">
        <w:t xml:space="preserve"> there is a need to be able to separate problem gambling behaviour and </w:t>
      </w:r>
      <w:r w:rsidR="009540A8">
        <w:t xml:space="preserve">problem </w:t>
      </w:r>
      <w:r w:rsidRPr="0060218C">
        <w:t xml:space="preserve">severity in order to distinguish the stages in which risks and harms occur and potentially identify protective factors that can minimise experiences of harm. </w:t>
      </w:r>
    </w:p>
    <w:p w14:paraId="25CFD416" w14:textId="5B482138" w:rsidR="005E39E4" w:rsidRPr="0060218C" w:rsidRDefault="005E39E4" w:rsidP="001B2940">
      <w:pPr>
        <w:pStyle w:val="VRGFBodycontent"/>
      </w:pPr>
      <w:r w:rsidRPr="0060218C">
        <w:t>Unfortunately, due to the lack of longitudinal studies in gambling severity and risk research, there is limited knowledge surrounding the trajectory of gambling behaviours</w:t>
      </w:r>
      <w:r w:rsidR="00E03CA8">
        <w:t>.</w:t>
      </w:r>
      <w:r w:rsidR="008610D3">
        <w:t xml:space="preserve"> </w:t>
      </w:r>
      <w:r w:rsidRPr="0060218C">
        <w:t>Some relevant information on the presence and absence of gambling problems and risk factors over time has been provided by the Victorian and Swedish longitudinal studies (</w:t>
      </w:r>
      <w:r>
        <w:t>e.g.</w:t>
      </w:r>
      <w:r w:rsidRPr="0060218C">
        <w:t xml:space="preserve"> Billi, Stone, Marden</w:t>
      </w:r>
      <w:r>
        <w:t>,</w:t>
      </w:r>
      <w:r w:rsidRPr="0060218C">
        <w:t xml:space="preserve"> &amp; Yeung, 2014; Svensson &amp; Romild, 2013)</w:t>
      </w:r>
      <w:r w:rsidR="00E03CA8">
        <w:t>.</w:t>
      </w:r>
      <w:r w:rsidR="008610D3">
        <w:t xml:space="preserve"> </w:t>
      </w:r>
      <w:r w:rsidRPr="0060218C">
        <w:t>While it is clear the risk and harms associated with problem gambling increase with excessive gambling behaviour and severity, there have been few attempts to quantify or systematically measure how these harms manifest and escalate with gambling behaviour and severity</w:t>
      </w:r>
      <w:r w:rsidR="00E03CA8">
        <w:t>.</w:t>
      </w:r>
      <w:r w:rsidR="008610D3">
        <w:t xml:space="preserve"> </w:t>
      </w:r>
      <w:r w:rsidRPr="0060218C">
        <w:t>Blaszczynski (2009) stated that in order to effectively measure harm and exposure, there needs to be clarity given to risk and the negative effects associated with lower gambling levels</w:t>
      </w:r>
      <w:r w:rsidR="00E03CA8">
        <w:t>.</w:t>
      </w:r>
      <w:r w:rsidR="008610D3">
        <w:t xml:space="preserve"> </w:t>
      </w:r>
      <w:r w:rsidRPr="0060218C">
        <w:t xml:space="preserve">Similarly, there needs to be a better understanding of the predictors and the progression of gambling and </w:t>
      </w:r>
      <w:r>
        <w:t>gambling-related</w:t>
      </w:r>
      <w:r w:rsidRPr="0060218C">
        <w:t xml:space="preserve"> harm. </w:t>
      </w:r>
    </w:p>
    <w:p w14:paraId="31082736" w14:textId="46972EC8" w:rsidR="005E39E4" w:rsidRPr="0060218C" w:rsidRDefault="005E39E4" w:rsidP="001B2940">
      <w:pPr>
        <w:pStyle w:val="VRGFBodycontent"/>
      </w:pPr>
      <w:r w:rsidRPr="0060218C">
        <w:t>Gambling research has developed relatively slowly and linearly when compared to other areas of addiction research (i.e. alcohol) as noted by Abb</w:t>
      </w:r>
      <w:r>
        <w:t xml:space="preserve">ott et al. (2013) and Gainsbury, Blankers, Wilkinson, Schelleman-Offermans, and Cousijn </w:t>
      </w:r>
      <w:r w:rsidRPr="0060218C">
        <w:t>(2013)</w:t>
      </w:r>
      <w:r w:rsidR="00E03CA8">
        <w:t>.</w:t>
      </w:r>
      <w:r w:rsidR="008610D3">
        <w:t xml:space="preserve"> </w:t>
      </w:r>
      <w:r w:rsidRPr="0060218C">
        <w:t>As mentioned throughout this review, gambling is conceptually most similar to alcohol as there are deemed to be safe levels of consumption, the same level of consumption can have different effects on different individuals, various parts of the product have different effects and consumption is influenced by the environment (</w:t>
      </w:r>
      <w:r>
        <w:t>e.g.,</w:t>
      </w:r>
      <w:r w:rsidRPr="0060218C">
        <w:t xml:space="preserve"> social, cultural, physical, political) in which it occurs (Griffiths, 2006)</w:t>
      </w:r>
      <w:r w:rsidR="00E03CA8">
        <w:t>.</w:t>
      </w:r>
      <w:r w:rsidR="008610D3">
        <w:t xml:space="preserve"> </w:t>
      </w:r>
      <w:r w:rsidRPr="0060218C">
        <w:t>Despite robust conceptual models relating to risk, exposure, consumption</w:t>
      </w:r>
      <w:r>
        <w:t>,</w:t>
      </w:r>
      <w:r w:rsidRPr="0060218C">
        <w:t xml:space="preserve"> and harm designed for assessing alcohol use, progression of such tools in relation to gambling has been largely stalled by the lack of an effective measure of participation and the inability to compare to other public health research due to a lack of quantifiable measures of engagement with gambling products (Blaszczynski, 2009)</w:t>
      </w:r>
      <w:r w:rsidR="00E03CA8">
        <w:t>.</w:t>
      </w:r>
      <w:r w:rsidR="008610D3">
        <w:t xml:space="preserve"> </w:t>
      </w:r>
      <w:r w:rsidRPr="0060218C">
        <w:t>There has been some support for the use of quality of life measures in conjunction with depression and anxiety measures in the assessment of treatment efficacy (Carlbring, Degerman, Jonsson</w:t>
      </w:r>
      <w:r>
        <w:t>,</w:t>
      </w:r>
      <w:r w:rsidRPr="0060218C">
        <w:t xml:space="preserve"> &amp; Andersson, 2012; Carlbring &amp; Smit, 2008) but this is still limited in terms of understanding the progression or trajectory of gambling problems or subsequent harm. </w:t>
      </w:r>
    </w:p>
    <w:p w14:paraId="20D50694" w14:textId="0C78C82B" w:rsidR="005E39E4" w:rsidRDefault="005E39E4" w:rsidP="001B2940">
      <w:pPr>
        <w:pStyle w:val="VRGFBodycontent"/>
      </w:pPr>
      <w:r w:rsidRPr="0060218C">
        <w:lastRenderedPageBreak/>
        <w:t>Currently, there is no adequate measure to assess the harms associated with gambling behaviours and exposure</w:t>
      </w:r>
      <w:r w:rsidR="00E03CA8">
        <w:t>.</w:t>
      </w:r>
      <w:r w:rsidR="008610D3">
        <w:t xml:space="preserve"> </w:t>
      </w:r>
      <w:r w:rsidRPr="0060218C">
        <w:t>This is partly due to an emphasis in gambling research on linking harm to problem gambling severity and clinical diagnosis using somewhat shallow and restrictive measures of impacts and outcomes</w:t>
      </w:r>
      <w:r w:rsidR="00E03CA8">
        <w:t>.</w:t>
      </w:r>
      <w:r w:rsidR="008610D3">
        <w:t xml:space="preserve"> </w:t>
      </w:r>
      <w:r w:rsidRPr="0060218C">
        <w:t>These measures often fail to differentiate and illustrate the harms that occur beyond the individual to family, friends, extended family</w:t>
      </w:r>
      <w:r>
        <w:t>,</w:t>
      </w:r>
      <w:r w:rsidRPr="0060218C">
        <w:t xml:space="preserve"> and communities; nor do they capture the various individual, cultural, environmental, social</w:t>
      </w:r>
      <w:r>
        <w:t>,</w:t>
      </w:r>
      <w:r w:rsidRPr="0060218C">
        <w:t xml:space="preserve"> and political constructions of harm that occur on varying levels of severity</w:t>
      </w:r>
      <w:r w:rsidR="00E03CA8">
        <w:t>.</w:t>
      </w:r>
      <w:r w:rsidR="008610D3">
        <w:t xml:space="preserve"> </w:t>
      </w:r>
      <w:r w:rsidRPr="0060218C">
        <w:t xml:space="preserve">In order to minimise the risk associated with gambling behaviour and, therefore, improve quality of life, there is a need for an internationally, empirically valid, conceptually appropriate measure of harm that can be used to inform policy and practice and minimise the harm associated with excessive gambling behaviour. </w:t>
      </w:r>
    </w:p>
    <w:p w14:paraId="55AF7868" w14:textId="77777777" w:rsidR="00E008E1" w:rsidRPr="0060218C" w:rsidRDefault="00E008E1" w:rsidP="001B2940">
      <w:pPr>
        <w:pStyle w:val="VRGFBodycontent"/>
      </w:pPr>
    </w:p>
    <w:p w14:paraId="276A2BF1" w14:textId="31694B32" w:rsidR="005E39E4" w:rsidRPr="0060218C" w:rsidRDefault="00400455" w:rsidP="00F53A40">
      <w:pPr>
        <w:pStyle w:val="VRGFHead2"/>
      </w:pPr>
      <w:bookmarkStart w:id="144" w:name="_Toc283813377"/>
      <w:bookmarkStart w:id="145" w:name="_Toc283813446"/>
      <w:bookmarkStart w:id="146" w:name="_Toc285109137"/>
      <w:bookmarkStart w:id="147" w:name="_Toc462738006"/>
      <w:r>
        <w:t>Summary</w:t>
      </w:r>
      <w:bookmarkEnd w:id="144"/>
      <w:bookmarkEnd w:id="145"/>
      <w:bookmarkEnd w:id="146"/>
      <w:bookmarkEnd w:id="147"/>
    </w:p>
    <w:p w14:paraId="2F247DAA" w14:textId="78513F8A" w:rsidR="005E39E4" w:rsidRPr="00E3060C" w:rsidRDefault="005E39E4" w:rsidP="001B2940">
      <w:pPr>
        <w:pStyle w:val="VRGFBodycontent"/>
      </w:pPr>
      <w:r w:rsidRPr="0060218C">
        <w:t>Despite attempts by New Zealand to provide a progressive and conceptually relevant definition of gambling harm, there still remains no internationally or empirically agreed upon definition for understanding gambling harms</w:t>
      </w:r>
      <w:r w:rsidR="00E03CA8">
        <w:t>.</w:t>
      </w:r>
      <w:r w:rsidR="008610D3">
        <w:t xml:space="preserve"> </w:t>
      </w:r>
      <w:r w:rsidRPr="0060218C">
        <w:t>Currently, gambling harm and risk has best been understood through measures of gambling severity, gambling behaviours</w:t>
      </w:r>
      <w:r>
        <w:t>,</w:t>
      </w:r>
      <w:r w:rsidRPr="0060218C">
        <w:t xml:space="preserve"> and self-reported and</w:t>
      </w:r>
      <w:r w:rsidR="00400455">
        <w:t xml:space="preserve"> unreliable </w:t>
      </w:r>
      <w:r w:rsidRPr="0060218C">
        <w:t>measurements of the experience of negative consequences that are deemed to have occurred due to excessive gambling</w:t>
      </w:r>
      <w:r w:rsidR="00E03CA8">
        <w:t>.</w:t>
      </w:r>
      <w:r w:rsidR="008610D3">
        <w:t xml:space="preserve"> </w:t>
      </w:r>
      <w:r w:rsidRPr="0060218C">
        <w:t xml:space="preserve">This review has highlighted numerous limitations with these measures in the </w:t>
      </w:r>
      <w:r w:rsidRPr="00E3060C">
        <w:t xml:space="preserve">assessment of harm, demonstrating a need for specific and detailed measurements of harm to operationalise the construct for further investigation. </w:t>
      </w:r>
    </w:p>
    <w:p w14:paraId="25F5B6AE" w14:textId="5B6BF334" w:rsidR="005E39E4" w:rsidRPr="00E3060C" w:rsidRDefault="005E39E4" w:rsidP="001B2940">
      <w:pPr>
        <w:pStyle w:val="VRGFBodycontent"/>
      </w:pPr>
      <w:r w:rsidRPr="00E3060C">
        <w:t>In order to fully adopt a public health approach to understanding gambling harm, there is a need to develop measures that are able to assess and quantify relationships and interactions between exposure, risk, and harm as experienced on multiple levels of severity, and beyond the experiences of the individual</w:t>
      </w:r>
      <w:r w:rsidR="00E03CA8" w:rsidRPr="00E3060C">
        <w:t>.</w:t>
      </w:r>
      <w:r w:rsidR="008610D3" w:rsidRPr="00E3060C">
        <w:t xml:space="preserve"> </w:t>
      </w:r>
      <w:r w:rsidRPr="00E3060C">
        <w:t>In order to achieve this, the way in which gambling harm is conceptualised as a function of severity needs to be adapted in order to make way for a more progressive framework of gambling-related harm</w:t>
      </w:r>
      <w:r w:rsidR="00E03CA8" w:rsidRPr="00E3060C">
        <w:t>.</w:t>
      </w:r>
      <w:r w:rsidR="008610D3" w:rsidRPr="00E3060C">
        <w:t xml:space="preserve"> </w:t>
      </w:r>
      <w:r w:rsidRPr="00E3060C">
        <w:t>While the international collaboration in developing such a conceptual framework that is intended to facilitate new methods of measuring gambling harm is a step in the right direction, these are relatively new developments requiring consideration before evidence can be provided to facilitate policy and service provision.</w:t>
      </w:r>
    </w:p>
    <w:p w14:paraId="5E6DF578" w14:textId="6473A61E" w:rsidR="005E39E4" w:rsidRDefault="005E39E4" w:rsidP="001B2940">
      <w:pPr>
        <w:pStyle w:val="VRGFBodycontent"/>
      </w:pPr>
      <w:r w:rsidRPr="00E3060C">
        <w:t>The national and international literature has highlighted the far-reaching effects of gambling-related harm beyond the individual and the influence on various facets of life</w:t>
      </w:r>
      <w:r w:rsidR="00E03CA8" w:rsidRPr="00E3060C">
        <w:t>.</w:t>
      </w:r>
      <w:r w:rsidR="008610D3" w:rsidRPr="00E3060C">
        <w:t xml:space="preserve"> </w:t>
      </w:r>
      <w:r w:rsidRPr="00E3060C">
        <w:t>What is more, experiences of harm can range from relatively minor incidences to crisis level harms, at all levels of gambling severity and continue long after gambling behaviour stops</w:t>
      </w:r>
      <w:r w:rsidR="00E03CA8" w:rsidRPr="00E3060C">
        <w:t>.</w:t>
      </w:r>
      <w:r w:rsidR="008610D3" w:rsidRPr="00E3060C">
        <w:t xml:space="preserve"> </w:t>
      </w:r>
      <w:r w:rsidRPr="00E3060C">
        <w:t xml:space="preserve">It is suggested that </w:t>
      </w:r>
      <w:r w:rsidR="00BA49F6">
        <w:t>HRQL</w:t>
      </w:r>
      <w:r w:rsidRPr="00E3060C">
        <w:t xml:space="preserve"> based on a public health approach, specifically a measure of the impact of gambling on </w:t>
      </w:r>
      <w:r w:rsidR="007A144D" w:rsidRPr="00E3060C">
        <w:t xml:space="preserve">Health Related </w:t>
      </w:r>
      <w:r w:rsidRPr="00E3060C">
        <w:t xml:space="preserve">Quality </w:t>
      </w:r>
      <w:r w:rsidR="007A144D" w:rsidRPr="00E3060C">
        <w:t>of Life</w:t>
      </w:r>
      <w:r w:rsidRPr="00E3060C">
        <w:t xml:space="preserve"> (</w:t>
      </w:r>
      <w:r w:rsidR="007A144D" w:rsidRPr="00E3060C">
        <w:t>HR</w:t>
      </w:r>
      <w:r w:rsidRPr="00E3060C">
        <w:t>QL), may aid in the development of a conceptually relevant measure of harm</w:t>
      </w:r>
      <w:r w:rsidR="00E03CA8" w:rsidRPr="00E3060C">
        <w:t>.</w:t>
      </w:r>
      <w:r w:rsidR="008610D3" w:rsidRPr="00E3060C">
        <w:t xml:space="preserve"> </w:t>
      </w:r>
      <w:r w:rsidRPr="00E3060C">
        <w:t>Such measures have been designed to address issues of comorbidities and also, rather than understanding harm as a qualitative list of possible adverse outcomes, we can conceptualise harm as an overall dec</w:t>
      </w:r>
      <w:r w:rsidR="007A144D" w:rsidRPr="00E3060C">
        <w:t>rement in HRQL</w:t>
      </w:r>
      <w:r w:rsidR="00E03CA8" w:rsidRPr="00E3060C">
        <w:t>.</w:t>
      </w:r>
      <w:r w:rsidR="008610D3" w:rsidRPr="00E3060C">
        <w:t xml:space="preserve"> </w:t>
      </w:r>
      <w:r w:rsidRPr="00E3060C">
        <w:t>By addressing gambling-related harm from this perspective, it is more easily defined and measured, in turn allowing for a clearer understanding of the quantity of harm experienced by individuals in the community and providing evidence for informing future policy.</w:t>
      </w:r>
      <w:r w:rsidRPr="0060218C">
        <w:t xml:space="preserve"> </w:t>
      </w:r>
    </w:p>
    <w:p w14:paraId="42B9F167" w14:textId="77777777" w:rsidR="00CD6079" w:rsidRDefault="00CD6079" w:rsidP="001B2940">
      <w:pPr>
        <w:pStyle w:val="VRGFBodycontent"/>
      </w:pPr>
    </w:p>
    <w:p w14:paraId="0B249248" w14:textId="6A982B12" w:rsidR="00CD6079" w:rsidRDefault="003B2EDA" w:rsidP="00CD6079">
      <w:pPr>
        <w:pStyle w:val="VRGFHead1"/>
      </w:pPr>
      <w:bookmarkStart w:id="148" w:name="_Toc462738007"/>
      <w:r>
        <w:lastRenderedPageBreak/>
        <w:t>A definition, conceptual framework, and taxonomy of harms</w:t>
      </w:r>
      <w:bookmarkEnd w:id="148"/>
    </w:p>
    <w:p w14:paraId="1B91292A" w14:textId="7223B2B5" w:rsidR="005E39E4" w:rsidRDefault="00A54409" w:rsidP="002827F5">
      <w:pPr>
        <w:pStyle w:val="VRGFBodycontent"/>
      </w:pPr>
      <w:r>
        <w:t>Findings from the s</w:t>
      </w:r>
      <w:r w:rsidR="00A36E0A">
        <w:t xml:space="preserve">econd phase of this study (referred to as the consultative phase) </w:t>
      </w:r>
      <w:r w:rsidR="00C0709E">
        <w:t xml:space="preserve">generated from focus group interviews with professionals and experts </w:t>
      </w:r>
      <w:r w:rsidR="00395117">
        <w:t xml:space="preserve">in the field and </w:t>
      </w:r>
      <w:r w:rsidR="00A36E0A" w:rsidRPr="00A36E0A">
        <w:t>focus group</w:t>
      </w:r>
      <w:r w:rsidR="00395117">
        <w:t xml:space="preserve"> and individual</w:t>
      </w:r>
      <w:r w:rsidR="00A36E0A" w:rsidRPr="00A36E0A">
        <w:t xml:space="preserve"> interviews with </w:t>
      </w:r>
      <w:r w:rsidR="00395117">
        <w:t>people</w:t>
      </w:r>
      <w:r w:rsidR="00A36E0A" w:rsidRPr="00A36E0A">
        <w:t xml:space="preserve"> </w:t>
      </w:r>
      <w:r w:rsidR="00395117">
        <w:t xml:space="preserve">who gamble </w:t>
      </w:r>
      <w:r w:rsidR="00A36E0A" w:rsidRPr="00A36E0A">
        <w:t xml:space="preserve">and affected </w:t>
      </w:r>
      <w:r w:rsidR="00395117">
        <w:t>others</w:t>
      </w:r>
      <w:r w:rsidR="00A36E0A" w:rsidRPr="00A36E0A">
        <w:t xml:space="preserve"> </w:t>
      </w:r>
      <w:r w:rsidR="00A36E0A">
        <w:t xml:space="preserve">are reported in this chapter. </w:t>
      </w:r>
    </w:p>
    <w:p w14:paraId="323D08E9" w14:textId="77777777" w:rsidR="000E055E" w:rsidRDefault="000E055E" w:rsidP="000E055E">
      <w:pPr>
        <w:pStyle w:val="VRGFBodycontent"/>
      </w:pPr>
    </w:p>
    <w:p w14:paraId="4C4AB662" w14:textId="5CD25C79" w:rsidR="000E055E" w:rsidRPr="000E055E" w:rsidRDefault="000E055E" w:rsidP="000E055E">
      <w:pPr>
        <w:pStyle w:val="VRGFHead2"/>
      </w:pPr>
      <w:bookmarkStart w:id="149" w:name="_Toc462738008"/>
      <w:r w:rsidRPr="000E055E">
        <w:t>Aims and objectives</w:t>
      </w:r>
      <w:bookmarkEnd w:id="149"/>
    </w:p>
    <w:p w14:paraId="6943A2CB" w14:textId="5A3CD733" w:rsidR="000E055E" w:rsidRPr="000E055E" w:rsidRDefault="000E055E" w:rsidP="000E055E">
      <w:pPr>
        <w:pStyle w:val="VRGFBodycontent"/>
      </w:pPr>
      <w:r w:rsidRPr="000E055E">
        <w:t xml:space="preserve">The consultative phase of the present study (an expert consultation and individual and focus group interviews with people who gamble and affected others) built on previous Australian-based work by Langham et al. </w:t>
      </w:r>
      <w:r w:rsidRPr="000E055E">
        <w:fldChar w:fldCharType="begin"/>
      </w:r>
      <w:r w:rsidRPr="000E055E">
        <w:instrText xml:space="preserve"> ADDIN EN.CITE &lt;EndNote&gt;&lt;Cite ExcludeAuth="1"&gt;&lt;Author&gt;Langham&lt;/Author&gt;&lt;Year&gt;2016&lt;/Year&gt;&lt;RecNum&gt;2653&lt;/RecNum&gt;&lt;DisplayText&gt;(2016)&lt;/DisplayText&gt;&lt;record&gt;&lt;rec-number&gt;2653&lt;/rec-number&gt;&lt;foreign-keys&gt;&lt;key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0E055E">
        <w:fldChar w:fldCharType="separate"/>
      </w:r>
      <w:r w:rsidRPr="000E055E">
        <w:t>(2016)</w:t>
      </w:r>
      <w:r w:rsidRPr="000E055E">
        <w:fldChar w:fldCharType="end"/>
      </w:r>
      <w:r w:rsidRPr="000E055E">
        <w:t xml:space="preserve"> that proposed a definition, conceptual framework and taxonomy of harms related to gambling. Central to this work was the conceptualisation of gambling-related harm as an outcome of an interaction between gambling behaviour and other determinants of health. This conceptualisation was seen as addressing the inadequacy of current proxy measures of gambling-related harm such as behavioural measures (such as PGSI) and money spent. One of the limitations of this earlier work was the small representation of culturally diverse participants in the sample. Whilst experiences of harm were captured across cultures and the concept of cultural harm was identified as a separate domain </w:t>
      </w:r>
      <w:r w:rsidRPr="000E055E">
        <w:fldChar w:fldCharType="begin"/>
      </w:r>
      <w:r w:rsidRPr="000E055E">
        <w:instrText xml:space="preserve"> ADDIN EN.CITE &lt;EndNote&gt;&lt;Cite&gt;&lt;Author&gt;Langham&lt;/Author&gt;&lt;Year&gt;2016&lt;/Year&gt;&lt;RecNum&gt;2653&lt;/RecNum&gt;&lt;DisplayText&gt;(Langham et al., 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0E055E">
        <w:fldChar w:fldCharType="separate"/>
      </w:r>
      <w:r w:rsidRPr="000E055E">
        <w:t>(Langham et al., 2016)</w:t>
      </w:r>
      <w:r w:rsidRPr="000E055E">
        <w:fldChar w:fldCharType="end"/>
      </w:r>
      <w:r w:rsidRPr="000E055E">
        <w:t xml:space="preserve">, it was not possible to comprehensively explore whether particular harms were experienced differently due to cultural identity. </w:t>
      </w:r>
    </w:p>
    <w:p w14:paraId="62C933BD" w14:textId="77777777" w:rsidR="000E055E" w:rsidRPr="007A144D" w:rsidRDefault="000E055E" w:rsidP="000E055E">
      <w:pPr>
        <w:pStyle w:val="VRGFBodycontent"/>
      </w:pPr>
      <w:r w:rsidRPr="000E055E">
        <w:t xml:space="preserve">Building on the earlier work, the aims of the consultative phase of this study were to ensure that the definition, framework and taxonomy not only reflected actual harms experienced by New Zealanders affected by gambling but also captured the diversity of experience with respect to the four major ethnic </w:t>
      </w:r>
      <w:r w:rsidRPr="007A144D">
        <w:t>groups (European/</w:t>
      </w:r>
      <w:r w:rsidRPr="007A144D">
        <w:rPr>
          <w:iCs/>
        </w:rPr>
        <w:t>Pākehā</w:t>
      </w:r>
      <w:r w:rsidRPr="007A144D">
        <w:t>, Māori, Pacific and Asian). This was achieved through purposive sampling to ensure representation of the above ethnic groups in the sample and via a consultative method to gain the perspectives and experiences of both the general public and the population of concern (i.e. people who gamble and individuals affected by someone else’s gambling). More specifically, the objectives of this phase were:</w:t>
      </w:r>
    </w:p>
    <w:p w14:paraId="5BD2CC60" w14:textId="77777777" w:rsidR="000E055E" w:rsidRPr="007A144D" w:rsidRDefault="000E055E" w:rsidP="000E055E">
      <w:pPr>
        <w:pStyle w:val="VRGFNumberedlist"/>
      </w:pPr>
      <w:r w:rsidRPr="007A144D">
        <w:t>To refine and expand the definition of gambling-related harm.</w:t>
      </w:r>
    </w:p>
    <w:p w14:paraId="40F75C3C" w14:textId="77777777" w:rsidR="000E055E" w:rsidRPr="007A144D" w:rsidRDefault="000E055E" w:rsidP="000E055E">
      <w:pPr>
        <w:pStyle w:val="VRGFNumberedlist"/>
      </w:pPr>
      <w:r w:rsidRPr="007A144D">
        <w:t>Expand on the knowledge of actual experienced harms reported in New Zealand.</w:t>
      </w:r>
    </w:p>
    <w:p w14:paraId="6C9A5012" w14:textId="77777777" w:rsidR="000E055E" w:rsidRPr="007A144D" w:rsidRDefault="000E055E" w:rsidP="000E055E">
      <w:pPr>
        <w:pStyle w:val="VRGFNumberedlist"/>
      </w:pPr>
      <w:r w:rsidRPr="007A144D">
        <w:t xml:space="preserve">Refine and adjust the theoretical framework as required to reflect local experiences. </w:t>
      </w:r>
    </w:p>
    <w:p w14:paraId="76FEC06A" w14:textId="77777777" w:rsidR="000E055E" w:rsidRPr="007A144D" w:rsidRDefault="000E055E" w:rsidP="000E055E">
      <w:pPr>
        <w:pStyle w:val="VRGFNumberedlist"/>
      </w:pPr>
      <w:r w:rsidRPr="007A144D">
        <w:t xml:space="preserve">To build a preliminary dimensional harm checklist for use in the subsequent phases of the project. </w:t>
      </w:r>
    </w:p>
    <w:p w14:paraId="6263A128" w14:textId="77777777" w:rsidR="000E055E" w:rsidRPr="000E055E" w:rsidRDefault="000E055E" w:rsidP="000E055E">
      <w:pPr>
        <w:pStyle w:val="VRGFBodycontent"/>
      </w:pPr>
    </w:p>
    <w:p w14:paraId="2628A8B5" w14:textId="2E92129D" w:rsidR="000E055E" w:rsidRPr="000E055E" w:rsidRDefault="000E055E" w:rsidP="000E055E">
      <w:pPr>
        <w:pStyle w:val="VRGFHead2"/>
      </w:pPr>
      <w:bookmarkStart w:id="150" w:name="_Toc462738009"/>
      <w:r w:rsidRPr="000E055E">
        <w:t>Background</w:t>
      </w:r>
      <w:bookmarkEnd w:id="150"/>
    </w:p>
    <w:p w14:paraId="00DCE786" w14:textId="322F759A" w:rsidR="000E055E" w:rsidRDefault="000E055E" w:rsidP="000E055E">
      <w:pPr>
        <w:pStyle w:val="VRGFBodycontent"/>
      </w:pPr>
      <w:r w:rsidRPr="000E055E">
        <w:t xml:space="preserve">This phase builds on two sources of knowledge. The first was findings of the literature review outlined in the previous chapter, and the second was from a prior study undertaken utilising a similar </w:t>
      </w:r>
      <w:r w:rsidRPr="000E055E">
        <w:lastRenderedPageBreak/>
        <w:t xml:space="preserve">methodology to develop a summary measure of harm from gambling (Browne, Langham, Rawat, Greer, Li, Rose, et al., 2016). Subsequently, key findings from the above two sources created sensitising concepts that influenced the present study. Charmaz </w:t>
      </w:r>
      <w:r w:rsidRPr="000E055E">
        <w:fldChar w:fldCharType="begin"/>
      </w:r>
      <w:r w:rsidRPr="000E055E">
        <w:instrText xml:space="preserve"> ADDIN EN.CITE &lt;EndNote&gt;&lt;Cite ExcludeAuth="1"&gt;&lt;Author&gt;Charmaz&lt;/Author&gt;&lt;Year&gt;2003&lt;/Year&gt;&lt;RecNum&gt;2654&lt;/RecNum&gt;&lt;Pages&gt;259&lt;/Pages&gt;&lt;DisplayText&gt;(2003, p. 259)&lt;/DisplayText&gt;&lt;record&gt;&lt;rec-number&gt;2654&lt;/rec-number&gt;&lt;foreign-keys&gt;&lt;key app="EN" db-id="vwx5w2at95wrp1e9p9wxzez0eeaadew0p225" timestamp="1452739902"&gt;2654&lt;/key&gt;&lt;/foreign-keys&gt;&lt;ref-type name="Book Section"&gt;5&lt;/ref-type&gt;&lt;contributors&gt;&lt;authors&gt;&lt;author&gt;Charmaz, Kathy&lt;/author&gt;&lt;/authors&gt;&lt;secondary-authors&gt;&lt;author&gt;Denzin, N.&lt;/author&gt;&lt;author&gt;Lincoln, Y.&lt;/author&gt;&lt;/secondary-authors&gt;&lt;/contributors&gt;&lt;titles&gt;&lt;title&gt;Grounded theory: Objectivist and constructivist methods&lt;/title&gt;&lt;secondary-title&gt;Strategies for qualitative enquiry&lt;/secondary-title&gt;&lt;/titles&gt;&lt;pages&gt;249-291&lt;/pages&gt;&lt;edition&gt;Second&lt;/edition&gt;&lt;dates&gt;&lt;year&gt;2003&lt;/year&gt;&lt;/dates&gt;&lt;pub-location&gt;Thousand Oaks&lt;/pub-location&gt;&lt;publisher&gt;Sage&lt;/publisher&gt;&lt;urls&gt;&lt;/urls&gt;&lt;/record&gt;&lt;/Cite&gt;&lt;/EndNote&gt;</w:instrText>
      </w:r>
      <w:r w:rsidRPr="000E055E">
        <w:fldChar w:fldCharType="separate"/>
      </w:r>
      <w:r w:rsidRPr="000E055E">
        <w:t>(2003, p. 259)</w:t>
      </w:r>
      <w:r w:rsidRPr="000E055E">
        <w:fldChar w:fldCharType="end"/>
      </w:r>
      <w:r w:rsidRPr="000E055E">
        <w:t xml:space="preserve"> defined sensitising concepts as “background ideas that inform the overall research problem”. Sensitising</w:t>
      </w:r>
      <w:r w:rsidRPr="000E055E" w:rsidDel="003F21E3">
        <w:t xml:space="preserve"> </w:t>
      </w:r>
      <w:r w:rsidRPr="000E055E">
        <w:t>concepts aid qualitative research by providing a starting point for the analysis or a conceptual framework to guide the analysis, thus contributing to a deeper analysis of the data (Bowen, 2008a; Charmaz, 2003). The key findings of the literature review and the previous study, and how they were adopted as sensitising concepts are outlined below.</w:t>
      </w:r>
    </w:p>
    <w:p w14:paraId="61BF64BE" w14:textId="77777777" w:rsidR="000E055E" w:rsidRPr="000E055E" w:rsidRDefault="000E055E" w:rsidP="000E055E">
      <w:pPr>
        <w:pStyle w:val="VRGFBodycontent"/>
      </w:pPr>
    </w:p>
    <w:p w14:paraId="35AAA2E6" w14:textId="61081B9F" w:rsidR="000E055E" w:rsidRPr="00BA49F6" w:rsidRDefault="000E055E" w:rsidP="000E055E">
      <w:pPr>
        <w:pStyle w:val="VRGFHead3"/>
      </w:pPr>
      <w:bookmarkStart w:id="151" w:name="_Toc462738010"/>
      <w:r w:rsidRPr="00BA49F6">
        <w:t>Positioning gambling-related harm as an outcome</w:t>
      </w:r>
      <w:bookmarkEnd w:id="151"/>
    </w:p>
    <w:p w14:paraId="6E381344" w14:textId="77777777" w:rsidR="000E055E" w:rsidRPr="00BA49F6" w:rsidRDefault="000E055E" w:rsidP="000E055E">
      <w:pPr>
        <w:pStyle w:val="VRGFBodycontent"/>
      </w:pPr>
      <w:r w:rsidRPr="00BA49F6">
        <w:t>The literature review identified that, to date, within gambling literature there was a circular usage of behavioural symptomatology and harm that had blurred the boundaries between the two constructs, and the importance of separating the behaviour (gambling), from the symptomatology (risk profile or diagnosis) and the potential negative outcomes (harms). This was identified as a necessary step in developing a robust summary measure of the outcome (harm) that allowed the impact of gambling-related harms to be compared to other public health issues such as smoking and alcohol. This separation of behaviour and outcome is also consistent with harm minimisation approaches that are focused on minimising the negative outcomes (harms). Similarly, the focus of the study is on the manifestation of harm and not the risk factors for experiencing harm.</w:t>
      </w:r>
    </w:p>
    <w:p w14:paraId="0F18952E" w14:textId="77777777" w:rsidR="000E055E" w:rsidRPr="00BA49F6" w:rsidRDefault="000E055E" w:rsidP="000E055E">
      <w:pPr>
        <w:pStyle w:val="VRGFBodycontent"/>
      </w:pPr>
    </w:p>
    <w:p w14:paraId="78480878" w14:textId="603A20E3" w:rsidR="000E055E" w:rsidRPr="00BA49F6" w:rsidRDefault="000E055E" w:rsidP="000E055E">
      <w:pPr>
        <w:pStyle w:val="VRGFHead3"/>
      </w:pPr>
      <w:bookmarkStart w:id="152" w:name="_Toc462738011"/>
      <w:r w:rsidRPr="00BA49F6">
        <w:t>Measuring gambling-related harm by its levels and mechanisms</w:t>
      </w:r>
      <w:bookmarkEnd w:id="152"/>
    </w:p>
    <w:p w14:paraId="7E79CBAA" w14:textId="77777777" w:rsidR="000E055E" w:rsidRPr="00BA49F6" w:rsidRDefault="000E055E" w:rsidP="000E055E">
      <w:pPr>
        <w:pStyle w:val="VRGFBodycontent"/>
      </w:pPr>
      <w:r w:rsidRPr="00BA49F6">
        <w:t>In capturing and measuring the impact of gambling-related harms, three levels of impact (Browne et al., 2016) were adopted, that is, the person who gambles</w:t>
      </w:r>
      <w:r w:rsidRPr="00BA49F6">
        <w:rPr>
          <w:vertAlign w:val="superscript"/>
        </w:rPr>
        <w:footnoteReference w:id="4"/>
      </w:r>
      <w:r w:rsidRPr="00BA49F6">
        <w:t xml:space="preserve">, affected others, and the community. The person who gambles was considered as the first level, because they tend to experience the harm first. </w:t>
      </w:r>
    </w:p>
    <w:p w14:paraId="21874480" w14:textId="77777777" w:rsidR="000E055E" w:rsidRPr="00BA49F6" w:rsidRDefault="000E055E" w:rsidP="000E055E">
      <w:pPr>
        <w:pStyle w:val="VRGFBodycontent"/>
      </w:pPr>
      <w:r w:rsidRPr="00BA49F6">
        <w:t>When gambling harm is considered from a public health perspective, an infectious disease metaphor is often used to contextualise the factors involved:</w:t>
      </w:r>
    </w:p>
    <w:p w14:paraId="5D5BB332" w14:textId="77777777" w:rsidR="000E055E" w:rsidRPr="00BA49F6" w:rsidRDefault="000E055E" w:rsidP="000E055E">
      <w:pPr>
        <w:pStyle w:val="VRGFNumberedlist"/>
        <w:numPr>
          <w:ilvl w:val="0"/>
          <w:numId w:val="33"/>
        </w:numPr>
      </w:pPr>
      <w:r w:rsidRPr="00BA49F6">
        <w:t>The</w:t>
      </w:r>
      <w:r w:rsidRPr="00BA49F6">
        <w:rPr>
          <w:i/>
        </w:rPr>
        <w:t xml:space="preserve"> host </w:t>
      </w:r>
      <w:r w:rsidRPr="00BA49F6">
        <w:t>which is the gambler.</w:t>
      </w:r>
    </w:p>
    <w:p w14:paraId="21F6770F" w14:textId="77777777" w:rsidR="000E055E" w:rsidRPr="00BA49F6" w:rsidRDefault="000E055E" w:rsidP="000E055E">
      <w:pPr>
        <w:pStyle w:val="VRGFNumberedlist"/>
      </w:pPr>
      <w:r w:rsidRPr="00BA49F6">
        <w:t>The</w:t>
      </w:r>
      <w:r w:rsidRPr="00BA49F6">
        <w:rPr>
          <w:i/>
        </w:rPr>
        <w:t xml:space="preserve"> agent </w:t>
      </w:r>
      <w:r w:rsidRPr="00BA49F6">
        <w:t>referring to the specific gambling activities (e.g. EGM play).</w:t>
      </w:r>
    </w:p>
    <w:p w14:paraId="07423186" w14:textId="77777777" w:rsidR="000E055E" w:rsidRPr="00BA49F6" w:rsidRDefault="000E055E" w:rsidP="000E055E">
      <w:pPr>
        <w:pStyle w:val="VRGFNumberedlist"/>
      </w:pPr>
      <w:r w:rsidRPr="00BA49F6">
        <w:t xml:space="preserve">The </w:t>
      </w:r>
      <w:r w:rsidRPr="00BA49F6">
        <w:rPr>
          <w:i/>
        </w:rPr>
        <w:t>vector</w:t>
      </w:r>
      <w:r w:rsidRPr="00BA49F6">
        <w:t xml:space="preserve"> which is the level of investment (either money or time).</w:t>
      </w:r>
    </w:p>
    <w:p w14:paraId="1172A891" w14:textId="5EB164D1" w:rsidR="000E055E" w:rsidRPr="00BA49F6" w:rsidRDefault="000E055E" w:rsidP="000E055E">
      <w:pPr>
        <w:pStyle w:val="VRGFNumberedlist"/>
      </w:pPr>
      <w:r w:rsidRPr="00BA49F6">
        <w:lastRenderedPageBreak/>
        <w:t xml:space="preserve">The </w:t>
      </w:r>
      <w:r w:rsidRPr="00BA49F6">
        <w:rPr>
          <w:i/>
        </w:rPr>
        <w:t xml:space="preserve">environment </w:t>
      </w:r>
      <w:r w:rsidRPr="00BA49F6">
        <w:t xml:space="preserve">including the gambling venue as well as everything related to the gambler’s situation such as physical, socio-economic, cultural and political environments </w:t>
      </w:r>
      <w:r w:rsidRPr="00BA49F6">
        <w:fldChar w:fldCharType="begin"/>
      </w:r>
      <w:r w:rsidRPr="00BA49F6">
        <w:instrText xml:space="preserve"> ADDIN EN.CITE &lt;EndNote&gt;&lt;Cite&gt;&lt;Author&gt;Korn&lt;/Author&gt;&lt;Year&gt;1999&lt;/Year&gt;&lt;RecNum&gt;144&lt;/RecNum&gt;&lt;DisplayText&gt;(Korn &amp;amp; Shaffer, 1999)&lt;/DisplayText&gt;&lt;record&gt;&lt;rec-number&gt;144&lt;/rec-number&gt;&lt;foreign-keys&gt;&lt;key app="EN" db-id="vwx5w2at95wrp1e9p9wxzez0eeaadew0p225" timestamp="1375664452"&gt;144&lt;/key&gt;&lt;/foreign-keys&gt;&lt;ref-type name="Journal Article"&gt;17&lt;/ref-type&gt;&lt;contributors&gt;&lt;authors&gt;&lt;author&gt;Korn, DavidA&lt;/author&gt;&lt;author&gt;Shaffer, HowardJ&lt;/author&gt;&lt;/authors&gt;&lt;/contributors&gt;&lt;titles&gt;&lt;title&gt;Gambling and the Health of the Public: Adopting a Public Health Perspective&lt;/title&gt;&lt;secondary-title&gt;Journal of Gambling Studies&lt;/secondary-title&gt;&lt;alt-title&gt;J Gambl Stud&lt;/alt-title&gt;&lt;/titles&gt;&lt;periodical&gt;&lt;full-title&gt;Journal of Gambling Studies&lt;/full-title&gt;&lt;/periodical&gt;&lt;alt-periodical&gt;&lt;full-title&gt;Journal of Gambling Studies&lt;/full-title&gt;&lt;abbr-1&gt;J Gambl Stud&lt;/abbr-1&gt;&lt;/alt-periodical&gt;&lt;pages&gt;289-365&lt;/pages&gt;&lt;volume&gt;15&lt;/volume&gt;&lt;number&gt;4&lt;/number&gt;&lt;keywords&gt;&lt;keyword&gt;gambling&lt;/keyword&gt;&lt;keyword&gt;addictions&lt;/keyword&gt;&lt;keyword&gt;public health&lt;/keyword&gt;&lt;keyword&gt;social policy&lt;/keyword&gt;&lt;keyword&gt;mental health&lt;/keyword&gt;&lt;keyword&gt;prevention&lt;/keyword&gt;&lt;keyword&gt;public policy&lt;/keyword&gt;&lt;keyword&gt;community health&lt;/keyword&gt;&lt;/keywords&gt;&lt;dates&gt;&lt;year&gt;1999&lt;/year&gt;&lt;pub-dates&gt;&lt;date&gt;1999/12/01&lt;/date&gt;&lt;/pub-dates&gt;&lt;/dates&gt;&lt;publisher&gt;Kluwer Academic Publishers-Plenum Publishers&lt;/publisher&gt;&lt;isbn&gt;1050-5350&lt;/isbn&gt;&lt;urls&gt;&lt;related-urls&gt;&lt;url&gt;http://dx.doi.org/10.1023/A%3A1023005115932&lt;/url&gt;&lt;/related-urls&gt;&lt;/urls&gt;&lt;electronic-resource-num&gt;10.1023/a:1023005115932&lt;/electronic-resource-num&gt;&lt;language&gt;English&lt;/language&gt;&lt;/record&gt;&lt;/Cite&gt;&lt;/EndNote&gt;</w:instrText>
      </w:r>
      <w:r w:rsidRPr="00BA49F6">
        <w:fldChar w:fldCharType="separate"/>
      </w:r>
      <w:r w:rsidRPr="00BA49F6">
        <w:t>(Korn &amp; Shaffer, 1999)</w:t>
      </w:r>
      <w:r w:rsidRPr="00BA49F6">
        <w:fldChar w:fldCharType="end"/>
      </w:r>
      <w:r w:rsidRPr="00BA49F6">
        <w:t xml:space="preserve">. </w:t>
      </w:r>
    </w:p>
    <w:p w14:paraId="76B96FB4" w14:textId="11C5D45C" w:rsidR="000E055E" w:rsidRPr="00BA49F6" w:rsidRDefault="000E055E" w:rsidP="000E055E">
      <w:pPr>
        <w:pStyle w:val="VRGFBodycontent"/>
      </w:pPr>
      <w:r w:rsidRPr="00BA49F6">
        <w:t xml:space="preserve">Extending this metaphor to contextualise the three levels of harm adopted, the person who gambles is the </w:t>
      </w:r>
      <w:r w:rsidRPr="00BA49F6">
        <w:rPr>
          <w:i/>
        </w:rPr>
        <w:t xml:space="preserve">index case </w:t>
      </w:r>
      <w:r w:rsidRPr="00BA49F6">
        <w:t xml:space="preserve">for harm. Furthermore the </w:t>
      </w:r>
      <w:r w:rsidRPr="00BA49F6">
        <w:rPr>
          <w:i/>
        </w:rPr>
        <w:t>vector</w:t>
      </w:r>
      <w:r w:rsidRPr="00BA49F6">
        <w:t xml:space="preserve"> of harm includes not only the investment of time and money, but the dissonance that engaging in gambling creates between people’s values and expectations (</w:t>
      </w:r>
      <w:r w:rsidR="00B917B9" w:rsidRPr="00BA49F6">
        <w:t xml:space="preserve">Langham, 2016). </w:t>
      </w:r>
    </w:p>
    <w:p w14:paraId="56757BB8" w14:textId="77777777" w:rsidR="000E055E" w:rsidRPr="00BA49F6" w:rsidRDefault="000E055E" w:rsidP="000E055E">
      <w:pPr>
        <w:pStyle w:val="VRGFBodycontent"/>
      </w:pPr>
    </w:p>
    <w:p w14:paraId="42FF52F6" w14:textId="75E37A66" w:rsidR="000E055E" w:rsidRPr="00BA49F6" w:rsidRDefault="000E055E" w:rsidP="000E055E">
      <w:pPr>
        <w:pStyle w:val="VRGFHead3"/>
      </w:pPr>
      <w:bookmarkStart w:id="153" w:name="_Toc462738012"/>
      <w:r w:rsidRPr="00BA49F6">
        <w:t>Defining gambling-related harm</w:t>
      </w:r>
      <w:bookmarkEnd w:id="153"/>
    </w:p>
    <w:p w14:paraId="581E89E6" w14:textId="087DB5DD" w:rsidR="000E055E" w:rsidRPr="00BA49F6" w:rsidRDefault="000E055E" w:rsidP="000E055E">
      <w:pPr>
        <w:pStyle w:val="VRGFBodycontent"/>
      </w:pPr>
      <w:r w:rsidRPr="00BA49F6">
        <w:t xml:space="preserve">The literature review identified a lack of any consistent definition of gambling-related harm, with the meaning often implied, and the measure typically being a behavioural or diagnostic proxy. The New Zealand definition was identified as the most comprehensive, due to its identification of the multiple social levels at which harm can be experienced (the individual person, spouse or partner, family, whānau, the wider community, workplace or broader society) and its reference to the mechanisms that cause harm. However, in actually defining what harm is, it becomes tautological referring to harm as a consequence that may cause harm </w:t>
      </w:r>
      <w:r w:rsidRPr="00BA49F6">
        <w:fldChar w:fldCharType="begin"/>
      </w:r>
      <w:r w:rsidRPr="00BA49F6">
        <w:instrText xml:space="preserve"> ADDIN EN.CITE &lt;EndNote&gt;&lt;Cite&gt;&lt;Author&gt;Department of Internal Affairs&lt;/Author&gt;&lt;Year&gt;2013&lt;/Year&gt;&lt;RecNum&gt;2655&lt;/RecNum&gt;&lt;DisplayText&gt;(Department of Internal Affairs, 2013)&lt;/DisplayText&gt;&lt;record&gt;&lt;rec-number&gt;2655&lt;/rec-number&gt;&lt;foreign-keys&gt;&lt;key app="EN" db-id="vwx5w2at95wrp1e9p9wxzez0eeaadew0p225" timestamp="1452741637"&gt;2655&lt;/key&gt;&lt;/foreign-keys&gt;&lt;ref-type name="Web Page"&gt;12&lt;/ref-type&gt;&lt;contributors&gt;&lt;authors&gt;&lt;author&gt;Department of Internal Affairs,&lt;/author&gt;&lt;/authors&gt;&lt;/contributors&gt;&lt;titles&gt;&lt;title&gt;Gambling fact sheet 7: Problem gambling&lt;/title&gt;&lt;/titles&gt;&lt;volume&gt;2013&lt;/volume&gt;&lt;dates&gt;&lt;year&gt;2013&lt;/year&gt;&lt;/dates&gt;&lt;urls&gt;&lt;related-urls&gt;&lt;url&gt;http://www.dia.govt.nz/diawebsite.nsf/Files/GamblingFactSheets-Feb2013/$file/FactSheet7-Feb2013.pdf&lt;/url&gt;&lt;/related-urls&gt;&lt;/urls&gt;&lt;/record&gt;&lt;/Cite&gt;&lt;/EndNote&gt;</w:instrText>
      </w:r>
      <w:r w:rsidRPr="00BA49F6">
        <w:fldChar w:fldCharType="separate"/>
      </w:r>
      <w:r w:rsidRPr="00BA49F6">
        <w:t>(Department of Internal Affairs, 2013)</w:t>
      </w:r>
      <w:r w:rsidRPr="00BA49F6">
        <w:fldChar w:fldCharType="end"/>
      </w:r>
      <w:r w:rsidRPr="00BA49F6">
        <w:t xml:space="preserve">. Langham et al. </w:t>
      </w:r>
      <w:r w:rsidRPr="00BA49F6">
        <w:fldChar w:fldCharType="begin"/>
      </w:r>
      <w:r w:rsidRPr="00BA49F6">
        <w:instrText xml:space="preserve"> ADDIN EN.CITE &lt;EndNote&gt;&lt;Cite ExcludeAuth="1"&gt;&lt;Author&gt;Langham&lt;/Author&gt;&lt;Year&gt;2016&lt;/Year&gt;&lt;RecNum&gt;2653&lt;/RecNum&gt;&lt;DisplayText&gt;(2016)&lt;/DisplayText&gt;&lt;record&gt;&lt;rec-number&gt;2653&lt;/rec-number&gt;&lt;foreign-keys&gt;&lt;key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BA49F6">
        <w:fldChar w:fldCharType="separate"/>
      </w:r>
      <w:r w:rsidRPr="00BA49F6">
        <w:t>(2016)</w:t>
      </w:r>
      <w:r w:rsidRPr="00BA49F6">
        <w:fldChar w:fldCharType="end"/>
      </w:r>
      <w:r w:rsidRPr="00BA49F6">
        <w:t xml:space="preserve"> proposed a functional definition of gambling-related harm that was consistent with the goal of developing summary health measures of gambling harm: </w:t>
      </w:r>
    </w:p>
    <w:p w14:paraId="269D10ED" w14:textId="77777777" w:rsidR="000E055E" w:rsidRPr="00BA49F6" w:rsidRDefault="000E055E" w:rsidP="000E055E">
      <w:pPr>
        <w:pStyle w:val="Quote"/>
      </w:pPr>
      <w:r w:rsidRPr="00BA49F6">
        <w:t>Any initial or exacerbated adverse consequence due to an engagement with gambling that leads to a decrement to the health or wellbeing of an individual, family unit, community or population.</w:t>
      </w:r>
    </w:p>
    <w:p w14:paraId="729F1BCD" w14:textId="77777777" w:rsidR="000E055E" w:rsidRDefault="000E055E" w:rsidP="000E055E">
      <w:pPr>
        <w:pStyle w:val="VRGFBodycontent"/>
      </w:pPr>
      <w:r w:rsidRPr="00BA49F6">
        <w:t>This definition has some important characteristics: it delineates harm as an outcome; captures the breadth of those impacted; is consistent with the World Health Organisation (WHO) definition of health; allows for harm that occurs at any point in time; and is grounded in an approach consistent with the development of summary measures of health. This definition is thus a further sensitising concept acting as a starting point for consideration in this study.</w:t>
      </w:r>
      <w:r w:rsidRPr="000E055E">
        <w:t xml:space="preserve"> </w:t>
      </w:r>
    </w:p>
    <w:p w14:paraId="59B6A4D1" w14:textId="77777777" w:rsidR="000E055E" w:rsidRPr="000E055E" w:rsidRDefault="000E055E" w:rsidP="000E055E">
      <w:pPr>
        <w:pStyle w:val="VRGFBodycontent"/>
      </w:pPr>
    </w:p>
    <w:p w14:paraId="5CFA8128" w14:textId="6AF803FB" w:rsidR="000E055E" w:rsidRPr="000E055E" w:rsidRDefault="000E055E" w:rsidP="000E055E">
      <w:pPr>
        <w:pStyle w:val="VRGFHead3"/>
      </w:pPr>
      <w:bookmarkStart w:id="154" w:name="_Toc462738013"/>
      <w:r w:rsidRPr="000E055E">
        <w:t>Conceptualising gambling-related harm</w:t>
      </w:r>
      <w:bookmarkEnd w:id="154"/>
    </w:p>
    <w:p w14:paraId="1139B4C6" w14:textId="56960C34" w:rsidR="000E055E" w:rsidRDefault="000E055E" w:rsidP="000E055E">
      <w:pPr>
        <w:pStyle w:val="VRGFBodycontent"/>
      </w:pPr>
      <w:r w:rsidRPr="000E055E">
        <w:t xml:space="preserve">Bowen </w:t>
      </w:r>
      <w:r w:rsidRPr="000E055E">
        <w:fldChar w:fldCharType="begin"/>
      </w:r>
      <w:r w:rsidRPr="000E055E">
        <w:instrText xml:space="preserve"> ADDIN EN.CITE &lt;EndNote&gt;&lt;Cite ExcludeAuth="1"&gt;&lt;Author&gt;Bowen&lt;/Author&gt;&lt;Year&gt;2008&lt;/Year&gt;&lt;RecNum&gt;2186&lt;/RecNum&gt;&lt;DisplayText&gt;(2008)&lt;/DisplayText&gt;&lt;record&gt;&lt;rec-number&gt;2186&lt;/rec-number&gt;&lt;foreign-keys&gt;&lt;key app="EN" db-id="vwx5w2at95wrp1e9p9wxzez0eeaadew0p225" timestamp="1441949537"&gt;2186&lt;/key&gt;&lt;/foreign-keys&gt;&lt;ref-type name="Journal Article"&gt;17&lt;/ref-type&gt;&lt;contributors&gt;&lt;authors&gt;&lt;author&gt;Bowen, Glen&lt;/author&gt;&lt;/authors&gt;&lt;/contributors&gt;&lt;titles&gt;&lt;title&gt;Grounded theory and sensitizing concepts&lt;/title&gt;&lt;secondary-title&gt;International journal of qualitative methods&lt;/secondary-title&gt;&lt;/titles&gt;&lt;periodical&gt;&lt;full-title&gt;International journal of qualitative methods&lt;/full-title&gt;&lt;/periodical&gt;&lt;pages&gt;12-23&lt;/pages&gt;&lt;volume&gt;5&lt;/volume&gt;&lt;number&gt;3&lt;/number&gt;&lt;dates&gt;&lt;year&gt;2008&lt;/year&gt;&lt;/dates&gt;&lt;isbn&gt;1609-4069&lt;/isbn&gt;&lt;urls&gt;&lt;/urls&gt;&lt;/record&gt;&lt;/Cite&gt;&lt;/EndNote&gt;</w:instrText>
      </w:r>
      <w:r w:rsidRPr="000E055E">
        <w:fldChar w:fldCharType="separate"/>
      </w:r>
      <w:r w:rsidRPr="000E055E">
        <w:t>(2008a)</w:t>
      </w:r>
      <w:r w:rsidRPr="000E055E">
        <w:fldChar w:fldCharType="end"/>
      </w:r>
      <w:r w:rsidRPr="000E055E">
        <w:t xml:space="preserve"> highlighted the value of a sensitising concept as a conceptual framework for qualitative analysis. The conceptual framework proposed by Langham et al. </w:t>
      </w:r>
      <w:r w:rsidRPr="000E055E">
        <w:fldChar w:fldCharType="begin"/>
      </w:r>
      <w:r w:rsidRPr="000E055E">
        <w:instrText xml:space="preserve"> ADDIN EN.CITE &lt;EndNote&gt;&lt;Cite ExcludeAuth="1"&gt;&lt;Author&gt;Langham&lt;/Author&gt;&lt;Year&gt;2016&lt;/Year&gt;&lt;RecNum&gt;2653&lt;/RecNum&gt;&lt;DisplayText&gt;(2016)&lt;/DisplayText&gt;&lt;record&gt;&lt;rec-number&gt;2653&lt;/rec-number&gt;&lt;foreign-keys&gt;&lt;key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0E055E">
        <w:fldChar w:fldCharType="separate"/>
      </w:r>
      <w:r w:rsidRPr="000E055E">
        <w:t>(2016)</w:t>
      </w:r>
      <w:r w:rsidRPr="000E055E">
        <w:fldChar w:fldCharType="end"/>
      </w:r>
      <w:r w:rsidRPr="000E055E">
        <w:t xml:space="preserve"> and summarised in </w:t>
      </w:r>
      <w:r w:rsidR="00FA3242">
        <w:fldChar w:fldCharType="begin"/>
      </w:r>
      <w:r w:rsidR="00FA3242">
        <w:instrText xml:space="preserve"> REF _Ref448395814 \h </w:instrText>
      </w:r>
      <w:r w:rsidR="00FA3242">
        <w:fldChar w:fldCharType="separate"/>
      </w:r>
      <w:r w:rsidR="0006479A">
        <w:t xml:space="preserve">Figure </w:t>
      </w:r>
      <w:r w:rsidR="0006479A">
        <w:rPr>
          <w:noProof/>
        </w:rPr>
        <w:t>3</w:t>
      </w:r>
      <w:r w:rsidR="00FA3242">
        <w:fldChar w:fldCharType="end"/>
      </w:r>
      <w:r w:rsidRPr="000E055E">
        <w:t xml:space="preserve"> was also adopted as a point of consideration in this study. The framework was of relevance for understanding the experience of harm at the three levels (the person who gambles, affected others and community).</w:t>
      </w:r>
    </w:p>
    <w:p w14:paraId="4C038034" w14:textId="77777777" w:rsidR="00EC29B6" w:rsidRDefault="00EC29B6" w:rsidP="000E055E">
      <w:pPr>
        <w:pStyle w:val="VRGFBodycontent"/>
      </w:pPr>
    </w:p>
    <w:p w14:paraId="3D5A2A6D" w14:textId="77777777" w:rsidR="00EC29B6" w:rsidRDefault="00EC29B6" w:rsidP="000E055E">
      <w:pPr>
        <w:pStyle w:val="VRGFBodycontent"/>
      </w:pPr>
    </w:p>
    <w:p w14:paraId="471A61C7" w14:textId="7E612391" w:rsidR="00EC29B6" w:rsidRDefault="00DB1EAC" w:rsidP="00444AFE">
      <w:pPr>
        <w:pStyle w:val="VRGFBodycontent"/>
        <w:spacing w:after="120"/>
      </w:pPr>
      <w:r w:rsidRPr="000E055E">
        <w:rPr>
          <w:noProof/>
          <w:lang w:val="en-NZ" w:eastAsia="en-NZ"/>
        </w:rPr>
        <w:lastRenderedPageBreak/>
        <w:drawing>
          <wp:inline distT="0" distB="0" distL="0" distR="0" wp14:anchorId="6F9E80C9" wp14:editId="4B4BBA88">
            <wp:extent cx="5731510" cy="30289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work.png"/>
                    <pic:cNvPicPr/>
                  </pic:nvPicPr>
                  <pic:blipFill rotWithShape="1">
                    <a:blip r:embed="rId13">
                      <a:extLst>
                        <a:ext uri="{28A0092B-C50C-407E-A947-70E740481C1C}">
                          <a14:useLocalDpi xmlns:a14="http://schemas.microsoft.com/office/drawing/2010/main" val="0"/>
                        </a:ext>
                      </a:extLst>
                    </a:blip>
                    <a:srcRect b="6047"/>
                    <a:stretch/>
                  </pic:blipFill>
                  <pic:spPr bwMode="auto">
                    <a:xfrm>
                      <a:off x="0" y="0"/>
                      <a:ext cx="5731510" cy="3028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D8D037" w14:textId="1D180EC0" w:rsidR="000E055E" w:rsidRPr="000E055E" w:rsidRDefault="000E055E" w:rsidP="000E055E">
      <w:pPr>
        <w:pStyle w:val="Caption"/>
      </w:pPr>
      <w:bookmarkStart w:id="155" w:name="_Ref448395814"/>
      <w:bookmarkStart w:id="156" w:name="_Toc462738086"/>
      <w:r>
        <w:t xml:space="preserve">Figure </w:t>
      </w:r>
      <w:fldSimple w:instr=" SEQ Figure \* ARABIC ">
        <w:r w:rsidR="0006479A">
          <w:rPr>
            <w:noProof/>
          </w:rPr>
          <w:t>3</w:t>
        </w:r>
      </w:fldSimple>
      <w:bookmarkEnd w:id="155"/>
      <w:r w:rsidR="00B946EA">
        <w:t>. Conceptual framework of gambling related harm</w:t>
      </w:r>
      <w:bookmarkEnd w:id="156"/>
      <w:r w:rsidR="00B946EA">
        <w:t xml:space="preserve"> </w:t>
      </w:r>
    </w:p>
    <w:p w14:paraId="18EA7CE9" w14:textId="1748BDAF" w:rsidR="000E055E" w:rsidRPr="000E055E" w:rsidRDefault="000E055E" w:rsidP="00E03DE0">
      <w:pPr>
        <w:pStyle w:val="VRGFBodycontent"/>
        <w:spacing w:before="240"/>
      </w:pPr>
      <w:r w:rsidRPr="000E055E">
        <w:t xml:space="preserve">The conceptual framework reflects gambling impacts across different domains of people’s lives (classifications), highlights temporal differentiations in the experience of harm (categories) and is consistent with guidelines for creating a taxonomy </w:t>
      </w:r>
      <w:r w:rsidRPr="000E055E">
        <w:fldChar w:fldCharType="begin">
          <w:fldData xml:space="preserve">PEVuZE5vdGU+PENpdGU+PEF1dGhvcj5NY0NhcnRoeTwvQXV0aG9yPjxZZWFyPjE5OTU8L1llYXI+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</w:fldData>
        </w:fldChar>
      </w:r>
      <w:r w:rsidRPr="000E055E">
        <w:instrText xml:space="preserve"> ADDIN EN.CITE </w:instrText>
      </w:r>
      <w:r w:rsidRPr="000E055E">
        <w:fldChar w:fldCharType="begin">
          <w:fldData xml:space="preserve">PEVuZE5vdGU+PENpdGU+PEF1dGhvcj5NY0NhcnRoeTwvQXV0aG9yPjxZZWFyPjE5OTU8L1llYXI+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</w:fldData>
        </w:fldChar>
      </w:r>
      <w:r w:rsidRPr="000E055E">
        <w:instrText xml:space="preserve"> ADDIN EN.CITE.DATA </w:instrText>
      </w:r>
      <w:r w:rsidRPr="000E055E">
        <w:fldChar w:fldCharType="end"/>
      </w:r>
      <w:r w:rsidRPr="000E055E">
        <w:fldChar w:fldCharType="separate"/>
      </w:r>
      <w:r w:rsidRPr="000E055E">
        <w:t>(Chrisman, Hofer, &amp; Boulton, 1988; Gershenson &amp; Stauffer, 1999; McCarthy, 1995)</w:t>
      </w:r>
      <w:r w:rsidRPr="000E055E">
        <w:fldChar w:fldCharType="end"/>
      </w:r>
      <w:r w:rsidRPr="000E055E">
        <w:t xml:space="preserve">. The framework classifies harms into </w:t>
      </w:r>
      <w:r w:rsidR="009E26E8">
        <w:t xml:space="preserve">eight </w:t>
      </w:r>
      <w:r w:rsidRPr="000E055E">
        <w:t>classifications: (1) financial harms; (2) relationship disruption, conflict or breakdown; (3) emotional or psychological distress; (4) decrements to health; (5) cultural harm; (6) reduced pe</w:t>
      </w:r>
      <w:r w:rsidR="009E26E8">
        <w:t xml:space="preserve">rformance at work or study; </w:t>
      </w:r>
      <w:r w:rsidRPr="000E055E">
        <w:t>(7) criminal activity</w:t>
      </w:r>
      <w:r w:rsidR="009E26E8">
        <w:t>; and (8) lifecourse and intergenerational harms</w:t>
      </w:r>
      <w:r w:rsidRPr="000E055E">
        <w:t xml:space="preserve">. </w:t>
      </w:r>
    </w:p>
    <w:p w14:paraId="76C6BF2C" w14:textId="77777777" w:rsidR="000E055E" w:rsidRPr="000E055E" w:rsidRDefault="000E055E" w:rsidP="000E055E">
      <w:pPr>
        <w:pStyle w:val="VRGFBodycontent"/>
      </w:pPr>
      <w:r w:rsidRPr="000E055E">
        <w:t xml:space="preserve">There are three main temporal differentiations. The first, ‘general harms’, captures harms that can occur from any initial engagement with gambling, directly or indirectly. The second, labelled as ‘crisis’, captures harms that tend to occur when the experience of harm is significant enough that it motivates help-seeking or changes to gambling behaviour or exposure. The third labelled ‘legacy’, captures harms that may continue to occur, or even emerge, even when a person is no longer exposed to gambling behaviour (their own or someone else’s). </w:t>
      </w:r>
    </w:p>
    <w:p w14:paraId="41A0F498" w14:textId="77777777" w:rsidR="000E055E" w:rsidRDefault="000E055E" w:rsidP="000E055E">
      <w:pPr>
        <w:pStyle w:val="VRGFBodycontent"/>
      </w:pPr>
      <w:r w:rsidRPr="000E055E">
        <w:t>The final groups within the framework are labelled lifecourse</w:t>
      </w:r>
      <w:r w:rsidRPr="000E055E">
        <w:rPr>
          <w:vertAlign w:val="superscript"/>
        </w:rPr>
        <w:footnoteReference w:id="5"/>
      </w:r>
      <w:r w:rsidRPr="000E055E">
        <w:t xml:space="preserve"> and intergenerational harms</w:t>
      </w:r>
      <w:r w:rsidRPr="000E055E">
        <w:rPr>
          <w:vertAlign w:val="superscript"/>
        </w:rPr>
        <w:footnoteReference w:id="6"/>
      </w:r>
      <w:r w:rsidRPr="000E055E">
        <w:t xml:space="preserve">. They occupy a unique position as both a classification and a category. </w:t>
      </w:r>
    </w:p>
    <w:p w14:paraId="3E252B00" w14:textId="77777777" w:rsidR="006F47AB" w:rsidRPr="000E055E" w:rsidRDefault="006F47AB" w:rsidP="000E055E">
      <w:pPr>
        <w:pStyle w:val="VRGFBodycontent"/>
      </w:pPr>
    </w:p>
    <w:p w14:paraId="56D43D90" w14:textId="77607394" w:rsidR="000E055E" w:rsidRPr="000E055E" w:rsidRDefault="000E055E" w:rsidP="00E0161E">
      <w:pPr>
        <w:pStyle w:val="VRGFHead3"/>
      </w:pPr>
      <w:bookmarkStart w:id="157" w:name="_Toc462738014"/>
      <w:r w:rsidRPr="000E055E">
        <w:lastRenderedPageBreak/>
        <w:t>Enumerating gambling-related harm</w:t>
      </w:r>
      <w:bookmarkEnd w:id="157"/>
    </w:p>
    <w:p w14:paraId="274AAF0E" w14:textId="1195FE6C" w:rsidR="000E055E" w:rsidRPr="000E055E" w:rsidRDefault="000E055E" w:rsidP="000E055E">
      <w:pPr>
        <w:pStyle w:val="VRGFBodycontent"/>
      </w:pPr>
      <w:r w:rsidRPr="000E055E">
        <w:t xml:space="preserve">A further sensitising concept for this study was the actual enumeration of harms experienced from gambling as captured in the earlier developed taxonomy of gambling-related harms </w:t>
      </w:r>
      <w:r w:rsidRPr="000E055E">
        <w:fldChar w:fldCharType="begin"/>
      </w:r>
      <w:r w:rsidRPr="000E055E">
        <w:instrText xml:space="preserve"> ADDIN EN.CITE &lt;EndNote&gt;&lt;Cite&gt;&lt;Author&gt;Langham&lt;/Author&gt;&lt;Year&gt;2016&lt;/Year&gt;&lt;RecNum&gt;2653&lt;/RecNum&gt;&lt;DisplayText&gt;(Langham et al., 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0E055E">
        <w:fldChar w:fldCharType="separate"/>
      </w:r>
      <w:r w:rsidRPr="000E055E">
        <w:t>(</w:t>
      </w:r>
      <w:r w:rsidRPr="00E0161E">
        <w:t>Langham et al., 2016</w:t>
      </w:r>
      <w:r w:rsidRPr="000E055E">
        <w:t>)</w:t>
      </w:r>
      <w:r w:rsidRPr="000E055E">
        <w:fldChar w:fldCharType="end"/>
      </w:r>
      <w:r w:rsidRPr="000E055E">
        <w:t xml:space="preserve">. The taxonomy whilst based on Australian data, was used as a coding framework for the present study. The original taxonomy was based on the conceptual framework, and enumerated harms for the individual, affected other and community. </w:t>
      </w:r>
    </w:p>
    <w:p w14:paraId="57BC4E99" w14:textId="77777777" w:rsidR="00E0161E" w:rsidRDefault="00E0161E" w:rsidP="000E055E">
      <w:pPr>
        <w:pStyle w:val="VRGFBodycontent"/>
      </w:pPr>
    </w:p>
    <w:p w14:paraId="772A7B95" w14:textId="1BB9A446" w:rsidR="000E055E" w:rsidRPr="000E055E" w:rsidRDefault="000E055E" w:rsidP="00E0161E">
      <w:pPr>
        <w:pStyle w:val="VRGFHead2"/>
      </w:pPr>
      <w:bookmarkStart w:id="158" w:name="_Toc462738015"/>
      <w:r w:rsidRPr="000E055E">
        <w:t>Methods</w:t>
      </w:r>
      <w:bookmarkEnd w:id="158"/>
    </w:p>
    <w:p w14:paraId="33D3F89E" w14:textId="6062FBE7" w:rsidR="000E055E" w:rsidRPr="000E055E" w:rsidRDefault="000E055E" w:rsidP="00E0161E">
      <w:pPr>
        <w:pStyle w:val="VRGFHead3"/>
      </w:pPr>
      <w:r w:rsidRPr="000E055E">
        <w:t xml:space="preserve"> </w:t>
      </w:r>
      <w:bookmarkStart w:id="159" w:name="_Toc462738016"/>
      <w:r w:rsidRPr="000E055E">
        <w:t>Study method</w:t>
      </w:r>
      <w:bookmarkEnd w:id="159"/>
    </w:p>
    <w:p w14:paraId="65F5980B" w14:textId="77777777" w:rsidR="000E055E" w:rsidRPr="000E055E" w:rsidRDefault="000E055E" w:rsidP="000E055E">
      <w:pPr>
        <w:pStyle w:val="VRGFBodycontent"/>
      </w:pPr>
      <w:r w:rsidRPr="000E055E">
        <w:t>In this phase, qualitative research methods (focus groups and individual interviews) were used to explore the conceptual framework described above and to detail its relevance within a New Zealand context. Data for this phase was gathered in two stages from pre-defined groups of interest. In the first stage, consultative focus groups with professionals and experts in the field were conducted. Participants included those involved in gambling policy formulation and implementation, professionals involved in primary health care and in gambling-related community education, gambling researchers, treatment providers, consumer representatives</w:t>
      </w:r>
      <w:r w:rsidRPr="000E055E">
        <w:rPr>
          <w:vertAlign w:val="superscript"/>
        </w:rPr>
        <w:footnoteReference w:id="7"/>
      </w:r>
      <w:r w:rsidRPr="000E055E">
        <w:t xml:space="preserve">, and allied support service providers who have regular contact with gamblers such as financial counsellors, food bank workers, and people involved in the justice system. In the second stage, focus groups and a small number of individual interviews were conducted with members of the general public and treatment seeking individuals which included the target population of people who gamble and individuals affected by someone else’s gambling. </w:t>
      </w:r>
    </w:p>
    <w:p w14:paraId="19D6C540" w14:textId="77777777" w:rsidR="000E055E" w:rsidRPr="000E055E" w:rsidRDefault="000E055E" w:rsidP="000E055E">
      <w:pPr>
        <w:pStyle w:val="VRGFBodycontent"/>
      </w:pPr>
      <w:r w:rsidRPr="000E055E">
        <w:t xml:space="preserve">Semi-structured interview guides were developed for both phases (see Appendix 1 and 2). The guides were based on the two information sources described in the preceding sections – the literature review and the prior study which had used a similar methodology. </w:t>
      </w:r>
    </w:p>
    <w:p w14:paraId="55CB04AE" w14:textId="77777777" w:rsidR="00E0161E" w:rsidRDefault="00E0161E" w:rsidP="000E055E">
      <w:pPr>
        <w:pStyle w:val="VRGFBodycontent"/>
      </w:pPr>
    </w:p>
    <w:p w14:paraId="5F59E743" w14:textId="58866F91" w:rsidR="000E055E" w:rsidRPr="000E055E" w:rsidRDefault="000E055E" w:rsidP="00E0161E">
      <w:pPr>
        <w:pStyle w:val="VRGFHead3"/>
      </w:pPr>
      <w:bookmarkStart w:id="160" w:name="_Toc462738017"/>
      <w:r w:rsidRPr="000E055E">
        <w:t>Participant recruitment</w:t>
      </w:r>
      <w:bookmarkEnd w:id="160"/>
    </w:p>
    <w:p w14:paraId="1709EC54" w14:textId="77777777" w:rsidR="000E055E" w:rsidRPr="000E055E" w:rsidRDefault="000E055E" w:rsidP="00E0161E">
      <w:pPr>
        <w:pStyle w:val="VRGFHead4"/>
      </w:pPr>
      <w:r w:rsidRPr="000E055E">
        <w:t>Stage 1</w:t>
      </w:r>
    </w:p>
    <w:p w14:paraId="72BC1712" w14:textId="6F154546" w:rsidR="000E055E" w:rsidRPr="000E055E" w:rsidRDefault="000E055E" w:rsidP="000E055E">
      <w:pPr>
        <w:pStyle w:val="VRGFBodycontent"/>
      </w:pPr>
      <w:r w:rsidRPr="000E055E">
        <w:t xml:space="preserve">Recruitment for the first stage (professionals and experts) was carried out through AUT researchers’ networks and professional affiliates. Regulators, academics, and alcohol and other drug service representatives were recruited through government departments, a university and an alcohol and drugs (AOD) treatment service provider. Allied support service representatives (budget advisers, social workers and probation officers) were recruited through problem gambling services who often facilitate referrals or liaise with these services on behalf of clients, or were recruited using a snowball method as participants agreed to take part. Problem gambling service provider and consumer </w:t>
      </w:r>
      <w:r w:rsidRPr="000E055E">
        <w:lastRenderedPageBreak/>
        <w:t xml:space="preserve">representatives were recruited from national and ethnic-specific problem gambling intervention services. </w:t>
      </w:r>
      <w:r w:rsidR="00F414C3">
        <w:t>Participants included people of Māori, Pacific, Asian and European/Other ethnicity.</w:t>
      </w:r>
    </w:p>
    <w:p w14:paraId="34CE1576" w14:textId="77777777" w:rsidR="000E055E" w:rsidRPr="000E055E" w:rsidRDefault="000E055E" w:rsidP="000E055E">
      <w:pPr>
        <w:pStyle w:val="VRGFBodycontent"/>
      </w:pPr>
      <w:r w:rsidRPr="000E055E">
        <w:t xml:space="preserve">A letter of invitation, a Participant Information Sheet and indicative focus group questions were sent to the manager or team coordinator of the most relevant department of each organisation. The manager or coordinator was requested to pass on the research invitation to two to three potential representatives with suitable knowledge and experience of the gambling and problem gambling field. Three focus groups were held in Auckland on 3-4 December 2014 and lasted approximately two hours each. All participants were served refreshments and given a $30 petrol voucher to compensate the travel expenses incurred. Flights and airport transfers were provided for two consumer representatives based outside Auckland to enable their participation. </w:t>
      </w:r>
    </w:p>
    <w:p w14:paraId="40DEF789" w14:textId="273CCE5B" w:rsidR="000E055E" w:rsidRDefault="000E055E" w:rsidP="000E055E">
      <w:pPr>
        <w:pStyle w:val="VRGFBodycontent"/>
      </w:pPr>
      <w:r w:rsidRPr="000E055E">
        <w:t xml:space="preserve">Overall, the sample for Stage 1 comprised 26 participants; eight allied support services staff, three regulators, four academics, eight problem gambling treatment service staff, and three consumer representatives. Some of these participants represented the minority ethnic groups (Māori, Pacific and Asian) and thus provided perspectives on the respective ethnicities during the discussions. A breakdown of participants, their roles and the expertise they brought to each group is provided in </w:t>
      </w:r>
      <w:r w:rsidR="00FA3242">
        <w:rPr>
          <w:b/>
          <w:iCs/>
          <w:color w:val="1F3864" w:themeColor="accent5" w:themeShade="80"/>
          <w:sz w:val="18"/>
        </w:rPr>
        <w:fldChar w:fldCharType="begin"/>
      </w:r>
      <w:r w:rsidR="00FA3242">
        <w:instrText xml:space="preserve"> REF _Ref448396235 \h </w:instrText>
      </w:r>
      <w:r w:rsidR="00FA3242">
        <w:rPr>
          <w:b/>
          <w:iCs/>
          <w:color w:val="1F3864" w:themeColor="accent5" w:themeShade="80"/>
          <w:sz w:val="18"/>
        </w:rPr>
      </w:r>
      <w:r w:rsidR="00FA3242">
        <w:rPr>
          <w:b/>
          <w:iCs/>
          <w:color w:val="1F3864" w:themeColor="accent5" w:themeShade="80"/>
          <w:sz w:val="18"/>
        </w:rPr>
        <w:fldChar w:fldCharType="separate"/>
      </w:r>
      <w:r w:rsidR="0006479A">
        <w:t xml:space="preserve">Table </w:t>
      </w:r>
      <w:r w:rsidR="0006479A">
        <w:rPr>
          <w:noProof/>
        </w:rPr>
        <w:t>1</w:t>
      </w:r>
      <w:r w:rsidR="00FA3242">
        <w:fldChar w:fldCharType="end"/>
      </w:r>
      <w:r w:rsidRPr="000E055E">
        <w:t>.</w:t>
      </w:r>
    </w:p>
    <w:p w14:paraId="44CB08FA" w14:textId="278D40F0" w:rsidR="000E055E" w:rsidRDefault="00FA3242" w:rsidP="00FA3242">
      <w:pPr>
        <w:pStyle w:val="Caption"/>
      </w:pPr>
      <w:bookmarkStart w:id="161" w:name="_Ref448396235"/>
      <w:bookmarkStart w:id="162" w:name="_Toc462738104"/>
      <w:r>
        <w:t xml:space="preserve">Table </w:t>
      </w:r>
      <w:fldSimple w:instr=" SEQ Table \* ARABIC ">
        <w:r w:rsidR="0006479A">
          <w:rPr>
            <w:noProof/>
          </w:rPr>
          <w:t>1</w:t>
        </w:r>
      </w:fldSimple>
      <w:bookmarkEnd w:id="161"/>
      <w:r>
        <w:t xml:space="preserve">. </w:t>
      </w:r>
      <w:r w:rsidR="000E055E" w:rsidRPr="000E055E">
        <w:t>Details of participants in Stage 1 focus group with professionals and experts</w:t>
      </w:r>
      <w:bookmarkEnd w:id="162"/>
    </w:p>
    <w:tbl>
      <w:tblPr>
        <w:tblW w:w="5000" w:type="pct"/>
        <w:tblBorders>
          <w:top w:val="single" w:sz="12" w:space="0" w:color="FF9E3C"/>
          <w:left w:val="single" w:sz="12" w:space="0" w:color="FF9E3C"/>
          <w:bottom w:val="single" w:sz="12" w:space="0" w:color="FF9E3C"/>
          <w:right w:val="single" w:sz="12" w:space="0" w:color="FF9E3C"/>
          <w:insideH w:val="single" w:sz="12" w:space="0" w:color="FF9E3C"/>
          <w:insideV w:val="single" w:sz="12" w:space="0" w:color="FF9E3C"/>
        </w:tblBorders>
        <w:tblLook w:val="04A0" w:firstRow="1" w:lastRow="0" w:firstColumn="1" w:lastColumn="0" w:noHBand="0" w:noVBand="1"/>
      </w:tblPr>
      <w:tblGrid>
        <w:gridCol w:w="2450"/>
        <w:gridCol w:w="3588"/>
        <w:gridCol w:w="2958"/>
      </w:tblGrid>
      <w:tr w:rsidR="00365D95" w:rsidRPr="00DD0DBE" w14:paraId="4C8F53C3" w14:textId="77777777" w:rsidTr="004B389B">
        <w:trPr>
          <w:trHeight w:val="255"/>
          <w:tblHeader/>
        </w:trPr>
        <w:tc>
          <w:tcPr>
            <w:tcW w:w="1362" w:type="pct"/>
            <w:shd w:val="clear" w:color="auto" w:fill="FFBC64"/>
            <w:vAlign w:val="center"/>
            <w:hideMark/>
          </w:tcPr>
          <w:p w14:paraId="35006C03" w14:textId="77777777" w:rsidR="00365D95" w:rsidRPr="00DD0DBE" w:rsidRDefault="00365D95" w:rsidP="00AE56FA">
            <w:pPr>
              <w:tabs>
                <w:tab w:val="clear" w:pos="426"/>
              </w:tabs>
              <w:spacing w:before="0" w:after="0" w:line="240" w:lineRule="auto"/>
              <w:ind w:left="0" w:right="0"/>
              <w:rPr>
                <w:rFonts w:cs="Arial"/>
                <w:b/>
                <w:bCs/>
                <w:color w:val="1C3158"/>
                <w:sz w:val="18"/>
                <w:lang w:eastAsia="ja-JP"/>
              </w:rPr>
            </w:pPr>
            <w:r>
              <w:rPr>
                <w:rFonts w:cs="Arial"/>
                <w:b/>
                <w:bCs/>
                <w:color w:val="1C3158"/>
                <w:sz w:val="18"/>
                <w:lang w:eastAsia="ja-JP"/>
              </w:rPr>
              <w:t>Focus group</w:t>
            </w:r>
          </w:p>
        </w:tc>
        <w:tc>
          <w:tcPr>
            <w:tcW w:w="1994" w:type="pct"/>
            <w:shd w:val="clear" w:color="auto" w:fill="FFBC64"/>
            <w:vAlign w:val="center"/>
            <w:hideMark/>
          </w:tcPr>
          <w:p w14:paraId="6C3C7718" w14:textId="77777777" w:rsidR="00365D95" w:rsidRPr="00DD0DBE" w:rsidRDefault="00365D95" w:rsidP="00AE56FA">
            <w:pPr>
              <w:tabs>
                <w:tab w:val="clear" w:pos="426"/>
              </w:tabs>
              <w:spacing w:before="0" w:after="0" w:line="240" w:lineRule="auto"/>
              <w:ind w:left="0" w:right="0"/>
              <w:rPr>
                <w:rFonts w:cs="Arial"/>
                <w:b/>
                <w:bCs/>
                <w:color w:val="1C3158"/>
                <w:sz w:val="18"/>
                <w:lang w:eastAsia="ja-JP"/>
              </w:rPr>
            </w:pPr>
            <w:r>
              <w:rPr>
                <w:rFonts w:cs="Arial"/>
                <w:b/>
                <w:bCs/>
                <w:color w:val="1C3158"/>
                <w:sz w:val="18"/>
                <w:lang w:eastAsia="ja-JP"/>
              </w:rPr>
              <w:t>Participant roles</w:t>
            </w:r>
          </w:p>
        </w:tc>
        <w:tc>
          <w:tcPr>
            <w:tcW w:w="1644" w:type="pct"/>
            <w:shd w:val="clear" w:color="auto" w:fill="FFBC64"/>
            <w:vAlign w:val="center"/>
            <w:hideMark/>
          </w:tcPr>
          <w:p w14:paraId="66B1C2E9" w14:textId="77777777" w:rsidR="00365D95" w:rsidRPr="00DD0DBE" w:rsidRDefault="00365D95" w:rsidP="00AE56FA">
            <w:pPr>
              <w:tabs>
                <w:tab w:val="clear" w:pos="426"/>
              </w:tabs>
              <w:spacing w:before="0" w:after="0" w:line="240" w:lineRule="auto"/>
              <w:ind w:left="0" w:right="0"/>
              <w:rPr>
                <w:rFonts w:cs="Arial"/>
                <w:b/>
                <w:bCs/>
                <w:color w:val="1C3158"/>
                <w:sz w:val="18"/>
                <w:lang w:eastAsia="ja-JP"/>
              </w:rPr>
            </w:pPr>
            <w:r>
              <w:rPr>
                <w:rFonts w:cs="Arial"/>
                <w:b/>
                <w:bCs/>
                <w:color w:val="1C3158"/>
                <w:sz w:val="18"/>
                <w:lang w:eastAsia="ja-JP"/>
              </w:rPr>
              <w:t>Participant expertise</w:t>
            </w:r>
          </w:p>
        </w:tc>
      </w:tr>
      <w:tr w:rsidR="00365D95" w:rsidRPr="00DD0DBE" w14:paraId="4B5922BA" w14:textId="77777777" w:rsidTr="004B389B">
        <w:trPr>
          <w:trHeight w:val="255"/>
        </w:trPr>
        <w:tc>
          <w:tcPr>
            <w:tcW w:w="1362" w:type="pct"/>
            <w:vMerge w:val="restart"/>
            <w:shd w:val="clear" w:color="auto" w:fill="auto"/>
            <w:vAlign w:val="center"/>
            <w:hideMark/>
          </w:tcPr>
          <w:p w14:paraId="318D47FE"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Allied professional staff</w:t>
            </w:r>
          </w:p>
        </w:tc>
        <w:tc>
          <w:tcPr>
            <w:tcW w:w="1994" w:type="pct"/>
            <w:shd w:val="clear" w:color="auto" w:fill="auto"/>
            <w:vAlign w:val="center"/>
          </w:tcPr>
          <w:p w14:paraId="140FA12F"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Probation services (3)</w:t>
            </w:r>
          </w:p>
        </w:tc>
        <w:tc>
          <w:tcPr>
            <w:tcW w:w="1644" w:type="pct"/>
            <w:shd w:val="clear" w:color="auto" w:fill="auto"/>
            <w:vAlign w:val="center"/>
          </w:tcPr>
          <w:p w14:paraId="36A74D9C"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Community probation</w:t>
            </w:r>
          </w:p>
        </w:tc>
      </w:tr>
      <w:tr w:rsidR="00365D95" w:rsidRPr="00DD0DBE" w14:paraId="35049EFE" w14:textId="77777777" w:rsidTr="004B389B">
        <w:trPr>
          <w:trHeight w:val="255"/>
        </w:trPr>
        <w:tc>
          <w:tcPr>
            <w:tcW w:w="1362" w:type="pct"/>
            <w:vMerge/>
            <w:shd w:val="clear" w:color="auto" w:fill="auto"/>
            <w:vAlign w:val="center"/>
          </w:tcPr>
          <w:p w14:paraId="3596173B" w14:textId="77777777" w:rsidR="00365D95" w:rsidRPr="00DD0DBE" w:rsidRDefault="00365D95" w:rsidP="00AE56FA">
            <w:pPr>
              <w:tabs>
                <w:tab w:val="clear" w:pos="426"/>
              </w:tabs>
              <w:spacing w:before="0" w:after="0" w:line="240" w:lineRule="auto"/>
              <w:ind w:left="0" w:right="0"/>
              <w:rPr>
                <w:rFonts w:cs="Arial"/>
                <w:color w:val="1C3158"/>
                <w:sz w:val="18"/>
                <w:lang w:eastAsia="ja-JP"/>
              </w:rPr>
            </w:pPr>
          </w:p>
        </w:tc>
        <w:tc>
          <w:tcPr>
            <w:tcW w:w="1994" w:type="pct"/>
            <w:shd w:val="clear" w:color="auto" w:fill="auto"/>
            <w:vAlign w:val="center"/>
          </w:tcPr>
          <w:p w14:paraId="5A060E38"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Social worker (2)</w:t>
            </w:r>
          </w:p>
        </w:tc>
        <w:tc>
          <w:tcPr>
            <w:tcW w:w="1644" w:type="pct"/>
            <w:shd w:val="clear" w:color="auto" w:fill="auto"/>
            <w:vAlign w:val="center"/>
          </w:tcPr>
          <w:p w14:paraId="355C67BD"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Community social work</w:t>
            </w:r>
          </w:p>
        </w:tc>
      </w:tr>
      <w:tr w:rsidR="00365D95" w:rsidRPr="00DD0DBE" w14:paraId="08DC9F1A" w14:textId="77777777" w:rsidTr="004B389B">
        <w:trPr>
          <w:trHeight w:val="255"/>
        </w:trPr>
        <w:tc>
          <w:tcPr>
            <w:tcW w:w="1362" w:type="pct"/>
            <w:vMerge/>
            <w:vAlign w:val="center"/>
            <w:hideMark/>
          </w:tcPr>
          <w:p w14:paraId="0D544E3E" w14:textId="77777777" w:rsidR="00365D95" w:rsidRPr="00DD0DBE" w:rsidRDefault="00365D95" w:rsidP="00AE56FA">
            <w:pPr>
              <w:tabs>
                <w:tab w:val="clear" w:pos="426"/>
              </w:tabs>
              <w:spacing w:before="0" w:after="0" w:line="240" w:lineRule="auto"/>
              <w:ind w:left="0" w:right="0"/>
              <w:rPr>
                <w:rFonts w:cs="Arial"/>
                <w:color w:val="1C3158"/>
                <w:sz w:val="18"/>
                <w:lang w:eastAsia="ja-JP"/>
              </w:rPr>
            </w:pPr>
          </w:p>
        </w:tc>
        <w:tc>
          <w:tcPr>
            <w:tcW w:w="1994" w:type="pct"/>
            <w:shd w:val="clear" w:color="auto" w:fill="auto"/>
            <w:vAlign w:val="center"/>
          </w:tcPr>
          <w:p w14:paraId="764A5D70"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Budget advisor (2)</w:t>
            </w:r>
          </w:p>
        </w:tc>
        <w:tc>
          <w:tcPr>
            <w:tcW w:w="1644" w:type="pct"/>
            <w:shd w:val="clear" w:color="auto" w:fill="auto"/>
            <w:vAlign w:val="center"/>
          </w:tcPr>
          <w:p w14:paraId="1DEF8561"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 xml:space="preserve">Budget advice (general and within Pacific communities) </w:t>
            </w:r>
          </w:p>
        </w:tc>
      </w:tr>
      <w:tr w:rsidR="00365D95" w:rsidRPr="00DD0DBE" w14:paraId="558BCFB5" w14:textId="77777777" w:rsidTr="004B389B">
        <w:trPr>
          <w:trHeight w:val="255"/>
        </w:trPr>
        <w:tc>
          <w:tcPr>
            <w:tcW w:w="1362" w:type="pct"/>
            <w:vMerge w:val="restart"/>
            <w:shd w:val="clear" w:color="auto" w:fill="auto"/>
            <w:vAlign w:val="center"/>
            <w:hideMark/>
          </w:tcPr>
          <w:p w14:paraId="12D05927"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Regulators, academics and AOD services</w:t>
            </w:r>
          </w:p>
        </w:tc>
        <w:tc>
          <w:tcPr>
            <w:tcW w:w="1994" w:type="pct"/>
            <w:shd w:val="clear" w:color="auto" w:fill="auto"/>
            <w:vAlign w:val="center"/>
          </w:tcPr>
          <w:p w14:paraId="5DF8E331"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AOD service (1)</w:t>
            </w:r>
          </w:p>
        </w:tc>
        <w:tc>
          <w:tcPr>
            <w:tcW w:w="1644" w:type="pct"/>
            <w:shd w:val="clear" w:color="auto" w:fill="auto"/>
            <w:vAlign w:val="center"/>
          </w:tcPr>
          <w:p w14:paraId="3030A738"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AOD service provision</w:t>
            </w:r>
          </w:p>
        </w:tc>
      </w:tr>
      <w:tr w:rsidR="00365D95" w:rsidRPr="00DD0DBE" w14:paraId="1A246D7C" w14:textId="77777777" w:rsidTr="004B389B">
        <w:trPr>
          <w:trHeight w:val="255"/>
        </w:trPr>
        <w:tc>
          <w:tcPr>
            <w:tcW w:w="1362" w:type="pct"/>
            <w:vMerge/>
            <w:shd w:val="clear" w:color="auto" w:fill="auto"/>
            <w:vAlign w:val="center"/>
          </w:tcPr>
          <w:p w14:paraId="6FAC2DB7" w14:textId="77777777" w:rsidR="00365D95" w:rsidRPr="00DD0DBE" w:rsidRDefault="00365D95" w:rsidP="00AE56FA">
            <w:pPr>
              <w:tabs>
                <w:tab w:val="clear" w:pos="426"/>
              </w:tabs>
              <w:spacing w:before="0" w:after="0" w:line="240" w:lineRule="auto"/>
              <w:ind w:left="0" w:right="0"/>
              <w:rPr>
                <w:rFonts w:cs="Arial"/>
                <w:color w:val="1C3158"/>
                <w:sz w:val="18"/>
                <w:lang w:eastAsia="ja-JP"/>
              </w:rPr>
            </w:pPr>
          </w:p>
        </w:tc>
        <w:tc>
          <w:tcPr>
            <w:tcW w:w="1994" w:type="pct"/>
            <w:shd w:val="clear" w:color="auto" w:fill="auto"/>
            <w:vAlign w:val="center"/>
          </w:tcPr>
          <w:p w14:paraId="3B62B2F4"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Regulatory and/or health policy advisor (3)</w:t>
            </w:r>
          </w:p>
        </w:tc>
        <w:tc>
          <w:tcPr>
            <w:tcW w:w="1644" w:type="pct"/>
            <w:shd w:val="clear" w:color="auto" w:fill="auto"/>
            <w:vAlign w:val="center"/>
          </w:tcPr>
          <w:p w14:paraId="5477FCA7"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Regulatory and health policy development and implementation</w:t>
            </w:r>
          </w:p>
        </w:tc>
      </w:tr>
      <w:tr w:rsidR="00365D95" w:rsidRPr="00DD0DBE" w14:paraId="772439A1" w14:textId="77777777" w:rsidTr="004B389B">
        <w:trPr>
          <w:trHeight w:val="255"/>
        </w:trPr>
        <w:tc>
          <w:tcPr>
            <w:tcW w:w="1362" w:type="pct"/>
            <w:vMerge/>
            <w:vAlign w:val="center"/>
            <w:hideMark/>
          </w:tcPr>
          <w:p w14:paraId="0288E739" w14:textId="77777777" w:rsidR="00365D95" w:rsidRPr="00DD0DBE" w:rsidRDefault="00365D95" w:rsidP="00AE56FA">
            <w:pPr>
              <w:tabs>
                <w:tab w:val="clear" w:pos="426"/>
              </w:tabs>
              <w:spacing w:before="0" w:after="0" w:line="240" w:lineRule="auto"/>
              <w:ind w:left="0" w:right="0"/>
              <w:rPr>
                <w:rFonts w:cs="Arial"/>
                <w:color w:val="1C3158"/>
                <w:sz w:val="18"/>
                <w:lang w:eastAsia="ja-JP"/>
              </w:rPr>
            </w:pPr>
          </w:p>
        </w:tc>
        <w:tc>
          <w:tcPr>
            <w:tcW w:w="1994" w:type="pct"/>
            <w:shd w:val="clear" w:color="auto" w:fill="auto"/>
            <w:vAlign w:val="center"/>
          </w:tcPr>
          <w:p w14:paraId="591B1986"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Academic (4)</w:t>
            </w:r>
          </w:p>
        </w:tc>
        <w:tc>
          <w:tcPr>
            <w:tcW w:w="1644" w:type="pct"/>
            <w:shd w:val="clear" w:color="auto" w:fill="auto"/>
            <w:vAlign w:val="center"/>
          </w:tcPr>
          <w:p w14:paraId="7FAEFCC6" w14:textId="6A390AA7" w:rsidR="00365D95" w:rsidRPr="00DD0DBE" w:rsidRDefault="00365D95" w:rsidP="001A3F83">
            <w:pPr>
              <w:tabs>
                <w:tab w:val="clear" w:pos="426"/>
              </w:tabs>
              <w:spacing w:before="0" w:after="0" w:line="240" w:lineRule="auto"/>
              <w:ind w:left="0" w:right="0"/>
              <w:rPr>
                <w:rFonts w:cs="Arial"/>
                <w:color w:val="1C3158"/>
                <w:sz w:val="18"/>
                <w:lang w:eastAsia="ja-JP"/>
              </w:rPr>
            </w:pPr>
            <w:r>
              <w:rPr>
                <w:rFonts w:cs="Arial"/>
                <w:color w:val="1C3158"/>
                <w:sz w:val="18"/>
                <w:lang w:eastAsia="ja-JP"/>
              </w:rPr>
              <w:t>Gambling and addictions academic research including specific examination of gambling in mainstream, M</w:t>
            </w:r>
            <w:r w:rsidR="001A3F83" w:rsidRPr="001A3F83">
              <w:rPr>
                <w:rFonts w:cs="Arial"/>
                <w:bCs/>
                <w:color w:val="1C3158"/>
                <w:sz w:val="18"/>
                <w:lang w:val="en" w:eastAsia="ja-JP"/>
              </w:rPr>
              <w:t>ā</w:t>
            </w:r>
            <w:r>
              <w:rPr>
                <w:rFonts w:cs="Arial"/>
                <w:color w:val="1C3158"/>
                <w:sz w:val="18"/>
                <w:lang w:eastAsia="ja-JP"/>
              </w:rPr>
              <w:t>ori and Pacific communities</w:t>
            </w:r>
          </w:p>
        </w:tc>
      </w:tr>
      <w:tr w:rsidR="00365D95" w:rsidRPr="00DD0DBE" w14:paraId="32DF5DEE" w14:textId="77777777" w:rsidTr="004B389B">
        <w:trPr>
          <w:trHeight w:val="255"/>
        </w:trPr>
        <w:tc>
          <w:tcPr>
            <w:tcW w:w="1362" w:type="pct"/>
            <w:vMerge w:val="restart"/>
            <w:shd w:val="clear" w:color="auto" w:fill="auto"/>
            <w:vAlign w:val="center"/>
            <w:hideMark/>
          </w:tcPr>
          <w:p w14:paraId="43C3BF83"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Problem gambling service providers and consumer representatives</w:t>
            </w:r>
          </w:p>
        </w:tc>
        <w:tc>
          <w:tcPr>
            <w:tcW w:w="1994" w:type="pct"/>
            <w:shd w:val="clear" w:color="auto" w:fill="auto"/>
            <w:vAlign w:val="center"/>
          </w:tcPr>
          <w:p w14:paraId="4796DF54"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Clinical service leaders (3)</w:t>
            </w:r>
          </w:p>
        </w:tc>
        <w:tc>
          <w:tcPr>
            <w:tcW w:w="1644" w:type="pct"/>
            <w:shd w:val="clear" w:color="auto" w:fill="auto"/>
            <w:vAlign w:val="center"/>
          </w:tcPr>
          <w:p w14:paraId="02027216" w14:textId="1E0F93CE" w:rsidR="00365D95" w:rsidRPr="00DD0DBE" w:rsidRDefault="00364560"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Managers of problem gambling clinical and public health services</w:t>
            </w:r>
          </w:p>
        </w:tc>
      </w:tr>
      <w:tr w:rsidR="00365D95" w:rsidRPr="00DD0DBE" w14:paraId="78D81F46" w14:textId="77777777" w:rsidTr="004B389B">
        <w:trPr>
          <w:trHeight w:val="255"/>
        </w:trPr>
        <w:tc>
          <w:tcPr>
            <w:tcW w:w="1362" w:type="pct"/>
            <w:vMerge/>
            <w:vAlign w:val="center"/>
            <w:hideMark/>
          </w:tcPr>
          <w:p w14:paraId="3E23462F" w14:textId="77777777" w:rsidR="00365D95" w:rsidRPr="00DD0DBE" w:rsidRDefault="00365D95" w:rsidP="00AE56FA">
            <w:pPr>
              <w:tabs>
                <w:tab w:val="clear" w:pos="426"/>
              </w:tabs>
              <w:spacing w:before="0" w:after="0" w:line="240" w:lineRule="auto"/>
              <w:ind w:left="0" w:right="0"/>
              <w:rPr>
                <w:rFonts w:cs="Arial"/>
                <w:color w:val="1C3158"/>
                <w:sz w:val="18"/>
                <w:lang w:eastAsia="ja-JP"/>
              </w:rPr>
            </w:pPr>
          </w:p>
        </w:tc>
        <w:tc>
          <w:tcPr>
            <w:tcW w:w="1994" w:type="pct"/>
            <w:shd w:val="clear" w:color="auto" w:fill="auto"/>
            <w:vAlign w:val="center"/>
          </w:tcPr>
          <w:p w14:paraId="6A4857EE"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Clinician/public health worker (4)</w:t>
            </w:r>
          </w:p>
        </w:tc>
        <w:tc>
          <w:tcPr>
            <w:tcW w:w="1644" w:type="pct"/>
            <w:shd w:val="clear" w:color="auto" w:fill="auto"/>
            <w:vAlign w:val="center"/>
          </w:tcPr>
          <w:p w14:paraId="74624403"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 xml:space="preserve">Clinical and public health work with </w:t>
            </w:r>
            <w:r w:rsidRPr="006547DA">
              <w:rPr>
                <w:rFonts w:cs="Arial"/>
                <w:bCs/>
                <w:color w:val="1C3158"/>
                <w:sz w:val="18"/>
                <w:lang w:val="en-NZ" w:eastAsia="ja-JP"/>
              </w:rPr>
              <w:t>Asian, Pacific, Māori and mainstream communities</w:t>
            </w:r>
            <w:r>
              <w:rPr>
                <w:rFonts w:cs="Arial"/>
                <w:color w:val="1C3158"/>
                <w:sz w:val="18"/>
                <w:lang w:eastAsia="ja-JP"/>
              </w:rPr>
              <w:t xml:space="preserve"> </w:t>
            </w:r>
          </w:p>
        </w:tc>
      </w:tr>
      <w:tr w:rsidR="00365D95" w:rsidRPr="00DD0DBE" w14:paraId="0087F57E" w14:textId="77777777" w:rsidTr="004B389B">
        <w:trPr>
          <w:trHeight w:val="255"/>
        </w:trPr>
        <w:tc>
          <w:tcPr>
            <w:tcW w:w="1362" w:type="pct"/>
            <w:vMerge/>
            <w:vAlign w:val="center"/>
            <w:hideMark/>
          </w:tcPr>
          <w:p w14:paraId="1634A7C2" w14:textId="77777777" w:rsidR="00365D95" w:rsidRPr="00DD0DBE" w:rsidRDefault="00365D95" w:rsidP="00AE56FA">
            <w:pPr>
              <w:tabs>
                <w:tab w:val="clear" w:pos="426"/>
              </w:tabs>
              <w:spacing w:before="0" w:after="0" w:line="240" w:lineRule="auto"/>
              <w:ind w:left="0" w:right="0"/>
              <w:rPr>
                <w:rFonts w:cs="Arial"/>
                <w:color w:val="1C3158"/>
                <w:sz w:val="18"/>
                <w:lang w:eastAsia="ja-JP"/>
              </w:rPr>
            </w:pPr>
          </w:p>
        </w:tc>
        <w:tc>
          <w:tcPr>
            <w:tcW w:w="1994" w:type="pct"/>
            <w:shd w:val="clear" w:color="auto" w:fill="auto"/>
            <w:vAlign w:val="center"/>
          </w:tcPr>
          <w:p w14:paraId="7D148388"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Consumer representative (3)</w:t>
            </w:r>
          </w:p>
        </w:tc>
        <w:tc>
          <w:tcPr>
            <w:tcW w:w="1644" w:type="pct"/>
            <w:shd w:val="clear" w:color="auto" w:fill="auto"/>
            <w:vAlign w:val="center"/>
          </w:tcPr>
          <w:p w14:paraId="1706F23E" w14:textId="77777777" w:rsidR="00365D95" w:rsidRPr="00DD0DBE" w:rsidRDefault="00365D95" w:rsidP="00AE56FA">
            <w:pPr>
              <w:tabs>
                <w:tab w:val="clear" w:pos="426"/>
              </w:tabs>
              <w:spacing w:before="0" w:after="0" w:line="240" w:lineRule="auto"/>
              <w:ind w:left="0" w:right="0"/>
              <w:rPr>
                <w:rFonts w:cs="Arial"/>
                <w:color w:val="1C3158"/>
                <w:sz w:val="18"/>
                <w:lang w:eastAsia="ja-JP"/>
              </w:rPr>
            </w:pPr>
            <w:r>
              <w:rPr>
                <w:rFonts w:cs="Arial"/>
                <w:color w:val="1C3158"/>
                <w:sz w:val="18"/>
                <w:lang w:eastAsia="ja-JP"/>
              </w:rPr>
              <w:t>Consumer experience</w:t>
            </w:r>
          </w:p>
        </w:tc>
      </w:tr>
    </w:tbl>
    <w:p w14:paraId="08477BC2" w14:textId="77777777" w:rsidR="000E055E" w:rsidRPr="000E055E" w:rsidRDefault="000E055E" w:rsidP="000E055E">
      <w:pPr>
        <w:pStyle w:val="VRGFBodycontent"/>
      </w:pPr>
    </w:p>
    <w:p w14:paraId="396388BC" w14:textId="77777777" w:rsidR="000E055E" w:rsidRPr="000E055E" w:rsidRDefault="000E055E" w:rsidP="00E0161E">
      <w:pPr>
        <w:pStyle w:val="VRGFHead4"/>
      </w:pPr>
      <w:r w:rsidRPr="000E055E">
        <w:t>Stage 2</w:t>
      </w:r>
    </w:p>
    <w:p w14:paraId="3A81642C" w14:textId="77777777" w:rsidR="000E055E" w:rsidRPr="000E055E" w:rsidRDefault="000E055E" w:rsidP="000E055E">
      <w:pPr>
        <w:pStyle w:val="VRGFBodycontent"/>
      </w:pPr>
      <w:r w:rsidRPr="000E055E">
        <w:t>For recruitment in the second stage, a purposeful sampling protocol was used to ensure that the outcomes of this phase captured the actual harms experienced by New Zealanders affected by gambling, and reflected the potential diversity of experiences with respect to the four major ethnic groups. Key pre-defined groups of interest for this stage were:</w:t>
      </w:r>
    </w:p>
    <w:p w14:paraId="10ECB797" w14:textId="77777777" w:rsidR="000E055E" w:rsidRPr="000E055E" w:rsidRDefault="000E055E" w:rsidP="00E0161E">
      <w:pPr>
        <w:pStyle w:val="VRGFNumberedlist"/>
        <w:numPr>
          <w:ilvl w:val="0"/>
          <w:numId w:val="34"/>
        </w:numPr>
      </w:pPr>
      <w:r w:rsidRPr="000E055E">
        <w:t>Members of the general public who were experiencing harms from their gambling.</w:t>
      </w:r>
    </w:p>
    <w:p w14:paraId="644BD9E5" w14:textId="77777777" w:rsidR="000E055E" w:rsidRPr="000E055E" w:rsidRDefault="000E055E" w:rsidP="00E0161E">
      <w:pPr>
        <w:pStyle w:val="VRGFNumberedlist"/>
      </w:pPr>
      <w:r w:rsidRPr="000E055E">
        <w:t>Treatment seeking individuals who were experiencing problems with gambling.</w:t>
      </w:r>
    </w:p>
    <w:p w14:paraId="4CF30F51" w14:textId="77777777" w:rsidR="000E055E" w:rsidRPr="000E055E" w:rsidRDefault="000E055E" w:rsidP="00E0161E">
      <w:pPr>
        <w:pStyle w:val="VRGFNumberedlist"/>
      </w:pPr>
      <w:r w:rsidRPr="000E055E">
        <w:lastRenderedPageBreak/>
        <w:t>Members of the general public who were affected by someone else’s gambling.</w:t>
      </w:r>
    </w:p>
    <w:p w14:paraId="239F6A33" w14:textId="77777777" w:rsidR="000E055E" w:rsidRPr="000E055E" w:rsidRDefault="000E055E" w:rsidP="00E0161E">
      <w:pPr>
        <w:pStyle w:val="VRGFNumberedlist"/>
      </w:pPr>
      <w:r w:rsidRPr="000E055E">
        <w:t>Treatment or support seeking individuals affected by someone else’s gambling.</w:t>
      </w:r>
    </w:p>
    <w:p w14:paraId="35B9DCDA" w14:textId="77777777" w:rsidR="000E055E" w:rsidRPr="000E055E" w:rsidRDefault="000E055E" w:rsidP="00E0161E">
      <w:pPr>
        <w:pStyle w:val="VRGFNumberedlist"/>
      </w:pPr>
      <w:r w:rsidRPr="000E055E">
        <w:t xml:space="preserve">Treatment seeking individuals </w:t>
      </w:r>
      <w:r w:rsidRPr="000E055E">
        <w:rPr>
          <w:bCs/>
          <w:lang w:val="en"/>
        </w:rPr>
        <w:t>of Māori ethnicity who were experiencing harms from their gambling.</w:t>
      </w:r>
    </w:p>
    <w:p w14:paraId="365A651F" w14:textId="77777777" w:rsidR="000E055E" w:rsidRPr="000E055E" w:rsidRDefault="000E055E" w:rsidP="00E0161E">
      <w:pPr>
        <w:pStyle w:val="VRGFNumberedlist"/>
      </w:pPr>
      <w:r w:rsidRPr="000E055E">
        <w:rPr>
          <w:bCs/>
        </w:rPr>
        <w:t xml:space="preserve">Individuals </w:t>
      </w:r>
      <w:r w:rsidRPr="000E055E">
        <w:rPr>
          <w:bCs/>
          <w:lang w:val="en"/>
        </w:rPr>
        <w:t>of Māori ethnicity experiencing gambling harms and Māori professionals with experience on gambling harms.</w:t>
      </w:r>
    </w:p>
    <w:p w14:paraId="44E62C81" w14:textId="77777777" w:rsidR="000E055E" w:rsidRPr="000E055E" w:rsidRDefault="000E055E" w:rsidP="00E0161E">
      <w:pPr>
        <w:pStyle w:val="VRGFNumberedlist"/>
      </w:pPr>
      <w:r w:rsidRPr="000E055E">
        <w:rPr>
          <w:bCs/>
          <w:lang w:val="en"/>
        </w:rPr>
        <w:t>Pacific treatment provider professionals.</w:t>
      </w:r>
    </w:p>
    <w:p w14:paraId="4D462D53" w14:textId="77777777" w:rsidR="000E055E" w:rsidRPr="000E055E" w:rsidRDefault="000E055E" w:rsidP="00E0161E">
      <w:pPr>
        <w:pStyle w:val="VRGFNumberedlist"/>
      </w:pPr>
      <w:r w:rsidRPr="000E055E">
        <w:rPr>
          <w:bCs/>
          <w:lang w:val="en"/>
        </w:rPr>
        <w:t>Asian treatment provider professionals.</w:t>
      </w:r>
    </w:p>
    <w:p w14:paraId="7BD63891" w14:textId="77777777" w:rsidR="00E0161E" w:rsidRDefault="00E0161E" w:rsidP="000E055E">
      <w:pPr>
        <w:pStyle w:val="VRGFBodycontent"/>
      </w:pPr>
    </w:p>
    <w:p w14:paraId="1845A88A" w14:textId="77777777" w:rsidR="000E055E" w:rsidRPr="000E055E" w:rsidRDefault="000E055E" w:rsidP="000E055E">
      <w:pPr>
        <w:pStyle w:val="VRGFBodycontent"/>
      </w:pPr>
      <w:r w:rsidRPr="000E055E">
        <w:t>The following channels</w:t>
      </w:r>
      <w:r w:rsidRPr="000E055E">
        <w:rPr>
          <w:vertAlign w:val="superscript"/>
        </w:rPr>
        <w:footnoteReference w:id="8"/>
      </w:r>
      <w:r w:rsidRPr="000E055E">
        <w:t xml:space="preserve"> were used to recruit participants from the general public (groups 1 and 3):</w:t>
      </w:r>
    </w:p>
    <w:p w14:paraId="435F7260" w14:textId="7268A95E" w:rsidR="000E055E" w:rsidRPr="000E055E" w:rsidRDefault="000E055E" w:rsidP="000E055E">
      <w:pPr>
        <w:pStyle w:val="VRGFBodycontent"/>
        <w:numPr>
          <w:ilvl w:val="0"/>
          <w:numId w:val="20"/>
        </w:numPr>
      </w:pPr>
      <w:r w:rsidRPr="000E055E">
        <w:t>Paid advertisements (</w:t>
      </w:r>
      <w:r w:rsidR="00853A51">
        <w:fldChar w:fldCharType="begin"/>
      </w:r>
      <w:r w:rsidR="00853A51">
        <w:instrText xml:space="preserve"> REF _Ref448397877 \h </w:instrText>
      </w:r>
      <w:r w:rsidR="00853A51">
        <w:fldChar w:fldCharType="separate"/>
      </w:r>
      <w:r w:rsidR="0006479A">
        <w:t xml:space="preserve">Appendix </w:t>
      </w:r>
      <w:r w:rsidR="0006479A">
        <w:rPr>
          <w:noProof/>
        </w:rPr>
        <w:t>3</w:t>
      </w:r>
      <w:r w:rsidR="00853A51">
        <w:fldChar w:fldCharType="end"/>
      </w:r>
      <w:r w:rsidRPr="000E055E">
        <w:t>) placed in community newspapers covering all regions in Auckland followed by a second round of advertisement covering South Auckland (an area of higher deprivation) only.</w:t>
      </w:r>
    </w:p>
    <w:p w14:paraId="3FB3A837" w14:textId="77777777" w:rsidR="000E055E" w:rsidRPr="000E055E" w:rsidRDefault="000E055E" w:rsidP="000E055E">
      <w:pPr>
        <w:pStyle w:val="VRGFBodycontent"/>
        <w:numPr>
          <w:ilvl w:val="0"/>
          <w:numId w:val="20"/>
        </w:numPr>
      </w:pPr>
      <w:r w:rsidRPr="000E055E">
        <w:t>Paid advertisements in the “Trade Me” website (http://www.trademe.co.nz/).</w:t>
      </w:r>
    </w:p>
    <w:p w14:paraId="6A490990" w14:textId="77777777" w:rsidR="000E055E" w:rsidRPr="000E055E" w:rsidRDefault="000E055E" w:rsidP="000E055E">
      <w:pPr>
        <w:pStyle w:val="VRGFBodycontent"/>
        <w:numPr>
          <w:ilvl w:val="0"/>
          <w:numId w:val="20"/>
        </w:numPr>
      </w:pPr>
      <w:r w:rsidRPr="000E055E">
        <w:t xml:space="preserve">Online advertisements placed in the Gambling and Addictions Research Centre and AUT School of Public Health websites. </w:t>
      </w:r>
    </w:p>
    <w:p w14:paraId="0F00D360" w14:textId="40F73065" w:rsidR="000E055E" w:rsidRPr="000E055E" w:rsidRDefault="000E055E" w:rsidP="000E055E">
      <w:pPr>
        <w:pStyle w:val="VRGFBodycontent"/>
        <w:numPr>
          <w:ilvl w:val="0"/>
          <w:numId w:val="20"/>
        </w:numPr>
      </w:pPr>
      <w:r w:rsidRPr="000E055E">
        <w:t>A4-sized posters (</w:t>
      </w:r>
      <w:r w:rsidR="00853A51">
        <w:fldChar w:fldCharType="begin"/>
      </w:r>
      <w:r w:rsidR="00853A51">
        <w:instrText xml:space="preserve"> REF _Ref448397891 \h </w:instrText>
      </w:r>
      <w:r w:rsidR="00853A51">
        <w:fldChar w:fldCharType="separate"/>
      </w:r>
      <w:r w:rsidR="0006479A">
        <w:t xml:space="preserve">Appendix </w:t>
      </w:r>
      <w:r w:rsidR="0006479A">
        <w:rPr>
          <w:noProof/>
        </w:rPr>
        <w:t>4</w:t>
      </w:r>
      <w:r w:rsidR="00853A51">
        <w:fldChar w:fldCharType="end"/>
      </w:r>
      <w:r w:rsidRPr="000E055E">
        <w:t xml:space="preserve">) placed on community notice boards in public places such as libraries, community houses/centres, family service centres, community law centres and Citizens Advice Bureau offices in different suburbs in South Auckland and the North Shore (an area of lower deprivation). The posters were sent to specific individuals following phone conversations explaining the study purpose and their agreement to put up the posters at their centres. The posters were also placed on notice boards in AUT campuses. </w:t>
      </w:r>
    </w:p>
    <w:p w14:paraId="2DB9B93B" w14:textId="674799F1" w:rsidR="000E055E" w:rsidRPr="000E055E" w:rsidRDefault="000E055E" w:rsidP="000E055E">
      <w:pPr>
        <w:pStyle w:val="VRGFBodycontent"/>
        <w:numPr>
          <w:ilvl w:val="0"/>
          <w:numId w:val="20"/>
        </w:numPr>
      </w:pPr>
      <w:r w:rsidRPr="000E055E">
        <w:t>A brief notice using two supermarket chains’ customer cards (</w:t>
      </w:r>
      <w:r w:rsidR="00853A51">
        <w:fldChar w:fldCharType="begin"/>
      </w:r>
      <w:r w:rsidR="00853A51">
        <w:instrText xml:space="preserve"> REF _Ref448397906 \h </w:instrText>
      </w:r>
      <w:r w:rsidR="00853A51">
        <w:fldChar w:fldCharType="separate"/>
      </w:r>
      <w:r w:rsidR="0006479A">
        <w:t xml:space="preserve">Appendix </w:t>
      </w:r>
      <w:r w:rsidR="0006479A">
        <w:rPr>
          <w:noProof/>
        </w:rPr>
        <w:t>5</w:t>
      </w:r>
      <w:r w:rsidR="00853A51">
        <w:fldChar w:fldCharType="end"/>
      </w:r>
      <w:r w:rsidRPr="000E055E">
        <w:t xml:space="preserve">) was placed in several supermarkets in the southern and northern suburbs of Auckland. </w:t>
      </w:r>
    </w:p>
    <w:p w14:paraId="4903DE7B" w14:textId="77777777" w:rsidR="000E055E" w:rsidRPr="000E055E" w:rsidRDefault="000E055E" w:rsidP="000E055E">
      <w:pPr>
        <w:pStyle w:val="VRGFBodycontent"/>
      </w:pPr>
      <w:r w:rsidRPr="000E055E">
        <w:t xml:space="preserve">Interested parties who called the researcher were given an overview of the study and its objectives. Some people declined to participate at this point. </w:t>
      </w:r>
    </w:p>
    <w:p w14:paraId="347AEA8D" w14:textId="77777777" w:rsidR="000E055E" w:rsidRPr="000E055E" w:rsidRDefault="000E055E" w:rsidP="000E055E">
      <w:pPr>
        <w:pStyle w:val="VRGFBodycontent"/>
      </w:pPr>
      <w:r w:rsidRPr="000E055E">
        <w:t xml:space="preserve">Participants for groups 2, 4 and 5 were recruited through communication with treatment service providers located in Auckland. Following contact with managers, the help of counsellors was sought to recruit clients willing to participate in the study. Group 5 comprised Māori participants and was led by a Māori facilitator following kaupapa Māori protocols. </w:t>
      </w:r>
    </w:p>
    <w:p w14:paraId="6A850334" w14:textId="560C56D9" w:rsidR="000E055E" w:rsidRPr="000E055E" w:rsidRDefault="000E055E" w:rsidP="000E055E">
      <w:pPr>
        <w:pStyle w:val="VRGFBodycontent"/>
      </w:pPr>
      <w:r w:rsidRPr="000E055E">
        <w:t>A special poster was designed for Group 6 recruitment (</w:t>
      </w:r>
      <w:r w:rsidR="00853A51">
        <w:fldChar w:fldCharType="begin"/>
      </w:r>
      <w:r w:rsidR="00853A51">
        <w:instrText xml:space="preserve"> REF _Ref448397917 \h </w:instrText>
      </w:r>
      <w:r w:rsidR="00853A51">
        <w:fldChar w:fldCharType="separate"/>
      </w:r>
      <w:r w:rsidR="0006479A">
        <w:t xml:space="preserve">Appendix </w:t>
      </w:r>
      <w:r w:rsidR="0006479A">
        <w:rPr>
          <w:noProof/>
        </w:rPr>
        <w:t>6</w:t>
      </w:r>
      <w:r w:rsidR="00853A51">
        <w:fldChar w:fldCharType="end"/>
      </w:r>
      <w:r w:rsidRPr="000E055E">
        <w:t xml:space="preserve">), which was a Māori-only focus group, facilitated by a Kaupapa Māori researcher. The facilitator placed the A4-sized posters in </w:t>
      </w:r>
      <w:r w:rsidRPr="000E055E">
        <w:lastRenderedPageBreak/>
        <w:t xml:space="preserve">centres that were likely to be frequented by Māori as well as centres for the general public. Participants for this group were also recruited through the facilitator’s personal network. </w:t>
      </w:r>
    </w:p>
    <w:p w14:paraId="0BD8D5E2" w14:textId="77777777" w:rsidR="000E055E" w:rsidRPr="000E055E" w:rsidRDefault="000E055E" w:rsidP="000E055E">
      <w:pPr>
        <w:pStyle w:val="VRGFBodycontent"/>
      </w:pPr>
      <w:r w:rsidRPr="000E055E">
        <w:t xml:space="preserve">For groups 7 and 8, treatment provider professionals from two ethnic-dedicated services (Asian and Pacific) were recruited via their respective team leaders. Professionals (rather than clients) were recruited due to language and cultural barriers experienced by individuals seeking treatment from these services. This did not preclude English speaking Pacific and Asian individuals from participating in the other focus groups described above. Treatment providers were identified to be particularly valuable participants as they draw on experience of working with clients. As reflective practitioners, of similar ethnicity to their clients, they are often keenly aware of patterns of harm experiences that they are able to convey. The focus group with Asian professionals was facilitated by a Chinese researcher but was conducted fully in English. The focus group with Pacific professionals was also conducted in English, although respondents often used terms from the Pacific languages to describe particular aspects. </w:t>
      </w:r>
    </w:p>
    <w:p w14:paraId="1891F979" w14:textId="77777777" w:rsidR="000E055E" w:rsidRPr="000E055E" w:rsidRDefault="000E055E" w:rsidP="000E055E">
      <w:pPr>
        <w:pStyle w:val="VRGFBodycontent"/>
      </w:pPr>
      <w:r w:rsidRPr="000E055E">
        <w:t xml:space="preserve">All focus groups interviews were carried out between 19 March and 30 March 2015. To enable maximum participation, individuals who were not able to attend the focus groups were invited to participate in an individual interview at a date and time that was convenient for them. Six additional interviews were conducted between 20 and 30 April 2015 with six affected others and one person who gambles; five were individual interviews and one was an interview with two people. </w:t>
      </w:r>
    </w:p>
    <w:p w14:paraId="331C5D8A" w14:textId="77777777" w:rsidR="000E055E" w:rsidRPr="000E055E" w:rsidRDefault="000E055E" w:rsidP="000E055E">
      <w:pPr>
        <w:pStyle w:val="VRGFBodycontent"/>
      </w:pPr>
      <w:r w:rsidRPr="000E055E">
        <w:t xml:space="preserve">All participants were given a Participant Information Sheet during the recruitment phase and signed consent forms prior to their participation. Each participant was given a $40 petrol voucher as compensation for their time and sharing of experiences. </w:t>
      </w:r>
    </w:p>
    <w:p w14:paraId="623D5504" w14:textId="49C16DEE" w:rsidR="000E055E" w:rsidRDefault="000E055E" w:rsidP="000E055E">
      <w:pPr>
        <w:pStyle w:val="VRGFBodycontent"/>
      </w:pPr>
      <w:r w:rsidRPr="000E055E">
        <w:t xml:space="preserve">The overall sample for Stage 2 (focus groups and individual interviews) included fifty-one participants, which was higher than the recommended guidelines for this type of enquiry </w:t>
      </w:r>
      <w:r w:rsidRPr="000E055E">
        <w:fldChar w:fldCharType="begin"/>
      </w:r>
      <w:r w:rsidRPr="000E055E">
        <w:instrText xml:space="preserve"> ADDIN EN.CITE &lt;EndNote&gt;&lt;Cite&gt;&lt;Author&gt;Creswell&lt;/Author&gt;&lt;Year&gt;2007&lt;/Year&gt;&lt;RecNum&gt;2643&lt;/RecNum&gt;&lt;DisplayText&gt;(Creswell, 2007; Morse, 1994)&lt;/DisplayText&gt;&lt;record&gt;&lt;rec-number&gt;2643&lt;/rec-number&gt;&lt;foreign-keys&gt;&lt;key app="EN" db-id="vwx5w2at95wrp1e9p9wxzez0eeaadew0p225" timestamp="1452391347"&gt;2643&lt;/key&gt;&lt;/foreign-keys&gt;&lt;ref-type name="Journal Article"&gt;17&lt;/ref-type&gt;&lt;contributors&gt;&lt;authors&gt;&lt;author&gt;Creswell, John W&lt;/author&gt;&lt;/authors&gt;&lt;/contributors&gt;&lt;titles&gt;&lt;title&gt;Qualitative enquiry and research design: Choosing among five approaches&lt;/title&gt;&lt;/titles&gt;&lt;dates&gt;&lt;year&gt;2007&lt;/year&gt;&lt;/dates&gt;&lt;urls&gt;&lt;/urls&gt;&lt;/record&gt;&lt;/Cite&gt;&lt;Cite&gt;&lt;Author&gt;Morse&lt;/Author&gt;&lt;Year&gt;1994&lt;/Year&gt;&lt;RecNum&gt;2644&lt;/RecNum&gt;&lt;record&gt;&lt;rec-number&gt;2644&lt;/rec-number&gt;&lt;foreign-keys&gt;&lt;key app="EN" db-id="vwx5w2at95wrp1e9p9wxzez0eeaadew0p225" timestamp="1452391462"&gt;2644&lt;/key&gt;&lt;/foreign-keys&gt;&lt;ref-type name="Book Section"&gt;5&lt;/ref-type&gt;&lt;contributors&gt;&lt;authors&gt;&lt;author&gt;Morse, Janice M&lt;/author&gt;&lt;/authors&gt;&lt;secondary-authors&gt;&lt;author&gt;Denzin, N.&lt;/author&gt;&lt;author&gt;Lincoln, Y.&lt;/author&gt;&lt;/secondary-authors&gt;&lt;/contributors&gt;&lt;titles&gt;&lt;title&gt;Designing funded qualitative research&lt;/title&gt;&lt;secondary-title&gt;Handbook of qualitative researcch&lt;/secondary-title&gt;&lt;/titles&gt;&lt;edition&gt;Second&lt;/edition&gt;&lt;dates&gt;&lt;year&gt;1994&lt;/year&gt;&lt;/dates&gt;&lt;pub-location&gt;Thousand Oaks,&lt;/pub-location&gt;&lt;publisher&gt;Sage&lt;/publisher&gt;&lt;isbn&gt;0803946791&lt;/isbn&gt;&lt;urls&gt;&lt;/urls&gt;&lt;/record&gt;&lt;/Cite&gt;&lt;/EndNote&gt;</w:instrText>
      </w:r>
      <w:r w:rsidRPr="000E055E">
        <w:fldChar w:fldCharType="separate"/>
      </w:r>
      <w:r w:rsidRPr="000E055E">
        <w:t>(</w:t>
      </w:r>
      <w:r w:rsidRPr="00E0161E">
        <w:t>Creswell, 2007</w:t>
      </w:r>
      <w:r w:rsidRPr="000E055E">
        <w:t xml:space="preserve">; </w:t>
      </w:r>
      <w:r w:rsidRPr="00E0161E">
        <w:t>Morse, 1994</w:t>
      </w:r>
      <w:r w:rsidRPr="000E055E">
        <w:t>)</w:t>
      </w:r>
      <w:r w:rsidRPr="000E055E">
        <w:fldChar w:fldCharType="end"/>
      </w:r>
      <w:r w:rsidRPr="000E055E">
        <w:t>. More specifically, the total sample consisted of 21 people who gamble, 14 affected others, 15 staff of problem gambling treatment services, and one individual from a health and social service. The sample comprised 18 individuals who were Māori, 11 Pacific people, eight Asian people, 13 Europeans and one of other ethnicity</w:t>
      </w:r>
      <w:r w:rsidRPr="000E055E">
        <w:rPr>
          <w:vertAlign w:val="superscript"/>
        </w:rPr>
        <w:footnoteReference w:id="9"/>
      </w:r>
      <w:r w:rsidRPr="000E055E">
        <w:t xml:space="preserve">. </w:t>
      </w:r>
      <w:r w:rsidR="00784F6E">
        <w:t>The breakdown for gender included 25 females and 26 males.</w:t>
      </w:r>
    </w:p>
    <w:p w14:paraId="5A8F2E32" w14:textId="77777777" w:rsidR="00853A51" w:rsidRDefault="00853A51" w:rsidP="000E055E">
      <w:pPr>
        <w:pStyle w:val="VRGFBodycontent"/>
      </w:pPr>
    </w:p>
    <w:p w14:paraId="6DBBDB38" w14:textId="662F88F0" w:rsidR="000E055E" w:rsidRPr="000E055E" w:rsidRDefault="000E055E" w:rsidP="00E0161E">
      <w:pPr>
        <w:pStyle w:val="VRGFHead3"/>
      </w:pPr>
      <w:bookmarkStart w:id="163" w:name="_Toc462738018"/>
      <w:r w:rsidRPr="000E055E">
        <w:t>Analysis</w:t>
      </w:r>
      <w:bookmarkEnd w:id="163"/>
    </w:p>
    <w:p w14:paraId="5AD5E5AF" w14:textId="77777777" w:rsidR="000E055E" w:rsidRDefault="000E055E" w:rsidP="000E055E">
      <w:pPr>
        <w:pStyle w:val="VRGFBodycontent"/>
      </w:pPr>
      <w:r w:rsidRPr="000E055E">
        <w:t xml:space="preserve">All focus group and individual interviews were digitally recorded and transcribed. The transcripts were checked for accuracy and completion by researchers at both CQUniversity and the Gambling and Addictions Research Centre, with particular attention paid to parts of the discussion where there had been over-talking, unclear words, or words in languages other than English. Analysis of the data began with critical reflection of the experience of the focus group and any notes made during the session. Analytic memos were created to capture these reflections. </w:t>
      </w:r>
    </w:p>
    <w:p w14:paraId="333FC4C8" w14:textId="77777777" w:rsidR="00444AFE" w:rsidRPr="000E055E" w:rsidRDefault="00444AFE" w:rsidP="000E055E">
      <w:pPr>
        <w:pStyle w:val="VRGFBodycontent"/>
      </w:pPr>
    </w:p>
    <w:p w14:paraId="5AD94B9B" w14:textId="441DBF5B" w:rsidR="000E055E" w:rsidRPr="000E055E" w:rsidRDefault="000E055E" w:rsidP="00E0161E">
      <w:pPr>
        <w:pStyle w:val="VRGFHead4"/>
      </w:pPr>
      <w:r w:rsidRPr="000E055E">
        <w:t xml:space="preserve">First cycle coding </w:t>
      </w:r>
    </w:p>
    <w:p w14:paraId="5D365BC3" w14:textId="553544FC" w:rsidR="000E055E" w:rsidRPr="000E055E" w:rsidRDefault="000E055E" w:rsidP="000E055E">
      <w:pPr>
        <w:pStyle w:val="VRGFBodycontent"/>
      </w:pPr>
      <w:r w:rsidRPr="000E055E">
        <w:t xml:space="preserve">First cycle coding using a combination of coding methods was undertaken to ensure all objectives of this phase were achieved. Attribute coding </w:t>
      </w:r>
      <w:r w:rsidRPr="000E055E">
        <w:fldChar w:fldCharType="begin"/>
      </w:r>
      <w:r w:rsidRPr="000E055E">
        <w:instrText xml:space="preserve"> ADDIN EN.CITE &lt;EndNote&gt;&lt;Cite&gt;&lt;Author&gt;Saldaña&lt;/Author&gt;&lt;Year&gt;2012&lt;/Year&gt;&lt;RecNum&gt;2153&lt;/RecNum&gt;&lt;DisplayText&gt;(Saldaña, 2012)&lt;/DisplayText&gt;&lt;record&gt;&lt;rec-number&gt;2153&lt;/rec-number&gt;&lt;foreign-keys&gt;&lt;key app="EN" db-id="vwx5w2at95wrp1e9p9wxzez0eeaadew0p225" timestamp="1434600731"&gt;2153&lt;/key&gt;&lt;/foreign-keys&gt;&lt;ref-type name="Book"&gt;6&lt;/ref-type&gt;&lt;contributors&gt;&lt;authors&gt;&lt;author&gt;Saldaña, Johnny&lt;/author&gt;&lt;/authors&gt;&lt;/contributors&gt;&lt;titles&gt;&lt;title&gt;The coding manual for qualitative researchers&lt;/title&gt;&lt;/titles&gt;&lt;number&gt;14&lt;/number&gt;&lt;dates&gt;&lt;year&gt;2012&lt;/year&gt;&lt;/dates&gt;&lt;publisher&gt;Sage&lt;/publisher&gt;&lt;isbn&gt;1446247376&lt;/isbn&gt;&lt;urls&gt;&lt;/urls&gt;&lt;/record&gt;&lt;/Cite&gt;&lt;/EndNote&gt;</w:instrText>
      </w:r>
      <w:r w:rsidRPr="000E055E">
        <w:fldChar w:fldCharType="separate"/>
      </w:r>
      <w:r w:rsidRPr="000E055E">
        <w:t>(</w:t>
      </w:r>
      <w:r w:rsidRPr="00E0161E">
        <w:t>Saldaña, 2012</w:t>
      </w:r>
      <w:r w:rsidRPr="000E055E">
        <w:t>)</w:t>
      </w:r>
      <w:r w:rsidRPr="000E055E">
        <w:fldChar w:fldCharType="end"/>
      </w:r>
      <w:r w:rsidRPr="000E055E">
        <w:t xml:space="preserve"> was used to capture characteristics of relevance of the participants. Characteristics of interest included whether a participant identified as a person who gambled, an affected other, or in a professional role. Further characteristics of interest were participant’s cultural identity to allow a comparison of the experience of culture between the four major cultural groups within the analysis. While professional participants were identified by their current role, their cultural perspectives were presented as reflecting a cultural identity. </w:t>
      </w:r>
    </w:p>
    <w:p w14:paraId="096B3B9C" w14:textId="03B1DBAE" w:rsidR="000E055E" w:rsidRPr="000E055E" w:rsidRDefault="000E055E" w:rsidP="000E055E">
      <w:pPr>
        <w:pStyle w:val="VRGFBodycontent"/>
      </w:pPr>
      <w:r w:rsidRPr="000E055E">
        <w:t xml:space="preserve">Consistent with the sensitising concept that harm occurs across three levels, to the person who gambles, affected others and the community (Browne et al., 2016) structural coding </w:t>
      </w:r>
      <w:r w:rsidRPr="000E055E">
        <w:fldChar w:fldCharType="begin"/>
      </w:r>
      <w:r w:rsidRPr="000E055E">
        <w:instrText xml:space="preserve"> ADDIN EN.CITE &lt;EndNote&gt;&lt;Cite&gt;&lt;Author&gt;Saldaña&lt;/Author&gt;&lt;Year&gt;2012&lt;/Year&gt;&lt;RecNum&gt;2153&lt;/RecNum&gt;&lt;DisplayText&gt;(Saldaña, 2012)&lt;/DisplayText&gt;&lt;record&gt;&lt;rec-number&gt;2153&lt;/rec-number&gt;&lt;foreign-keys&gt;&lt;key app="EN" db-id="vwx5w2at95wrp1e9p9wxzez0eeaadew0p225" timestamp="1434600731"&gt;2153&lt;/key&gt;&lt;/foreign-keys&gt;&lt;ref-type name="Book"&gt;6&lt;/ref-type&gt;&lt;contributors&gt;&lt;authors&gt;&lt;author&gt;Saldaña, Johnny&lt;/author&gt;&lt;/authors&gt;&lt;/contributors&gt;&lt;titles&gt;&lt;title&gt;The coding manual for qualitative researchers&lt;/title&gt;&lt;/titles&gt;&lt;number&gt;14&lt;/number&gt;&lt;dates&gt;&lt;year&gt;2012&lt;/year&gt;&lt;/dates&gt;&lt;publisher&gt;Sage&lt;/publisher&gt;&lt;isbn&gt;1446247376&lt;/isbn&gt;&lt;urls&gt;&lt;/urls&gt;&lt;/record&gt;&lt;/Cite&gt;&lt;/EndNote&gt;</w:instrText>
      </w:r>
      <w:r w:rsidRPr="000E055E">
        <w:fldChar w:fldCharType="separate"/>
      </w:r>
      <w:r w:rsidRPr="000E055E">
        <w:t>(</w:t>
      </w:r>
      <w:r w:rsidRPr="00E0161E">
        <w:t>Saldaña, 2012</w:t>
      </w:r>
      <w:r w:rsidRPr="000E055E">
        <w:t>)</w:t>
      </w:r>
      <w:r w:rsidRPr="000E055E">
        <w:fldChar w:fldCharType="end"/>
      </w:r>
      <w:r w:rsidRPr="000E055E">
        <w:t xml:space="preserve"> was utilised to identify which level a reported harm had occurred at. This facilitated comparison between harm levels, particularly for the person who gambles and affected others. The harm experiences were then coded using descriptive coding </w:t>
      </w:r>
      <w:r w:rsidRPr="000E055E">
        <w:fldChar w:fldCharType="begin"/>
      </w:r>
      <w:r w:rsidRPr="000E055E">
        <w:instrText xml:space="preserve"> ADDIN EN.CITE &lt;EndNote&gt;&lt;Cite&gt;&lt;Author&gt;Saldaña&lt;/Author&gt;&lt;Year&gt;2012&lt;/Year&gt;&lt;RecNum&gt;2153&lt;/RecNum&gt;&lt;DisplayText&gt;(Saldaña, 2012)&lt;/DisplayText&gt;&lt;record&gt;&lt;rec-number&gt;2153&lt;/rec-number&gt;&lt;foreign-keys&gt;&lt;key app="EN" db-id="vwx5w2at95wrp1e9p9wxzez0eeaadew0p225" timestamp="1434600731"&gt;2153&lt;/key&gt;&lt;/foreign-keys&gt;&lt;ref-type name="Book"&gt;6&lt;/ref-type&gt;&lt;contributors&gt;&lt;authors&gt;&lt;author&gt;Saldaña, Johnny&lt;/author&gt;&lt;/authors&gt;&lt;/contributors&gt;&lt;titles&gt;&lt;title&gt;The coding manual for qualitative researchers&lt;/title&gt;&lt;/titles&gt;&lt;number&gt;14&lt;/number&gt;&lt;dates&gt;&lt;year&gt;2012&lt;/year&gt;&lt;/dates&gt;&lt;publisher&gt;Sage&lt;/publisher&gt;&lt;isbn&gt;1446247376&lt;/isbn&gt;&lt;urls&gt;&lt;/urls&gt;&lt;/record&gt;&lt;/Cite&gt;&lt;/EndNote&gt;</w:instrText>
      </w:r>
      <w:r w:rsidRPr="000E055E">
        <w:fldChar w:fldCharType="separate"/>
      </w:r>
      <w:r w:rsidRPr="000E055E">
        <w:t>(</w:t>
      </w:r>
      <w:r w:rsidRPr="00E0161E">
        <w:t>Saldaña, 2012</w:t>
      </w:r>
      <w:r w:rsidRPr="000E055E">
        <w:t>)</w:t>
      </w:r>
      <w:r w:rsidRPr="000E055E">
        <w:fldChar w:fldCharType="end"/>
      </w:r>
      <w:r w:rsidRPr="000E055E">
        <w:t xml:space="preserve"> based on the taxonomy of gambling-related harms utilised in a similar study </w:t>
      </w:r>
      <w:r w:rsidRPr="000E055E">
        <w:fldChar w:fldCharType="begin"/>
      </w:r>
      <w:r w:rsidRPr="000E055E">
        <w:instrText xml:space="preserve"> ADDIN EN.CITE &lt;EndNote&gt;&lt;Cite&gt;&lt;Author&gt;Langham&lt;/Author&gt;&lt;Year&gt;2016&lt;/Year&gt;&lt;RecNum&gt;2653&lt;/RecNum&gt;&lt;DisplayText&gt;(Langham et al., 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0E055E">
        <w:fldChar w:fldCharType="separate"/>
      </w:r>
      <w:r w:rsidRPr="000E055E">
        <w:t>(</w:t>
      </w:r>
      <w:r w:rsidRPr="00E0161E">
        <w:t>Langham et al., 2016</w:t>
      </w:r>
      <w:r w:rsidRPr="000E055E">
        <w:t>)</w:t>
      </w:r>
      <w:r w:rsidRPr="000E055E">
        <w:fldChar w:fldCharType="end"/>
      </w:r>
      <w:r w:rsidRPr="000E055E">
        <w:t xml:space="preserve">. The use of descriptive coding was utilised to expedite analysis and maximise the comparability between levels. This meant that an experience of harm was coded at a general level, for example “biological manifestation of emotional and psychological distress”, rather than an in vivo code of “I got so worried and then my psoriasis would flare up”. In vivo coding </w:t>
      </w:r>
      <w:r w:rsidRPr="000E055E">
        <w:fldChar w:fldCharType="begin"/>
      </w:r>
      <w:r w:rsidRPr="000E055E">
        <w:instrText xml:space="preserve"> ADDIN EN.CITE &lt;EndNote&gt;&lt;Cite&gt;&lt;Author&gt;Saldaña&lt;/Author&gt;&lt;Year&gt;2012&lt;/Year&gt;&lt;RecNum&gt;2153&lt;/RecNum&gt;&lt;DisplayText&gt;(Saldaña, 2012)&lt;/DisplayText&gt;&lt;record&gt;&lt;rec-number&gt;2153&lt;/rec-number&gt;&lt;foreign-keys&gt;&lt;key app="EN" db-id="vwx5w2at95wrp1e9p9wxzez0eeaadew0p225" timestamp="1434600731"&gt;2153&lt;/key&gt;&lt;/foreign-keys&gt;&lt;ref-type name="Book"&gt;6&lt;/ref-type&gt;&lt;contributors&gt;&lt;authors&gt;&lt;author&gt;Saldaña, Johnny&lt;/author&gt;&lt;/authors&gt;&lt;/contributors&gt;&lt;titles&gt;&lt;title&gt;The coding manual for qualitative researchers&lt;/title&gt;&lt;/titles&gt;&lt;number&gt;14&lt;/number&gt;&lt;dates&gt;&lt;year&gt;2012&lt;/year&gt;&lt;/dates&gt;&lt;publisher&gt;Sage&lt;/publisher&gt;&lt;isbn&gt;1446247376&lt;/isbn&gt;&lt;urls&gt;&lt;/urls&gt;&lt;/record&gt;&lt;/Cite&gt;&lt;/EndNote&gt;</w:instrText>
      </w:r>
      <w:r w:rsidRPr="000E055E">
        <w:fldChar w:fldCharType="separate"/>
      </w:r>
      <w:r w:rsidRPr="000E055E">
        <w:t>(</w:t>
      </w:r>
      <w:r w:rsidRPr="00E0161E">
        <w:t>Saldaña, 2012</w:t>
      </w:r>
      <w:r w:rsidRPr="000E055E">
        <w:t>)</w:t>
      </w:r>
      <w:r w:rsidRPr="000E055E">
        <w:fldChar w:fldCharType="end"/>
      </w:r>
      <w:r w:rsidRPr="000E055E">
        <w:t xml:space="preserve"> was used to capture any harm experiences that did not initially map to an existing general description, perceptions and conceptualisations of harm, and any other data of relevance to the project’s aims or objectives. Finally causation coding </w:t>
      </w:r>
      <w:r w:rsidRPr="000E055E">
        <w:fldChar w:fldCharType="begin"/>
      </w:r>
      <w:r w:rsidRPr="000E055E">
        <w:instrText xml:space="preserve"> ADDIN EN.CITE &lt;EndNote&gt;&lt;Cite&gt;&lt;Author&gt;Saldaña&lt;/Author&gt;&lt;Year&gt;2012&lt;/Year&gt;&lt;RecNum&gt;2153&lt;/RecNum&gt;&lt;DisplayText&gt;(Saldaña, 2012)&lt;/DisplayText&gt;&lt;record&gt;&lt;rec-number&gt;2153&lt;/rec-number&gt;&lt;foreign-keys&gt;&lt;key app="EN" db-id="vwx5w2at95wrp1e9p9wxzez0eeaadew0p225" timestamp="1434600731"&gt;2153&lt;/key&gt;&lt;/foreign-keys&gt;&lt;ref-type name="Book"&gt;6&lt;/ref-type&gt;&lt;contributors&gt;&lt;authors&gt;&lt;author&gt;Saldaña, Johnny&lt;/author&gt;&lt;/authors&gt;&lt;/contributors&gt;&lt;titles&gt;&lt;title&gt;The coding manual for qualitative researchers&lt;/title&gt;&lt;/titles&gt;&lt;number&gt;14&lt;/number&gt;&lt;dates&gt;&lt;year&gt;2012&lt;/year&gt;&lt;/dates&gt;&lt;publisher&gt;Sage&lt;/publisher&gt;&lt;isbn&gt;1446247376&lt;/isbn&gt;&lt;urls&gt;&lt;/urls&gt;&lt;/record&gt;&lt;/Cite&gt;&lt;/EndNote&gt;</w:instrText>
      </w:r>
      <w:r w:rsidRPr="000E055E">
        <w:fldChar w:fldCharType="separate"/>
      </w:r>
      <w:r w:rsidRPr="000E055E">
        <w:t>(</w:t>
      </w:r>
      <w:r w:rsidRPr="00E0161E">
        <w:t>Saldaña, 2012</w:t>
      </w:r>
      <w:r w:rsidRPr="000E055E">
        <w:t>)</w:t>
      </w:r>
      <w:r w:rsidRPr="000E055E">
        <w:fldChar w:fldCharType="end"/>
      </w:r>
      <w:r w:rsidRPr="000E055E">
        <w:t xml:space="preserve"> was used to identify any reports of sources and mechanisms of harm. </w:t>
      </w:r>
    </w:p>
    <w:p w14:paraId="59455217" w14:textId="77777777" w:rsidR="00E0161E" w:rsidRDefault="00E0161E" w:rsidP="000E055E">
      <w:pPr>
        <w:pStyle w:val="VRGFBodycontent"/>
      </w:pPr>
    </w:p>
    <w:p w14:paraId="71DA7522" w14:textId="47ECFD6F" w:rsidR="000E055E" w:rsidRPr="000E055E" w:rsidRDefault="000E055E" w:rsidP="00E0161E">
      <w:pPr>
        <w:pStyle w:val="VRGFHead4"/>
      </w:pPr>
      <w:r w:rsidRPr="000E055E">
        <w:t>Second cycle coding</w:t>
      </w:r>
    </w:p>
    <w:p w14:paraId="64CC92A9" w14:textId="08D8E4C0" w:rsidR="000E055E" w:rsidRPr="000E055E" w:rsidRDefault="000E055E" w:rsidP="000E055E">
      <w:pPr>
        <w:pStyle w:val="VRGFBodycontent"/>
      </w:pPr>
      <w:r w:rsidRPr="000E055E">
        <w:t xml:space="preserve">No additional codes were generated to describe harm experiences in the New Zealand data, with all experiences being captured by the codes from the existing taxonomy. To ensure that experiences were not being forced into existing codes rather than generating new codes, the experience was considered using a strategy recommended by Saldaña </w:t>
      </w:r>
      <w:r w:rsidRPr="000E055E">
        <w:fldChar w:fldCharType="begin"/>
      </w:r>
      <w:r w:rsidRPr="000E055E">
        <w:instrText xml:space="preserve"> ADDIN EN.CITE &lt;EndNote&gt;&lt;Cite ExcludeAuth="1"&gt;&lt;Author&gt;Saldaña&lt;/Author&gt;&lt;Year&gt;2012&lt;/Year&gt;&lt;RecNum&gt;2153&lt;/RecNum&gt;&lt;DisplayText&gt;(2012)&lt;/DisplayText&gt;&lt;record&gt;&lt;rec-number&gt;2153&lt;/rec-number&gt;&lt;foreign-keys&gt;&lt;key app="EN" db-id="vwx5w2at95wrp1e9p9wxzez0eeaadew0p225" timestamp="1434600731"&gt;2153&lt;/key&gt;&lt;/foreign-keys&gt;&lt;ref-type name="Book"&gt;6&lt;/ref-type&gt;&lt;contributors&gt;&lt;authors&gt;&lt;author&gt;Saldaña, Johnny&lt;/author&gt;&lt;/authors&gt;&lt;/contributors&gt;&lt;titles&gt;&lt;title&gt;The coding manual for qualitative researchers&lt;/title&gt;&lt;/titles&gt;&lt;number&gt;14&lt;/number&gt;&lt;dates&gt;&lt;year&gt;2012&lt;/year&gt;&lt;/dates&gt;&lt;publisher&gt;Sage&lt;/publisher&gt;&lt;isbn&gt;1446247376&lt;/isbn&gt;&lt;urls&gt;&lt;/urls&gt;&lt;/record&gt;&lt;/Cite&gt;&lt;/EndNote&gt;</w:instrText>
      </w:r>
      <w:r w:rsidRPr="000E055E">
        <w:fldChar w:fldCharType="separate"/>
      </w:r>
      <w:r w:rsidRPr="000E055E">
        <w:t>(</w:t>
      </w:r>
      <w:r w:rsidRPr="00E0161E">
        <w:t>2012</w:t>
      </w:r>
      <w:r w:rsidRPr="000E055E">
        <w:t>)</w:t>
      </w:r>
      <w:r w:rsidRPr="000E055E">
        <w:fldChar w:fldCharType="end"/>
      </w:r>
      <w:r w:rsidRPr="000E055E">
        <w:t xml:space="preserve"> to keep the researcher grounded in the data. This strategy involved adding the words “is” and then “means” to each experience. For example, for an experience described in the data as “I discovered that she had taken my Mum’s credit card” is considered as “taking someone’s credit card IS a crime of opportunity”. </w:t>
      </w:r>
    </w:p>
    <w:p w14:paraId="17233A3C" w14:textId="77777777" w:rsidR="000E055E" w:rsidRPr="000E055E" w:rsidRDefault="000E055E" w:rsidP="000E055E">
      <w:pPr>
        <w:pStyle w:val="VRGFBodycontent"/>
      </w:pPr>
      <w:r w:rsidRPr="000E055E">
        <w:t xml:space="preserve">Axial and longitudinal coding were used to compare the experiences in terms of temporal differentiations to the conceptual framework. Axial coding was also used to examine the differences in experiences based on culture. </w:t>
      </w:r>
    </w:p>
    <w:p w14:paraId="03CC5B17" w14:textId="77777777" w:rsidR="00E0161E" w:rsidRDefault="00E0161E" w:rsidP="000E055E">
      <w:pPr>
        <w:pStyle w:val="VRGFBodycontent"/>
      </w:pPr>
    </w:p>
    <w:p w14:paraId="3D7DC54C" w14:textId="73886563" w:rsidR="000E055E" w:rsidRPr="000E055E" w:rsidRDefault="000E055E" w:rsidP="00E0161E">
      <w:pPr>
        <w:pStyle w:val="VRGFHead4"/>
      </w:pPr>
      <w:r w:rsidRPr="000E055E">
        <w:t>Data saturation</w:t>
      </w:r>
    </w:p>
    <w:p w14:paraId="1D06C29D" w14:textId="4FBFF079" w:rsidR="000E055E" w:rsidRPr="000E055E" w:rsidRDefault="000E055E" w:rsidP="000E055E">
      <w:pPr>
        <w:pStyle w:val="VRGFBodycontent"/>
      </w:pPr>
      <w:r w:rsidRPr="000E055E">
        <w:t xml:space="preserve">Whilst data saturation is a contested concept in qualitative research </w:t>
      </w:r>
      <w:r w:rsidRPr="000E055E">
        <w:fldChar w:fldCharType="begin">
          <w:fldData xml:space="preserve">PEVuZE5vdGU+PENpdGU+PEF1dGhvcj5Cb3dlbjwvQXV0aG9yPjxZZWFyPjIwMDg8L1llYXI+PFJl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</w:fldData>
        </w:fldChar>
      </w:r>
      <w:r w:rsidRPr="000E055E">
        <w:instrText xml:space="preserve"> ADDIN EN.CITE </w:instrText>
      </w:r>
      <w:r w:rsidRPr="000E055E">
        <w:fldChar w:fldCharType="begin">
          <w:fldData xml:space="preserve">PEVuZE5vdGU+PENpdGU+PEF1dGhvcj5Cb3dlbjwvQXV0aG9yPjxZZWFyPjIwMDg8L1llYXI+PFJl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</w:fldData>
        </w:fldChar>
      </w:r>
      <w:r w:rsidRPr="000E055E">
        <w:instrText xml:space="preserve"> ADDIN EN.CITE.DATA </w:instrText>
      </w:r>
      <w:r w:rsidRPr="000E055E">
        <w:fldChar w:fldCharType="end"/>
      </w:r>
      <w:r w:rsidRPr="000E055E">
        <w:fldChar w:fldCharType="separate"/>
      </w:r>
      <w:r w:rsidRPr="000E055E">
        <w:t>(</w:t>
      </w:r>
      <w:r w:rsidRPr="00E0161E">
        <w:t>Bowen, 2008</w:t>
      </w:r>
      <w:r w:rsidRPr="000E055E">
        <w:t xml:space="preserve">b; </w:t>
      </w:r>
      <w:r w:rsidRPr="00E0161E">
        <w:t>Charmaz, 2006</w:t>
      </w:r>
      <w:r w:rsidRPr="000E055E">
        <w:t xml:space="preserve">; </w:t>
      </w:r>
      <w:r w:rsidRPr="00E0161E">
        <w:t>Dey, 1999</w:t>
      </w:r>
      <w:r w:rsidRPr="000E055E">
        <w:t xml:space="preserve">; </w:t>
      </w:r>
      <w:r w:rsidRPr="00E0161E">
        <w:t>Morse, 1995</w:t>
      </w:r>
      <w:r w:rsidRPr="000E055E">
        <w:t>)</w:t>
      </w:r>
      <w:r w:rsidRPr="000E055E">
        <w:fldChar w:fldCharType="end"/>
      </w:r>
      <w:r w:rsidRPr="000E055E">
        <w:t xml:space="preserve"> data saturation was defined as having been achieved when no new experiences of harm were identified from the data. This level of saturation met the needs of the present study. Whilst specific examples of experiences for all codes were not found within the data, </w:t>
      </w:r>
      <w:r w:rsidRPr="000E055E">
        <w:lastRenderedPageBreak/>
        <w:t xml:space="preserve">this was beyond the objective of this phase. The full set of codes (developed earlier) were still included in the taxonomy for testing in the population survey. </w:t>
      </w:r>
    </w:p>
    <w:p w14:paraId="117944C0" w14:textId="77777777" w:rsidR="00E0161E" w:rsidRDefault="00E0161E" w:rsidP="000E055E">
      <w:pPr>
        <w:pStyle w:val="VRGFBodycontent"/>
      </w:pPr>
    </w:p>
    <w:p w14:paraId="2764B7E2" w14:textId="20ED2C7E" w:rsidR="000E055E" w:rsidRPr="000E055E" w:rsidRDefault="000E055E" w:rsidP="00E0161E">
      <w:pPr>
        <w:pStyle w:val="VRGFHead2"/>
      </w:pPr>
      <w:bookmarkStart w:id="164" w:name="_Toc462738019"/>
      <w:r w:rsidRPr="000E055E">
        <w:t>Findings specific to the objectives for this phase:</w:t>
      </w:r>
      <w:bookmarkEnd w:id="164"/>
    </w:p>
    <w:p w14:paraId="5DEF3171" w14:textId="77777777" w:rsidR="000E055E" w:rsidRPr="000E055E" w:rsidRDefault="000E055E" w:rsidP="000E055E">
      <w:pPr>
        <w:pStyle w:val="VRGFBodycontent"/>
      </w:pPr>
      <w:r w:rsidRPr="000E055E">
        <w:t xml:space="preserve">Findings for this phase specific to the objectives cover: </w:t>
      </w:r>
    </w:p>
    <w:p w14:paraId="3C489BCF" w14:textId="77777777" w:rsidR="000E055E" w:rsidRPr="000E055E" w:rsidRDefault="000E055E" w:rsidP="00E0161E">
      <w:pPr>
        <w:pStyle w:val="VRGFBulletedlist"/>
      </w:pPr>
      <w:r w:rsidRPr="000E055E">
        <w:t>The definition of gambling-related harm.</w:t>
      </w:r>
    </w:p>
    <w:p w14:paraId="488E3348" w14:textId="77777777" w:rsidR="000E055E" w:rsidRPr="000E055E" w:rsidRDefault="000E055E" w:rsidP="00E0161E">
      <w:pPr>
        <w:pStyle w:val="VRGFBulletedlist"/>
      </w:pPr>
      <w:r w:rsidRPr="000E055E">
        <w:t xml:space="preserve">Refinement of the conceptual framework. </w:t>
      </w:r>
    </w:p>
    <w:p w14:paraId="12523E41" w14:textId="77777777" w:rsidR="000E055E" w:rsidRPr="000E055E" w:rsidRDefault="000E055E" w:rsidP="00E0161E">
      <w:pPr>
        <w:pStyle w:val="VRGFBulletedlist"/>
      </w:pPr>
      <w:r w:rsidRPr="000E055E">
        <w:t xml:space="preserve">Building of the preliminary harm checklist (taxonomy). </w:t>
      </w:r>
    </w:p>
    <w:p w14:paraId="782B0912" w14:textId="77777777" w:rsidR="000E055E" w:rsidRPr="000E055E" w:rsidRDefault="000E055E" w:rsidP="00E0161E">
      <w:pPr>
        <w:pStyle w:val="VRGFBulletedlist"/>
      </w:pPr>
      <w:r w:rsidRPr="000E055E">
        <w:t xml:space="preserve">Expansion of the knowledge of actual experienced harms reported in New Zealand. </w:t>
      </w:r>
    </w:p>
    <w:p w14:paraId="2607DFFE" w14:textId="77777777" w:rsidR="000E055E" w:rsidRPr="000E055E" w:rsidRDefault="000E055E" w:rsidP="000E055E">
      <w:pPr>
        <w:pStyle w:val="VRGFBodycontent"/>
      </w:pPr>
      <w:r w:rsidRPr="000E055E">
        <w:t xml:space="preserve">The definition of gambling-related harm is considered first. This is followed by the refinement of the conceptual framework and building of the preliminary harm checklist. Finally a discussion of the experiences of harms reported in New Zealand is provided and grouped consistently with the framework. </w:t>
      </w:r>
    </w:p>
    <w:p w14:paraId="700A5745" w14:textId="77777777" w:rsidR="00E0161E" w:rsidRDefault="00E0161E" w:rsidP="000E055E">
      <w:pPr>
        <w:pStyle w:val="VRGFBodycontent"/>
      </w:pPr>
    </w:p>
    <w:p w14:paraId="1728CED8" w14:textId="6243BC95" w:rsidR="000E055E" w:rsidRPr="000E055E" w:rsidRDefault="000E055E" w:rsidP="00E0161E">
      <w:pPr>
        <w:pStyle w:val="VRGFHead3"/>
      </w:pPr>
      <w:bookmarkStart w:id="165" w:name="_Toc462738020"/>
      <w:r w:rsidRPr="000E055E">
        <w:t>Definition of gambling-related harm</w:t>
      </w:r>
      <w:bookmarkEnd w:id="165"/>
    </w:p>
    <w:p w14:paraId="1393F775" w14:textId="5E5835C1" w:rsidR="000E055E" w:rsidRPr="00BA49F6" w:rsidRDefault="000E055E" w:rsidP="000E055E">
      <w:pPr>
        <w:pStyle w:val="VRGFBodycontent"/>
      </w:pPr>
      <w:r w:rsidRPr="000E055E">
        <w:t xml:space="preserve">The initial objective of this phase was to “refine and expand the definition of gambling-related harm”. As previously highlighted, the sensitising concepts concerning this outcome were the existing New Zealand definition of gambling-related harm </w:t>
      </w:r>
      <w:r w:rsidRPr="000E055E">
        <w:fldChar w:fldCharType="begin"/>
      </w:r>
      <w:r w:rsidRPr="000E055E">
        <w:instrText xml:space="preserve"> ADDIN EN.CITE &lt;EndNote&gt;&lt;Cite&gt;&lt;Author&gt;Department of Internal Affairs&lt;/Author&gt;&lt;Year&gt;2013&lt;/Year&gt;&lt;RecNum&gt;2655&lt;/RecNum&gt;&lt;DisplayText&gt;(Department of Internal Affairs, 2013)&lt;/DisplayText&gt;&lt;record&gt;&lt;rec-number&gt;2655&lt;/rec-number&gt;&lt;foreign-keys&gt;&lt;key app="EN" db-id="vwx5w2at95wrp1e9p9wxzez0eeaadew0p225" timestamp="1452741637"&gt;2655&lt;/key&gt;&lt;/foreign-keys&gt;&lt;ref-type name="Web Page"&gt;12&lt;/ref-type&gt;&lt;contributors&gt;&lt;authors&gt;&lt;author&gt;Department of Internal Affairs,&lt;/author&gt;&lt;/authors&gt;&lt;/contributors&gt;&lt;titles&gt;&lt;title&gt;Gambling fact sheet 7: Problem gambling&lt;/title&gt;&lt;/titles&gt;&lt;volume&gt;2013&lt;/volume&gt;&lt;dates&gt;&lt;year&gt;2013&lt;/year&gt;&lt;/dates&gt;&lt;urls&gt;&lt;related-urls&gt;&lt;url&gt;http://www.dia.govt.nz/diawebsite.nsf/Files/GamblingFactSheets-Feb2013/$file/FactSheet7-Feb2013.pdf&lt;/url&gt;&lt;/related-urls&gt;&lt;/urls&gt;&lt;/record&gt;&lt;/Cite&gt;&lt;/EndNote&gt;</w:instrText>
      </w:r>
      <w:r w:rsidRPr="000E055E">
        <w:fldChar w:fldCharType="separate"/>
      </w:r>
      <w:r w:rsidRPr="000E055E">
        <w:t>(</w:t>
      </w:r>
      <w:r w:rsidRPr="00E0161E">
        <w:t>Department of Internal Affairs, 2013</w:t>
      </w:r>
      <w:r w:rsidRPr="000E055E">
        <w:t>)</w:t>
      </w:r>
      <w:r w:rsidRPr="000E055E">
        <w:fldChar w:fldCharType="end"/>
      </w:r>
      <w:r w:rsidRPr="000E055E">
        <w:t xml:space="preserve"> and a functional definition of gambling-related harm that was proposed to facilitate the development of summary measures of </w:t>
      </w:r>
      <w:r w:rsidRPr="00BA49F6">
        <w:t xml:space="preserve">health for gambling </w:t>
      </w:r>
      <w:r w:rsidRPr="00BA49F6">
        <w:fldChar w:fldCharType="begin"/>
      </w:r>
      <w:r w:rsidRPr="00BA49F6">
        <w:instrText xml:space="preserve"> ADDIN EN.CITE &lt;EndNote&gt;&lt;Cite&gt;&lt;Author&gt;Langham&lt;/Author&gt;&lt;Year&gt;2016&lt;/Year&gt;&lt;RecNum&gt;2653&lt;/RecNum&gt;&lt;DisplayText&gt;(Langham et al., 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BA49F6">
        <w:fldChar w:fldCharType="separate"/>
      </w:r>
      <w:r w:rsidRPr="00BA49F6">
        <w:t>(Langham et al., 2016)</w:t>
      </w:r>
      <w:r w:rsidRPr="00BA49F6">
        <w:fldChar w:fldCharType="end"/>
      </w:r>
      <w:r w:rsidRPr="00BA49F6">
        <w:t xml:space="preserve">. </w:t>
      </w:r>
    </w:p>
    <w:p w14:paraId="2E8905D1" w14:textId="77777777" w:rsidR="000E055E" w:rsidRPr="00BA49F6" w:rsidRDefault="000E055E" w:rsidP="000E055E">
      <w:pPr>
        <w:pStyle w:val="VRGFBodycontent"/>
      </w:pPr>
      <w:r w:rsidRPr="00BA49F6">
        <w:t>Given the specific purpose of the definition for this project, the functional definition proposed by Langham et al. (2016), was considered to see if there was some way it could be refined or expanded. Based on the findings of this phase, specific terminologies were included to form the following broader definition:</w:t>
      </w:r>
    </w:p>
    <w:p w14:paraId="59B0F33F" w14:textId="77777777" w:rsidR="000E055E" w:rsidRPr="00BA49F6" w:rsidRDefault="000E055E" w:rsidP="00E0161E">
      <w:pPr>
        <w:pStyle w:val="Quote"/>
      </w:pPr>
      <w:r w:rsidRPr="00BA49F6">
        <w:t>Any initial or exacerbated adverse consequence due to an engagement with gambling that leads to decrement to the health or wellbeing of an individual, family unit, whānau, community or population.</w:t>
      </w:r>
    </w:p>
    <w:p w14:paraId="7913284B" w14:textId="77777777" w:rsidR="00E0161E" w:rsidRPr="00BA49F6" w:rsidRDefault="00E0161E" w:rsidP="000E055E">
      <w:pPr>
        <w:pStyle w:val="VRGFBodycontent"/>
      </w:pPr>
    </w:p>
    <w:p w14:paraId="7470AD4C" w14:textId="66419C81" w:rsidR="000E055E" w:rsidRPr="000E055E" w:rsidRDefault="000E055E" w:rsidP="00E0161E">
      <w:pPr>
        <w:pStyle w:val="VRGFHead3"/>
      </w:pPr>
      <w:bookmarkStart w:id="166" w:name="_Toc462738021"/>
      <w:r w:rsidRPr="00BA49F6">
        <w:t>Refinement of the conceptual framework and development of a taxonomy of harms</w:t>
      </w:r>
      <w:bookmarkEnd w:id="166"/>
    </w:p>
    <w:p w14:paraId="21B52EA7" w14:textId="25FE0CCD" w:rsidR="000E055E" w:rsidRPr="000E055E" w:rsidRDefault="000E055E" w:rsidP="000E055E">
      <w:pPr>
        <w:pStyle w:val="VRGFBodycontent"/>
      </w:pPr>
      <w:r w:rsidRPr="000E055E">
        <w:t xml:space="preserve">The third and fourth objectives of this phase were to “refine and adjust the theoretical framework as required to reflect local experiences” and “build a preliminary dimensional harm checklist for use in the subsequent phases of the project”. The conceptual framework proposed by Langham et al. (2016) adopted as a sensitising concept for this analysis was validated by the data, both in terms of </w:t>
      </w:r>
      <w:r w:rsidRPr="000E055E">
        <w:lastRenderedPageBreak/>
        <w:t xml:space="preserve">the classifications of harm and the temporal </w:t>
      </w:r>
      <w:r w:rsidRPr="006977C2">
        <w:t xml:space="preserve">differentiations (categories). The taxonomy of harms was adjusted to reflect local experiences in terms of cultural harms and the importance of identifying whānau as a distinct group of affected others. The revised taxonomy of harms is provided in Tables </w:t>
      </w:r>
      <w:r w:rsidR="00E9790C" w:rsidRPr="006977C2">
        <w:t>2</w:t>
      </w:r>
      <w:r w:rsidRPr="006977C2">
        <w:t xml:space="preserve"> to </w:t>
      </w:r>
      <w:r w:rsidR="00E9790C" w:rsidRPr="006977C2">
        <w:t>4</w:t>
      </w:r>
      <w:r w:rsidRPr="006977C2">
        <w:t xml:space="preserve"> at the end of this chapter.</w:t>
      </w:r>
      <w:r w:rsidRPr="000E055E">
        <w:t xml:space="preserve"> </w:t>
      </w:r>
    </w:p>
    <w:p w14:paraId="7E1DE21E" w14:textId="77777777" w:rsidR="00E0161E" w:rsidRDefault="00E0161E" w:rsidP="000E055E">
      <w:pPr>
        <w:pStyle w:val="VRGFBodycontent"/>
      </w:pPr>
    </w:p>
    <w:p w14:paraId="3ECB81D4" w14:textId="6D9ACA7B" w:rsidR="000E055E" w:rsidRPr="000E055E" w:rsidRDefault="000E055E" w:rsidP="00E0161E">
      <w:pPr>
        <w:pStyle w:val="VRGFHead4"/>
      </w:pPr>
      <w:r w:rsidRPr="000E055E">
        <w:t>Temporal differentiations</w:t>
      </w:r>
    </w:p>
    <w:p w14:paraId="20406E98" w14:textId="77777777" w:rsidR="000E055E" w:rsidRPr="000E055E" w:rsidRDefault="000E055E" w:rsidP="000E055E">
      <w:pPr>
        <w:pStyle w:val="VRGFBodycontent"/>
      </w:pPr>
      <w:r w:rsidRPr="000E055E">
        <w:t xml:space="preserve">The temporal differentiations identified in the framework were evident within the data. The data were somewhat dominated by experiences of harms that occurred at a temporal point of significance (crisis) or were a legacy of previous engagement with gambling. This was unsurprising for a few reasons. First, among the total of 77 participants in this phase, close to half were professionals engaged in problem gambling treatment (n=23) or providing related support services (n=9). Furthermore, among 38 individuals who had experienced problems with gambling, almost all were either still undergoing or had previously received treatment. Therefore, the temporal immediacy of the crisis (that led to treatment seeking) became the focus. </w:t>
      </w:r>
    </w:p>
    <w:p w14:paraId="62DF891F" w14:textId="77777777" w:rsidR="000E055E" w:rsidRPr="000E055E" w:rsidRDefault="000E055E" w:rsidP="000E055E">
      <w:pPr>
        <w:pStyle w:val="VRGFBodycontent"/>
      </w:pPr>
      <w:r w:rsidRPr="000E055E">
        <w:t xml:space="preserve">Second, the affected others group (n=14) was dominated by people who had been affected by high problematic levels of gambling. This was again unsurprising as it is less likely that someone who was only mildly affected would be as motivated to participate in the study. </w:t>
      </w:r>
    </w:p>
    <w:p w14:paraId="349C442D" w14:textId="77777777" w:rsidR="000E055E" w:rsidRPr="000E055E" w:rsidRDefault="000E055E" w:rsidP="000E055E">
      <w:pPr>
        <w:pStyle w:val="VRGFBodycontent"/>
      </w:pPr>
      <w:r w:rsidRPr="000E055E">
        <w:t>Third, although participants were able to identify earlier harms when prompted, from their own reflection, the early (general) harms they experienced or observed were often ignored or distorted at the time. This was linked to the speed with which the harm reached a point of significance, meaning for some people there was only a short period of time where the gambling was creating smaller harms. As a treatment provider explained:</w:t>
      </w:r>
    </w:p>
    <w:p w14:paraId="69F04AFC" w14:textId="77777777" w:rsidR="000E055E" w:rsidRPr="000E055E" w:rsidRDefault="000E055E" w:rsidP="00E0161E">
      <w:pPr>
        <w:pStyle w:val="Quote"/>
      </w:pPr>
      <w:r w:rsidRPr="000E055E">
        <w:t>You also do see a lot of clients who don't all fall in the camp of gambling for 20 and 40 years. We see people who have only gambled for six to 18 months and recognise serious harm and it developed very quickly. They recognised there was a very small perio</w:t>
      </w:r>
      <w:r w:rsidRPr="00E0161E">
        <w:rPr>
          <w:rStyle w:val="QuoteChar"/>
        </w:rPr>
        <w:t>d</w:t>
      </w:r>
      <w:r w:rsidRPr="000E055E">
        <w:t xml:space="preserve"> where they didn't so it's not quite like alcohol is it?</w:t>
      </w:r>
    </w:p>
    <w:p w14:paraId="4279A12E" w14:textId="77777777" w:rsidR="000E055E" w:rsidRPr="000E055E" w:rsidRDefault="000E055E" w:rsidP="000E055E">
      <w:pPr>
        <w:pStyle w:val="VRGFBodycontent"/>
      </w:pPr>
      <w:r w:rsidRPr="000E055E">
        <w:t xml:space="preserve">Fourth, amongst individuals from the general public group who identified as gamblers (n=5), a few did not identify many experiences of harm. This may have been influenced by cognitive distortions of their gambling experiences in some cases. </w:t>
      </w:r>
    </w:p>
    <w:p w14:paraId="4F29304F" w14:textId="77777777" w:rsidR="000E055E" w:rsidRPr="000E055E" w:rsidRDefault="000E055E" w:rsidP="000E055E">
      <w:pPr>
        <w:pStyle w:val="VRGFBodycontent"/>
      </w:pPr>
      <w:r w:rsidRPr="000E055E">
        <w:t xml:space="preserve">Finally, some of the emphasis on crisis level or legacy harms may also have been due to the prominence of relationship harms in terms of the importance and affect they had for participants. </w:t>
      </w:r>
    </w:p>
    <w:p w14:paraId="6656CC77" w14:textId="77777777" w:rsidR="00E0161E" w:rsidRDefault="00E0161E" w:rsidP="000E055E">
      <w:pPr>
        <w:pStyle w:val="VRGFBodycontent"/>
      </w:pPr>
    </w:p>
    <w:p w14:paraId="7A2F354A" w14:textId="4ADA9FAD" w:rsidR="000E055E" w:rsidRPr="000E055E" w:rsidRDefault="000E055E" w:rsidP="00E0161E">
      <w:pPr>
        <w:pStyle w:val="VRGFHead4"/>
      </w:pPr>
      <w:r w:rsidRPr="000E055E">
        <w:t>Differences between harms to people who gamble and affected others</w:t>
      </w:r>
    </w:p>
    <w:p w14:paraId="001C5BFC" w14:textId="09688291" w:rsidR="000E055E" w:rsidRPr="000E055E" w:rsidRDefault="000E055E" w:rsidP="000E055E">
      <w:pPr>
        <w:pStyle w:val="VRGFBodycontent"/>
      </w:pPr>
      <w:r w:rsidRPr="000E055E">
        <w:t xml:space="preserve">In extending the analogy of the disease model by Korn and Shaffer </w:t>
      </w:r>
      <w:r w:rsidRPr="000E055E">
        <w:fldChar w:fldCharType="begin"/>
      </w:r>
      <w:r w:rsidRPr="000E055E">
        <w:instrText xml:space="preserve"> ADDIN EN.CITE &lt;EndNote&gt;&lt;Cite ExcludeAuth="1"&gt;&lt;Author&gt;Korn&lt;/Author&gt;&lt;Year&gt;1999&lt;/Year&gt;&lt;RecNum&gt;144&lt;/RecNum&gt;&lt;DisplayText&gt;(1999)&lt;/DisplayText&gt;&lt;record&gt;&lt;rec-number&gt;144&lt;/rec-number&gt;&lt;foreign-keys&gt;&lt;key app="EN" db-id="vwx5w2at95wrp1e9p9wxzez0eeaadew0p225" timestamp="1375664452"&gt;144&lt;/key&gt;&lt;/foreign-keys&gt;&lt;ref-type name="Journal Article"&gt;17&lt;/ref-type&gt;&lt;contributors&gt;&lt;authors&gt;&lt;author&gt;Korn, DavidA&lt;/author&gt;&lt;author&gt;Shaffer, HowardJ&lt;/author&gt;&lt;/authors&gt;&lt;/contributors&gt;&lt;titles&gt;&lt;title&gt;Gambling and the Health of the Public: Adopting a Public Health Perspective&lt;/title&gt;&lt;secondary-title&gt;Journal of Gambling Studies&lt;/secondary-title&gt;&lt;alt-title&gt;J Gambl Stud&lt;/alt-title&gt;&lt;/titles&gt;&lt;periodical&gt;&lt;full-title&gt;Journal of Gambling Studies&lt;/full-title&gt;&lt;/periodical&gt;&lt;alt-periodical&gt;&lt;full-title&gt;Journal of Gambling Studies&lt;/full-title&gt;&lt;abbr-1&gt;J Gambl Stud&lt;/abbr-1&gt;&lt;/alt-periodical&gt;&lt;pages&gt;289-365&lt;/pages&gt;&lt;volume&gt;15&lt;/volume&gt;&lt;number&gt;4&lt;/number&gt;&lt;keywords&gt;&lt;keyword&gt;gambling&lt;/keyword&gt;&lt;keyword&gt;addictions&lt;/keyword&gt;&lt;keyword&gt;public health&lt;/keyword&gt;&lt;keyword&gt;social policy&lt;/keyword&gt;&lt;keyword&gt;mental health&lt;/keyword&gt;&lt;keyword&gt;prevention&lt;/keyword&gt;&lt;keyword&gt;public policy&lt;/keyword&gt;&lt;keyword&gt;community health&lt;/keyword&gt;&lt;/keywords&gt;&lt;dates&gt;&lt;year&gt;1999&lt;/year&gt;&lt;pub-dates&gt;&lt;date&gt;1999/12/01&lt;/date&gt;&lt;/pub-dates&gt;&lt;/dates&gt;&lt;publisher&gt;Kluwer Academic Publishers-Plenum Publishers&lt;/publisher&gt;&lt;isbn&gt;1050-5350&lt;/isbn&gt;&lt;urls&gt;&lt;related-urls&gt;&lt;url&gt;http://dx.doi.org/10.1023/A%3A1023005115932&lt;/url&gt;&lt;/related-urls&gt;&lt;/urls&gt;&lt;electronic-resource-num&gt;10.1023/a:1023005115932&lt;/electronic-resource-num&gt;&lt;language&gt;English&lt;/language&gt;&lt;/record&gt;&lt;/Cite&gt;&lt;/EndNote&gt;</w:instrText>
      </w:r>
      <w:r w:rsidRPr="000E055E">
        <w:fldChar w:fldCharType="separate"/>
      </w:r>
      <w:r w:rsidRPr="000E055E">
        <w:t>(</w:t>
      </w:r>
      <w:r w:rsidRPr="00E0161E">
        <w:t>1999</w:t>
      </w:r>
      <w:r w:rsidRPr="000E055E">
        <w:t>)</w:t>
      </w:r>
      <w:r w:rsidRPr="000E055E">
        <w:fldChar w:fldCharType="end"/>
      </w:r>
      <w:r w:rsidRPr="000E055E">
        <w:t xml:space="preserve">, Langham et al. (2016) suggested that the person who gambles is the </w:t>
      </w:r>
      <w:r w:rsidRPr="000E055E">
        <w:rPr>
          <w:i/>
        </w:rPr>
        <w:t>index case</w:t>
      </w:r>
      <w:r w:rsidRPr="000E055E">
        <w:t xml:space="preserve"> for harm, and that the harm then spreads through affected others; the severity of which is dependent on the nature of the relationship and the risks created. The harms experienced by affected others are collectively similar to those experienced by the person who gambles, but at an individual level these harms are influenced by a complex interaction of numerous factors. For example, at a collective level both people who gamble and affected others can experience feelings of shame and/or feelings of anger. However, at an individual </w:t>
      </w:r>
      <w:r w:rsidRPr="000E055E">
        <w:lastRenderedPageBreak/>
        <w:t xml:space="preserve">level, in one relationship, the person who gambles could be experiencing stronger feelings of shame (for the harms others have experienced) and the affected other stronger feelings of anger (in response to lying by the person who gambles). In another relationship, the person who gambles may have stronger feelings of anger (towards a person who introduced them to gambling) and the affected other stronger feelings of shame (for introducing the person to gambling). Consistent with these examples, instances of significant harm were identified in the data both to people who gamble and affected others. </w:t>
      </w:r>
    </w:p>
    <w:p w14:paraId="0965B51E" w14:textId="77777777" w:rsidR="00E0161E" w:rsidRDefault="00E0161E" w:rsidP="000E055E">
      <w:pPr>
        <w:pStyle w:val="VRGFBodycontent"/>
      </w:pPr>
    </w:p>
    <w:p w14:paraId="5B018F03" w14:textId="5692876D" w:rsidR="000E055E" w:rsidRPr="000E055E" w:rsidRDefault="000E055E" w:rsidP="00E0161E">
      <w:pPr>
        <w:pStyle w:val="VRGFHead3"/>
      </w:pPr>
      <w:bookmarkStart w:id="167" w:name="_Toc462738022"/>
      <w:r w:rsidRPr="000E055E">
        <w:t>Gambling harms experienced in New Zealand</w:t>
      </w:r>
      <w:bookmarkEnd w:id="167"/>
    </w:p>
    <w:p w14:paraId="65D85655" w14:textId="77777777" w:rsidR="000E055E" w:rsidRPr="000E055E" w:rsidRDefault="000E055E" w:rsidP="000E055E">
      <w:pPr>
        <w:pStyle w:val="VRGFBodycontent"/>
      </w:pPr>
      <w:r w:rsidRPr="000E055E">
        <w:t>The second objective of this phase of the research was to expand the knowledge of actual gambling-related harms experienced in New Zealand. Overall the experiences of harm reported within the present data were consistent with both the framework and the taxonomy, although not every experience from the taxonomy was specifically identified within the data.</w:t>
      </w:r>
    </w:p>
    <w:p w14:paraId="4E623B09" w14:textId="77777777" w:rsidR="00E0161E" w:rsidRDefault="00E0161E" w:rsidP="000E055E">
      <w:pPr>
        <w:pStyle w:val="VRGFBodycontent"/>
      </w:pPr>
    </w:p>
    <w:p w14:paraId="3774E6DA" w14:textId="7C8865F1" w:rsidR="000E055E" w:rsidRPr="000E055E" w:rsidRDefault="000E055E" w:rsidP="00E0161E">
      <w:pPr>
        <w:pStyle w:val="VRGFHead4"/>
      </w:pPr>
      <w:r w:rsidRPr="000E055E">
        <w:t xml:space="preserve">Financial harms </w:t>
      </w:r>
    </w:p>
    <w:p w14:paraId="1AC90939" w14:textId="3FCCAB07" w:rsidR="000E055E" w:rsidRPr="000E055E" w:rsidRDefault="000E055E" w:rsidP="00E0161E">
      <w:pPr>
        <w:pStyle w:val="VRGFHead5"/>
      </w:pPr>
      <w:r w:rsidRPr="000E055E">
        <w:t>Overall findings against the conceptual framework</w:t>
      </w:r>
    </w:p>
    <w:p w14:paraId="2D7382E2" w14:textId="38163314" w:rsidR="000E055E" w:rsidRDefault="000E055E" w:rsidP="000E055E">
      <w:pPr>
        <w:pStyle w:val="VRGFBodycontent"/>
      </w:pPr>
      <w:r w:rsidRPr="000E055E">
        <w:t xml:space="preserve">Financial harms are a common theme in any discussion of harm experienced from gambling. This is presumed to be because financial problems are often the trigger for a crisis, are easily identified and have immediate impacts </w:t>
      </w:r>
      <w:r w:rsidRPr="000E055E">
        <w:fldChar w:fldCharType="begin"/>
      </w:r>
      <w:r w:rsidRPr="000E055E">
        <w:instrText xml:space="preserve"> ADDIN EN.CITE &lt;EndNote&gt;&lt;Cite&gt;&lt;Author&gt;Langham&lt;/Author&gt;&lt;Year&gt;2016&lt;/Year&gt;&lt;RecNum&gt;2653&lt;/RecNum&gt;&lt;DisplayText&gt;(Langham et al., 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0E055E">
        <w:fldChar w:fldCharType="separate"/>
      </w:r>
      <w:r w:rsidRPr="000E055E">
        <w:t>(</w:t>
      </w:r>
      <w:r w:rsidRPr="00E0161E">
        <w:t>Langham et al., 2016</w:t>
      </w:r>
      <w:r w:rsidRPr="000E055E">
        <w:t>)</w:t>
      </w:r>
      <w:r w:rsidRPr="000E055E">
        <w:fldChar w:fldCharType="end"/>
      </w:r>
      <w:r w:rsidRPr="000E055E">
        <w:t xml:space="preserve">. Financial harm has been identified as occurring in a trajectory of severity </w:t>
      </w:r>
      <w:r w:rsidRPr="000E055E">
        <w:fldChar w:fldCharType="begin"/>
      </w:r>
      <w:r w:rsidRPr="000E055E">
        <w:instrText xml:space="preserve"> ADDIN EN.CITE &lt;EndNote&gt;&lt;Cite&gt;&lt;Author&gt;Langham&lt;/Author&gt;&lt;Year&gt;2016&lt;/Year&gt;&lt;RecNum&gt;2653&lt;/RecNum&gt;&lt;DisplayText&gt;(Langham et al., 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0E055E">
        <w:fldChar w:fldCharType="separate"/>
      </w:r>
      <w:r w:rsidRPr="000E055E">
        <w:t>(</w:t>
      </w:r>
      <w:r w:rsidRPr="00E0161E">
        <w:t>Langham et al., 2016</w:t>
      </w:r>
      <w:r w:rsidRPr="000E055E">
        <w:t>)</w:t>
      </w:r>
      <w:r w:rsidRPr="000E055E">
        <w:fldChar w:fldCharType="end"/>
      </w:r>
      <w:r w:rsidRPr="000E055E">
        <w:t>, from the loss of surplus or discretionary finances through to the loss of ability to meet expenditure that has immediate consequences as shown in</w:t>
      </w:r>
      <w:r w:rsidR="009409A4">
        <w:t xml:space="preserve"> </w:t>
      </w:r>
      <w:r w:rsidR="009409A4">
        <w:fldChar w:fldCharType="begin"/>
      </w:r>
      <w:r w:rsidR="009409A4">
        <w:instrText xml:space="preserve"> REF _Ref448398402 \h </w:instrText>
      </w:r>
      <w:r w:rsidR="009409A4">
        <w:fldChar w:fldCharType="separate"/>
      </w:r>
      <w:r w:rsidR="0006479A">
        <w:t xml:space="preserve">Figure </w:t>
      </w:r>
      <w:r w:rsidR="0006479A">
        <w:rPr>
          <w:noProof/>
        </w:rPr>
        <w:t>4</w:t>
      </w:r>
      <w:r w:rsidR="009409A4">
        <w:fldChar w:fldCharType="end"/>
      </w:r>
      <w:r w:rsidRPr="000E055E">
        <w:t xml:space="preserve">. These were evident within the data of the present study. </w:t>
      </w:r>
    </w:p>
    <w:p w14:paraId="27A84588" w14:textId="77777777" w:rsidR="006F47AB" w:rsidRDefault="006F47AB" w:rsidP="000E055E">
      <w:pPr>
        <w:pStyle w:val="VRGFBodycontent"/>
      </w:pPr>
    </w:p>
    <w:p w14:paraId="4370F443" w14:textId="77777777" w:rsidR="000E055E" w:rsidRPr="000E055E" w:rsidRDefault="000E055E" w:rsidP="000E055E">
      <w:pPr>
        <w:pStyle w:val="VRGFBodycontent"/>
      </w:pPr>
      <w:r w:rsidRPr="004B389B">
        <w:rPr>
          <w:noProof/>
          <w:color w:val="1C3158"/>
          <w:lang w:val="en-NZ" w:eastAsia="en-NZ"/>
        </w:rPr>
        <w:drawing>
          <wp:inline distT="0" distB="0" distL="0" distR="0" wp14:anchorId="316B58DA" wp14:editId="1CE8A1BE">
            <wp:extent cx="4714875" cy="2219325"/>
            <wp:effectExtent l="0" t="0" r="0" b="9525"/>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F579836" w14:textId="51BF5D19" w:rsidR="000E055E" w:rsidRPr="000E055E" w:rsidRDefault="009409A4" w:rsidP="009409A4">
      <w:pPr>
        <w:pStyle w:val="Caption"/>
      </w:pPr>
      <w:bookmarkStart w:id="168" w:name="_Ref448398402"/>
      <w:bookmarkStart w:id="169" w:name="_Toc462738087"/>
      <w:r>
        <w:t xml:space="preserve">Figure </w:t>
      </w:r>
      <w:fldSimple w:instr=" SEQ Figure \* ARABIC ">
        <w:r w:rsidR="0006479A">
          <w:rPr>
            <w:noProof/>
          </w:rPr>
          <w:t>4</w:t>
        </w:r>
      </w:fldSimple>
      <w:bookmarkEnd w:id="168"/>
      <w:r>
        <w:t>. T</w:t>
      </w:r>
      <w:r w:rsidR="000E055E" w:rsidRPr="000E055E">
        <w:t>rajectory of financial harm</w:t>
      </w:r>
      <w:bookmarkEnd w:id="169"/>
    </w:p>
    <w:p w14:paraId="32EF76AB" w14:textId="77777777" w:rsidR="006F47AB" w:rsidRDefault="006F47AB" w:rsidP="000E055E">
      <w:pPr>
        <w:pStyle w:val="VRGFBodycontent"/>
      </w:pPr>
    </w:p>
    <w:p w14:paraId="3E7742B5" w14:textId="233802FF" w:rsidR="000E055E" w:rsidRPr="000E055E" w:rsidRDefault="000E055E" w:rsidP="000E055E">
      <w:pPr>
        <w:pStyle w:val="VRGFBodycontent"/>
      </w:pPr>
      <w:r w:rsidRPr="000E055E">
        <w:t xml:space="preserve">The experiences of financial harm in New Zealand described within the data were consistent with the temporal sequencing of the trajectory of harm (as shown in </w:t>
      </w:r>
      <w:r w:rsidR="00F14701">
        <w:fldChar w:fldCharType="begin"/>
      </w:r>
      <w:r w:rsidR="00F14701">
        <w:instrText xml:space="preserve"> REF _Ref448398402 \h </w:instrText>
      </w:r>
      <w:r w:rsidR="00F14701">
        <w:fldChar w:fldCharType="separate"/>
      </w:r>
      <w:r w:rsidR="0006479A">
        <w:t xml:space="preserve">Figure </w:t>
      </w:r>
      <w:r w:rsidR="0006479A">
        <w:rPr>
          <w:noProof/>
        </w:rPr>
        <w:t>4</w:t>
      </w:r>
      <w:r w:rsidR="00F14701">
        <w:fldChar w:fldCharType="end"/>
      </w:r>
      <w:r w:rsidRPr="000E055E">
        <w:t xml:space="preserve">). </w:t>
      </w:r>
    </w:p>
    <w:p w14:paraId="0046F399" w14:textId="11F8952E" w:rsidR="000E055E" w:rsidRPr="000E055E" w:rsidRDefault="000E055E" w:rsidP="00E0161E">
      <w:pPr>
        <w:pStyle w:val="VRGFHead5"/>
      </w:pPr>
      <w:r w:rsidRPr="000E055E">
        <w:lastRenderedPageBreak/>
        <w:t>Subjectivity of financial harms</w:t>
      </w:r>
    </w:p>
    <w:p w14:paraId="3CFBDFE4" w14:textId="77777777" w:rsidR="000E055E" w:rsidRPr="000E055E" w:rsidRDefault="000E055E" w:rsidP="000E055E">
      <w:pPr>
        <w:pStyle w:val="VRGFBodycontent"/>
      </w:pPr>
      <w:r w:rsidRPr="000E055E">
        <w:t>It is important to highlight that the level at which harm manifests is dependent on individual financial circumstances. If a person, or family, is already experiencing deprivation, then the initial impact of financial harm from gambling might be at the level of loss of ability to meet expenditure that has immediate consequence. A treatment provider shared a case history that illustrated how financially vulnerable some families already were, describing the impact of instances of binge buying of lottery tickets when there was a large jackpot:</w:t>
      </w:r>
    </w:p>
    <w:p w14:paraId="25C90739" w14:textId="77777777" w:rsidR="000E055E" w:rsidRPr="000E055E" w:rsidRDefault="000E055E" w:rsidP="00E0161E">
      <w:pPr>
        <w:pStyle w:val="Quote"/>
      </w:pPr>
      <w:r w:rsidRPr="000E055E">
        <w:t>The poor family, it could be really devastating, a doctor’s visit or something, or a pair of shoes or something, it could be really devastating, or the electricity bill.</w:t>
      </w:r>
    </w:p>
    <w:p w14:paraId="2C26CBF5" w14:textId="77777777" w:rsidR="000E055E" w:rsidRPr="000E055E" w:rsidRDefault="000E055E" w:rsidP="000E055E">
      <w:pPr>
        <w:pStyle w:val="VRGFBodycontent"/>
      </w:pPr>
      <w:r w:rsidRPr="000E055E">
        <w:t xml:space="preserve">Similarly, the previous experience, or normalisation, of deprivation could influence the response to financial harm from gambling, with it becoming just another experience of deprivation. Conversely, people with more disposable income or financial resources may be able to absorb losses for longer. Although their discretionary spending is affected, they are still able to meet essential needs either through income, savings or credit options. </w:t>
      </w:r>
    </w:p>
    <w:p w14:paraId="676B3CF5" w14:textId="77777777" w:rsidR="000E055E" w:rsidRPr="000E055E" w:rsidRDefault="000E055E" w:rsidP="000E055E">
      <w:pPr>
        <w:pStyle w:val="VRGFBodycontent"/>
      </w:pPr>
      <w:r w:rsidRPr="000E055E">
        <w:t xml:space="preserve">This subjectivity of experience highlights the inadequacy of using money spent as a proxy measure of harm for gambling. Dependent on existing circumstances, spending $50 on a gambling session could have a significantly different impact for different people. </w:t>
      </w:r>
    </w:p>
    <w:p w14:paraId="087FBAC4" w14:textId="77777777" w:rsidR="00E0161E" w:rsidRDefault="00E0161E" w:rsidP="000E055E">
      <w:pPr>
        <w:pStyle w:val="VRGFBodycontent"/>
        <w:rPr>
          <w:i/>
          <w:iCs/>
        </w:rPr>
      </w:pPr>
    </w:p>
    <w:p w14:paraId="180E83BC" w14:textId="06A0036D" w:rsidR="000E055E" w:rsidRPr="000E055E" w:rsidRDefault="000E055E" w:rsidP="00E0161E">
      <w:pPr>
        <w:pStyle w:val="VRGFHead5"/>
      </w:pPr>
      <w:r w:rsidRPr="000E055E">
        <w:t>The loss of surplus financial resources or discretionary income</w:t>
      </w:r>
    </w:p>
    <w:p w14:paraId="7FE07904" w14:textId="77777777" w:rsidR="000E055E" w:rsidRPr="000E055E" w:rsidRDefault="000E055E" w:rsidP="000E055E">
      <w:pPr>
        <w:pStyle w:val="VRGFBodycontent"/>
      </w:pPr>
      <w:r w:rsidRPr="000E055E">
        <w:t>The choice to spend surplus financial resources or discretionary income on gambling products can be a normal purchasing decision. Instead of choosing to go to the movies, or on a holiday, a person could choose to spend their money deriving entertainment from gambling. However, if this choice leads to regret in the person who made it and/or creates a loss for others, then it can be considered harmful. The feeling of regret or loss (for an affected other) is what makes this harmful, and may contribute to second-order harms in terms of a relationship or emotional wellbeing. This was particularly of relevance when people felt compelled to gamble.</w:t>
      </w:r>
    </w:p>
    <w:p w14:paraId="618F97B8" w14:textId="77777777" w:rsidR="000E055E" w:rsidRPr="000E055E" w:rsidRDefault="000E055E" w:rsidP="000E055E">
      <w:pPr>
        <w:pStyle w:val="VRGFBodycontent"/>
      </w:pPr>
      <w:r w:rsidRPr="000E055E">
        <w:t xml:space="preserve">An example of this sense of regret or loss was provided by a male participant with a young family, who described his feelings of regret from choosing to spend discretionary funds on sports betting rather than holidays or outings for the family (loss). With the Christmas holidays approaching this became a strong motivator for cutting back his sports betting: </w:t>
      </w:r>
    </w:p>
    <w:p w14:paraId="5CBC650E" w14:textId="77777777" w:rsidR="000E055E" w:rsidRPr="000E055E" w:rsidRDefault="000E055E" w:rsidP="005D2F4E">
      <w:pPr>
        <w:pStyle w:val="Quote"/>
      </w:pPr>
      <w:r w:rsidRPr="000E055E">
        <w:t>Because other previous holidays I'd waste too much time and money and I just wanted to make sure this holiday was different.</w:t>
      </w:r>
    </w:p>
    <w:p w14:paraId="427DA38D" w14:textId="77777777" w:rsidR="000E055E" w:rsidRPr="000E055E" w:rsidRDefault="000E055E" w:rsidP="000E055E">
      <w:pPr>
        <w:pStyle w:val="VRGFBodycontent"/>
      </w:pPr>
      <w:r w:rsidRPr="000E055E">
        <w:t>He went on to comment that by being able to significantly cut back the money spent on sports betting, the holidays had been more enjoyable and they had “</w:t>
      </w:r>
      <w:r w:rsidRPr="000E055E">
        <w:rPr>
          <w:i/>
        </w:rPr>
        <w:t>heaps more money to do the little things</w:t>
      </w:r>
      <w:r w:rsidRPr="000E055E">
        <w:t>”.</w:t>
      </w:r>
    </w:p>
    <w:p w14:paraId="68F82D6A" w14:textId="56A60599" w:rsidR="000E055E" w:rsidRPr="000E055E" w:rsidRDefault="000E055E" w:rsidP="000E055E">
      <w:pPr>
        <w:pStyle w:val="VRGFBodycontent"/>
      </w:pPr>
      <w:r w:rsidRPr="000E055E">
        <w:t xml:space="preserve">This loss of discretionary income or savings was also identified by affected others who had tried to financially assist people experiencing problems with gambling. A retired </w:t>
      </w:r>
      <w:r w:rsidR="00A52CB8">
        <w:t>female</w:t>
      </w:r>
      <w:r w:rsidR="00A52CB8" w:rsidRPr="000E055E">
        <w:t xml:space="preserve"> </w:t>
      </w:r>
      <w:r w:rsidRPr="000E055E">
        <w:t>whose adult son had experienced significant problems with gambling described the financial support her son had received from his sister, which meant a substantial reduction to her discretionary funds:</w:t>
      </w:r>
    </w:p>
    <w:p w14:paraId="13F32981" w14:textId="77777777" w:rsidR="000E055E" w:rsidRPr="000E055E" w:rsidRDefault="000E055E" w:rsidP="005D2F4E">
      <w:pPr>
        <w:pStyle w:val="Quote"/>
      </w:pPr>
      <w:r w:rsidRPr="000E055E">
        <w:lastRenderedPageBreak/>
        <w:t>His sister was really good, went to interviews with him and all sorts. She supported him. But it's cost her quite a bit of money. I reckon she seems to think all up it's about $30,000 he would owe her. That's quite a bit of money really, isn't it? … [she was] reasonably well off…but you don't have to give it away, do you?</w:t>
      </w:r>
    </w:p>
    <w:p w14:paraId="728C0636" w14:textId="77777777" w:rsidR="000E055E" w:rsidRPr="000E055E" w:rsidRDefault="000E055E" w:rsidP="000E055E">
      <w:pPr>
        <w:pStyle w:val="VRGFBodycontent"/>
      </w:pPr>
      <w:r w:rsidRPr="000E055E">
        <w:t xml:space="preserve">The small sample for this phase included a number of people who had already experienced lower levels of socio-economic status or intergenerational deprivation, so there were not a large number of instances reported on the level of financial harm resulting from surplus funds loss. What was apparent, however, was the influence of aspiration towards a position of having surplus financial resources on motivation to gamble. A number of participants commented that, ironically, they had seen gambling as a way of achieving financial security or improving their financial position, whilst it had ended up having the opposite effect. </w:t>
      </w:r>
    </w:p>
    <w:p w14:paraId="6107C8D5" w14:textId="77777777" w:rsidR="005D2F4E" w:rsidRDefault="005D2F4E" w:rsidP="000E055E">
      <w:pPr>
        <w:pStyle w:val="VRGFBodycontent"/>
        <w:rPr>
          <w:i/>
          <w:iCs/>
        </w:rPr>
      </w:pPr>
    </w:p>
    <w:p w14:paraId="00D74958" w14:textId="1FBABEC4" w:rsidR="000E055E" w:rsidRPr="000E055E" w:rsidRDefault="000E055E" w:rsidP="005D2F4E">
      <w:pPr>
        <w:pStyle w:val="VRGFHead5"/>
      </w:pPr>
      <w:r w:rsidRPr="000E055E">
        <w:t>Activities to manage short term cash flow</w:t>
      </w:r>
    </w:p>
    <w:p w14:paraId="5E257508" w14:textId="41C15FBA" w:rsidR="000E055E" w:rsidRPr="000E055E" w:rsidRDefault="000E055E" w:rsidP="000E055E">
      <w:pPr>
        <w:pStyle w:val="VRGFBodycontent"/>
      </w:pPr>
      <w:r w:rsidRPr="000E055E">
        <w:t xml:space="preserve">Activities to manage short term cash flow can be divided into two categories, funds generation and debt generation </w:t>
      </w:r>
      <w:r w:rsidRPr="000E055E">
        <w:fldChar w:fldCharType="begin"/>
      </w:r>
      <w:r w:rsidRPr="000E055E">
        <w:instrText xml:space="preserve"> ADDIN EN.CITE &lt;EndNote&gt;&lt;Cite&gt;&lt;Author&gt;Langham&lt;/Author&gt;&lt;Year&gt;2016&lt;/Year&gt;&lt;RecNum&gt;2653&lt;/RecNum&gt;&lt;DisplayText&gt;(Langham et al., 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0E055E">
        <w:fldChar w:fldCharType="separate"/>
      </w:r>
      <w:r w:rsidRPr="000E055E">
        <w:t>(</w:t>
      </w:r>
      <w:r w:rsidRPr="005D2F4E">
        <w:t>Langham et al., 2016</w:t>
      </w:r>
      <w:r w:rsidRPr="000E055E">
        <w:t>)</w:t>
      </w:r>
      <w:r w:rsidRPr="000E055E">
        <w:fldChar w:fldCharType="end"/>
      </w:r>
      <w:r w:rsidRPr="000E055E">
        <w:t>. For people without savings or discretionary funds, the consequences of needing to manage short term cash flow can be the level of financial harm they first experience. Funds generation often involved borrowing from family, whānau and friends. When this was not a surplus financial resource for the person who was lending the money, the impact was more significant. A financial counsellor gave an example of the effect of these familial loans:</w:t>
      </w:r>
    </w:p>
    <w:p w14:paraId="5E07995C" w14:textId="77777777" w:rsidR="000E055E" w:rsidRPr="000E055E" w:rsidRDefault="000E055E" w:rsidP="005D2F4E">
      <w:pPr>
        <w:pStyle w:val="Quote"/>
      </w:pPr>
      <w:r w:rsidRPr="000E055E">
        <w:t xml:space="preserve">I've got a client coming tomorrow, who owes her mother $20,000, her sister $3,000, another sister $1,500. That's just the ones the mother knows about because she rang to book the appointment for her daughter. Says it's pulling our family apart and if we don’t get this sorted out - because one of the daughters that's owed the money is struggling. She's a single mum on a benefit, she's not coping terribly well. </w:t>
      </w:r>
    </w:p>
    <w:p w14:paraId="6493417A" w14:textId="3A31AE87" w:rsidR="000E055E" w:rsidRPr="000E055E" w:rsidRDefault="000E055E" w:rsidP="000E055E">
      <w:pPr>
        <w:pStyle w:val="VRGFBodycontent"/>
      </w:pPr>
      <w:r w:rsidRPr="000E055E">
        <w:t xml:space="preserve">Such instances of borrowing from family members were commonly reported within the data. Even children’s savings were affected, as a </w:t>
      </w:r>
      <w:r w:rsidR="00A52CB8">
        <w:t>female</w:t>
      </w:r>
      <w:r w:rsidR="00A52CB8" w:rsidRPr="000E055E">
        <w:t xml:space="preserve"> </w:t>
      </w:r>
      <w:r w:rsidRPr="000E055E">
        <w:t xml:space="preserve">described her son’s strategies for securing funds to gamble from her granddaughter: </w:t>
      </w:r>
    </w:p>
    <w:p w14:paraId="0043C41C" w14:textId="77777777" w:rsidR="000E055E" w:rsidRPr="000E055E" w:rsidRDefault="000E055E" w:rsidP="005D2F4E">
      <w:pPr>
        <w:pStyle w:val="Quote"/>
      </w:pPr>
      <w:r w:rsidRPr="000E055E">
        <w:t>She did say that dad had borrowed $500 off her when she first started work and she never saw it again. But see it's the borrowing, the taking, yeah.</w:t>
      </w:r>
    </w:p>
    <w:p w14:paraId="42C71108" w14:textId="77777777" w:rsidR="000E055E" w:rsidRPr="000E055E" w:rsidRDefault="000E055E" w:rsidP="000E055E">
      <w:pPr>
        <w:pStyle w:val="VRGFBodycontent"/>
      </w:pPr>
      <w:r w:rsidRPr="000E055E">
        <w:t xml:space="preserve">Similarly a male who was in treatment reported the ease of securing money from vulnerable family members: </w:t>
      </w:r>
    </w:p>
    <w:p w14:paraId="69E535D9" w14:textId="77777777" w:rsidR="000E055E" w:rsidRPr="000E055E" w:rsidRDefault="000E055E" w:rsidP="005D2F4E">
      <w:pPr>
        <w:pStyle w:val="Quote"/>
      </w:pPr>
      <w:r w:rsidRPr="000E055E">
        <w:t>Mainly my mother, my dear mother. She was - she didn’t know about the gambling, but she always wanted to see me right. Always wanted to see me okay and she was easy. It was, oh, I need some money for this and she would just give it to me.</w:t>
      </w:r>
    </w:p>
    <w:p w14:paraId="194FBB2C" w14:textId="1F0132C2" w:rsidR="000E055E" w:rsidRPr="000E055E" w:rsidRDefault="000E055E" w:rsidP="000E055E">
      <w:pPr>
        <w:pStyle w:val="VRGFBodycontent"/>
      </w:pPr>
      <w:r w:rsidRPr="000E055E">
        <w:t xml:space="preserve">Money was often easily secured from family members due to the nature of the relationship; however, when the money was not repaid impacts on the relationships could often be a second-order harm. Family members who were financially affected often needed to generate income to make up for the money loaned, or in the case of marriages, the money lost to the household. The husband of a </w:t>
      </w:r>
      <w:r w:rsidR="00A52CB8">
        <w:t>female</w:t>
      </w:r>
      <w:r w:rsidR="00A52CB8" w:rsidRPr="000E055E">
        <w:t xml:space="preserve"> </w:t>
      </w:r>
      <w:r w:rsidRPr="000E055E">
        <w:t xml:space="preserve">who experienced problems with gambling described having to take on extra work: </w:t>
      </w:r>
    </w:p>
    <w:p w14:paraId="22CC4BB2" w14:textId="77777777" w:rsidR="000E055E" w:rsidRPr="000E055E" w:rsidRDefault="000E055E" w:rsidP="005D2F4E">
      <w:pPr>
        <w:pStyle w:val="Quote"/>
      </w:pPr>
      <w:r w:rsidRPr="000E055E">
        <w:lastRenderedPageBreak/>
        <w:t>So for about 18 months I just worked. I think the longest I worked was 26 weeks in a row without a break and ended up having two days off, only because I was so exhausted. Then I think I said to myself, if I have to work, I will only work six weeks in a row and that's it, I've got to take time off. When I mean in a row, I worked seven days a week. Usually my hours were, I would do between 12 and 14 hour days. So they were long days.</w:t>
      </w:r>
    </w:p>
    <w:p w14:paraId="1280B4CC" w14:textId="77777777" w:rsidR="000E055E" w:rsidRPr="000E055E" w:rsidRDefault="000E055E" w:rsidP="000E055E">
      <w:pPr>
        <w:pStyle w:val="VRGFBodycontent"/>
      </w:pPr>
      <w:r w:rsidRPr="000E055E">
        <w:t xml:space="preserve">Selling or pawning items was often reported as a means of generating income, and sometimes the same item would be pawned multiple times creating significant financial harm from repeated payment of the gap between the amount given for an item and what must be paid to retrieve it. This could become a cycle of behaviour. An affected other described the pattern of pawning items as a short term strategy that was generating a lot of harm to the family, both directly and indirectly: </w:t>
      </w:r>
    </w:p>
    <w:p w14:paraId="6EA4B45F" w14:textId="77777777" w:rsidR="000E055E" w:rsidRPr="000E055E" w:rsidRDefault="000E055E" w:rsidP="005D2F4E">
      <w:pPr>
        <w:pStyle w:val="Quote"/>
      </w:pPr>
      <w:r w:rsidRPr="000E055E">
        <w:t xml:space="preserve">She had a computer and I found that what a lot of the gamblers do; they put their computer in, get a bit of money out. Go and gamble it and if she's lucky enough to win, she will get it back out again. But there's been so many times, the last computer, I'd gone into the pawn shop that she regularly went to and I said to the guy, how many times has this computer been in over the last two years? I was astounded. It had been in 23 times. …So the impact there was that in three months' time if I didn’t get it out I had to pay the - and the worst one was $700 and then after paying $700, I said, no I refuse. She lost that computer and then when I went to [university], a friend of mine gave me an old computer to use. She ended up putting that in. The same thing happened and her actual brand new computer, her son bought her a computer for her birthday last year. …We went into the pawn shop she normally used and that's already been in seven times. I've got it out four and I have refused to do it after that. …At the moment it is still sitting in there, but her story was she didn’t do it for herself, she did it for her friend, because she put it in, gets $250 and then they go and gamble it. Now, for us to get it out by the end of this month, I have to pay $390 and I refuse to. I'm not going to get it out. It's unfortunate for her because right now she is doing a certificate [course] and she needs a computer. But I refuse to let her use anything of mine because in the past she hasn’t accepted the consequences that come with giving her computer away or giving money away. </w:t>
      </w:r>
    </w:p>
    <w:p w14:paraId="3FA89E8B" w14:textId="77777777" w:rsidR="000E055E" w:rsidRPr="000E055E" w:rsidRDefault="000E055E" w:rsidP="000E055E">
      <w:pPr>
        <w:pStyle w:val="VRGFBodycontent"/>
      </w:pPr>
      <w:r w:rsidRPr="000E055E">
        <w:t xml:space="preserve">This example illustrates the high cost of short-term funds generation strategies. The cost of retrieving the item from the pawn shop was significantly more than the money given for it when it was surrendered, and this cost was paid nearly every month over two years. The use of these types of credit providers was highlighted by a number of participants, and the cost of using them was a second-order financial harm. Family members were again commonly affected. A young female participant described her ex-partner’s behaviour: </w:t>
      </w:r>
    </w:p>
    <w:p w14:paraId="42D7020E" w14:textId="77777777" w:rsidR="000E055E" w:rsidRPr="000E055E" w:rsidRDefault="000E055E" w:rsidP="005D2F4E">
      <w:pPr>
        <w:pStyle w:val="Quote"/>
      </w:pPr>
      <w:r w:rsidRPr="000E055E">
        <w:t>He's pawned all his possessions, he has nothing, so then he would pawn his friend's and his children's possessions and family possessions that weren't his. That was the first time the family got involved.</w:t>
      </w:r>
    </w:p>
    <w:p w14:paraId="4D769878" w14:textId="77777777" w:rsidR="000E055E" w:rsidRPr="000E055E" w:rsidRDefault="000E055E" w:rsidP="000E055E">
      <w:pPr>
        <w:pStyle w:val="VRGFBodycontent"/>
      </w:pPr>
      <w:r w:rsidRPr="000E055E">
        <w:t xml:space="preserve">A number of participants expressed anger and frustration at what they saw as the complicit actions of pawn shops and pay day lenders in perpetuating and exacerbating gambling harm and problems. As one treatment provider commented regarding these businesses: </w:t>
      </w:r>
    </w:p>
    <w:p w14:paraId="59C41513" w14:textId="77777777" w:rsidR="000E055E" w:rsidRPr="000E055E" w:rsidRDefault="000E055E" w:rsidP="005D2F4E">
      <w:pPr>
        <w:pStyle w:val="Quote"/>
      </w:pPr>
      <w:r w:rsidRPr="000E055E">
        <w:t>They're within the law but I guess you could question the ethics of their business practice.</w:t>
      </w:r>
    </w:p>
    <w:p w14:paraId="52695FCE" w14:textId="0C04FB6B" w:rsidR="000E055E" w:rsidRPr="000E055E" w:rsidRDefault="000E055E" w:rsidP="000E055E">
      <w:pPr>
        <w:pStyle w:val="VRGFBodycontent"/>
      </w:pPr>
      <w:r w:rsidRPr="000E055E">
        <w:lastRenderedPageBreak/>
        <w:t xml:space="preserve">This sentiment was also expressed by a </w:t>
      </w:r>
      <w:r w:rsidR="00A52CB8">
        <w:t>female</w:t>
      </w:r>
      <w:r w:rsidR="00A52CB8" w:rsidRPr="000E055E">
        <w:t xml:space="preserve"> </w:t>
      </w:r>
      <w:r w:rsidRPr="000E055E">
        <w:t>whose partner had experienced long term problems with gambling. She voiced her frustration with the lack of appropriate action from finance providers, suggesting a form of self-exclusion would be of benefit. She reported that the pay day lenders’ response to requests from family to refuse credit had been to recommend that the person experiencing the problems should just not use their account. She reported similar experiences with finance companies. Whilst on the surface, this idea of self-exclusion from credit may appear to offer some protection from harm, it needs to be considered if a desperate individual would be pushed towards even more predatory and illegal creditors. As one person who had experienced problems with gambling explained, if one source of funds is not available they will look for the next:</w:t>
      </w:r>
    </w:p>
    <w:p w14:paraId="2F8D3CE0" w14:textId="77777777" w:rsidR="000E055E" w:rsidRPr="000E055E" w:rsidRDefault="000E055E" w:rsidP="005D2F4E">
      <w:pPr>
        <w:pStyle w:val="Quote"/>
      </w:pPr>
      <w:r w:rsidRPr="000E055E">
        <w:t>Saying to my family, I need the money for this purpose and then going and gambling it. So you’re telling lies. You start over-limiting your credit cards and things. So you get another credit and then you go to the loan sharks and you’re just - anything you can to get more money.</w:t>
      </w:r>
    </w:p>
    <w:p w14:paraId="328249E6" w14:textId="77777777" w:rsidR="005D2F4E" w:rsidRDefault="005D2F4E" w:rsidP="000E055E">
      <w:pPr>
        <w:pStyle w:val="VRGFBodycontent"/>
        <w:rPr>
          <w:i/>
          <w:iCs/>
        </w:rPr>
      </w:pPr>
    </w:p>
    <w:p w14:paraId="58652B73" w14:textId="6490095E" w:rsidR="000E055E" w:rsidRPr="000E055E" w:rsidRDefault="000E055E" w:rsidP="005D2F4E">
      <w:pPr>
        <w:pStyle w:val="VRGFHead5"/>
      </w:pPr>
      <w:r w:rsidRPr="000E055E">
        <w:t xml:space="preserve">Loss of ability to meet expenditure of non-immediate consequence </w:t>
      </w:r>
    </w:p>
    <w:p w14:paraId="3C40BEF5" w14:textId="77777777" w:rsidR="000E055E" w:rsidRPr="000E055E" w:rsidRDefault="000E055E" w:rsidP="000E055E">
      <w:pPr>
        <w:pStyle w:val="VRGFBodycontent"/>
      </w:pPr>
      <w:r w:rsidRPr="000E055E">
        <w:t xml:space="preserve">Expenditure of non-immediate consequence, as defined by Langham et al. (2016), refers to normal expenditure on items such as insurance, asset maintenance, and preventative health measures that do not create immediate consequences if not purchased. However, failure to purchase these items creates greater financial risk (e.g. not getting a dental check leading to needing more extensive dental work), and risks to safety (e.g. not replacing tyres on a car). Whilst there were a number of reports within the data that related to these types financial harms, they were not commonly identified. This may be partly due to a number of participants having experienced some level of deprivation prior to gambling or due to normalised deprivation; lack of expenditure on such non-immediate but essential items was thus not a priority in terms of their experiences of harm. </w:t>
      </w:r>
    </w:p>
    <w:p w14:paraId="1AEA913A" w14:textId="77777777" w:rsidR="000E055E" w:rsidRPr="000E055E" w:rsidRDefault="000E055E" w:rsidP="000E055E">
      <w:pPr>
        <w:pStyle w:val="VRGFBodycontent"/>
      </w:pPr>
      <w:r w:rsidRPr="000E055E">
        <w:t>Additional to the risk created by not maintaining assets or preventative health practices, a similar form of risk was identified; that of things that need replacing being delayed. In some cases, there may not be an immediate identifiable impact such as an injury from this, but the awareness of the loss of choice, or having made the wrong choice, created a sense of loss or harm. A male sports bettor who also played a lot of team sport described the impact of his sports betting on his participation in sports:</w:t>
      </w:r>
      <w:r w:rsidRPr="000E055E">
        <w:rPr>
          <w:i/>
        </w:rPr>
        <w:t xml:space="preserve"> </w:t>
      </w:r>
    </w:p>
    <w:p w14:paraId="33D217D7" w14:textId="77777777" w:rsidR="000E055E" w:rsidRPr="000E055E" w:rsidRDefault="000E055E" w:rsidP="005D2F4E">
      <w:pPr>
        <w:pStyle w:val="Quote"/>
      </w:pPr>
      <w:r w:rsidRPr="000E055E">
        <w:t>I remember instead of being able to pay it [player fees] in lump sums, they were allowing [me] to pay off. So in some ways I was sort of all right in that sense, but like . . . there was occasions on certain clubs I played for that if you don't pay by that certain date, then it would go up by - more so you'd incur extra fees. But maybe I need a new pair of cleats or something, but I wouldn't, I'd just do with the old ones. Then I'd get the odd niggling injury or something like that, or perhaps otherwise I'd be using, for instance, cricket or softball I'd be using other people's bats, something like that.</w:t>
      </w:r>
    </w:p>
    <w:p w14:paraId="1DE96EAC" w14:textId="77777777" w:rsidR="000E055E" w:rsidRPr="000E055E" w:rsidRDefault="000E055E" w:rsidP="000E055E">
      <w:pPr>
        <w:pStyle w:val="VRGFBodycontent"/>
      </w:pPr>
      <w:r w:rsidRPr="000E055E">
        <w:t xml:space="preserve">The inability to pay sports fees is included in this group of non-immediate consequence harms because of the contribution to decreased levels of physical activity and loss of social connection, both of which have a further impact on health. Similarly, the effect of using items that were in need of replacing, such as the sports shoes reported by the participant, can have longer term impact, such </w:t>
      </w:r>
      <w:r w:rsidRPr="000E055E">
        <w:lastRenderedPageBreak/>
        <w:t>as the exacerbation of existing injury. Reporting of these types of harms was again strongly influenced by participants’ pre-gambling financial position.</w:t>
      </w:r>
    </w:p>
    <w:p w14:paraId="770F49F6" w14:textId="77777777" w:rsidR="005D2F4E" w:rsidRDefault="005D2F4E" w:rsidP="000E055E">
      <w:pPr>
        <w:pStyle w:val="VRGFBodycontent"/>
        <w:rPr>
          <w:i/>
          <w:iCs/>
        </w:rPr>
      </w:pPr>
    </w:p>
    <w:p w14:paraId="1F476E9D" w14:textId="5CBBAF17" w:rsidR="000E055E" w:rsidRPr="000E055E" w:rsidRDefault="000E055E" w:rsidP="005D2F4E">
      <w:pPr>
        <w:pStyle w:val="VRGFHead5"/>
      </w:pPr>
      <w:r w:rsidRPr="000E055E">
        <w:t>Loss of ability to purchase items of immediate consequence</w:t>
      </w:r>
    </w:p>
    <w:p w14:paraId="126B445F" w14:textId="77777777" w:rsidR="000E055E" w:rsidRPr="000E055E" w:rsidRDefault="000E055E" w:rsidP="000E055E">
      <w:pPr>
        <w:pStyle w:val="VRGFBodycontent"/>
      </w:pPr>
      <w:r w:rsidRPr="000E055E">
        <w:t xml:space="preserve">The loss of ability to purchase items of immediate consequence is considered the highest level of financial harm (Langham et al., 2016) and was often a trigger, both for people who gamble and affected others, to seek assistance or treatment. These types of items include food, housing, essential medications, transport costs and the loss of utilities. The consequences are not just limited to the immediate impact, but often trigger second and further order harms, such as loss of health due to a poor diet, vulnerability of living rough, or impact on school or work through loss of transport (Langham et al., 2016). Experiences of harm that fell into this category were identified by treatment professionals, people who gamble and affected others within the data. The experiences for the person who gambles and affected others were comparable in terms of the financial impact, but the second-order emotional harms associated with these experiences differed. For the person who gambled it often created feelings of shame and vulnerability. For an affected other there could be feelings of shame and vulnerability but also anger towards the person who gambled. </w:t>
      </w:r>
    </w:p>
    <w:p w14:paraId="382AA0FE" w14:textId="77777777" w:rsidR="000E055E" w:rsidRPr="000E055E" w:rsidRDefault="000E055E" w:rsidP="000E055E">
      <w:pPr>
        <w:pStyle w:val="VRGFBodycontent"/>
      </w:pPr>
      <w:r w:rsidRPr="000E055E">
        <w:t xml:space="preserve">In terms of purchasing food, the quality and amount of food could be pared back considerably and supplemented from a number of sources. This can create significant second-order harms when a long-term pattern of poor dietary intake is experienced, especially for children whose education is affected by inadequate nutrition. An affected other described the impact on the family’s diet from the level of financial deprivation they were experiencing due to gambling: </w:t>
      </w:r>
    </w:p>
    <w:p w14:paraId="566EF7C1" w14:textId="77777777" w:rsidR="000E055E" w:rsidRPr="000E055E" w:rsidRDefault="000E055E" w:rsidP="005D2F4E">
      <w:pPr>
        <w:pStyle w:val="Quote"/>
      </w:pPr>
      <w:r w:rsidRPr="000E055E">
        <w:t>We didn’t have much in the fridge to cook because we only lived on a $50 budget [for groceries per week]. With two growing boys it was a real struggle. So sometimes we would only buy milk and bread because we couldn’t afford anything else.</w:t>
      </w:r>
    </w:p>
    <w:p w14:paraId="7A238BE3" w14:textId="77777777" w:rsidR="000E055E" w:rsidRPr="000E055E" w:rsidRDefault="000E055E" w:rsidP="000E055E">
      <w:pPr>
        <w:pStyle w:val="VRGFBodycontent"/>
      </w:pPr>
      <w:r w:rsidRPr="000E055E">
        <w:t>This example was consistent with reports from community organisations who supply food parcels. The influence of gambling on demand for food parcels had been identified by their staff:</w:t>
      </w:r>
    </w:p>
    <w:p w14:paraId="40BA8F6E" w14:textId="77777777" w:rsidR="000E055E" w:rsidRPr="000E055E" w:rsidRDefault="000E055E" w:rsidP="005D2F4E">
      <w:pPr>
        <w:pStyle w:val="Quote"/>
      </w:pPr>
      <w:r w:rsidRPr="000E055E">
        <w:t>This year 40 per cent of people coming through have had - said that they're affected by someone else who's gambling.</w:t>
      </w:r>
    </w:p>
    <w:p w14:paraId="501D547D" w14:textId="362E0187" w:rsidR="000E055E" w:rsidRPr="000E055E" w:rsidRDefault="000E055E" w:rsidP="000E055E">
      <w:pPr>
        <w:pStyle w:val="VRGFBodycontent"/>
      </w:pPr>
      <w:r w:rsidRPr="000E055E">
        <w:t xml:space="preserve">These experiences pertaining to the ability to purchase food seldom occurred in isolation; the husband of a </w:t>
      </w:r>
      <w:r w:rsidR="00A52CB8">
        <w:t>female</w:t>
      </w:r>
      <w:r w:rsidR="00A52CB8" w:rsidRPr="000E055E">
        <w:t xml:space="preserve"> </w:t>
      </w:r>
      <w:r w:rsidRPr="000E055E">
        <w:t>experiencing problems with gambling described the effect on their utilities:</w:t>
      </w:r>
    </w:p>
    <w:p w14:paraId="103F1DF9" w14:textId="77777777" w:rsidR="000E055E" w:rsidRPr="000E055E" w:rsidRDefault="000E055E" w:rsidP="005D2F4E">
      <w:pPr>
        <w:pStyle w:val="Quote"/>
      </w:pPr>
      <w:r w:rsidRPr="000E055E">
        <w:t xml:space="preserve">We would be sitting and it would be literally like on TV, when you're sitting having dinner and the power goes out. I would look at her and I said, did you pay the bill? I paid it. So I would get on my mobile and ring around and find out that it hasn’t been paid for three months, that's why your power got cut off. Water, we had no water. I would be in the shower, and literally I was having a shower and the water stopped coming out. I walked outside and the guy said, well you haven’t paid your water bill. You’ve got to go and pay your water bill. </w:t>
      </w:r>
    </w:p>
    <w:p w14:paraId="606D95C6" w14:textId="77777777" w:rsidR="000E055E" w:rsidRPr="000E055E" w:rsidRDefault="000E055E" w:rsidP="000E055E">
      <w:pPr>
        <w:pStyle w:val="VRGFBodycontent"/>
      </w:pPr>
      <w:r w:rsidRPr="000E055E">
        <w:t>This participant also described the inability to pay for petrol to get to work:</w:t>
      </w:r>
    </w:p>
    <w:p w14:paraId="6717AF3C" w14:textId="77777777" w:rsidR="000E055E" w:rsidRPr="000E055E" w:rsidRDefault="000E055E" w:rsidP="005D2F4E">
      <w:pPr>
        <w:pStyle w:val="Quote"/>
      </w:pPr>
      <w:r w:rsidRPr="000E055E">
        <w:t xml:space="preserve">I remember ringing one of my customers and said, look I honestly can't make it today, I've got no gas. He said, well if you can get here, I will fill your wagon up. I </w:t>
      </w:r>
      <w:r w:rsidRPr="000E055E">
        <w:lastRenderedPageBreak/>
        <w:t>just need you here. So I managed to get there and I was lucky enough that this particular company filled my wagon up and he said, now come for the rest of the week, I don’t care. They just needed the job done.</w:t>
      </w:r>
    </w:p>
    <w:p w14:paraId="12AA76A1" w14:textId="77777777" w:rsidR="000E055E" w:rsidRPr="000E055E" w:rsidRDefault="000E055E" w:rsidP="000E055E">
      <w:pPr>
        <w:pStyle w:val="VRGFBodycontent"/>
      </w:pPr>
      <w:r w:rsidRPr="000E055E">
        <w:t>A female participant who had experienced problems with gambling reported similar experiences, and the effect on her relationship:</w:t>
      </w:r>
    </w:p>
    <w:p w14:paraId="3095AC32" w14:textId="77777777" w:rsidR="000E055E" w:rsidRPr="000E055E" w:rsidRDefault="000E055E" w:rsidP="005D2F4E">
      <w:pPr>
        <w:pStyle w:val="Quote"/>
      </w:pPr>
      <w:r w:rsidRPr="000E055E">
        <w:t>I was spending money on - that I was supposed to be putting in for the housekeeping, and food and rent and all that, power and all that. The next thing I'm getting the power cut off, getting eviction notices from the house, and - which put stress on my relationship with my partner. Then, well, I was told to get lost.</w:t>
      </w:r>
    </w:p>
    <w:p w14:paraId="78FBCC5B" w14:textId="77777777" w:rsidR="000E055E" w:rsidRPr="000E055E" w:rsidRDefault="000E055E" w:rsidP="000E055E">
      <w:pPr>
        <w:pStyle w:val="VRGFBodycontent"/>
      </w:pPr>
      <w:r w:rsidRPr="000E055E">
        <w:t>The second-order harms of these experiences were significant, especially in relation to relationships and emotional harms. Given this compound impact of financial deprivations, relationship stress and emotional distress, it is unsurprising that these harms precipitated treatment or assistance seeking.</w:t>
      </w:r>
    </w:p>
    <w:p w14:paraId="29E28A09" w14:textId="77777777" w:rsidR="005D2F4E" w:rsidRDefault="005D2F4E" w:rsidP="000E055E">
      <w:pPr>
        <w:pStyle w:val="VRGFBodycontent"/>
        <w:rPr>
          <w:i/>
          <w:iCs/>
        </w:rPr>
      </w:pPr>
    </w:p>
    <w:p w14:paraId="6EDBC939" w14:textId="11C672FB" w:rsidR="000E055E" w:rsidRPr="000E055E" w:rsidRDefault="000E055E" w:rsidP="005D2F4E">
      <w:pPr>
        <w:pStyle w:val="VRGFHead5"/>
      </w:pPr>
      <w:r w:rsidRPr="000E055E">
        <w:t>Differences in the experience of general financial harm</w:t>
      </w:r>
    </w:p>
    <w:p w14:paraId="00C38DD1" w14:textId="1DFD60BA" w:rsidR="000E055E" w:rsidRPr="000E055E" w:rsidRDefault="000E055E" w:rsidP="000E055E">
      <w:pPr>
        <w:pStyle w:val="VRGFBodycontent"/>
      </w:pPr>
      <w:r w:rsidRPr="000E055E">
        <w:t xml:space="preserve">Whilst a clear trajectory of harm has been previously identified (Langham et al., 2016), and the reporting within this phase was consistent with that trajectory, the experience of these harms is very subjective. Previous levels of socio-economic status or deprivation meant individuals or families may already be living without discretionary income or savings, already be relying on credit to help manage their financial demands, or even struggling to meet all their expenses. A number of participants identified the experience of financial struggles as a motivator to gamble in order to secure their financial future. Additionally, the earlier levels of the trajectory could be distorted by funds and debt generation efforts by the person who gambles, with affected others unaware of the harm until an immediate consequence (e.g. the power being cut off or being evicted) is experienced. This has been described as a </w:t>
      </w:r>
      <w:r w:rsidRPr="000E055E">
        <w:rPr>
          <w:i/>
        </w:rPr>
        <w:t>house of cards</w:t>
      </w:r>
      <w:r w:rsidRPr="000E055E">
        <w:t xml:space="preserve"> (Langham et al., 2016) and tended to occur when the person who gambled was also the only one in the relationship or family who controlled the money or when money was kept separate within relationships. A </w:t>
      </w:r>
      <w:r w:rsidR="00A52CB8">
        <w:t>female</w:t>
      </w:r>
      <w:r w:rsidR="00A52CB8" w:rsidRPr="000E055E">
        <w:t xml:space="preserve"> </w:t>
      </w:r>
      <w:r w:rsidRPr="000E055E">
        <w:t xml:space="preserve">whose partner was experiencing problems with gambling described finding out the severity of his financial situation: </w:t>
      </w:r>
    </w:p>
    <w:p w14:paraId="69243303" w14:textId="77777777" w:rsidR="000E055E" w:rsidRPr="000E055E" w:rsidRDefault="000E055E" w:rsidP="005D2F4E">
      <w:pPr>
        <w:pStyle w:val="Quote"/>
      </w:pPr>
      <w:r w:rsidRPr="000E055E">
        <w:t xml:space="preserve">Well obviously there's a lot of secrecy around it, so I didn't notice anything until he was incredibly distraught and in tears and almost in paralysis with emotion. He had lots of bank loans that were owing or loan shark loans that were owing. We were about to move into a new place together, and he had no money to pay for the rent or the deposit or anything like that. So that was probably the first time when he told me what was going on. He was very cagey about - there was something fishy going on with money. He never seemed to have any, but he didn't seem to spend any either. </w:t>
      </w:r>
    </w:p>
    <w:p w14:paraId="0535CCB9" w14:textId="77777777" w:rsidR="005D2F4E" w:rsidRDefault="005D2F4E" w:rsidP="000E055E">
      <w:pPr>
        <w:pStyle w:val="VRGFBodycontent"/>
        <w:rPr>
          <w:i/>
          <w:iCs/>
        </w:rPr>
      </w:pPr>
    </w:p>
    <w:p w14:paraId="2CC5DAC0" w14:textId="71E08F90" w:rsidR="000E055E" w:rsidRPr="000E055E" w:rsidRDefault="000E055E" w:rsidP="005D2F4E">
      <w:pPr>
        <w:pStyle w:val="VRGFHead5"/>
      </w:pPr>
      <w:r w:rsidRPr="000E055E">
        <w:t>Crisis level financial harms</w:t>
      </w:r>
    </w:p>
    <w:p w14:paraId="3D65C2D4" w14:textId="1C747A64" w:rsidR="000E055E" w:rsidRPr="000E055E" w:rsidRDefault="000E055E" w:rsidP="000E055E">
      <w:pPr>
        <w:pStyle w:val="VRGFBodycontent"/>
      </w:pPr>
      <w:r w:rsidRPr="000E055E">
        <w:t xml:space="preserve">When financial harm reaches a point at which people can no longer tolerate the impact, it creates a temporal point of significance, referred to as a crisis level of harm (Langham et al., 2016), which motivates some form of behavioural change. For many of the participants in this study, that point of significance related to the loss of their ability to purchase items of immediate consequence, whilst </w:t>
      </w:r>
      <w:r w:rsidRPr="000E055E">
        <w:lastRenderedPageBreak/>
        <w:t xml:space="preserve">others were still able to meet those expenses, but lost an asset of significant value, such as a house, car or business. This loss could be triggered through increasing intensity of gambling behaviour over a period of time. A </w:t>
      </w:r>
      <w:r w:rsidR="00A52CB8">
        <w:t>female</w:t>
      </w:r>
      <w:r w:rsidR="00A52CB8" w:rsidRPr="000E055E">
        <w:t xml:space="preserve"> </w:t>
      </w:r>
      <w:r w:rsidRPr="000E055E">
        <w:t xml:space="preserve">whose husband’s gambling had a significant effect on them financially, described a similar experience for her sister who lived in Australia: </w:t>
      </w:r>
    </w:p>
    <w:p w14:paraId="03F01902" w14:textId="77777777" w:rsidR="000E055E" w:rsidRPr="000E055E" w:rsidRDefault="000E055E" w:rsidP="005D2F4E">
      <w:pPr>
        <w:pStyle w:val="Quote"/>
      </w:pPr>
      <w:r w:rsidRPr="000E055E">
        <w:t xml:space="preserve">My sisters live in Australia ... my sister … she was really against all this pokies and all that. Slowly my brother used to go and they used to have a lot of fight. Now my sister's started going to the TABs and she is one of the biggest one doing gambling. She is working, she's ... and every time she says the club is her home. They actually … had a house. They bought a house and both of them go to the club and they borrow money off the house. Just last year their house got repossessed. That's the effect. </w:t>
      </w:r>
    </w:p>
    <w:p w14:paraId="2CFC1AF9" w14:textId="77777777" w:rsidR="000E055E" w:rsidRPr="000E055E" w:rsidRDefault="000E055E" w:rsidP="000E055E">
      <w:pPr>
        <w:pStyle w:val="VRGFBodycontent"/>
      </w:pPr>
      <w:r w:rsidRPr="000E055E">
        <w:t>The sister who was on the cusp of retiring had lost an important asset at a time in her life where she could not recover financially, going from owning a home to renting</w:t>
      </w:r>
      <w:r w:rsidRPr="000E055E">
        <w:rPr>
          <w:i/>
        </w:rPr>
        <w:t xml:space="preserve">. </w:t>
      </w:r>
      <w:r w:rsidRPr="000E055E">
        <w:t>Similar large scale losses were also reported from episodes of binge gambling. Binge gambling</w:t>
      </w:r>
      <w:r w:rsidRPr="000E055E">
        <w:rPr>
          <w:vertAlign w:val="superscript"/>
        </w:rPr>
        <w:footnoteReference w:id="10"/>
      </w:r>
      <w:r w:rsidRPr="000E055E">
        <w:t xml:space="preserve"> was not reported sufficiently within the sample to be able to fully consider the unique way it may create gambling-related harm in comparison to more regular gambling; however, the effect in this instance was of a comparable magnitude. An affected other described the experience of extreme binge gambling from his wife, whom he reported had previously only played the pokies occasionally and spent very small amounts of money: </w:t>
      </w:r>
    </w:p>
    <w:p w14:paraId="5EA3939A" w14:textId="77777777" w:rsidR="000E055E" w:rsidRPr="000E055E" w:rsidRDefault="000E055E" w:rsidP="005D2F4E">
      <w:pPr>
        <w:pStyle w:val="Quote"/>
      </w:pPr>
      <w:r w:rsidRPr="000E055E">
        <w:t>Well, one particular Friday she went to work and she left home at quarter past six. Her boss rang at 7:30 and asked, where is she? We didn’t hear from her for three days. What she had done, she had picked up one of her workmates and her workmate talked her into going to the casino in Auckland and they spent three days in there. I couldn’t do anything for 48 hours. I had contacted the police because I had no idea where she was. They finally found her at the casino. When I realised she was at the casino, I found out she had spent $12,000 over the three days.</w:t>
      </w:r>
    </w:p>
    <w:p w14:paraId="44627048" w14:textId="77777777" w:rsidR="000E055E" w:rsidRPr="000E055E" w:rsidRDefault="000E055E" w:rsidP="000E055E">
      <w:pPr>
        <w:pStyle w:val="VRGFBodycontent"/>
      </w:pPr>
      <w:r w:rsidRPr="000E055E">
        <w:t xml:space="preserve">This was the first of three binge gambling examples that had profound effects: </w:t>
      </w:r>
    </w:p>
    <w:p w14:paraId="0F7A653B" w14:textId="77777777" w:rsidR="000E055E" w:rsidRPr="000E055E" w:rsidRDefault="000E055E" w:rsidP="005D2F4E">
      <w:pPr>
        <w:pStyle w:val="Quote"/>
      </w:pPr>
      <w:r w:rsidRPr="000E055E">
        <w:t xml:space="preserve">But as it escalated, like I said, over the three visits to the casino, I owned my own company ... My wife was a director and it took me nearly two and a half years before I removed her as a director because she had access to my funding. Yeah, and that's where the biggest problem started because my business started to suffer. My bills, my business bills weren't getting paid. Her wages were to take care of the mortgage and that wasn’t getting paid either. So I ended up working extra hours just to cover the mortgage and my business expenses. …The first time she went she spent $12,000 in one weekend at the casino. Then almost a year later or about 18 months later she spent $35,000 and then it wasn’t until she went to [city] with her sister that my accountant rung me up and said, your account has been drained. There is $50,000 missing. It wasn’t until then that I realised that she was still doing it. </w:t>
      </w:r>
    </w:p>
    <w:p w14:paraId="658A5190" w14:textId="77777777" w:rsidR="000E055E" w:rsidRDefault="000E055E" w:rsidP="000E055E">
      <w:pPr>
        <w:pStyle w:val="VRGFBodycontent"/>
      </w:pPr>
      <w:r w:rsidRPr="000E055E">
        <w:t xml:space="preserve">Ultimately they lost their home as well. The potential for financial harm in a single binge episode is significant and differences between those who gamble between binges and those who do not </w:t>
      </w:r>
      <w:r w:rsidRPr="000E055E">
        <w:lastRenderedPageBreak/>
        <w:t xml:space="preserve">warrants further research to determine differences in motivation, play behaviour and the experiences of harm. Whilst the harms themselves may be the same as for those who gamble regularly, there was some suggestion that for less intense binge gamblers that there is a period of increased deprivation following a binge whilst they </w:t>
      </w:r>
      <w:r w:rsidRPr="000E055E">
        <w:rPr>
          <w:i/>
        </w:rPr>
        <w:t>recover</w:t>
      </w:r>
      <w:r w:rsidRPr="000E055E">
        <w:t>, then the financial situation is somewhat normalised until the next binge episode.</w:t>
      </w:r>
    </w:p>
    <w:p w14:paraId="4EF08245" w14:textId="77777777" w:rsidR="005D2F4E" w:rsidRPr="000E055E" w:rsidRDefault="005D2F4E" w:rsidP="000E055E">
      <w:pPr>
        <w:pStyle w:val="VRGFBodycontent"/>
      </w:pPr>
    </w:p>
    <w:p w14:paraId="0667E5F2" w14:textId="6FF3C5FE" w:rsidR="000E055E" w:rsidRPr="000E055E" w:rsidRDefault="000E055E" w:rsidP="005D2F4E">
      <w:pPr>
        <w:pStyle w:val="VRGFHead5"/>
      </w:pPr>
      <w:r w:rsidRPr="000E055E">
        <w:t>Legacy financial harms</w:t>
      </w:r>
    </w:p>
    <w:p w14:paraId="5AED2637" w14:textId="77777777" w:rsidR="000E055E" w:rsidRPr="000E055E" w:rsidRDefault="000E055E" w:rsidP="000E055E">
      <w:pPr>
        <w:pStyle w:val="VRGFBodycontent"/>
      </w:pPr>
      <w:r w:rsidRPr="000E055E">
        <w:t>Financial harm could continue to a person who gambles or affected others even if the gambling behaviour ceases. These ongoing financial harms from past gambling behaviour have been described as legacy harms (Langham et al., 2016). In some circumstances, these harms related to strategies to manage gambling behaviour and minimise harm. An example of this was getting rid of ATM cards or reducing the amount of money they could access in daily transactions. A female currently in treatment explained the strategy she had utilised previously whilst living in Australia but she was not able to do in New Zealand:</w:t>
      </w:r>
    </w:p>
    <w:p w14:paraId="56DFF9C0" w14:textId="77777777" w:rsidR="000E055E" w:rsidRPr="000E055E" w:rsidRDefault="000E055E" w:rsidP="005D2F4E">
      <w:pPr>
        <w:pStyle w:val="Quote"/>
      </w:pPr>
      <w:r w:rsidRPr="000E055E">
        <w:t xml:space="preserve">I was able to limit my access to money by putting a hold as to how much I can take out of my account. I had put it at $100 which was way too much, because to me I had $40, I can still go to a pokie machine with $40 and that may be all the money I've got. So I put it at $100, which helped a lot, because it means I can't go and get hundreds and hundreds and hundreds and keep going back, couldn't do it here. Put a hold on just how much you – now why can't those little things which will help a gambler a hell of a lot. I mean I got to the stage now where like you, I have to get rid of my cards. It's very hard to get rid of cards, because you're rife with cards now. So if I want to go and get money and say I only want to get $40 and I've got to go to the bank to get just $40 to keep me in food or whatever. I'm going to have to pay them $3 to get that money out of the - so why can't little things like that be looked at to limit you. </w:t>
      </w:r>
    </w:p>
    <w:p w14:paraId="697D188F" w14:textId="77777777" w:rsidR="000E055E" w:rsidRPr="000E055E" w:rsidRDefault="000E055E" w:rsidP="000E055E">
      <w:pPr>
        <w:pStyle w:val="VRGFBodycontent"/>
      </w:pPr>
      <w:r w:rsidRPr="000E055E">
        <w:t>These strategies were important to participants in terms of avoiding relapse and managing their recovery without having to hand over their finances to someone else, or regaining control over their own finances. However, being financially disadvantaged, through additional banking fees, for trying to put harm minimisation strategies in place felt like a form of punishment and additional harm to some participants.</w:t>
      </w:r>
    </w:p>
    <w:p w14:paraId="7F240FAB" w14:textId="77777777" w:rsidR="000E055E" w:rsidRPr="000E055E" w:rsidRDefault="000E055E" w:rsidP="000E055E">
      <w:pPr>
        <w:pStyle w:val="VRGFBodycontent"/>
      </w:pPr>
      <w:r w:rsidRPr="000E055E">
        <w:t>Other financial legacy harms related to a bad credit history included having to pay higher rates of interest for credit facilities and more expensive pay-as-you-go options for utilities and communications. Financial counsellors reported this was a common impact on clients due to the improvement in credit reporting between utilities companies and credit reporting companies. The effect of this was experienced for five years after achieving stability, but relapses or other effects on finances could extend this. As one financial counsellor said “</w:t>
      </w:r>
      <w:r w:rsidRPr="000E055E">
        <w:rPr>
          <w:i/>
        </w:rPr>
        <w:t>their past always stays with them</w:t>
      </w:r>
      <w:r w:rsidRPr="000E055E">
        <w:t xml:space="preserve">”. For other participants their credit rating was so damaged from their financial difficulties and previous efforts to obtain funds that they could no longer secure credit through regulated commercial providers. Where this occurs it requires people to rely on informal lending through family, creating a further demand on them, or they rely on unregulated and illegal credit providers. Both of these options create the risk of second-order harms. One participant relayed the awkward feeling of having to get help from his parents as an adult: </w:t>
      </w:r>
    </w:p>
    <w:p w14:paraId="257A1EA4" w14:textId="77777777" w:rsidR="000E055E" w:rsidRPr="000E055E" w:rsidRDefault="000E055E" w:rsidP="005D2F4E">
      <w:pPr>
        <w:pStyle w:val="Quote"/>
      </w:pPr>
      <w:r w:rsidRPr="000E055E">
        <w:lastRenderedPageBreak/>
        <w:t xml:space="preserve">Yeah I can't get loans, can't get credit cards, can't - I've just had major work done on my car and I had at 42 years of age, I've had to go back and ask </w:t>
      </w:r>
      <w:r w:rsidRPr="005D2F4E">
        <w:t>mum</w:t>
      </w:r>
      <w:r w:rsidRPr="000E055E">
        <w:t xml:space="preserve"> and dad for some money to get the repairs done, because I can't get overdrawn or loan. </w:t>
      </w:r>
    </w:p>
    <w:p w14:paraId="58F63572" w14:textId="77777777" w:rsidR="000E055E" w:rsidRPr="000E055E" w:rsidRDefault="000E055E" w:rsidP="000E055E">
      <w:pPr>
        <w:pStyle w:val="VRGFBodycontent"/>
      </w:pPr>
      <w:r w:rsidRPr="000E055E">
        <w:t>The ongoing impact of legacy financial harms creates second-order harms related to shame and vulnerability. These are of importance as they create feelings of hopelessness and risk of relapse.</w:t>
      </w:r>
    </w:p>
    <w:p w14:paraId="650F4CF6" w14:textId="77777777" w:rsidR="005D2F4E" w:rsidRDefault="005D2F4E" w:rsidP="000E055E">
      <w:pPr>
        <w:pStyle w:val="VRGFBodycontent"/>
        <w:rPr>
          <w:i/>
          <w:iCs/>
        </w:rPr>
      </w:pPr>
    </w:p>
    <w:p w14:paraId="786D3545" w14:textId="6C52CDC6" w:rsidR="000E055E" w:rsidRPr="000E055E" w:rsidRDefault="000E055E" w:rsidP="005D2F4E">
      <w:pPr>
        <w:pStyle w:val="VRGFHead5"/>
      </w:pPr>
      <w:r w:rsidRPr="000E055E">
        <w:t>Community level financial harms</w:t>
      </w:r>
    </w:p>
    <w:p w14:paraId="10A196A0" w14:textId="77777777" w:rsidR="000E055E" w:rsidRPr="000E055E" w:rsidRDefault="000E055E" w:rsidP="000E055E">
      <w:pPr>
        <w:pStyle w:val="VRGFBodycontent"/>
      </w:pPr>
      <w:r w:rsidRPr="000E055E">
        <w:t xml:space="preserve">Financial harms at a community level can also be referred to as economic harms. Overall direct financial harms at the community level as previously defined (Langham et al., 2016) were not explicitly identified in the present data. Such harms were, however, implicitly identified through the direct costs of the provision of services, the indirect costs in terms of lost businesses and bankruptcy, and future costs in terms of increased welfare reliance and perpetuation of poverty. </w:t>
      </w:r>
    </w:p>
    <w:p w14:paraId="221C23A9" w14:textId="77777777" w:rsidR="000E055E" w:rsidRPr="000E055E" w:rsidRDefault="000E055E" w:rsidP="000E055E">
      <w:pPr>
        <w:pStyle w:val="VRGFBodycontent"/>
      </w:pPr>
      <w:r w:rsidRPr="000E055E">
        <w:t xml:space="preserve">In the present data, community level financial harms were reported as loss of capacity within communities to engage in non-gambling fundraising and biased redistribution of gambling funds. A consumer representative reported that they were starting to see some communities push back on this issue: </w:t>
      </w:r>
    </w:p>
    <w:p w14:paraId="2C90D254" w14:textId="77777777" w:rsidR="000E055E" w:rsidRPr="000E055E" w:rsidRDefault="000E055E" w:rsidP="005D2F4E">
      <w:pPr>
        <w:pStyle w:val="Quote"/>
      </w:pPr>
      <w:r w:rsidRPr="000E055E">
        <w:t>They're saying, the trust is saying we put all this money back to sport, and they're going yeah but do you know how hard it is for us to apply for our peewee football team to get this. Yet to get $1,000 grant, and we've got to jump through all these hoops. But you've given $250,000 to harness racing. So communities are actually starting to see that, people's eyes are opening to the realisation that no that money isn't staying in the community, it's actually going out of our community and we're losing it.</w:t>
      </w:r>
    </w:p>
    <w:p w14:paraId="4AE1A261" w14:textId="77777777" w:rsidR="000E055E" w:rsidRPr="000E055E" w:rsidRDefault="000E055E" w:rsidP="000E055E">
      <w:pPr>
        <w:pStyle w:val="VRGFBodycontent"/>
      </w:pPr>
      <w:r w:rsidRPr="000E055E">
        <w:t>This biased redistribution of funds was of particular priority within Māori and Pacific communities, where community gambling such as housie is a normal form of fund raising. A Māori researcher explained the experience of a number of communities:</w:t>
      </w:r>
    </w:p>
    <w:p w14:paraId="4D1F301D" w14:textId="77777777" w:rsidR="000E055E" w:rsidRPr="000E055E" w:rsidRDefault="000E055E" w:rsidP="005D2F4E">
      <w:pPr>
        <w:pStyle w:val="Quote"/>
      </w:pPr>
      <w:r w:rsidRPr="000E055E">
        <w:t>One of the things I’ve come across is that people, communities, have lost the ability to do their own fundraising, because they’re dependent on someone filling out an application. But when you get those community fliers in the newspaper ... and whatnot, you see pages and pages of who did get money, and you also see pages of who didn’t. Those are the ones I’m interested in, I look at them and see how many Māori communities applied and didn’t get the funding. But yet they probably contributed two thirds of the money.</w:t>
      </w:r>
    </w:p>
    <w:p w14:paraId="4085B050" w14:textId="77777777" w:rsidR="000E055E" w:rsidRPr="000E055E" w:rsidRDefault="000E055E" w:rsidP="000E055E">
      <w:pPr>
        <w:pStyle w:val="VRGFBodycontent"/>
      </w:pPr>
      <w:r w:rsidRPr="000E055E">
        <w:t>A Pacific researcher agreed:</w:t>
      </w:r>
    </w:p>
    <w:p w14:paraId="63C9B67E" w14:textId="77777777" w:rsidR="000E055E" w:rsidRPr="000E055E" w:rsidRDefault="000E055E" w:rsidP="005D2F4E">
      <w:pPr>
        <w:pStyle w:val="Quote"/>
      </w:pPr>
      <w:r w:rsidRPr="000E055E">
        <w:t>We have become dependent on those funds.</w:t>
      </w:r>
    </w:p>
    <w:p w14:paraId="4C6AD9E9" w14:textId="77777777" w:rsidR="000E055E" w:rsidRPr="000E055E" w:rsidRDefault="000E055E" w:rsidP="000E055E">
      <w:pPr>
        <w:pStyle w:val="VRGFBodycontent"/>
      </w:pPr>
      <w:r w:rsidRPr="000E055E">
        <w:t xml:space="preserve">A number of participants involved in policy and research also echoed these sentiments. Some reported that the issue of biased redistribution of gambling funds had been investigated, and the findings suggested that it had to do with the quality of the applications received. However this relied </w:t>
      </w:r>
      <w:r w:rsidRPr="000E055E">
        <w:lastRenderedPageBreak/>
        <w:t>on human capital</w:t>
      </w:r>
      <w:r w:rsidRPr="000E055E">
        <w:rPr>
          <w:vertAlign w:val="superscript"/>
        </w:rPr>
        <w:footnoteReference w:id="11"/>
      </w:r>
      <w:r w:rsidRPr="000E055E">
        <w:t xml:space="preserve"> within a community to be able to produce applications of a suitable quality and most of the communities that had the greatest need for the funding had the lowest levels of human capital. It was identified that for many of these communities gambling erodes factors that contribute to social capital</w:t>
      </w:r>
      <w:r w:rsidRPr="000E055E">
        <w:rPr>
          <w:vertAlign w:val="superscript"/>
        </w:rPr>
        <w:footnoteReference w:id="12"/>
      </w:r>
      <w:r w:rsidRPr="000E055E">
        <w:t xml:space="preserve"> – also needed to secure these grants. This created a cycle of inequity and perpetuated deprivation. The communities most affected by gambling and, therefore, needing the assistance, lacked the resources (human and social capital) to be able to compete for funding, partly because of gambling. Furthermore, the failure to secure the funding to support community clubs had an additional detrimental impact on social capital, further contributing to this cycle of inequity. As participants in the expert groups expressed:</w:t>
      </w:r>
    </w:p>
    <w:p w14:paraId="3A36AD31" w14:textId="77777777" w:rsidR="000E055E" w:rsidRPr="000E055E" w:rsidRDefault="000E055E" w:rsidP="005D2F4E">
      <w:pPr>
        <w:pStyle w:val="Quote"/>
      </w:pPr>
      <w:r w:rsidRPr="000E055E">
        <w:t xml:space="preserve">...we've done quite a bit of work around...looking at grants back into communities and why societies aren’t giving money back to some of them. ...The applications aren’t coming through at the right kind of level, we can work with some of these groups. But because they're new groups, they’re forever changing... We don't get the right information back after compliance or it’s not used in the right way. So it's really interesting that here’s the people that need it the most, who need a different level of support to actually make application and meet the compliance. </w:t>
      </w:r>
    </w:p>
    <w:p w14:paraId="5E9EF9B4" w14:textId="77777777" w:rsidR="000E055E" w:rsidRPr="000E055E" w:rsidRDefault="000E055E" w:rsidP="005D2F4E">
      <w:pPr>
        <w:pStyle w:val="Quote"/>
      </w:pPr>
      <w:r w:rsidRPr="000E055E">
        <w:t xml:space="preserve">It’s a barrier already there. </w:t>
      </w:r>
    </w:p>
    <w:p w14:paraId="13DE647B" w14:textId="77777777" w:rsidR="000E055E" w:rsidRPr="000E055E" w:rsidRDefault="000E055E" w:rsidP="000E055E">
      <w:pPr>
        <w:pStyle w:val="VRGFBodycontent"/>
      </w:pPr>
      <w:r w:rsidRPr="000E055E">
        <w:t xml:space="preserve">At a community level there is an opportunity to address financial harm caused through exacerbation of inequity and erosion of social capital, both of which arguably contribute to and are perpetuated by commercial gambling, by addressing the role of gambling in redistributing funds in a biased way. </w:t>
      </w:r>
    </w:p>
    <w:p w14:paraId="3FAD2595" w14:textId="77777777" w:rsidR="005D2F4E" w:rsidRPr="005D2F4E" w:rsidRDefault="005D2F4E" w:rsidP="000E055E">
      <w:pPr>
        <w:pStyle w:val="VRGFBodycontent"/>
        <w:rPr>
          <w:iCs/>
        </w:rPr>
      </w:pPr>
    </w:p>
    <w:p w14:paraId="55C18059" w14:textId="100EB64B" w:rsidR="000E055E" w:rsidRPr="000E055E" w:rsidRDefault="000E055E" w:rsidP="005D2F4E">
      <w:pPr>
        <w:pStyle w:val="VRGFHead5"/>
      </w:pPr>
      <w:r w:rsidRPr="000E055E">
        <w:t>Cultural differences in the experience of financial harms</w:t>
      </w:r>
    </w:p>
    <w:p w14:paraId="7B65C2FA" w14:textId="77777777" w:rsidR="000E055E" w:rsidRPr="000E055E" w:rsidRDefault="000E055E" w:rsidP="000E055E">
      <w:pPr>
        <w:pStyle w:val="VRGFBodycontent"/>
      </w:pPr>
      <w:r w:rsidRPr="000E055E">
        <w:t>It is important to separate cultural harms, addressed later in this chapter, from cultural beliefs and practices that may influence gambling-related risks, vulnerabilities and harms. Cultural harms are outcomes that create a decrement to health and wellbeing within a person’s cultural beliefs, practices, identity and connection. Cultural beliefs and practices were also identified as creating differences in the vulnerability to harmful gambling and the experiences of resultant financial harms.</w:t>
      </w:r>
    </w:p>
    <w:p w14:paraId="09F5D933" w14:textId="3B88185C" w:rsidR="000E055E" w:rsidRPr="000E055E" w:rsidRDefault="000E055E" w:rsidP="000E055E">
      <w:pPr>
        <w:pStyle w:val="VRGFBodycontent"/>
      </w:pPr>
      <w:r w:rsidRPr="000E055E">
        <w:t xml:space="preserve">Analysis of the present data found that differences in risk and vulnerability between cultures related to: </w:t>
      </w:r>
    </w:p>
    <w:p w14:paraId="379A2E0E" w14:textId="77777777" w:rsidR="000E055E" w:rsidRPr="000E055E" w:rsidRDefault="000E055E" w:rsidP="009007B8">
      <w:pPr>
        <w:pStyle w:val="VRGFBulletedlist"/>
      </w:pPr>
      <w:r w:rsidRPr="000E055E">
        <w:t>Perceived difference between community-based gambling and commercially provided gambling.</w:t>
      </w:r>
    </w:p>
    <w:p w14:paraId="30E58F3A" w14:textId="77777777" w:rsidR="000E055E" w:rsidRPr="000E055E" w:rsidRDefault="000E055E" w:rsidP="009007B8">
      <w:pPr>
        <w:pStyle w:val="VRGFBulletedlist"/>
      </w:pPr>
      <w:r w:rsidRPr="000E055E">
        <w:lastRenderedPageBreak/>
        <w:t xml:space="preserve">Collective cultural practices in relation to the sharing of financial resources. </w:t>
      </w:r>
    </w:p>
    <w:p w14:paraId="71B46A20" w14:textId="77777777" w:rsidR="000E055E" w:rsidRPr="000E055E" w:rsidRDefault="000E055E" w:rsidP="009007B8">
      <w:pPr>
        <w:pStyle w:val="VRGFBulletedlist"/>
      </w:pPr>
      <w:r w:rsidRPr="000E055E">
        <w:t xml:space="preserve">Vulnerability of new migrants resulting from acculturation processes. </w:t>
      </w:r>
    </w:p>
    <w:p w14:paraId="31584776" w14:textId="77777777" w:rsidR="000E055E" w:rsidRPr="000E055E" w:rsidRDefault="000E055E" w:rsidP="009007B8">
      <w:pPr>
        <w:pStyle w:val="Quote"/>
      </w:pPr>
      <w:r w:rsidRPr="000E055E">
        <w:t>We have a couple of Asian clients at the moment who are really, really bad gamblers. It’s not so much about the asking for money and stuff, it’s more that it’s normalised. When they came to New Zealand it’s normalised that that's how they interact with each other. Dad takes son to the casino and that’s their fun time. So it’s not noticed in the family or the culture as a problem, because it’s what people do. They don't go New Zealand culture, you have drinks on Friday after work. For them it’s well on Friday night you go to the casino and you spend $50 grand. So…</w:t>
      </w:r>
    </w:p>
    <w:p w14:paraId="59BC0823" w14:textId="77777777" w:rsidR="009007B8" w:rsidRDefault="009007B8" w:rsidP="000E055E">
      <w:pPr>
        <w:pStyle w:val="VRGFBodycontent"/>
      </w:pPr>
    </w:p>
    <w:p w14:paraId="22BA3AD5" w14:textId="77777777" w:rsidR="000E055E" w:rsidRPr="000E055E" w:rsidRDefault="000E055E" w:rsidP="000E055E">
      <w:pPr>
        <w:pStyle w:val="VRGFBodycontent"/>
      </w:pPr>
      <w:r w:rsidRPr="000E055E">
        <w:t xml:space="preserve">Differences in the experience of harm related to: </w:t>
      </w:r>
    </w:p>
    <w:p w14:paraId="5D6FC35C" w14:textId="77777777" w:rsidR="000E055E" w:rsidRPr="000E055E" w:rsidRDefault="000E055E" w:rsidP="009007B8">
      <w:pPr>
        <w:pStyle w:val="VRGFBulletedlist"/>
      </w:pPr>
      <w:r w:rsidRPr="000E055E">
        <w:t>The amount of harm experienced due to the vulnerabilities identified above.</w:t>
      </w:r>
    </w:p>
    <w:p w14:paraId="23A6934A" w14:textId="77777777" w:rsidR="000E055E" w:rsidRPr="000E055E" w:rsidRDefault="000E055E" w:rsidP="009007B8">
      <w:pPr>
        <w:pStyle w:val="VRGFBulletedlist"/>
      </w:pPr>
      <w:r w:rsidRPr="000E055E">
        <w:t>The way in which harms spread from the person who gambles (the index case) to their family and community.</w:t>
      </w:r>
    </w:p>
    <w:p w14:paraId="486D42D1" w14:textId="77777777" w:rsidR="000E055E" w:rsidRPr="000E055E" w:rsidRDefault="000E055E" w:rsidP="009007B8">
      <w:pPr>
        <w:pStyle w:val="VRGFBulletedlist"/>
      </w:pPr>
      <w:r w:rsidRPr="000E055E">
        <w:t xml:space="preserve">Differences in social structures between western and collectivist cultures. </w:t>
      </w:r>
    </w:p>
    <w:p w14:paraId="22A929F7" w14:textId="77777777" w:rsidR="000E055E" w:rsidRPr="000E055E" w:rsidRDefault="000E055E" w:rsidP="000E055E">
      <w:pPr>
        <w:pStyle w:val="VRGFBodycontent"/>
      </w:pPr>
      <w:r w:rsidRPr="000E055E">
        <w:t xml:space="preserve">Influences of culture on gambling and its normalisation have been noted among Māori and Pacific communities (Bellringer, Fa’amatuainu, Taylor, Coombes, Poon, &amp; Abbott, 2013; SHORE &amp; Te Rōpū Whāriki, 2006; Urale, Bellringer, Landon &amp; Abbott, 2015) often because of the popularity of housie and other fundraising practices within the church communities. </w:t>
      </w:r>
    </w:p>
    <w:p w14:paraId="4EBB9AA2" w14:textId="77777777" w:rsidR="000E055E" w:rsidRPr="000E055E" w:rsidRDefault="000E055E" w:rsidP="000E055E">
      <w:pPr>
        <w:pStyle w:val="VRGFBodycontent"/>
      </w:pPr>
      <w:r w:rsidRPr="000E055E">
        <w:t>The data showed that some cultural practices could increase risk, for instance, normalising gambling as a means to generate funds and inadvertently increasing risk of financial harms. Within Pacific communities, fa’alavelave</w:t>
      </w:r>
      <w:r w:rsidRPr="000E055E">
        <w:rPr>
          <w:vertAlign w:val="superscript"/>
        </w:rPr>
        <w:footnoteReference w:id="13"/>
      </w:r>
      <w:r w:rsidRPr="000E055E">
        <w:t xml:space="preserve"> (gift giving), where people ask for money often for special occasions, although intended to contribute to the collective wellbeing may inadvertently allow a problem to continue or go unnoticed for longer; the longer the delay the more harm: </w:t>
      </w:r>
    </w:p>
    <w:p w14:paraId="0E2811A5" w14:textId="77777777" w:rsidR="000E055E" w:rsidRPr="000E055E" w:rsidRDefault="000E055E" w:rsidP="009007B8">
      <w:pPr>
        <w:pStyle w:val="Quote"/>
      </w:pPr>
      <w:r w:rsidRPr="000E055E">
        <w:t>So there’s your immediate, there’s your related blood family, then there’s your village family and then your country family, on migration to a whole new country. So in essence that means a Pacific problem gambler has several people to go to. So what I've suggested is that delays the identification of problem gambling… Although in the Pacific context, people come and ask for money often, and it’s called fa’alavelave. Where we contribute to the collective wellbeing and to collective events et cetera. Often it’s not questioned when people come along and ask for assistance or for some monetary support. So for a problem gambler not being asked why you want money, has again huge implications for that individual, their family.</w:t>
      </w:r>
    </w:p>
    <w:p w14:paraId="3239A3C9" w14:textId="77777777" w:rsidR="000E055E" w:rsidRPr="000E055E" w:rsidRDefault="000E055E" w:rsidP="009007B8">
      <w:pPr>
        <w:pStyle w:val="Quote"/>
      </w:pPr>
      <w:r w:rsidRPr="000E055E">
        <w:lastRenderedPageBreak/>
        <w:t>…because people won't question other people when they come for money, would that allow a problem to... Continue ... Or to go unnoticed… The longer it’s delayed the more harm that’s going on.</w:t>
      </w:r>
    </w:p>
    <w:p w14:paraId="1D90FD8F" w14:textId="77777777" w:rsidR="009007B8" w:rsidRDefault="009007B8" w:rsidP="000E055E">
      <w:pPr>
        <w:pStyle w:val="VRGFBodycontent"/>
      </w:pPr>
    </w:p>
    <w:p w14:paraId="684D1C60" w14:textId="578B4C35" w:rsidR="000E055E" w:rsidRPr="000E055E" w:rsidRDefault="000E055E" w:rsidP="009007B8">
      <w:pPr>
        <w:pStyle w:val="VRGFHead4"/>
      </w:pPr>
      <w:r w:rsidRPr="000E055E">
        <w:t>Relationship harms</w:t>
      </w:r>
    </w:p>
    <w:p w14:paraId="71467E37" w14:textId="77777777" w:rsidR="000E055E" w:rsidRPr="000E055E" w:rsidRDefault="000E055E" w:rsidP="000E055E">
      <w:pPr>
        <w:pStyle w:val="VRGFBodycontent"/>
      </w:pPr>
      <w:r w:rsidRPr="000E055E">
        <w:t xml:space="preserve">Relationship harms refer to those harms that affect the relationships between people who gamble and their affected others. Relationship harms have been identified as occurring at differing levels, labelled as ‘disruption’, ‘conflict’ or ‘breakdown’ (Langham et al., 2016). Disrupted relationships refers to a loss of the normal functioning of the relationship; conflict refers to the manifestation of disagreement or argument; and breakdown refers to the loss or estrangement of the relationship. Again, these levels are not a continuum and the harms can manifest across or within the levels dependent on other factors. In an Australian context, relationship harms were found to be related to loss of time available from the person who gambles, loss of trust within the relationship, inequality in the amount of engagement and effort put into the relationship, and differences in perceptions of acceptable and deviant behaviour (Langham et al., 2016). By comparison, participants in this New Zealand study gave a much greater level of priority to relationship harms, more so than financial harms. This was consistent across the cultural groups and may be reflective of the influence of collectivist and family-centred cultures on the broader population. Furthermore the consistency was seen across the differing levels of gambling behaviour, and also from participants who were affected others. In a group of participants currently engaged in treatment, financial harm was not the focus, although people spoke of the amounts lost. Relationships were the more resonant harm. The sense of the financial harms being more quickly normalised within the experience, they became more distal, whilst the people, and subsequently the relationships remained salient. As one participant explained: </w:t>
      </w:r>
    </w:p>
    <w:p w14:paraId="38650109" w14:textId="77777777" w:rsidR="000E055E" w:rsidRPr="000E055E" w:rsidRDefault="000E055E" w:rsidP="009007B8">
      <w:pPr>
        <w:pStyle w:val="Quote"/>
      </w:pPr>
      <w:r w:rsidRPr="000E055E">
        <w:t>… it's not about the money and I've lost thousands over the last few years. But I've learnt you know you never get it back. It becomes just numbers, it's not real money. But I have a partner, a lovely woman and I betrayed her several times as far as I think, this lady talked about the trust. You don't trust yourself and how can she trust you and my children are sick of hearing about me going back to the pokies.</w:t>
      </w:r>
    </w:p>
    <w:p w14:paraId="15E59641" w14:textId="77777777" w:rsidR="000E055E" w:rsidRPr="000E055E" w:rsidRDefault="000E055E" w:rsidP="000E055E">
      <w:pPr>
        <w:pStyle w:val="VRGFBodycontent"/>
      </w:pPr>
      <w:r w:rsidRPr="000E055E">
        <w:t xml:space="preserve">Another male participant who had experienced a lot of harm and was still seeking support from treatment providers had similar regrets around relationship harm: </w:t>
      </w:r>
    </w:p>
    <w:p w14:paraId="23C2093E" w14:textId="77777777" w:rsidR="000E055E" w:rsidRPr="000E055E" w:rsidRDefault="000E055E" w:rsidP="009007B8">
      <w:pPr>
        <w:pStyle w:val="Quote"/>
      </w:pPr>
      <w:r w:rsidRPr="000E055E">
        <w:t xml:space="preserve">Yeah I'd give all the money I had, just to get my relationships back. It wouldn't matter if I ended up broke, just to get my relationships back, that would be more important to me than the money I lost, or I went to prison or shame or anything like that, or the guilt. The trust I don't have any more, people who don't trust me, I'd give all my money away just to get three relationships back yeah. So that's what it means to me, relationships more than anything else. </w:t>
      </w:r>
    </w:p>
    <w:p w14:paraId="65E949E4" w14:textId="77777777" w:rsidR="000E055E" w:rsidRPr="000E055E" w:rsidRDefault="000E055E" w:rsidP="000E055E">
      <w:pPr>
        <w:pStyle w:val="VRGFBodycontent"/>
      </w:pPr>
      <w:r w:rsidRPr="000E055E">
        <w:t xml:space="preserve">This sentiment of the importance of relationships was echoed by others who had experienced significant harm from both their own gambling and other people’s gambling. </w:t>
      </w:r>
    </w:p>
    <w:p w14:paraId="41C49CC6" w14:textId="6F1B4694" w:rsidR="000E055E" w:rsidRPr="000E055E" w:rsidRDefault="000E055E" w:rsidP="000E055E">
      <w:pPr>
        <w:pStyle w:val="VRGFBodycontent"/>
      </w:pPr>
      <w:r w:rsidRPr="000E055E">
        <w:t xml:space="preserve">An affected other who described significant harms to an extended family from her sister-in-law’s gambling (which included theft, estrangement, and fraud), in hindsight, identified that the greatest harm to her was the loss of her friendship with her sister -in-law. A </w:t>
      </w:r>
      <w:r w:rsidR="00A52CB8">
        <w:t>female</w:t>
      </w:r>
      <w:r w:rsidR="00A52CB8" w:rsidRPr="000E055E">
        <w:t xml:space="preserve"> </w:t>
      </w:r>
      <w:r w:rsidRPr="000E055E">
        <w:t>whose husband’s gambling resulted in substantial financial losses described the most significant harm to her as follows:</w:t>
      </w:r>
    </w:p>
    <w:p w14:paraId="2EBF35D1" w14:textId="77777777" w:rsidR="000E055E" w:rsidRPr="000E055E" w:rsidRDefault="000E055E" w:rsidP="009007B8">
      <w:pPr>
        <w:pStyle w:val="Quote"/>
      </w:pPr>
      <w:r w:rsidRPr="000E055E">
        <w:lastRenderedPageBreak/>
        <w:t>It's probably the trust. Yeah. I'd say that because I can't trust him. You give him money and then you worry what's he going to do with that. What else - can't trust - you lose that trust. Financially we were living on - renting or owning a house, it's just four walls, doesn't matter.</w:t>
      </w:r>
    </w:p>
    <w:p w14:paraId="15F76FF0" w14:textId="77777777" w:rsidR="009007B8" w:rsidRDefault="009007B8" w:rsidP="000E055E">
      <w:pPr>
        <w:pStyle w:val="VRGFBodycontent"/>
        <w:rPr>
          <w:i/>
          <w:iCs/>
        </w:rPr>
      </w:pPr>
    </w:p>
    <w:p w14:paraId="78805D40" w14:textId="6C949CEC" w:rsidR="000E055E" w:rsidRPr="000E055E" w:rsidRDefault="000E055E" w:rsidP="009007B8">
      <w:pPr>
        <w:pStyle w:val="VRGFHead5"/>
      </w:pPr>
      <w:r w:rsidRPr="000E055E">
        <w:t>Relationship disruption</w:t>
      </w:r>
    </w:p>
    <w:p w14:paraId="6F8667A5" w14:textId="77777777" w:rsidR="000E055E" w:rsidRPr="000E055E" w:rsidRDefault="000E055E" w:rsidP="000E055E">
      <w:pPr>
        <w:pStyle w:val="VRGFBodycontent"/>
      </w:pPr>
      <w:r w:rsidRPr="000E055E">
        <w:t>Early experiences of harm were easily identified by treatment providers and people who were undergoing treatment, suggesting a level of self-awareness and insight had been gained during the treatment process. A treatment provider shared the collective experience of clients they had worked with over a number of years in terms of the early identification of relationship harms:</w:t>
      </w:r>
    </w:p>
    <w:p w14:paraId="1243077A" w14:textId="77777777" w:rsidR="000E055E" w:rsidRPr="000E055E" w:rsidRDefault="000E055E" w:rsidP="009007B8">
      <w:pPr>
        <w:pStyle w:val="Quote"/>
      </w:pPr>
      <w:r w:rsidRPr="000E055E">
        <w:t>They recognise they quickly became unreliable and lost confidence, they could see the confidence was lost in other people's eyes. They were not where they should be when they said they would be there.</w:t>
      </w:r>
    </w:p>
    <w:p w14:paraId="30828167" w14:textId="77777777" w:rsidR="000E055E" w:rsidRPr="000E055E" w:rsidRDefault="000E055E" w:rsidP="000E055E">
      <w:pPr>
        <w:pStyle w:val="VRGFBodycontent"/>
      </w:pPr>
      <w:r w:rsidRPr="000E055E">
        <w:t>A consumer representative who had experienced significant problems with gambling was also able to identify similar early signs of harm:</w:t>
      </w:r>
    </w:p>
    <w:p w14:paraId="19AB1B18" w14:textId="77777777" w:rsidR="000E055E" w:rsidRPr="000E055E" w:rsidRDefault="000E055E" w:rsidP="009007B8">
      <w:pPr>
        <w:pStyle w:val="Quote"/>
      </w:pPr>
      <w:r w:rsidRPr="000E055E">
        <w:t xml:space="preserve">I think one of the quick notices I was probably - was when I didn't take phone calls in the casino. You go outside or you just switch it off so that you didn't have to hear it, have anybody hearing that you were there. Or telling people you were somewhere and you were somewhere else. I think they were probably the early signs. </w:t>
      </w:r>
    </w:p>
    <w:p w14:paraId="543B36EB" w14:textId="77777777" w:rsidR="000E055E" w:rsidRPr="000E055E" w:rsidRDefault="000E055E" w:rsidP="000E055E">
      <w:pPr>
        <w:pStyle w:val="VRGFBodycontent"/>
      </w:pPr>
      <w:r w:rsidRPr="000E055E">
        <w:t xml:space="preserve">Distinct patterns were identified within the data in how general relationship harms were reported by participants. Affected others most commonly reported harms concerning loss of trust, such as dishonest communication. An affected other identified lying as being very harmful: </w:t>
      </w:r>
    </w:p>
    <w:p w14:paraId="7EB6AEFB" w14:textId="77777777" w:rsidR="000E055E" w:rsidRPr="000E055E" w:rsidRDefault="000E055E" w:rsidP="009007B8">
      <w:pPr>
        <w:pStyle w:val="Quote"/>
      </w:pPr>
      <w:r w:rsidRPr="000E055E">
        <w:t xml:space="preserve">That was the biggest killer, was her lying. </w:t>
      </w:r>
    </w:p>
    <w:p w14:paraId="4163DCAD" w14:textId="77777777" w:rsidR="000E055E" w:rsidRPr="000E055E" w:rsidRDefault="000E055E" w:rsidP="000E055E">
      <w:pPr>
        <w:pStyle w:val="VRGFBodycontent"/>
      </w:pPr>
      <w:r w:rsidRPr="000E055E">
        <w:t>Another affected other expressed a similar view:</w:t>
      </w:r>
    </w:p>
    <w:p w14:paraId="2F15BEAD" w14:textId="77777777" w:rsidR="000E055E" w:rsidRPr="000E055E" w:rsidRDefault="000E055E" w:rsidP="009007B8">
      <w:pPr>
        <w:pStyle w:val="Quote"/>
      </w:pPr>
      <w:r w:rsidRPr="000E055E">
        <w:t>That is the biggest thing, with the gamblers it's just complete out and out lies. I don’t know how they do it. They just look you in the eye and lie.</w:t>
      </w:r>
    </w:p>
    <w:p w14:paraId="7040C6EA" w14:textId="77777777" w:rsidR="000E055E" w:rsidRPr="000E055E" w:rsidRDefault="000E055E" w:rsidP="000E055E">
      <w:pPr>
        <w:pStyle w:val="VRGFBodycontent"/>
      </w:pPr>
      <w:r w:rsidRPr="000E055E">
        <w:t>Harms relating to unreliability or reduction of time, however, were more often reported in relation to the effect on relationships with children than with spouses or partners. A young father who had reduced his gambling due to its effect on his family reported that the time spent engaging in sports betting had crept up on him:</w:t>
      </w:r>
    </w:p>
    <w:p w14:paraId="001BF792" w14:textId="77777777" w:rsidR="000E055E" w:rsidRPr="000E055E" w:rsidRDefault="000E055E" w:rsidP="009007B8">
      <w:pPr>
        <w:pStyle w:val="Quote"/>
      </w:pPr>
      <w:r w:rsidRPr="000E055E">
        <w:t>I've got work and I've got kids and you know, it was like - yeah, so some days I would have been, especially on a weekend, maybe eight to 10 hours watching sports… so it was just a whole lot of wasted time … it wasn't enough time with my kids.</w:t>
      </w:r>
    </w:p>
    <w:p w14:paraId="4BF5598E" w14:textId="77777777" w:rsidR="000E055E" w:rsidRPr="000E055E" w:rsidRDefault="000E055E" w:rsidP="000E055E">
      <w:pPr>
        <w:pStyle w:val="VRGFBodycontent"/>
      </w:pPr>
      <w:r w:rsidRPr="000E055E">
        <w:t xml:space="preserve">Another sports bettor who did not initially believe he experienced any harm from his gambling, went on to identify the time it took away from his children both in terms of quantity and quality, suggesting he should be playing sport with his child rather than watching it: </w:t>
      </w:r>
    </w:p>
    <w:p w14:paraId="1E797B4D" w14:textId="77777777" w:rsidR="000E055E" w:rsidRPr="000E055E" w:rsidRDefault="000E055E" w:rsidP="009007B8">
      <w:pPr>
        <w:pStyle w:val="Quote"/>
      </w:pPr>
      <w:r w:rsidRPr="000E055E">
        <w:lastRenderedPageBreak/>
        <w:t xml:space="preserve">Well I can sit in front of the computer watching a soccer game for an hour and a half. My kids are running around, I probably should be playing with them rather than sitting in front of the computer. So that is a bit of a concern for me. </w:t>
      </w:r>
    </w:p>
    <w:p w14:paraId="357BEB40" w14:textId="77777777" w:rsidR="000E055E" w:rsidRPr="000E055E" w:rsidRDefault="000E055E" w:rsidP="000E055E">
      <w:pPr>
        <w:pStyle w:val="VRGFBodycontent"/>
      </w:pPr>
      <w:r w:rsidRPr="000E055E">
        <w:t xml:space="preserve">Noting he felt he could spend the time he currently utilised betting, watching the games he bet on and </w:t>
      </w:r>
      <w:r w:rsidRPr="000E055E">
        <w:rPr>
          <w:i/>
        </w:rPr>
        <w:t>researching</w:t>
      </w:r>
      <w:r w:rsidRPr="000E055E">
        <w:t xml:space="preserve"> his bets, he was asked what he felt would be a better use of the time: </w:t>
      </w:r>
    </w:p>
    <w:p w14:paraId="6DFCCB84" w14:textId="77777777" w:rsidR="000E055E" w:rsidRPr="000E055E" w:rsidRDefault="000E055E" w:rsidP="009007B8">
      <w:pPr>
        <w:pStyle w:val="Quote"/>
      </w:pPr>
      <w:r w:rsidRPr="000E055E">
        <w:t xml:space="preserve">…Just [being] outside, maybe kicking the ball around with my boy or something, rather than sitting in that damn computer screen. </w:t>
      </w:r>
    </w:p>
    <w:p w14:paraId="16187BEB" w14:textId="77777777" w:rsidR="000E055E" w:rsidRPr="000E055E" w:rsidRDefault="000E055E" w:rsidP="000E055E">
      <w:pPr>
        <w:pStyle w:val="VRGFBodycontent"/>
      </w:pPr>
      <w:r w:rsidRPr="000E055E">
        <w:t xml:space="preserve">The effect of this lost time, or quality of interaction, was harmful to his children. A treatment service participant described the effect concerning time on children: </w:t>
      </w:r>
    </w:p>
    <w:p w14:paraId="4456AEAD" w14:textId="77777777" w:rsidR="000E055E" w:rsidRPr="000E055E" w:rsidRDefault="000E055E" w:rsidP="009007B8">
      <w:pPr>
        <w:pStyle w:val="Quote"/>
      </w:pPr>
      <w:r w:rsidRPr="000E055E">
        <w:t xml:space="preserve">I don't think the children understand as much on the financial side of things. I think it's the lack of time, what they're going without, things that they see their peers having but they don't have and so they don't make the link between the losses of gambling and how it's affecting them . . . deep down they just wish that their parent could just come and support their Saturday game because they see other parents there supporting their children. They –… see their peers and they have what they don't have, like shoes, sports equipment and uniforms and . . . It is not about the things, as just having the involvement. </w:t>
      </w:r>
    </w:p>
    <w:p w14:paraId="4C78078D" w14:textId="77777777" w:rsidR="000E055E" w:rsidRPr="000E055E" w:rsidRDefault="000E055E" w:rsidP="000E055E">
      <w:pPr>
        <w:pStyle w:val="VRGFBodycontent"/>
      </w:pPr>
      <w:r w:rsidRPr="000E055E">
        <w:t xml:space="preserve">Even when parents were physically present, the quality of the relationship could be affected. Parents who were experiencing problems with gambling were reported to be impatient with children, and they were often not mentally or emotionally engaged, as one treatment provider explained: </w:t>
      </w:r>
    </w:p>
    <w:p w14:paraId="33C68ADC" w14:textId="77777777" w:rsidR="000E055E" w:rsidRPr="000E055E" w:rsidRDefault="000E055E" w:rsidP="009007B8">
      <w:pPr>
        <w:pStyle w:val="Quote"/>
      </w:pPr>
      <w:r w:rsidRPr="000E055E">
        <w:t xml:space="preserve">There's that lack of closeness in relationship like a presence always being interested in getting away to gamble. </w:t>
      </w:r>
    </w:p>
    <w:p w14:paraId="62C9DD35" w14:textId="77777777" w:rsidR="000E055E" w:rsidRPr="000E055E" w:rsidRDefault="000E055E" w:rsidP="000E055E">
      <w:pPr>
        <w:pStyle w:val="VRGFBodycontent"/>
      </w:pPr>
      <w:r w:rsidRPr="000E055E">
        <w:t>They went on to describe the long-term effect this had on children:</w:t>
      </w:r>
    </w:p>
    <w:p w14:paraId="75381870" w14:textId="77777777" w:rsidR="000E055E" w:rsidRPr="000E055E" w:rsidRDefault="000E055E" w:rsidP="009007B8">
      <w:pPr>
        <w:pStyle w:val="Quote"/>
      </w:pPr>
      <w:r w:rsidRPr="000E055E">
        <w:t>Insecure attachments that form. So just the time that’s spent as a child with their parents or significant people in their life who gamble very heavily. Has often been around the gambling, it's the only way they could spend time with their parent. So they themselves feel that they really have a very insecure attachment and it has followed them in their life as an adult.</w:t>
      </w:r>
    </w:p>
    <w:p w14:paraId="040E66E5" w14:textId="77777777" w:rsidR="000E055E" w:rsidRPr="000E055E" w:rsidRDefault="000E055E" w:rsidP="000E055E">
      <w:pPr>
        <w:pStyle w:val="VRGFBodycontent"/>
      </w:pPr>
      <w:r w:rsidRPr="000E055E">
        <w:t>Where one parent was experiencing problems with gambling the effect on the other parent was described as assuming a single parent role, being solely responsible for the child(ren) and running of the household. However, the effect of the gambling made this more difficult because one adult was consuming the majority of the household resources.</w:t>
      </w:r>
    </w:p>
    <w:p w14:paraId="256D23FA" w14:textId="77777777" w:rsidR="009007B8" w:rsidRDefault="009007B8" w:rsidP="000E055E">
      <w:pPr>
        <w:pStyle w:val="VRGFBodycontent"/>
        <w:rPr>
          <w:i/>
          <w:iCs/>
        </w:rPr>
      </w:pPr>
    </w:p>
    <w:p w14:paraId="378E0960" w14:textId="7B9B4562" w:rsidR="000E055E" w:rsidRPr="000E055E" w:rsidRDefault="000E055E" w:rsidP="009007B8">
      <w:pPr>
        <w:pStyle w:val="VRGFHead5"/>
      </w:pPr>
      <w:r w:rsidRPr="000E055E">
        <w:t>Relationship conflict</w:t>
      </w:r>
    </w:p>
    <w:p w14:paraId="5F0A8BD4" w14:textId="046F8EB6" w:rsidR="000E055E" w:rsidRPr="000E055E" w:rsidRDefault="000E055E" w:rsidP="000E055E">
      <w:pPr>
        <w:pStyle w:val="VRGFBodycontent"/>
      </w:pPr>
      <w:r w:rsidRPr="000E055E">
        <w:t xml:space="preserve">When relationship harms were at the level of conflict, the harm became greater to the parties involved and those around them. Conflict often became cyclic for a number of affected others dependent on the gambling intensity and how much had been won or lost. A </w:t>
      </w:r>
      <w:r w:rsidR="00A52CB8">
        <w:t>female</w:t>
      </w:r>
      <w:r w:rsidR="00A52CB8" w:rsidRPr="000E055E">
        <w:t xml:space="preserve"> </w:t>
      </w:r>
      <w:r w:rsidRPr="000E055E">
        <w:t xml:space="preserve">whose husband gambled described the effect it had on his moods: </w:t>
      </w:r>
    </w:p>
    <w:p w14:paraId="32A329B2" w14:textId="77777777" w:rsidR="000E055E" w:rsidRPr="000E055E" w:rsidRDefault="000E055E" w:rsidP="009007B8">
      <w:pPr>
        <w:pStyle w:val="Quote"/>
      </w:pPr>
      <w:r w:rsidRPr="000E055E">
        <w:lastRenderedPageBreak/>
        <w:t xml:space="preserve">His mood swings. He used to get angry and take it out on me. He - the mood swings would vary. When he wins he's happy and everything is happy and everything is okay. When he loses or when he knows that he is then really bad, he comes home and just goes to sleep or he – you can't talk to him. </w:t>
      </w:r>
    </w:p>
    <w:p w14:paraId="388357CC" w14:textId="77777777" w:rsidR="000E055E" w:rsidRPr="000E055E" w:rsidRDefault="000E055E" w:rsidP="000E055E">
      <w:pPr>
        <w:pStyle w:val="VRGFBodycontent"/>
      </w:pPr>
      <w:r w:rsidRPr="000E055E">
        <w:t xml:space="preserve">She went on to describe how the withdrawal pattern of behaviour would escalate to conflict on occasions: </w:t>
      </w:r>
    </w:p>
    <w:p w14:paraId="21CC078D" w14:textId="77777777" w:rsidR="000E055E" w:rsidRPr="000E055E" w:rsidRDefault="000E055E" w:rsidP="009007B8">
      <w:pPr>
        <w:pStyle w:val="Quote"/>
      </w:pPr>
      <w:r w:rsidRPr="000E055E">
        <w:t>Sometimes he's very quiet. He just comes home, goes to bed and wouldn't do anything. Doesn't want to eat, doesn't want to talk. I feel like what have I done wrong? What have I done? Why are you treating me like this? I couldn't understand why. After a while when I knew - when I started to understand that's the gambling, then I know that he's lost some - fair amount of money. Then he'll - then I'll get angry and that's sort of when I start talking to him he gets angry and then we start shouting. It's really hard to understand at the beginning. I - my background, my family we were never involved in any gambling.</w:t>
      </w:r>
    </w:p>
    <w:p w14:paraId="2B4A68EB" w14:textId="77777777" w:rsidR="000E055E" w:rsidRPr="000E055E" w:rsidRDefault="000E055E" w:rsidP="000E055E">
      <w:pPr>
        <w:pStyle w:val="VRGFBodycontent"/>
      </w:pPr>
      <w:r w:rsidRPr="000E055E">
        <w:t>Children living in a home with conflict are often aware something is wrong, even if they do not understand the source of it. This was reported by people who gamble, affected others and treatment providers. As one participant, who was experiencing problems with gambling himself, recalled from his childhood:</w:t>
      </w:r>
    </w:p>
    <w:p w14:paraId="60A7B7CA" w14:textId="77777777" w:rsidR="000E055E" w:rsidRPr="000E055E" w:rsidRDefault="000E055E" w:rsidP="009007B8">
      <w:pPr>
        <w:pStyle w:val="Quote"/>
      </w:pPr>
      <w:r w:rsidRPr="000E055E">
        <w:t>They were having little squabbles. My parents and - were having their little . . . They'd go to the room. We could hear that they were arguing. Maybe the - this has to do with personal money worries or something like that. We know there was something going on.</w:t>
      </w:r>
    </w:p>
    <w:p w14:paraId="1D42B7F9" w14:textId="77777777" w:rsidR="000E055E" w:rsidRPr="000E055E" w:rsidRDefault="000E055E" w:rsidP="000E055E">
      <w:pPr>
        <w:pStyle w:val="VRGFBodycontent"/>
      </w:pPr>
      <w:r w:rsidRPr="000E055E">
        <w:t>A number of participants reported relationship conflict that manifested in episodes of violence both by, and to, the person who gambles. A treatment provider recalled an incident where a female gambler had been the victim of violence, after escalation of conflict with her partner over the effect of her gambling. A young male who was experiencing problems with gambling recalled the environment of his childhood home, where his father’s problems with gambling had contributed to episodes of violence and the subsequent break-up of the family.</w:t>
      </w:r>
    </w:p>
    <w:p w14:paraId="0EC1BFE8" w14:textId="77777777" w:rsidR="009007B8" w:rsidRDefault="009007B8" w:rsidP="000E055E">
      <w:pPr>
        <w:pStyle w:val="VRGFBodycontent"/>
        <w:rPr>
          <w:i/>
          <w:iCs/>
        </w:rPr>
      </w:pPr>
    </w:p>
    <w:p w14:paraId="23987B0A" w14:textId="4C2C7035" w:rsidR="000E055E" w:rsidRPr="000E055E" w:rsidRDefault="000E055E" w:rsidP="009007B8">
      <w:pPr>
        <w:pStyle w:val="VRGFHead5"/>
      </w:pPr>
      <w:r w:rsidRPr="000E055E">
        <w:t>Relationship estrangement</w:t>
      </w:r>
    </w:p>
    <w:p w14:paraId="2BB4EF39" w14:textId="77777777" w:rsidR="000E055E" w:rsidRPr="000E055E" w:rsidRDefault="000E055E" w:rsidP="000E055E">
      <w:pPr>
        <w:pStyle w:val="VRGFBodycontent"/>
      </w:pPr>
      <w:r w:rsidRPr="000E055E">
        <w:t>A number of participants shared experiences of relationships that had become estranged due to the influence of gambling. In most of these cases, the estrangement was initiated by the affected other. These decisions, however, were not made quickly or easily. A female participant who was in a relationship with a man who had experienced problems with gambling for over twenty years had put considerable thought into the decision to end the relationship, taking into account issues like what the future would be like if he did not change his behaviour, the likelihood of him changing his behaviour, and the potential effects of her ending the relationship. She explained:</w:t>
      </w:r>
    </w:p>
    <w:p w14:paraId="574A2736" w14:textId="77777777" w:rsidR="000E055E" w:rsidRPr="000E055E" w:rsidRDefault="000E055E" w:rsidP="009007B8">
      <w:pPr>
        <w:pStyle w:val="Quote"/>
      </w:pPr>
      <w:r w:rsidRPr="000E055E">
        <w:t xml:space="preserve">But as we have got on ... is this something I really want to do for the rest of my life. Do I want to manage his money and constantly question if that is his wage or if he's hiding that? Do I constantly want to monitor his internet and his emails and for finance loans coming through, or internet usage? If I could see he wanted to improve then I probably wouldn't mind so much, but now because I can't see he wants to </w:t>
      </w:r>
      <w:r w:rsidRPr="000E055E">
        <w:lastRenderedPageBreak/>
        <w:t>change, he's just so sucked in with this sickness that it's not something I want to do for the rest of my life. I don't enjoy doing it. Most normal people don't have to do that.</w:t>
      </w:r>
    </w:p>
    <w:p w14:paraId="52CF23B9" w14:textId="77777777" w:rsidR="000E055E" w:rsidRPr="000E055E" w:rsidRDefault="000E055E" w:rsidP="000E055E">
      <w:pPr>
        <w:pStyle w:val="VRGFBodycontent"/>
      </w:pPr>
      <w:r w:rsidRPr="000E055E">
        <w:t xml:space="preserve">The decision to end the relationship was delayed by what she described as her initial approach of separating the normal, loving partner from the person who gambled, and how she believed she could keep them separate. Over time she described a sense of realisation that he was a </w:t>
      </w:r>
      <w:r w:rsidRPr="000E055E">
        <w:rPr>
          <w:i/>
        </w:rPr>
        <w:t>total package</w:t>
      </w:r>
      <w:r w:rsidRPr="000E055E">
        <w:t xml:space="preserve">, and the positive aspects of the relationship were not enough to outweigh the negative. Like other affected others, she reported a concern that she would be </w:t>
      </w:r>
      <w:r w:rsidRPr="000E055E">
        <w:rPr>
          <w:i/>
        </w:rPr>
        <w:t>dragged down</w:t>
      </w:r>
      <w:r w:rsidRPr="000E055E">
        <w:t xml:space="preserve"> with him. In her deliberations, and wanting to be sure of her decision, she had reached out to other women who had been in relationships with him, and friends who were no longer in touch with him. It was the long history of harm to himself and others that had influenced her decision: </w:t>
      </w:r>
    </w:p>
    <w:p w14:paraId="6F9A59A1" w14:textId="77777777" w:rsidR="000E055E" w:rsidRPr="000E055E" w:rsidRDefault="000E055E" w:rsidP="009007B8">
      <w:pPr>
        <w:pStyle w:val="Quote"/>
      </w:pPr>
      <w:r w:rsidRPr="000E055E">
        <w:t xml:space="preserve">I've made a lot of contact with his past partners to fully understand the scale of the problem, and friends who have known him for a long [time]. Everyone his life has touched has gone through exactly the same thing. So what I'm doing is nothing new to what his wife would have done, to what his previous girlfriend would have done and what friends have done. His life has been full of people wanting to help him and even his sporting club who he played for were there to support him and help him, but he was never there for himself. Now he's pushed all those - he feels that everyone's given up on him, but no-one's given up on him, he's given up on himself. He never backed himself from the beginning. So now I know that, he had had the chance, because I just presumed no one knew about it or that when they found out they left and didn't try and help him, but now I've actually spoken to people about it. Every one of his relationships, to differing degrees, the partner has always done the same - managed his money, tried to get him help, involved his parents. </w:t>
      </w:r>
    </w:p>
    <w:p w14:paraId="0F6D6522" w14:textId="77777777" w:rsidR="000E055E" w:rsidRPr="000E055E" w:rsidRDefault="000E055E" w:rsidP="000E055E">
      <w:pPr>
        <w:pStyle w:val="VRGFBodycontent"/>
      </w:pPr>
      <w:r w:rsidRPr="000E055E">
        <w:t>This experience resembles a pattern of behaviour reported by other participants, both those who gambled and affected others. The impact of gambling at problematic levels is highly destructive to all relationships. As a male participant in treatment explained:</w:t>
      </w:r>
    </w:p>
    <w:p w14:paraId="72CD95B3" w14:textId="77777777" w:rsidR="000E055E" w:rsidRPr="000E055E" w:rsidRDefault="000E055E" w:rsidP="009007B8">
      <w:pPr>
        <w:pStyle w:val="Quote"/>
      </w:pPr>
      <w:r w:rsidRPr="000E055E">
        <w:t>You're a different person and nothing means anything to you, you don't think of your children, you don't think of your partner, you don't think of your job. Nothing matters, and nothing matters anymore, it's the next press of the button or the pull of the lever, that's all that matters.</w:t>
      </w:r>
    </w:p>
    <w:p w14:paraId="5FD97D6A" w14:textId="77777777" w:rsidR="009007B8" w:rsidRDefault="009007B8" w:rsidP="000E055E">
      <w:pPr>
        <w:pStyle w:val="VRGFBodycontent"/>
        <w:rPr>
          <w:i/>
          <w:iCs/>
        </w:rPr>
      </w:pPr>
    </w:p>
    <w:p w14:paraId="53F4F7C0" w14:textId="56CAA452" w:rsidR="000E055E" w:rsidRPr="000E055E" w:rsidRDefault="000E055E" w:rsidP="009007B8">
      <w:pPr>
        <w:pStyle w:val="VRGFHead5"/>
      </w:pPr>
      <w:r w:rsidRPr="000E055E">
        <w:t>Relationship distortion</w:t>
      </w:r>
    </w:p>
    <w:p w14:paraId="77D1672D" w14:textId="46C281CE" w:rsidR="000E055E" w:rsidRPr="000E055E" w:rsidRDefault="000E055E" w:rsidP="000E055E">
      <w:pPr>
        <w:pStyle w:val="VRGFBodycontent"/>
      </w:pPr>
      <w:r w:rsidRPr="000E055E">
        <w:t xml:space="preserve">Within the context of gambling harms, relationship distortion has been previously defined (Langham et al, 2016) as situations where the person who gambles is infantilised or where children have to take on adult roles and responsibilities due to the physical or emotional absence of a parent due to gambling. In the present study, distortion was reported by a number of participants, mostly within adult relationships. A </w:t>
      </w:r>
      <w:r w:rsidR="00A52CB8">
        <w:t>female</w:t>
      </w:r>
      <w:r w:rsidR="00A52CB8" w:rsidRPr="000E055E">
        <w:t xml:space="preserve"> </w:t>
      </w:r>
      <w:r w:rsidRPr="000E055E">
        <w:t xml:space="preserve">whose husband experienced problems with gambling described the need to take control of the finances, and give her husband an allowance as not only </w:t>
      </w:r>
      <w:r w:rsidRPr="000E055E">
        <w:rPr>
          <w:i/>
        </w:rPr>
        <w:t>wearing her down</w:t>
      </w:r>
      <w:r w:rsidRPr="000E055E">
        <w:t xml:space="preserve"> but also as a change in roles within the relationship:</w:t>
      </w:r>
    </w:p>
    <w:p w14:paraId="37700ECD" w14:textId="77777777" w:rsidR="000E055E" w:rsidRPr="000E055E" w:rsidRDefault="000E055E" w:rsidP="009007B8">
      <w:pPr>
        <w:pStyle w:val="Quote"/>
      </w:pPr>
      <w:r w:rsidRPr="000E055E">
        <w:t>It's stressful for me. Not doing all this - I shouldn't keep a tab. You're an adult I shouldn't. It's like looking after a kid.</w:t>
      </w:r>
    </w:p>
    <w:p w14:paraId="60F4A636" w14:textId="77777777" w:rsidR="000E055E" w:rsidRPr="000E055E" w:rsidRDefault="000E055E" w:rsidP="000E055E">
      <w:pPr>
        <w:pStyle w:val="VRGFBodycontent"/>
      </w:pPr>
      <w:r w:rsidRPr="000E055E">
        <w:lastRenderedPageBreak/>
        <w:t xml:space="preserve">Similarly, another affected other described the incongruity of a distorted relationship: </w:t>
      </w:r>
    </w:p>
    <w:p w14:paraId="24995A5C" w14:textId="77777777" w:rsidR="000E055E" w:rsidRPr="000E055E" w:rsidRDefault="000E055E" w:rsidP="009007B8">
      <w:pPr>
        <w:pStyle w:val="Quote"/>
      </w:pPr>
      <w:r w:rsidRPr="000E055E">
        <w:t>In a normal relationship you wouldn't involve your parents in that day-to-day stuff but because it is so massive and because it is his mental health and it is money he doesn't have and I don't have, they have to be involved.</w:t>
      </w:r>
    </w:p>
    <w:p w14:paraId="2A2C2EC0" w14:textId="77777777" w:rsidR="000E055E" w:rsidRPr="000E055E" w:rsidRDefault="000E055E" w:rsidP="000E055E">
      <w:pPr>
        <w:pStyle w:val="VRGFBodycontent"/>
      </w:pPr>
      <w:r w:rsidRPr="000E055E">
        <w:t xml:space="preserve">A further form of distortion noted within the Asian cultures was the use of the treatment organisation or counsellor as the “authority” who needed to tell the person who gambled what to do. Parents and spouses would contact them to ask them to tell the person what to do but without mentioning the parent or spouse, due to the harm that would create within the relationship. </w:t>
      </w:r>
    </w:p>
    <w:p w14:paraId="370ED261" w14:textId="77777777" w:rsidR="009007B8" w:rsidRDefault="009007B8" w:rsidP="000E055E">
      <w:pPr>
        <w:pStyle w:val="VRGFBodycontent"/>
        <w:rPr>
          <w:i/>
          <w:iCs/>
        </w:rPr>
      </w:pPr>
    </w:p>
    <w:p w14:paraId="7C0A3F7B" w14:textId="4BDF7EA8" w:rsidR="000E055E" w:rsidRPr="000E055E" w:rsidRDefault="000E055E" w:rsidP="009007B8">
      <w:pPr>
        <w:pStyle w:val="VRGFHead5"/>
      </w:pPr>
      <w:r w:rsidRPr="000E055E">
        <w:t>Relationship legacy harms</w:t>
      </w:r>
    </w:p>
    <w:p w14:paraId="303259AE" w14:textId="77777777" w:rsidR="000E055E" w:rsidRPr="000E055E" w:rsidRDefault="000E055E" w:rsidP="000E055E">
      <w:pPr>
        <w:pStyle w:val="VRGFBodycontent"/>
      </w:pPr>
      <w:r w:rsidRPr="000E055E">
        <w:t xml:space="preserve">Overall, the priority given to relationship harms in the data was often due to pervasive impacts on the people involved. Whilst financial harm can be normalised and becomes distant, the harms to relationship remain strongly felt. When asked what the greatest harm was, similar to the affected others quoted above, a number of participants who had experienced problems with gambling nominated relationship harm as the worst. Trust was not easily rebuilt within relationships and many relationships were permanently damaged or lost. A participant who worked in the justice system described the experiences of a client who was trying to rebuild relationships with her family twenty five years after stealing from them, and having charges pressed by them. </w:t>
      </w:r>
    </w:p>
    <w:p w14:paraId="16A735C4" w14:textId="77777777" w:rsidR="000E055E" w:rsidRPr="000E055E" w:rsidRDefault="000E055E" w:rsidP="009007B8">
      <w:pPr>
        <w:pStyle w:val="Quote"/>
      </w:pPr>
      <w:r w:rsidRPr="000E055E">
        <w:t>It’s a long time, a loss, and an absence from family, a big separation . . . It’s really hard for them around Christmas time. They can’t have that family around.</w:t>
      </w:r>
    </w:p>
    <w:p w14:paraId="27C6539B" w14:textId="77777777" w:rsidR="000E055E" w:rsidRPr="000E055E" w:rsidRDefault="000E055E" w:rsidP="000E055E">
      <w:pPr>
        <w:pStyle w:val="VRGFBodycontent"/>
      </w:pPr>
      <w:r w:rsidRPr="000E055E">
        <w:t>Another male participant who was estranged from his family stated that it was not just the special occasions:</w:t>
      </w:r>
    </w:p>
    <w:p w14:paraId="7E822C02" w14:textId="77777777" w:rsidR="000E055E" w:rsidRPr="000E055E" w:rsidRDefault="000E055E" w:rsidP="009007B8">
      <w:pPr>
        <w:pStyle w:val="Quote"/>
      </w:pPr>
      <w:r w:rsidRPr="000E055E">
        <w:t>It's still a lonely existence at times, it's funny. I don't really notice being alone until I'm doing things like the washing up or shopping for one and stuff like that.</w:t>
      </w:r>
    </w:p>
    <w:p w14:paraId="62DF4C99" w14:textId="77777777" w:rsidR="000E055E" w:rsidRPr="000E055E" w:rsidRDefault="000E055E" w:rsidP="000E055E">
      <w:pPr>
        <w:pStyle w:val="VRGFBodycontent"/>
      </w:pPr>
      <w:r w:rsidRPr="000E055E">
        <w:t>Many participants, both people who gamble and affected others, reported the hopelessness in trying to rebuild or re-establish relationships. Affected others and treatment providers consistently mentioned the issue of trust and the inability to restore it. For others, the damage from the sense of loss and abandonment could not be repaired. A consumer representative shared the experience of a man who had gambled heavily whilst his children were young and was trying to re-establish the relationship:</w:t>
      </w:r>
    </w:p>
    <w:p w14:paraId="2B8A7DCC" w14:textId="77777777" w:rsidR="000E055E" w:rsidRPr="000E055E" w:rsidRDefault="000E055E" w:rsidP="009007B8">
      <w:pPr>
        <w:pStyle w:val="Quote"/>
      </w:pPr>
      <w:r w:rsidRPr="000E055E">
        <w:t>Not the money, but the days and the time he had lost with his children. It was when his children were grown and his wife had cancer, and they went on a trip. They went to go on a world trip and one of his children said it's too late dad, you're too late, you weren't there for the picnics mum took us on, you weren't there for this that mum took us on. It just - this grown man just sobbed his heart out for all of those years of that time he had lost with his family. It was too late. He'd given himself permission all that time, so that was his harm from the very beginning. Not the finances, the finances were never the problem, it was the fact that this children actually said it's too late dad.</w:t>
      </w:r>
    </w:p>
    <w:p w14:paraId="7B08CA61" w14:textId="77777777" w:rsidR="000E055E" w:rsidRPr="000E055E" w:rsidRDefault="000E055E" w:rsidP="000E055E">
      <w:pPr>
        <w:pStyle w:val="VRGFBodycontent"/>
      </w:pPr>
      <w:r w:rsidRPr="000E055E">
        <w:lastRenderedPageBreak/>
        <w:t xml:space="preserve">Of particular concern is that the loss of primary and significant relationships caused a vulnerability or risk to further harms. For those who were still gambling, other gambling venue patrons became the only relationships left. As one treatment provider shared: </w:t>
      </w:r>
    </w:p>
    <w:p w14:paraId="1B48F230" w14:textId="77777777" w:rsidR="000E055E" w:rsidRPr="000E055E" w:rsidRDefault="000E055E" w:rsidP="009007B8">
      <w:pPr>
        <w:pStyle w:val="Quote"/>
      </w:pPr>
      <w:r w:rsidRPr="000E055E">
        <w:t>So recently, I saw this guy - young man. Only three years of gambling, he lost all his schoolmates, friends. Now he only has with the gambling - those in the casino. But if he withdraw himself out of casino, he has no more friends.</w:t>
      </w:r>
    </w:p>
    <w:p w14:paraId="587FD428" w14:textId="2EFAA3B0" w:rsidR="000E055E" w:rsidRPr="000E055E" w:rsidRDefault="000E055E" w:rsidP="000E055E">
      <w:pPr>
        <w:pStyle w:val="VRGFBodycontent"/>
      </w:pPr>
      <w:r w:rsidRPr="000E055E">
        <w:t xml:space="preserve">For those who wanted to stop gambling, the loss of relationships represented a vulnerability to relapse. As one </w:t>
      </w:r>
      <w:r w:rsidR="00A52CB8">
        <w:t>female</w:t>
      </w:r>
      <w:r w:rsidR="00A52CB8" w:rsidRPr="000E055E">
        <w:t xml:space="preserve"> </w:t>
      </w:r>
      <w:r w:rsidRPr="000E055E">
        <w:t xml:space="preserve">about to re-enter treatment explained: </w:t>
      </w:r>
    </w:p>
    <w:p w14:paraId="3AFAEFA1" w14:textId="77777777" w:rsidR="000E055E" w:rsidRPr="000E055E" w:rsidRDefault="000E055E" w:rsidP="009007B8">
      <w:pPr>
        <w:pStyle w:val="Quote"/>
      </w:pPr>
      <w:r w:rsidRPr="000E055E">
        <w:t xml:space="preserve">I have support of my family and my kids, but I have no trust, and I don't know that I'll ever really get that back. </w:t>
      </w:r>
    </w:p>
    <w:p w14:paraId="47C7B8F2" w14:textId="77777777" w:rsidR="000E055E" w:rsidRPr="000E055E" w:rsidRDefault="000E055E" w:rsidP="000E055E">
      <w:pPr>
        <w:pStyle w:val="VRGFBodycontent"/>
      </w:pPr>
      <w:r w:rsidRPr="000E055E">
        <w:t xml:space="preserve">She reported having made repeated attempts to stop gambling, and had managed to at times with the assistance of particular programmes or counsellors, but when the programme finished or the counsellor moved, the relapse was never far away. She had even tried to move to cities where there were very limited opportunities to gamble, but being isolated, the lure of gaming venues was even stronger. </w:t>
      </w:r>
    </w:p>
    <w:p w14:paraId="540F045D" w14:textId="77777777" w:rsidR="000E055E" w:rsidRPr="000E055E" w:rsidRDefault="000E055E" w:rsidP="009007B8">
      <w:pPr>
        <w:pStyle w:val="Quote"/>
      </w:pPr>
      <w:r w:rsidRPr="000E055E">
        <w:t>These little lights on them, they're flickering at you, you know. You might be driving along a road and there's 10,000 signs, but the only one that you're going to see, is the one that says gaming. To me that jumps out at you.</w:t>
      </w:r>
    </w:p>
    <w:p w14:paraId="334A8948" w14:textId="77777777" w:rsidR="009007B8" w:rsidRDefault="009007B8" w:rsidP="000E055E">
      <w:pPr>
        <w:pStyle w:val="VRGFBodycontent"/>
        <w:rPr>
          <w:i/>
          <w:iCs/>
        </w:rPr>
      </w:pPr>
    </w:p>
    <w:p w14:paraId="5F274591" w14:textId="30F3FE21" w:rsidR="000E055E" w:rsidRPr="000E055E" w:rsidRDefault="000E055E" w:rsidP="009007B8">
      <w:pPr>
        <w:pStyle w:val="VRGFHead5"/>
      </w:pPr>
      <w:r w:rsidRPr="000E055E">
        <w:t>Community level relationship harms</w:t>
      </w:r>
    </w:p>
    <w:p w14:paraId="00A4A718" w14:textId="77777777" w:rsidR="000E055E" w:rsidRPr="000E055E" w:rsidRDefault="000E055E" w:rsidP="000E055E">
      <w:pPr>
        <w:pStyle w:val="VRGFBodycontent"/>
        <w:rPr>
          <w:i/>
        </w:rPr>
      </w:pPr>
      <w:r w:rsidRPr="000E055E">
        <w:t xml:space="preserve">There was little explicit evidence of community level relationship harm within the data. However, some implicit community level harms were noted. </w:t>
      </w:r>
    </w:p>
    <w:p w14:paraId="15EF9797" w14:textId="77777777" w:rsidR="009007B8" w:rsidRDefault="009007B8" w:rsidP="000E055E">
      <w:pPr>
        <w:pStyle w:val="VRGFBodycontent"/>
      </w:pPr>
    </w:p>
    <w:p w14:paraId="47AAE7E9" w14:textId="2EB48091" w:rsidR="000E055E" w:rsidRPr="000E055E" w:rsidRDefault="000E055E" w:rsidP="009007B8">
      <w:pPr>
        <w:pStyle w:val="VRGFHead4"/>
      </w:pPr>
      <w:r w:rsidRPr="000E055E">
        <w:t>Emotional and psychological distress</w:t>
      </w:r>
    </w:p>
    <w:p w14:paraId="028FA539" w14:textId="77777777" w:rsidR="000E055E" w:rsidRPr="000E055E" w:rsidRDefault="000E055E" w:rsidP="000E055E">
      <w:pPr>
        <w:pStyle w:val="VRGFBodycontent"/>
      </w:pPr>
      <w:r w:rsidRPr="000E055E">
        <w:t>Emotional and psychological distress caused by gambling was a dominant theme within the data. This was linked to the long-term effect that these types of harms could have on individuals. The source of harm could vary, often stemming from conflict between behaviour and values, distorted cognitions, or as second-order effects from other harms.</w:t>
      </w:r>
    </w:p>
    <w:p w14:paraId="1BA0CF4A" w14:textId="77777777" w:rsidR="007B139D" w:rsidRDefault="007B139D" w:rsidP="000E055E">
      <w:pPr>
        <w:pStyle w:val="VRGFBodycontent"/>
        <w:rPr>
          <w:i/>
          <w:iCs/>
        </w:rPr>
      </w:pPr>
    </w:p>
    <w:p w14:paraId="5BC236E6" w14:textId="2DCF090E" w:rsidR="000E055E" w:rsidRPr="000E055E" w:rsidRDefault="000E055E" w:rsidP="007B139D">
      <w:pPr>
        <w:pStyle w:val="VRGFHead5"/>
      </w:pPr>
      <w:r w:rsidRPr="000E055E">
        <w:t>Gambling as a breach of values</w:t>
      </w:r>
    </w:p>
    <w:p w14:paraId="44C1026E" w14:textId="60666755" w:rsidR="000E055E" w:rsidRPr="000E055E" w:rsidRDefault="000E055E" w:rsidP="000E055E">
      <w:pPr>
        <w:pStyle w:val="VRGFBodycontent"/>
      </w:pPr>
      <w:r w:rsidRPr="000E055E">
        <w:t xml:space="preserve">Elements of dissonance were observed in the present data in terms of conflicts with cultural value systems or conflicts with self-expectations (personal value systems). A number of participants talked about gambling as being something that </w:t>
      </w:r>
      <w:r w:rsidRPr="000E055E">
        <w:rPr>
          <w:i/>
        </w:rPr>
        <w:t>wasn’t done</w:t>
      </w:r>
      <w:r w:rsidRPr="000E055E">
        <w:t xml:space="preserve"> in their family, and was at odds with their religious beliefs or cultural values. This dissonance created a sense of harm, at living outside the value systems that someone was raised within. One </w:t>
      </w:r>
      <w:r w:rsidR="00A52CB8">
        <w:t>female</w:t>
      </w:r>
      <w:r w:rsidR="00A52CB8" w:rsidRPr="000E055E">
        <w:t xml:space="preserve"> </w:t>
      </w:r>
      <w:r w:rsidRPr="000E055E">
        <w:t xml:space="preserve">spoke of feeling fear when she had won a car in a raffle as a young adult because of her father’s views on any type of gambling. In some cases this was a cultural view. A treatment provider explained: </w:t>
      </w:r>
    </w:p>
    <w:p w14:paraId="3B86FD85" w14:textId="77777777" w:rsidR="000E055E" w:rsidRPr="000E055E" w:rsidRDefault="000E055E" w:rsidP="007B139D">
      <w:pPr>
        <w:pStyle w:val="Quote"/>
      </w:pPr>
      <w:r w:rsidRPr="000E055E">
        <w:lastRenderedPageBreak/>
        <w:t xml:space="preserve">I think for Asian culture, we still see gambling as a vice. Yeah. So in that way, when you are involved </w:t>
      </w:r>
    </w:p>
    <w:p w14:paraId="7A9B1B00" w14:textId="77777777" w:rsidR="007B139D" w:rsidRDefault="007B139D" w:rsidP="000E055E">
      <w:pPr>
        <w:pStyle w:val="VRGFBodycontent"/>
        <w:rPr>
          <w:i/>
          <w:iCs/>
        </w:rPr>
      </w:pPr>
    </w:p>
    <w:p w14:paraId="44B89CB3" w14:textId="6205E587" w:rsidR="000E055E" w:rsidRPr="000E055E" w:rsidRDefault="000E055E" w:rsidP="007B139D">
      <w:pPr>
        <w:pStyle w:val="VRGFHead5"/>
      </w:pPr>
      <w:r w:rsidRPr="000E055E">
        <w:t>Keeping the secret of gambling</w:t>
      </w:r>
    </w:p>
    <w:p w14:paraId="79606082" w14:textId="77777777" w:rsidR="000E055E" w:rsidRPr="000E055E" w:rsidRDefault="000E055E" w:rsidP="000E055E">
      <w:pPr>
        <w:pStyle w:val="VRGFBodycontent"/>
      </w:pPr>
      <w:r w:rsidRPr="000E055E">
        <w:t xml:space="preserve">The breach of values was not related to just the act of gambling; for many the resultant secrecy and lying sat uncomfortably outside their value systems. As a female who had experienced problems with gambling explained: </w:t>
      </w:r>
    </w:p>
    <w:p w14:paraId="01634122" w14:textId="77777777" w:rsidR="000E055E" w:rsidRPr="000E055E" w:rsidRDefault="000E055E" w:rsidP="007B139D">
      <w:pPr>
        <w:pStyle w:val="Quote"/>
      </w:pPr>
      <w:r w:rsidRPr="000E055E">
        <w:t xml:space="preserve">The harm of lies to your loved ones. I never lied [previously]. One thing I was brought up, my dad, we were brought up hard life. I was brought up old school, where kids were… [seen but not heard]. You never lied. One thing my dad couldn't stand was lying. To lie to him, oh Dad I need this money for this, the kid's thing, and he's like oh yep, and give the money. </w:t>
      </w:r>
    </w:p>
    <w:p w14:paraId="57C66A06" w14:textId="77777777" w:rsidR="000E055E" w:rsidRPr="000E055E" w:rsidRDefault="000E055E" w:rsidP="000E055E">
      <w:pPr>
        <w:pStyle w:val="VRGFBodycontent"/>
      </w:pPr>
      <w:r w:rsidRPr="000E055E">
        <w:t xml:space="preserve">She shared the considerable effect it had on her emotionally: </w:t>
      </w:r>
    </w:p>
    <w:p w14:paraId="71DE5C9E" w14:textId="77777777" w:rsidR="000E055E" w:rsidRPr="000E055E" w:rsidRDefault="000E055E" w:rsidP="007B139D">
      <w:pPr>
        <w:pStyle w:val="Quote"/>
      </w:pPr>
      <w:r w:rsidRPr="000E055E">
        <w:t>Just that devastation of how I felt as a person, man…Yeah just that feeling of being a liar and just losing the trust from my family.</w:t>
      </w:r>
    </w:p>
    <w:p w14:paraId="7A94090A" w14:textId="77777777" w:rsidR="000E055E" w:rsidRPr="000E055E" w:rsidRDefault="000E055E" w:rsidP="000E055E">
      <w:pPr>
        <w:pStyle w:val="VRGFBodycontent"/>
      </w:pPr>
      <w:r w:rsidRPr="000E055E">
        <w:t>A male participant agreed that the shame of what you had done to your family was very strong:</w:t>
      </w:r>
    </w:p>
    <w:p w14:paraId="1C2BB75A" w14:textId="77777777" w:rsidR="000E055E" w:rsidRPr="000E055E" w:rsidRDefault="000E055E" w:rsidP="007B139D">
      <w:pPr>
        <w:pStyle w:val="Quote"/>
      </w:pPr>
      <w:r w:rsidRPr="000E055E">
        <w:t>Yeah. Oh yeah. You'd rather hang yourself.</w:t>
      </w:r>
    </w:p>
    <w:p w14:paraId="5425AEC4" w14:textId="77777777" w:rsidR="000E055E" w:rsidRPr="000E055E" w:rsidRDefault="000E055E" w:rsidP="000E055E">
      <w:pPr>
        <w:pStyle w:val="VRGFBodycontent"/>
      </w:pPr>
      <w:r w:rsidRPr="000E055E">
        <w:t xml:space="preserve">Trying to hide gambling also created many emotional and psychological harms. Gambling was viewed by a number of participants who had experienced problems with it as a </w:t>
      </w:r>
      <w:r w:rsidRPr="000E055E">
        <w:rPr>
          <w:i/>
        </w:rPr>
        <w:t>dirty little secret</w:t>
      </w:r>
      <w:r w:rsidRPr="000E055E">
        <w:t>. One male participant shared an experience of running into a customer at a venue one day:</w:t>
      </w:r>
    </w:p>
    <w:p w14:paraId="44AE8273" w14:textId="77777777" w:rsidR="000E055E" w:rsidRPr="000E055E" w:rsidRDefault="000E055E" w:rsidP="007B139D">
      <w:pPr>
        <w:pStyle w:val="Quote"/>
      </w:pPr>
      <w:r w:rsidRPr="000E055E">
        <w:t>A lady sat beside me, and she started chatting to me, and we weren't even looking at each other, started oh blah blah blah, this isn't paying. All that sort of bullshit talk, and all of a sudden we looked at each other and thought oh no, one of my customers you know. She didn't, aren't you [name] the [tradesman], and the embarrassment. It's like - and it came to mind that I wouldn't have been embarrassed if I was just a social gambler, if there is such a thing, I'm sure there is. If I was a person like someone $20 enjoy yourself and leave. But the embarrassment because I felt completely sprung wide open, she knows what I do on my days off sort of thing, that sort of feeling. . . maybe she felt the same, I don't know, it doesn't matter it was about my feelings at the time. So I did leave soon after, I think I was getting pretty low on funds anyway. But yeah it was that whole feeling of you've been caught, and I didn't stop again this time until I'd run out of the rent money and the food money and everything else.</w:t>
      </w:r>
    </w:p>
    <w:p w14:paraId="75CF492B" w14:textId="53972442" w:rsidR="000E055E" w:rsidRPr="000E055E" w:rsidRDefault="000E055E" w:rsidP="000E055E">
      <w:pPr>
        <w:pStyle w:val="VRGFBodycontent"/>
      </w:pPr>
      <w:r w:rsidRPr="000E055E">
        <w:t xml:space="preserve">A </w:t>
      </w:r>
      <w:r w:rsidR="00A52CB8">
        <w:t>female</w:t>
      </w:r>
      <w:r w:rsidR="00A52CB8" w:rsidRPr="000E055E">
        <w:t xml:space="preserve"> </w:t>
      </w:r>
      <w:r w:rsidRPr="000E055E">
        <w:t>in treatment explained that “</w:t>
      </w:r>
      <w:r w:rsidRPr="000E055E">
        <w:rPr>
          <w:i/>
        </w:rPr>
        <w:t>You hide and that comes at a cost</w:t>
      </w:r>
      <w:r w:rsidRPr="000E055E">
        <w:t xml:space="preserve">.” These costs were other reported harms such as sleeplessness, constant anxiety, and when the hiding involved deception there were often harms to relationships. But for others hiding was a necessity because of beliefs about how they would be treated, as one male participant shared: </w:t>
      </w:r>
    </w:p>
    <w:p w14:paraId="2C36FD32" w14:textId="6856E5E5" w:rsidR="000E055E" w:rsidRPr="000E055E" w:rsidRDefault="000E055E" w:rsidP="007B139D">
      <w:pPr>
        <w:pStyle w:val="Quote"/>
      </w:pPr>
      <w:r w:rsidRPr="000E055E">
        <w:t xml:space="preserve">The gambling thing, I didn't even want to tell anybody aye, it's like it's a real shame thing, it's like there's just a feeling that everyone thinks you’re after their money, or </w:t>
      </w:r>
      <w:r w:rsidRPr="000E055E">
        <w:lastRenderedPageBreak/>
        <w:t xml:space="preserve">fraudulent activities. All the rest of it, you're not to be trusted at all, whereas I can trust a drunk. </w:t>
      </w:r>
    </w:p>
    <w:p w14:paraId="549C2355" w14:textId="77777777" w:rsidR="000E055E" w:rsidRPr="000E055E" w:rsidRDefault="000E055E" w:rsidP="000E055E">
      <w:pPr>
        <w:pStyle w:val="VRGFBodycontent"/>
      </w:pPr>
      <w:r w:rsidRPr="000E055E">
        <w:t xml:space="preserve">A few participants identified drinking to be a more social activity than gambling. This difference between being a heavy drinker and gambling was explained: </w:t>
      </w:r>
    </w:p>
    <w:p w14:paraId="05044841" w14:textId="77777777" w:rsidR="000E055E" w:rsidRPr="000E055E" w:rsidRDefault="000E055E" w:rsidP="007B139D">
      <w:pPr>
        <w:pStyle w:val="Quote"/>
      </w:pPr>
      <w:r w:rsidRPr="000E055E">
        <w:t>You can get on with a drunk, have a hell of a good time, as long as he's comfortable with what he's doing, or she. You can laugh and joke, I go to a pokies room, I don't want to know anybody else that's there, it's me and the machine, it's real closed shop sort of thing. It's very secretive, I don't want to talk to someone, I want to play that machine.</w:t>
      </w:r>
    </w:p>
    <w:p w14:paraId="105486F6" w14:textId="77777777" w:rsidR="000E055E" w:rsidRPr="000E055E" w:rsidRDefault="000E055E" w:rsidP="000E055E">
      <w:pPr>
        <w:pStyle w:val="VRGFBodycontent"/>
      </w:pPr>
      <w:r w:rsidRPr="000E055E">
        <w:t xml:space="preserve">This was an interesting perception, because both are promoted as, and can be, social activities. However both can become something done alone, that exacerbate social exclusion when done secretly. The secrecy and hiding of the behaviour, however, only created more harm when it removed the possibility for early intervention and harm minimisation. The effect of the built-up harm from hiding the issue was described by the mother of a person who gambled: </w:t>
      </w:r>
    </w:p>
    <w:p w14:paraId="15CA3854" w14:textId="77777777" w:rsidR="000E055E" w:rsidRPr="000E055E" w:rsidRDefault="000E055E" w:rsidP="007B139D">
      <w:pPr>
        <w:pStyle w:val="Quote"/>
      </w:pPr>
      <w:r w:rsidRPr="000E055E">
        <w:t xml:space="preserve">I didn't know about it until it all crashed and that's actually eight years ago. But I remember saying to ... on the phone, it was like a pebble in a pond; just ripples and ripples and ripples. </w:t>
      </w:r>
    </w:p>
    <w:p w14:paraId="09DFA165" w14:textId="77777777" w:rsidR="000E055E" w:rsidRPr="000E055E" w:rsidRDefault="000E055E" w:rsidP="000E055E">
      <w:pPr>
        <w:pStyle w:val="VRGFBodycontent"/>
      </w:pPr>
      <w:r w:rsidRPr="000E055E">
        <w:t>Ironically, in sharing the family’s experience of harm, she was now the one keeping the secret: “</w:t>
      </w:r>
      <w:r w:rsidRPr="000E055E">
        <w:rPr>
          <w:i/>
        </w:rPr>
        <w:t>He doesn't know I'm doing this, by the way</w:t>
      </w:r>
      <w:r w:rsidRPr="000E055E">
        <w:t xml:space="preserve">” she explained. Affected others also reported trying to hide the gambling and its effects from others. A man whose wife had experienced problems with gambling described trying to hide his feelings about his wife’s gambling and its effect from the children: </w:t>
      </w:r>
    </w:p>
    <w:p w14:paraId="633F5FFA" w14:textId="77777777" w:rsidR="000E055E" w:rsidRPr="000E055E" w:rsidRDefault="000E055E" w:rsidP="007B139D">
      <w:pPr>
        <w:pStyle w:val="Quote"/>
      </w:pPr>
      <w:r w:rsidRPr="000E055E">
        <w:t>It's just that the only way it affects my boys now is they see how much I'm upset. It's more my worry that they're worried about it than mum. My youngest boy now, he's 22 now. He says, I always know when mum is gambling. I say, why? I can tell you're not happy or your body language or mood. I used to be able to hide it well, but I just refuse to hide it now. I used to think, I don’t want the boys thinking the worst of their mum, but at the end of the day they're adults now. I'm not going to hide anything.</w:t>
      </w:r>
    </w:p>
    <w:p w14:paraId="174352C6" w14:textId="77777777" w:rsidR="007B139D" w:rsidRDefault="007B139D" w:rsidP="000E055E">
      <w:pPr>
        <w:pStyle w:val="VRGFBodycontent"/>
        <w:rPr>
          <w:i/>
          <w:iCs/>
        </w:rPr>
      </w:pPr>
    </w:p>
    <w:p w14:paraId="1151F42E" w14:textId="54469323" w:rsidR="000E055E" w:rsidRPr="000E055E" w:rsidRDefault="000E055E" w:rsidP="007B139D">
      <w:pPr>
        <w:pStyle w:val="VRGFHead5"/>
      </w:pPr>
      <w:r w:rsidRPr="000E055E">
        <w:t>Distorted cognitions and erroneous beliefs</w:t>
      </w:r>
    </w:p>
    <w:p w14:paraId="101153F1" w14:textId="77777777" w:rsidR="000E055E" w:rsidRPr="000E055E" w:rsidRDefault="000E055E" w:rsidP="000E055E">
      <w:pPr>
        <w:pStyle w:val="VRGFBodycontent"/>
      </w:pPr>
      <w:r w:rsidRPr="000E055E">
        <w:t xml:space="preserve">Distorted cognitions and erroneous beliefs experienced by people who gamble were also identified as a form of psychological harm. Indicators of distorted cognitions and erroneous beliefs were evident in the rhetoric of some participants who considered themselves controlled gamblers, although they did not identify them as such. A male sports bettor was convinced of his luck from an early age after a big win: </w:t>
      </w:r>
    </w:p>
    <w:p w14:paraId="03CE061E" w14:textId="77777777" w:rsidR="000E055E" w:rsidRPr="000E055E" w:rsidRDefault="000E055E" w:rsidP="007B139D">
      <w:pPr>
        <w:pStyle w:val="Quote"/>
      </w:pPr>
      <w:r w:rsidRPr="000E055E">
        <w:t>I grew up with sort of a big Irish family. So from day dot we were at the races betting, aunties and uncles having family card games for hundreds of dollars. This is when I was - we used to hide under the table and aunties and uncles would drop money down. So I grew up with that. Then before long, 15, 16 years old, I'm playing family card games with aunties and uncles for $1,500. Reasonable money. I was winning $400, $500.</w:t>
      </w:r>
    </w:p>
    <w:p w14:paraId="11CD5DE8" w14:textId="77777777" w:rsidR="000E055E" w:rsidRPr="000E055E" w:rsidRDefault="000E055E" w:rsidP="000E055E">
      <w:pPr>
        <w:pStyle w:val="VRGFBodycontent"/>
      </w:pPr>
      <w:r w:rsidRPr="000E055E">
        <w:lastRenderedPageBreak/>
        <w:t xml:space="preserve">The recollection of another early experience had reinforced this: </w:t>
      </w:r>
    </w:p>
    <w:p w14:paraId="0E9838D1" w14:textId="77777777" w:rsidR="000E055E" w:rsidRPr="000E055E" w:rsidRDefault="000E055E" w:rsidP="007B139D">
      <w:pPr>
        <w:pStyle w:val="Quote"/>
      </w:pPr>
      <w:r w:rsidRPr="000E055E">
        <w:t>I went to Australia to live. …I went over there with my auntie and my cousin. I had $300 Australian to live. I was 15 years old. My auntie got me into the Australian casino in the Gold Coast, because her name was [last name] and I'm [same last name], so, oh he's my son. He's 18 type of thing. So I got in. I went straight to the $100 minimum table, 15 years old. $100 down. Lost it. $300 to live. Put down another $100. Won it back. So I was even. I got up and walked away. So mate, I was 15 years old.</w:t>
      </w:r>
    </w:p>
    <w:p w14:paraId="00C871DC" w14:textId="77777777" w:rsidR="000E055E" w:rsidRPr="000E055E" w:rsidRDefault="000E055E" w:rsidP="000E055E">
      <w:pPr>
        <w:pStyle w:val="VRGFBodycontent"/>
      </w:pPr>
      <w:r w:rsidRPr="000E055E">
        <w:t xml:space="preserve">This was very different from how people who were in treatment recalled their experiences. People who have recognised the problems were more aware that occasional wins were followed by losses, as one male recalled: </w:t>
      </w:r>
    </w:p>
    <w:p w14:paraId="24C4C6C9" w14:textId="77777777" w:rsidR="000E055E" w:rsidRPr="000E055E" w:rsidRDefault="000E055E" w:rsidP="007B139D">
      <w:pPr>
        <w:pStyle w:val="Quote"/>
      </w:pPr>
      <w:r w:rsidRPr="000E055E">
        <w:t xml:space="preserve">Occasionally I might use the win or up to $1,500 or something like that, but it would all go back in again, and again and again and again. </w:t>
      </w:r>
    </w:p>
    <w:p w14:paraId="2C0AD9E6" w14:textId="77777777" w:rsidR="000E055E" w:rsidRPr="000E055E" w:rsidRDefault="000E055E" w:rsidP="000E055E">
      <w:pPr>
        <w:pStyle w:val="VRGFBodycontent"/>
      </w:pPr>
      <w:r w:rsidRPr="000E055E">
        <w:t xml:space="preserve">Another male in treatment recalled: </w:t>
      </w:r>
    </w:p>
    <w:p w14:paraId="37561978" w14:textId="77777777" w:rsidR="000E055E" w:rsidRPr="000E055E" w:rsidRDefault="000E055E" w:rsidP="007B139D">
      <w:pPr>
        <w:pStyle w:val="Quote"/>
      </w:pPr>
      <w:r w:rsidRPr="000E055E">
        <w:t xml:space="preserve">You go there full of expectations, you say to yourself tonight's my night kind of thing and you go there, as soon as you sit down and you press the button or pull the lever, that's it, you're in another world. </w:t>
      </w:r>
    </w:p>
    <w:p w14:paraId="7D1BE8AB" w14:textId="77777777" w:rsidR="000E055E" w:rsidRPr="000E055E" w:rsidRDefault="000E055E" w:rsidP="000E055E">
      <w:pPr>
        <w:pStyle w:val="VRGFBodycontent"/>
      </w:pPr>
      <w:r w:rsidRPr="000E055E">
        <w:t xml:space="preserve">The reality would hit later, as a female participant in treatment explained: </w:t>
      </w:r>
    </w:p>
    <w:p w14:paraId="32B9E900" w14:textId="77777777" w:rsidR="000E055E" w:rsidRPr="000E055E" w:rsidRDefault="000E055E" w:rsidP="007B139D">
      <w:pPr>
        <w:pStyle w:val="Quote"/>
      </w:pPr>
      <w:r w:rsidRPr="000E055E">
        <w:t>Yeah and you suddenly realise, I spent all this money and it should have gone elsewhere.</w:t>
      </w:r>
    </w:p>
    <w:p w14:paraId="212C68AA" w14:textId="77777777" w:rsidR="000E055E" w:rsidRPr="000E055E" w:rsidRDefault="000E055E" w:rsidP="000E055E">
      <w:pPr>
        <w:pStyle w:val="VRGFBodycontent"/>
      </w:pPr>
      <w:r w:rsidRPr="000E055E">
        <w:t xml:space="preserve">The differences in the recall of spending, winning and losses were pronounced between participants who considered themselves recreational or controlled gamblers and those who had identified their problems and sought treatment. In the former group, participants considered themselves controlled but reported spending a lot of time and money gambling and often described themselves as being ahead or lucky. Of particular concern was the influence of sports betting on their perceptions. Watching sports matches was framed as </w:t>
      </w:r>
      <w:r w:rsidRPr="000E055E">
        <w:rPr>
          <w:i/>
        </w:rPr>
        <w:t>research</w:t>
      </w:r>
      <w:r w:rsidRPr="000E055E">
        <w:t xml:space="preserve">, and their knowledge was considered of more importance than random factors that could influence the outcome of a sports game. In contrast, participants who were in treatment or recovery could reflect on these types of self-identity and beliefs with more clarity. As one male participant who had experienced a number of relapses over the years explained: </w:t>
      </w:r>
    </w:p>
    <w:p w14:paraId="3FB7F60F" w14:textId="77777777" w:rsidR="000E055E" w:rsidRPr="000E055E" w:rsidRDefault="000E055E" w:rsidP="007B139D">
      <w:pPr>
        <w:pStyle w:val="Quote"/>
      </w:pPr>
      <w:r w:rsidRPr="000E055E">
        <w:t xml:space="preserve">So I'm under no illusion that </w:t>
      </w:r>
      <w:r w:rsidRPr="00A050C0">
        <w:rPr>
          <w:rStyle w:val="QuoteChar"/>
          <w:i/>
        </w:rPr>
        <w:t>I</w:t>
      </w:r>
      <w:r w:rsidRPr="000E055E">
        <w:t xml:space="preserve"> can be very deluded. </w:t>
      </w:r>
    </w:p>
    <w:p w14:paraId="0F676F0D" w14:textId="77777777" w:rsidR="000E055E" w:rsidRPr="000E055E" w:rsidRDefault="000E055E" w:rsidP="000E055E">
      <w:pPr>
        <w:pStyle w:val="VRGFBodycontent"/>
      </w:pPr>
      <w:r w:rsidRPr="000E055E">
        <w:t xml:space="preserve">Recognising these distorted patterns of thinking was identified as helpful in being able to successfully engage with treatment. Gaining an understanding of how the brain works, and the different influences on thinking had been helpful for a number of participants in recovery. One participant was able to describe the distortion in thinking that occurred even after a big win, when a more rational idea might be to take the money and use if for debt reduction or purchasing goods or a holiday: </w:t>
      </w:r>
    </w:p>
    <w:p w14:paraId="0E1BF1C9" w14:textId="77777777" w:rsidR="000E055E" w:rsidRPr="000E055E" w:rsidRDefault="000E055E" w:rsidP="007B139D">
      <w:pPr>
        <w:pStyle w:val="Quote"/>
      </w:pPr>
      <w:r w:rsidRPr="000E055E">
        <w:t xml:space="preserve">So there's a real conflict between what the money should have been used for and then you’re just playing with it. You’re treating it like a toy, even though you’re sort of - “I can win more with this”. You get more of this fuel. Money becomes the fuel for your own excitement, so it's a real - you’re really buying adrenaline. You’re </w:t>
      </w:r>
      <w:r w:rsidRPr="000E055E">
        <w:lastRenderedPageBreak/>
        <w:t>buying your own adrenaline with it and if you win more, it's more to buy more adrenaline.</w:t>
      </w:r>
    </w:p>
    <w:p w14:paraId="61175800" w14:textId="77777777" w:rsidR="000E055E" w:rsidRPr="000E055E" w:rsidRDefault="000E055E" w:rsidP="000E055E">
      <w:pPr>
        <w:pStyle w:val="VRGFBodycontent"/>
      </w:pPr>
      <w:r w:rsidRPr="000E055E">
        <w:t xml:space="preserve">He also described the influence of superstitions and other irrational thoughts that had influenced his play behaviour: </w:t>
      </w:r>
    </w:p>
    <w:p w14:paraId="5797E9BD" w14:textId="77777777" w:rsidR="000E055E" w:rsidRPr="000E055E" w:rsidRDefault="000E055E" w:rsidP="007B139D">
      <w:pPr>
        <w:pStyle w:val="Quote"/>
      </w:pPr>
      <w:r w:rsidRPr="000E055E">
        <w:t>One of my favourites was the pyramid one, because it gets you thinking of, maybe there's some supernatural force at play here and if I can hook into the supernatural force, I’m going to win. I used to sit at a blackjack table and try and juice the - I used to try and put my energy into the table to try and get money out of it. I mean, so there's a level of irrational thinking around it all. I mean, anybody who knows anything about gambling says it's the game of chance. It's all it is, be it cards, dice or a random number generator in a poker machine. It's just chance, but when you’re in it, you’re trying to believe in all these supernatural - “if I think positively about winning this game, I’m going to win it”, you know, whatever that's called. Yeah. So I guess that's a harm. It's - we haven’t mentioned up til now - is the - you get irrational around it - around, yeah, if I do this, I'll win. If I do that, I'll win. If I - yeah. Of course, you don’t. You do sometimes, but you don’t always.</w:t>
      </w:r>
    </w:p>
    <w:p w14:paraId="79EEED85" w14:textId="77777777" w:rsidR="000E055E" w:rsidRPr="000E055E" w:rsidRDefault="000E055E" w:rsidP="000E055E">
      <w:pPr>
        <w:pStyle w:val="VRGFBodycontent"/>
        <w:rPr>
          <w:i/>
        </w:rPr>
      </w:pPr>
      <w:r w:rsidRPr="000E055E">
        <w:t>Superstition and religious beliefs were often linked to distorted cognitions and erroneous beliefs. Treatment providers working with some cultural groups identified the struggle with separating gambling outcomes from spiritual beliefs and this was made harder by linguistic nuances. For instance, gambling wins framed as blessings from God.</w:t>
      </w:r>
    </w:p>
    <w:p w14:paraId="5E1AFCCD" w14:textId="77777777" w:rsidR="000E055E" w:rsidRPr="000E055E" w:rsidRDefault="000E055E" w:rsidP="000E055E">
      <w:pPr>
        <w:pStyle w:val="VRGFBodycontent"/>
      </w:pPr>
      <w:r w:rsidRPr="000E055E">
        <w:t xml:space="preserve">A further distortion to thinking was identified in the way people viewed and valued money inside and outside the commercial gambling environment. As explained by a treatment service participant: </w:t>
      </w:r>
    </w:p>
    <w:p w14:paraId="4C613D7B" w14:textId="77777777" w:rsidR="000E055E" w:rsidRPr="000E055E" w:rsidRDefault="000E055E" w:rsidP="007B139D">
      <w:pPr>
        <w:pStyle w:val="Quote"/>
      </w:pPr>
      <w:r w:rsidRPr="000E055E">
        <w:t>One other thing is a big impact, even though they stop gambling, is that the value of money is totally changed, which means that if they go - when they go to [a casino], in front of them $1,000, bom, bom, bom, bom. It's nothing. They are used to it. …They had it so many times that they win, lose, win, kind of thing. Actually, even though they finished the gambling, now they have to face $20 per hour, even less than a kind of minimum wage. They have to face that kind of thing. That makes them really depressed. Just because the value of the money is totally already changed and they can't adjust themselves to $15 per hour work because $1,000, $10,000 you put to it. They had a real experience winning.</w:t>
      </w:r>
    </w:p>
    <w:p w14:paraId="328795E3" w14:textId="77777777" w:rsidR="007B139D" w:rsidRDefault="007B139D" w:rsidP="000E055E">
      <w:pPr>
        <w:pStyle w:val="VRGFBodycontent"/>
        <w:rPr>
          <w:i/>
          <w:iCs/>
        </w:rPr>
      </w:pPr>
    </w:p>
    <w:p w14:paraId="49807EEF" w14:textId="2427ED0B" w:rsidR="000E055E" w:rsidRPr="000E055E" w:rsidRDefault="000E055E" w:rsidP="007B139D">
      <w:pPr>
        <w:pStyle w:val="VRGFHead5"/>
      </w:pPr>
      <w:r w:rsidRPr="000E055E">
        <w:t>Shame and stigma</w:t>
      </w:r>
    </w:p>
    <w:p w14:paraId="61927C33" w14:textId="77777777" w:rsidR="000E055E" w:rsidRPr="000E055E" w:rsidRDefault="000E055E" w:rsidP="000E055E">
      <w:pPr>
        <w:pStyle w:val="VRGFBodycontent"/>
      </w:pPr>
      <w:r w:rsidRPr="000E055E">
        <w:t>Harms frequently mentioned within this domain were the feelings of shame, loss of self-worth and inability to control the gambling. A consumer representative who had experienced significant harm from gambling shared his experience:</w:t>
      </w:r>
    </w:p>
    <w:p w14:paraId="4BB3A783" w14:textId="77777777" w:rsidR="000E055E" w:rsidRPr="000E055E" w:rsidRDefault="000E055E" w:rsidP="007B139D">
      <w:pPr>
        <w:pStyle w:val="Quote"/>
      </w:pPr>
      <w:r w:rsidRPr="000E055E">
        <w:t xml:space="preserve">When I was gambling pretty badly back in [timeframe], pretty much emptying my pay check into the pokies each week, I mean that's pretty common. All the usual harms occurred like loss of money, loss of friends, destroyed relationships. But the thing that really got me was the sense of shame and hopelessness attached to it. It really stopped me approaching the problem as I should, instead of getting help, the sense of shame actually held me back. I don't want them to know so I'll just keep </w:t>
      </w:r>
      <w:r w:rsidRPr="000E055E">
        <w:lastRenderedPageBreak/>
        <w:t>on going like I am and I won't tell anyone about it. So I think that shame and that hopelessness really affects your ability to identify problems in your life, and resolve them … instead of committing other things like fraud and theft or stealing money.</w:t>
      </w:r>
    </w:p>
    <w:p w14:paraId="462E3783" w14:textId="77777777" w:rsidR="000E055E" w:rsidRPr="000E055E" w:rsidRDefault="000E055E" w:rsidP="000E055E">
      <w:pPr>
        <w:pStyle w:val="VRGFBodycontent"/>
      </w:pPr>
      <w:r w:rsidRPr="000E055E">
        <w:t>Shame and stigma was often associated with hiding and lying about the gambling. A participant working within the justice system explained:</w:t>
      </w:r>
    </w:p>
    <w:p w14:paraId="76147E25" w14:textId="77777777" w:rsidR="000E055E" w:rsidRPr="000E055E" w:rsidRDefault="000E055E" w:rsidP="007B139D">
      <w:pPr>
        <w:pStyle w:val="Quote"/>
      </w:pPr>
      <w:r w:rsidRPr="000E055E">
        <w:t>I think the harms, perhaps from a psycho-therapeutic perspective are much deeper. The loss of self-esteem, the loss of any level of pride. But I think that’s one of the reasons why they do lie, they really don’t want to face that. They’d prefer to drink themselves stupid rather than face what they’ve done. I think the harms are definitely a human cost.</w:t>
      </w:r>
    </w:p>
    <w:p w14:paraId="0B383E51" w14:textId="68BE6DF0" w:rsidR="000E055E" w:rsidRPr="000E055E" w:rsidRDefault="000E055E" w:rsidP="000E055E">
      <w:pPr>
        <w:pStyle w:val="VRGFBodycontent"/>
      </w:pPr>
      <w:r w:rsidRPr="000E055E">
        <w:t xml:space="preserve">The effects were not just felt by the person who gambled. Affected others also reported feelings of inadequacy for not being able to stop the behaviour or protect the family from other resultant harms. This would often challenge their identity in terms of family or gender roles. A </w:t>
      </w:r>
      <w:r w:rsidR="00A52CB8">
        <w:t>female</w:t>
      </w:r>
      <w:r w:rsidR="00A52CB8" w:rsidRPr="000E055E">
        <w:t xml:space="preserve"> </w:t>
      </w:r>
      <w:r w:rsidRPr="000E055E">
        <w:t>whose spouse had experienced problems with gambling was angry with herself:</w:t>
      </w:r>
    </w:p>
    <w:p w14:paraId="07BB5A0F" w14:textId="77777777" w:rsidR="000E055E" w:rsidRPr="000E055E" w:rsidRDefault="000E055E" w:rsidP="007B139D">
      <w:pPr>
        <w:pStyle w:val="Quote"/>
      </w:pPr>
      <w:r w:rsidRPr="000E055E">
        <w:t xml:space="preserve">It pisses me off that I didn't recognise it, you know. </w:t>
      </w:r>
    </w:p>
    <w:p w14:paraId="397AA081" w14:textId="77777777" w:rsidR="000E055E" w:rsidRPr="000E055E" w:rsidRDefault="000E055E" w:rsidP="000E055E">
      <w:pPr>
        <w:pStyle w:val="VRGFBodycontent"/>
      </w:pPr>
      <w:r w:rsidRPr="000E055E">
        <w:t xml:space="preserve">This clarity, in hindsight, paralleled the clarity the person who gambled often experienced. For the affected other it was a sense of missed opportunity to have been able to stop the harm, or save the person. Where the affected other already had a nurturing or protective role in terms of the relationship, they often experienced a stronger sense of shame or anger at themselves. The older sister of a female who gambled described her sense of having failed to save her sister: </w:t>
      </w:r>
    </w:p>
    <w:p w14:paraId="306C5167" w14:textId="77777777" w:rsidR="000E055E" w:rsidRPr="000E055E" w:rsidRDefault="000E055E" w:rsidP="007B139D">
      <w:pPr>
        <w:pStyle w:val="Quote"/>
      </w:pPr>
      <w:r w:rsidRPr="000E055E">
        <w:t>I'm a problem solver and I'm not - haven't been able to. I feel I've kind of failed myself, her. I feel very responsible. You do your best but sometimes that's not good enough. And I fully understand, I mean blaming myself is not much good because if the person is an adult, that's their choice and if you make wrong choice, there is consequence but I can't just sit back and think, that okay, she made that choice.</w:t>
      </w:r>
    </w:p>
    <w:p w14:paraId="467B9C68" w14:textId="6C8C71AB" w:rsidR="000E055E" w:rsidRPr="000E055E" w:rsidRDefault="000E055E" w:rsidP="000E055E">
      <w:pPr>
        <w:pStyle w:val="VRGFBodycontent"/>
      </w:pPr>
      <w:r w:rsidRPr="000E055E">
        <w:t xml:space="preserve">A </w:t>
      </w:r>
      <w:r w:rsidR="00A52CB8">
        <w:t>female</w:t>
      </w:r>
      <w:r w:rsidR="00A52CB8" w:rsidRPr="000E055E">
        <w:t xml:space="preserve"> </w:t>
      </w:r>
      <w:r w:rsidRPr="000E055E">
        <w:t>whose son had experienced a lot of harm from gambling experienced her own ongoing distress at him not being able to achieve his potential. When asked what the greatest harm was she explained:</w:t>
      </w:r>
    </w:p>
    <w:p w14:paraId="0F2C2045" w14:textId="77777777" w:rsidR="000E055E" w:rsidRPr="000E055E" w:rsidRDefault="000E055E" w:rsidP="007B139D">
      <w:pPr>
        <w:pStyle w:val="Quote"/>
      </w:pPr>
      <w:r w:rsidRPr="000E055E">
        <w:t>For me, I think seeing him not being able to get where he is perfectly capable.</w:t>
      </w:r>
    </w:p>
    <w:p w14:paraId="2ADEAC6B" w14:textId="77777777" w:rsidR="000E055E" w:rsidRPr="000E055E" w:rsidRDefault="000E055E" w:rsidP="000E055E">
      <w:pPr>
        <w:pStyle w:val="VRGFBodycontent"/>
      </w:pPr>
      <w:r w:rsidRPr="000E055E">
        <w:t>Similar to people who gamble, the shame and stigma experienced by affected others also delayed social assistance seeking. Whilst assistance options from social services were available they were not easily accepted by many. A social worker identified that this delay often created second-order harms to the family:</w:t>
      </w:r>
    </w:p>
    <w:p w14:paraId="3B8944EF" w14:textId="77777777" w:rsidR="000E055E" w:rsidRPr="000E055E" w:rsidRDefault="000E055E" w:rsidP="007B139D">
      <w:pPr>
        <w:pStyle w:val="Quote"/>
      </w:pPr>
      <w:r w:rsidRPr="000E055E">
        <w:t xml:space="preserve">They definitely recognise that they haven't put their hands up for help with a range of services. Welfare or other for children, because of the shame and stigma that they fear, and they've been trying to protect their children from coming out into the community. So they've struggled along for a very long time before it's come out and the children have really suffered as a result. </w:t>
      </w:r>
    </w:p>
    <w:p w14:paraId="304C7216" w14:textId="77777777" w:rsidR="007B139D" w:rsidRDefault="007B139D" w:rsidP="007B139D">
      <w:pPr>
        <w:pStyle w:val="VRGFBodycontent"/>
      </w:pPr>
    </w:p>
    <w:p w14:paraId="1C266A48" w14:textId="2FE6475C" w:rsidR="000E055E" w:rsidRPr="000E055E" w:rsidRDefault="000E055E" w:rsidP="007B139D">
      <w:pPr>
        <w:pStyle w:val="VRGFHead5"/>
      </w:pPr>
      <w:r w:rsidRPr="000E055E">
        <w:lastRenderedPageBreak/>
        <w:t>Insecurity and vulnerability</w:t>
      </w:r>
    </w:p>
    <w:p w14:paraId="08C7FD63" w14:textId="77777777" w:rsidR="000E055E" w:rsidRPr="000E055E" w:rsidRDefault="000E055E" w:rsidP="000E055E">
      <w:pPr>
        <w:pStyle w:val="VRGFBodycontent"/>
      </w:pPr>
      <w:r w:rsidRPr="000E055E">
        <w:t>Both people who gamble and affected others experienced pervasive feelings of fear and insecurity resulting from financial and relationship effects. Insecurity was often related to an inability to keep utilities available, housing paid for, or food supplied. The power of this fear is better understood when it is considered in terms of the underlying feelings of insecurity over the inability to provide food and shelter. When finances were handed over to financial counselling services, the quality of life was reported as improving significantly, both from a practical and emotional perspective as a financial counsellor shared:</w:t>
      </w:r>
    </w:p>
    <w:p w14:paraId="7B507F66" w14:textId="77777777" w:rsidR="000E055E" w:rsidRPr="000E055E" w:rsidRDefault="000E055E" w:rsidP="007B139D">
      <w:pPr>
        <w:pStyle w:val="Quote"/>
      </w:pPr>
      <w:r w:rsidRPr="000E055E">
        <w:t>They usually say their quality of life is much better. They’re not worried about someone knocking on the door demanding money. They’re not getting harassing phone calls after dinner, at night. They know the power’s not going to be turned off and the phone isn’t going to be turned off. That just makes your life feel better.</w:t>
      </w:r>
    </w:p>
    <w:p w14:paraId="5A347459" w14:textId="77777777" w:rsidR="000E055E" w:rsidRPr="000E055E" w:rsidRDefault="000E055E" w:rsidP="000E055E">
      <w:pPr>
        <w:pStyle w:val="VRGFBodycontent"/>
      </w:pPr>
      <w:r w:rsidRPr="000E055E">
        <w:t>Feelings of fear and insecurity were also often linked to the illegal credit sources some people were using, having exhausted legitimate credit suppliers. Social workers and treatment providers shared a number of examples of the harassment that their clients had experienced:</w:t>
      </w:r>
    </w:p>
    <w:p w14:paraId="296063C2" w14:textId="77777777" w:rsidR="000E055E" w:rsidRPr="000E055E" w:rsidRDefault="000E055E" w:rsidP="007B139D">
      <w:pPr>
        <w:pStyle w:val="Quote"/>
      </w:pPr>
      <w:r w:rsidRPr="000E055E">
        <w:t>There’s money lenders at the casino. I’ve had clients who have been so frightened because of people coming down and throwing paint over their house, following the kids to school. Really putting hard pressure on them….These people took photographs of them and then sent them to the mother and said, we know where your kids are.</w:t>
      </w:r>
    </w:p>
    <w:p w14:paraId="71DFD2C1" w14:textId="77777777" w:rsidR="000E055E" w:rsidRPr="000E055E" w:rsidRDefault="000E055E" w:rsidP="000E055E">
      <w:pPr>
        <w:pStyle w:val="VRGFBodycontent"/>
      </w:pPr>
      <w:r w:rsidRPr="000E055E">
        <w:t xml:space="preserve">A treatment provider shared the effect of a visit from loan sharks on a child: </w:t>
      </w:r>
    </w:p>
    <w:p w14:paraId="32A528AE" w14:textId="77777777" w:rsidR="000E055E" w:rsidRPr="000E055E" w:rsidRDefault="000E055E" w:rsidP="007B139D">
      <w:pPr>
        <w:pStyle w:val="Quote"/>
      </w:pPr>
      <w:r w:rsidRPr="000E055E">
        <w:t>His mum say he doesn't know but he just quiet when the loan shark come to pull those parents and shouting to the - then the little kid just crying and sometimes the mum just say, oh playing the computer game. Don't worry. This is not your issue. It's my issue. Just do whatever you can do – but my client say, her son is really scared.</w:t>
      </w:r>
    </w:p>
    <w:p w14:paraId="7FC1826A" w14:textId="77777777" w:rsidR="007B139D" w:rsidRDefault="007B139D" w:rsidP="000E055E">
      <w:pPr>
        <w:pStyle w:val="VRGFBodycontent"/>
        <w:rPr>
          <w:i/>
          <w:iCs/>
        </w:rPr>
      </w:pPr>
    </w:p>
    <w:p w14:paraId="05166AB7" w14:textId="04C01126" w:rsidR="000E055E" w:rsidRPr="000E055E" w:rsidRDefault="000E055E" w:rsidP="007B139D">
      <w:pPr>
        <w:pStyle w:val="VRGFHead5"/>
      </w:pPr>
      <w:r w:rsidRPr="000E055E">
        <w:t>Emotional and psychological legacy harms</w:t>
      </w:r>
    </w:p>
    <w:p w14:paraId="4808973E" w14:textId="77777777" w:rsidR="000E055E" w:rsidRPr="000E055E" w:rsidRDefault="000E055E" w:rsidP="000E055E">
      <w:pPr>
        <w:pStyle w:val="VRGFBodycontent"/>
      </w:pPr>
      <w:r w:rsidRPr="000E055E">
        <w:t xml:space="preserve">The effect of ongoing emotional and psychological legacy harms was apparent not only in the experiences reported by participants in treatment, but in their demeanour as they spoke and their nonverbal cues. This was unsurprising, as even in seeking treatment, gambling was often stigmatised in treatment services dealing with other addictions. As one male participant who had been at a residential addictions centre described: </w:t>
      </w:r>
    </w:p>
    <w:p w14:paraId="0C9EF82C" w14:textId="77777777" w:rsidR="000E055E" w:rsidRPr="000E055E" w:rsidRDefault="000E055E" w:rsidP="007B139D">
      <w:pPr>
        <w:pStyle w:val="Quote"/>
      </w:pPr>
      <w:r w:rsidRPr="000E055E">
        <w:t xml:space="preserve">Having gone through the treatment stuff, it's a bit more socially acceptable and cool to be an alcoholic or a drug addict or anything like that. I was one of the few that had gambling issues, and it was - people just don't understand in a lot of cases. It's a very - as you know it's just a really secretive dirty little thing. But people can't understand or don't think that, and even it's not the same street cred amongst other addicts for want of a better term. Because you're looked at if you're a drug or alcoholic, you're looked at a bit more [pause], than the gambling to be honest. I work with nine other addicts, I'm the only gambling addict in our office. But when people </w:t>
      </w:r>
      <w:r w:rsidRPr="000E055E">
        <w:lastRenderedPageBreak/>
        <w:t xml:space="preserve">ask me, when I started what your addiction was or what your poison was and I said gambling, quite a few of them said oh geez you've got the worst one. </w:t>
      </w:r>
    </w:p>
    <w:p w14:paraId="49A370DF" w14:textId="77777777" w:rsidR="000E055E" w:rsidRPr="000E055E" w:rsidRDefault="000E055E" w:rsidP="000E055E">
      <w:pPr>
        <w:pStyle w:val="VRGFBodycontent"/>
      </w:pPr>
      <w:r w:rsidRPr="000E055E">
        <w:t>When asked about the reasons for that perception, given they had not experienced problems with gambling, the difference was not just about the idea of the consumption of a chemical (alcohol or drug) versus a behaviour as expressed in the general population, but around the perceived outcomes of the addictions:</w:t>
      </w:r>
    </w:p>
    <w:p w14:paraId="1E2E0064" w14:textId="77777777" w:rsidR="000E055E" w:rsidRPr="000E055E" w:rsidRDefault="000E055E" w:rsidP="007B139D">
      <w:pPr>
        <w:pStyle w:val="Quote"/>
      </w:pPr>
      <w:r w:rsidRPr="000E055E">
        <w:t xml:space="preserve">Just the stories they've heard and what do you actually get out of it, out of the gambling. I think they probably look at it, especially drug addicts or alcoholics, I actually had a bloody good time and got high and did all these fun things or times or whatever out of it. But you don't get anything out of gambling. </w:t>
      </w:r>
    </w:p>
    <w:p w14:paraId="65D1CCF3" w14:textId="77777777" w:rsidR="000E055E" w:rsidRPr="000E055E" w:rsidRDefault="000E055E" w:rsidP="000E055E">
      <w:pPr>
        <w:pStyle w:val="VRGFBodycontent"/>
      </w:pPr>
      <w:r w:rsidRPr="000E055E">
        <w:t xml:space="preserve">Shame and stigma were often pervasive and incremental, either enhancing the effect of other harms or generating new ones. The effects of shame and stigma were often prolonged and contributed to relapse. Themes such as ‘not being able to forgive oneself’ or ‘still feeling ashamed’ were common among those who had experienced significant problems and harm from their gambling. A male in treatment shared his perspective on the effect: </w:t>
      </w:r>
    </w:p>
    <w:p w14:paraId="3CB07133" w14:textId="77777777" w:rsidR="000E055E" w:rsidRPr="000E055E" w:rsidRDefault="000E055E" w:rsidP="007B139D">
      <w:pPr>
        <w:pStyle w:val="Quote"/>
      </w:pPr>
      <w:r w:rsidRPr="000E055E">
        <w:t>Yeah so you know they talk about how grief lasts forever in one form or another. I think so too your hurts, your pain, your feelings. The innateness of it stays with you, it's about living with it each day and doing the most.</w:t>
      </w:r>
    </w:p>
    <w:p w14:paraId="57F39315" w14:textId="62F19306" w:rsidR="000E055E" w:rsidRPr="000E055E" w:rsidRDefault="000E055E" w:rsidP="000E055E">
      <w:pPr>
        <w:pStyle w:val="VRGFBodycontent"/>
      </w:pPr>
      <w:r w:rsidRPr="000E055E">
        <w:t xml:space="preserve">The effects of shame and stigma were also felt by affected others. This created barriers to seeking formal support from services as well as to seeking informal support from family and friends. A </w:t>
      </w:r>
      <w:r w:rsidR="00A52CB8">
        <w:t>female</w:t>
      </w:r>
      <w:r w:rsidR="00A52CB8" w:rsidRPr="000E055E">
        <w:t xml:space="preserve"> </w:t>
      </w:r>
      <w:r w:rsidRPr="000E055E">
        <w:t xml:space="preserve">whose ex-husband had experienced problems with gambling described her experience: </w:t>
      </w:r>
    </w:p>
    <w:p w14:paraId="365E7980" w14:textId="77777777" w:rsidR="000E055E" w:rsidRPr="000E055E" w:rsidRDefault="000E055E" w:rsidP="007B139D">
      <w:pPr>
        <w:pStyle w:val="Quote"/>
      </w:pPr>
      <w:r w:rsidRPr="000E055E">
        <w:t>You have to know who you can trust. There was friends that I, you know, like one friend I spoke to..., I think he's doing this and dah, dah, dah, they never spoke to me again. So yeah, there's also that. People don't like it.</w:t>
      </w:r>
    </w:p>
    <w:p w14:paraId="6167FA6A" w14:textId="77777777" w:rsidR="000E055E" w:rsidRPr="000E055E" w:rsidRDefault="000E055E" w:rsidP="000E055E">
      <w:pPr>
        <w:pStyle w:val="VRGFBodycontent"/>
      </w:pPr>
      <w:r w:rsidRPr="000E055E">
        <w:t xml:space="preserve">For treatment providers, this presented a challenge in being able to assist clients minimise harm, as a treatment provider shared: </w:t>
      </w:r>
    </w:p>
    <w:p w14:paraId="6CFEA952" w14:textId="77777777" w:rsidR="000E055E" w:rsidRPr="000E055E" w:rsidRDefault="000E055E" w:rsidP="007B139D">
      <w:pPr>
        <w:pStyle w:val="Quote"/>
      </w:pPr>
      <w:r w:rsidRPr="000E055E">
        <w:t>I think this is an area where, as a counsellor I actually find a challenge when this happens, because I work in the field of gambling and we are defined or determined with the amount of sessions we have with a client before we exit [them]. But when it comes to that factor I tend to be challenged because of that very word that you're saying. The shame does not go away. The gambling has stopped but the person is dealing with this stuff and it has a major impact on the person, on the relationship and that's what they're trying to restore and that's not going to take me 12 or 18 sessions, it doesn't, so what then do I do?</w:t>
      </w:r>
    </w:p>
    <w:p w14:paraId="575E9FC4" w14:textId="77777777" w:rsidR="007B139D" w:rsidRDefault="007B139D" w:rsidP="000E055E">
      <w:pPr>
        <w:pStyle w:val="VRGFBodycontent"/>
        <w:rPr>
          <w:i/>
          <w:iCs/>
        </w:rPr>
      </w:pPr>
    </w:p>
    <w:p w14:paraId="00B28F73" w14:textId="502D4CD2" w:rsidR="000E055E" w:rsidRPr="000E055E" w:rsidRDefault="000E055E" w:rsidP="007B139D">
      <w:pPr>
        <w:pStyle w:val="VRGFHead5"/>
      </w:pPr>
      <w:r w:rsidRPr="000E055E">
        <w:t>Vulnerability to suicidal ideation</w:t>
      </w:r>
    </w:p>
    <w:p w14:paraId="5D35EE8A" w14:textId="68A22837" w:rsidR="000E055E" w:rsidRPr="000E055E" w:rsidRDefault="000E055E" w:rsidP="000E055E">
      <w:pPr>
        <w:pStyle w:val="VRGFBodycontent"/>
      </w:pPr>
      <w:r w:rsidRPr="000E055E">
        <w:t xml:space="preserve">The combination of entrenched feelings of lack of self-worth, hopelessness and shame over harm caused to others often contributed to suicidal ideation. This was raised by people who gambled, affected others and treatment professionals. A </w:t>
      </w:r>
      <w:r w:rsidR="00A52CB8">
        <w:t>female</w:t>
      </w:r>
      <w:r w:rsidR="00A52CB8" w:rsidRPr="000E055E">
        <w:t xml:space="preserve"> </w:t>
      </w:r>
      <w:r w:rsidRPr="000E055E">
        <w:t xml:space="preserve">whose husband had experienced problems with gambling described a spiral of financial stress, unemployment and the effect on him: </w:t>
      </w:r>
    </w:p>
    <w:p w14:paraId="790D1413" w14:textId="77777777" w:rsidR="000E055E" w:rsidRPr="000E055E" w:rsidRDefault="000E055E" w:rsidP="007B139D">
      <w:pPr>
        <w:pStyle w:val="Quote"/>
      </w:pPr>
      <w:r w:rsidRPr="000E055E">
        <w:lastRenderedPageBreak/>
        <w:t>He actually after one job he lost, he did an OD [overdose]. He took - he's on antidepressants and he took - he came home and he just swallowed a whole lot of pills with vodka.</w:t>
      </w:r>
    </w:p>
    <w:p w14:paraId="05C81072" w14:textId="2FEDBA6C" w:rsidR="000E055E" w:rsidRPr="000E055E" w:rsidRDefault="000E055E" w:rsidP="000E055E">
      <w:pPr>
        <w:pStyle w:val="VRGFBodycontent"/>
      </w:pPr>
      <w:r w:rsidRPr="000E055E">
        <w:t xml:space="preserve">A similar story of the cumulative effect of all the harm was shared by another </w:t>
      </w:r>
      <w:r w:rsidR="00A52CB8">
        <w:t>female</w:t>
      </w:r>
      <w:r w:rsidR="00A52CB8" w:rsidRPr="000E055E">
        <w:t xml:space="preserve"> </w:t>
      </w:r>
      <w:r w:rsidRPr="000E055E">
        <w:t xml:space="preserve">whose partner experienced problems with gambling. His suicidal thoughts created an ongoing fear for those close to him: </w:t>
      </w:r>
    </w:p>
    <w:p w14:paraId="672B9C7C" w14:textId="77777777" w:rsidR="000E055E" w:rsidRPr="000E055E" w:rsidRDefault="000E055E" w:rsidP="007B139D">
      <w:pPr>
        <w:pStyle w:val="Quote"/>
      </w:pPr>
      <w:r w:rsidRPr="000E055E">
        <w:t>So he was incredibly suicidal just with everything - the package of what he'd done and we had some very difficult nights taking his keys, taking his wallet and trying to block him from doing anything or going anywhere.</w:t>
      </w:r>
    </w:p>
    <w:p w14:paraId="0F1F2E4C" w14:textId="77777777" w:rsidR="000E055E" w:rsidRPr="000E055E" w:rsidRDefault="000E055E" w:rsidP="000E055E">
      <w:pPr>
        <w:pStyle w:val="VRGFBodycontent"/>
      </w:pPr>
      <w:r w:rsidRPr="000E055E">
        <w:t xml:space="preserve">When the issue of suicidal ideation and behaviours was raised, one participant who had gambled reported that he had considered suicide: </w:t>
      </w:r>
    </w:p>
    <w:p w14:paraId="3A3FC6A4" w14:textId="77777777" w:rsidR="000E055E" w:rsidRPr="000E055E" w:rsidRDefault="000E055E" w:rsidP="007B139D">
      <w:pPr>
        <w:pStyle w:val="Quote"/>
      </w:pPr>
      <w:r w:rsidRPr="000E055E">
        <w:t>A couple of times. Yeah, to be fair, which I guess that's a harm.</w:t>
      </w:r>
    </w:p>
    <w:p w14:paraId="3BB461C9" w14:textId="4E157F0D" w:rsidR="000E055E" w:rsidRPr="000E055E" w:rsidRDefault="000E055E" w:rsidP="000E055E">
      <w:pPr>
        <w:pStyle w:val="VRGFBodycontent"/>
      </w:pPr>
      <w:r w:rsidRPr="000E055E">
        <w:t xml:space="preserve">A treatment provider shared a case of a once proud </w:t>
      </w:r>
      <w:r w:rsidR="00A52CB8">
        <w:t>female</w:t>
      </w:r>
      <w:r w:rsidR="00A52CB8" w:rsidRPr="000E055E">
        <w:t xml:space="preserve"> </w:t>
      </w:r>
      <w:r w:rsidRPr="000E055E">
        <w:t xml:space="preserve">who was experiencing problems with gambling and feeling shamed by what she perceived as a weakness: </w:t>
      </w:r>
    </w:p>
    <w:p w14:paraId="12183E8E" w14:textId="77777777" w:rsidR="000E055E" w:rsidRPr="000E055E" w:rsidRDefault="000E055E" w:rsidP="007B139D">
      <w:pPr>
        <w:pStyle w:val="Quote"/>
      </w:pPr>
      <w:r w:rsidRPr="000E055E">
        <w:t>But it caused a lot of shame for her because she was such a strong woman that had gotten her kids through their mortgages, got them through university, she was a [professional] and so it caused a lot of shame for her, and hurt. With that her whole mental wellbeing was down the gurgler, spiritually she felt very low and quite suicidal.</w:t>
      </w:r>
    </w:p>
    <w:p w14:paraId="47247B98" w14:textId="29B7E9F2" w:rsidR="000E055E" w:rsidRPr="000E055E" w:rsidRDefault="000E055E" w:rsidP="000E055E">
      <w:pPr>
        <w:pStyle w:val="VRGFBodycontent"/>
      </w:pPr>
      <w:r w:rsidRPr="000E055E">
        <w:t xml:space="preserve">The experience of suicidal ideation was not limited to when gambling was problematic. A treatment provider shared one case where a </w:t>
      </w:r>
      <w:r w:rsidR="00A52CB8">
        <w:t>female</w:t>
      </w:r>
      <w:r w:rsidR="00A52CB8" w:rsidRPr="000E055E">
        <w:t xml:space="preserve"> </w:t>
      </w:r>
      <w:r w:rsidRPr="000E055E">
        <w:t xml:space="preserve">only had suicidal thoughts when she stopped gambling. Gambling had been an escape, there was still the hope of winning back the money, but once she stopped gambling she had to give up that hope and face all the problems it had created: </w:t>
      </w:r>
    </w:p>
    <w:p w14:paraId="5DA63DEC" w14:textId="77777777" w:rsidR="000E055E" w:rsidRPr="000E055E" w:rsidRDefault="000E055E" w:rsidP="007B139D">
      <w:pPr>
        <w:pStyle w:val="Quote"/>
      </w:pPr>
      <w:r w:rsidRPr="000E055E">
        <w:t>I think that a problem gambler stop gambling means that there's no hope to retrieve their loss anymore. That kind of thing will keep them doing something silly because they are - get used to trying solving the problem at once by gambling kind of thing.</w:t>
      </w:r>
    </w:p>
    <w:p w14:paraId="4DA2806B" w14:textId="77777777" w:rsidR="000E055E" w:rsidRPr="000E055E" w:rsidRDefault="000E055E" w:rsidP="000E055E">
      <w:pPr>
        <w:pStyle w:val="VRGFBodycontent"/>
      </w:pPr>
      <w:r w:rsidRPr="000E055E">
        <w:t>Given the small sample for this phase, albeit not a representative population sample, it is of concern that suicidal ideation was so commonly reported. Similar concerns have been raised in previous findings both in Australia (Browne et al., 2016) and in New Zealand (Penfold et al., 2006a), and highlights under-reporting of gambling influence on suicide attempts.</w:t>
      </w:r>
    </w:p>
    <w:p w14:paraId="74E8ED14" w14:textId="77777777" w:rsidR="007B139D" w:rsidRDefault="007B139D" w:rsidP="000E055E">
      <w:pPr>
        <w:pStyle w:val="VRGFBodycontent"/>
        <w:rPr>
          <w:i/>
          <w:iCs/>
        </w:rPr>
      </w:pPr>
    </w:p>
    <w:p w14:paraId="6E25621C" w14:textId="6DB6FCDD" w:rsidR="000E055E" w:rsidRPr="000E055E" w:rsidRDefault="000E055E" w:rsidP="007B139D">
      <w:pPr>
        <w:pStyle w:val="VRGFHead5"/>
      </w:pPr>
      <w:r w:rsidRPr="000E055E">
        <w:t>Community level emotional harm</w:t>
      </w:r>
    </w:p>
    <w:p w14:paraId="2B31B2D3" w14:textId="77777777" w:rsidR="000E055E" w:rsidRPr="000E055E" w:rsidRDefault="000E055E" w:rsidP="000E055E">
      <w:pPr>
        <w:pStyle w:val="VRGFBodycontent"/>
      </w:pPr>
      <w:r w:rsidRPr="000E055E">
        <w:t>Emotional harm at a community level may include feelings towards affected others that members of wider community may have; for instance, feeling sorry for the affected person, or even distress or frustration over their inability to relieve the other’s suffering. There was little evidence of such emotional harm at a community level in the present data. One participant in the expert group, referred to how others in the wider community are affected by gambling impacts on children:</w:t>
      </w:r>
    </w:p>
    <w:p w14:paraId="2CA61CCC" w14:textId="77777777" w:rsidR="000E055E" w:rsidRPr="000E055E" w:rsidRDefault="000E055E" w:rsidP="007B139D">
      <w:pPr>
        <w:pStyle w:val="Quote"/>
      </w:pPr>
      <w:r w:rsidRPr="000E055E">
        <w:t xml:space="preserve">But they’ve ruined other people’s lives… and they’re absolutely oblivious to it, they have no idea about how mum feels, how aunty feels, how embarrassed the </w:t>
      </w:r>
      <w:r w:rsidRPr="000E055E">
        <w:lastRenderedPageBreak/>
        <w:t>community is. The need to sell off this and the pawnbrokers, lost money, it’s huge, it’s not just mum, dad and kids, it’s the wider community. The kids have gone to school without lunches and the teachers are affected by it, feeling sorry for this child.</w:t>
      </w:r>
    </w:p>
    <w:p w14:paraId="200F974F" w14:textId="77777777" w:rsidR="007B139D" w:rsidRDefault="007B139D" w:rsidP="000E055E">
      <w:pPr>
        <w:pStyle w:val="VRGFBodycontent"/>
      </w:pPr>
    </w:p>
    <w:p w14:paraId="7BAB9745" w14:textId="4B6765EB" w:rsidR="000E055E" w:rsidRPr="000E055E" w:rsidRDefault="000E055E" w:rsidP="007B139D">
      <w:pPr>
        <w:pStyle w:val="VRGFHead4"/>
      </w:pPr>
      <w:r w:rsidRPr="000E055E">
        <w:t>Decrements to health</w:t>
      </w:r>
    </w:p>
    <w:p w14:paraId="00D7381E" w14:textId="77777777" w:rsidR="000E055E" w:rsidRPr="000E055E" w:rsidRDefault="000E055E" w:rsidP="000E055E">
      <w:pPr>
        <w:pStyle w:val="VRGFBodycontent"/>
      </w:pPr>
      <w:r w:rsidRPr="000E055E">
        <w:t>Decrements to physical health were not commonly reported within the present data. This could be partly due to priority given to other harms, health issues being linked to other causes, or a lag between engagement with gambling and the experience of health loss. Most decrements to physical health for the person who gambles were associated with effects of the length of play, such as eye strain, poor nutrition, dehydration, loss of sleep, headaches or increased sedentary behaviour. A treatment provider who worked with both Asian and non-Asian clients noted that Asians, who were less comfortable talking about emotional or relationship harms, tended to emphasise physical effects.</w:t>
      </w:r>
    </w:p>
    <w:p w14:paraId="5B9088B9" w14:textId="77777777" w:rsidR="000E055E" w:rsidRPr="000E055E" w:rsidRDefault="000E055E" w:rsidP="007B139D">
      <w:pPr>
        <w:pStyle w:val="Quote"/>
      </w:pPr>
      <w:r w:rsidRPr="000E055E">
        <w:t>I see clients in the mainstream as well. Yeah. So for mainstream, I don't see that many talking about - the first thing talking about, oh my health is impacted. I think probably the experience is like, for Asian, we don't talk a lot about emotions. So it's from the external. Something that is more distant from us. Physical, you can't [laughs] - you can't blame a physical body in that sense. But emotions is something that we don't talk so openly with someone, especially counsellors, a stranger. So I kind of see that because, in the mainstream, they're more open. Straight away they'll say that, I feel sad, stressed and all that. So I see the difference of reporting what comes first.</w:t>
      </w:r>
    </w:p>
    <w:p w14:paraId="52DA1964" w14:textId="77777777" w:rsidR="000E055E" w:rsidRPr="000E055E" w:rsidRDefault="000E055E" w:rsidP="000E055E">
      <w:pPr>
        <w:pStyle w:val="VRGFBodycontent"/>
      </w:pPr>
      <w:r w:rsidRPr="000E055E">
        <w:t xml:space="preserve">The lack of a clearly visible link between gambling and physical health problems was also an issue in people’s engagement with general health professionals, who may not ask about the person’s gambling, and the focus for treatment is rather on the manifestation of health loss. Another counsellor explained: </w:t>
      </w:r>
    </w:p>
    <w:p w14:paraId="140D041F" w14:textId="77777777" w:rsidR="000E055E" w:rsidRPr="000E055E" w:rsidRDefault="000E055E" w:rsidP="007B139D">
      <w:pPr>
        <w:pStyle w:val="Quote"/>
      </w:pPr>
      <w:r w:rsidRPr="000E055E">
        <w:t>When people experience stress because if someone gamble or themselves gambling, they may see a GP but they don't talk about gambling issue. What I mean is that even the day I expose gambling too long, make them give them a back pain or shoulder pain or a stomach problem, but they seek help for the stomach, shoulder pain but they never talk about the cause of problem because shame kind of thing.</w:t>
      </w:r>
    </w:p>
    <w:p w14:paraId="5263D73A" w14:textId="0F96A2B0" w:rsidR="000E055E" w:rsidRPr="000E055E" w:rsidRDefault="000E055E" w:rsidP="000E055E">
      <w:pPr>
        <w:pStyle w:val="VRGFBodycontent"/>
      </w:pPr>
      <w:r w:rsidRPr="000E055E">
        <w:t xml:space="preserve">Declining health, such as restriction of function caused by aging or injury, have been previously identified as contributing factors to gambling escalation (Browne et al., 2016). An example of this was shared by a </w:t>
      </w:r>
      <w:r w:rsidR="00A52CB8">
        <w:t>female</w:t>
      </w:r>
      <w:r w:rsidR="00A52CB8" w:rsidRPr="000E055E">
        <w:t xml:space="preserve"> </w:t>
      </w:r>
      <w:r w:rsidRPr="000E055E">
        <w:t xml:space="preserve">whose husband had problems with gambling. She described the impact of his hearing loss on him, making him uncomfortable in social situations and saw him gambling more on pokies: </w:t>
      </w:r>
    </w:p>
    <w:p w14:paraId="5B44AE3A" w14:textId="77777777" w:rsidR="000E055E" w:rsidRPr="000E055E" w:rsidRDefault="000E055E" w:rsidP="007B139D">
      <w:pPr>
        <w:pStyle w:val="Quote"/>
      </w:pPr>
      <w:r w:rsidRPr="000E055E">
        <w:t>Yeah the hearing yeah and because of that - because of the hearing, he start cutting off his friends and his more spending alone time. Then he's onto the pokies. He goes to the pokies yeah. That was the issue.</w:t>
      </w:r>
    </w:p>
    <w:p w14:paraId="74DCBEF5" w14:textId="77777777" w:rsidR="000E055E" w:rsidRPr="000E055E" w:rsidRDefault="000E055E" w:rsidP="000E055E">
      <w:pPr>
        <w:pStyle w:val="VRGFBodycontent"/>
      </w:pPr>
      <w:r w:rsidRPr="000E055E">
        <w:t>Gambling also affected health-related behaviours such as diet and physical activity. Participants commented that dietary behaviours were sometimes linked to gambling outcomes. As one treatment provider described her clients’ experiences:</w:t>
      </w:r>
    </w:p>
    <w:p w14:paraId="5396BFAE" w14:textId="77777777" w:rsidR="000E055E" w:rsidRPr="000E055E" w:rsidRDefault="000E055E" w:rsidP="007B139D">
      <w:pPr>
        <w:pStyle w:val="Quote"/>
      </w:pPr>
      <w:r w:rsidRPr="000E055E">
        <w:lastRenderedPageBreak/>
        <w:t>When you win, you are too happy to eat anything. When you lose, you don't have the appetite.</w:t>
      </w:r>
    </w:p>
    <w:p w14:paraId="594447A8" w14:textId="77777777" w:rsidR="000E055E" w:rsidRPr="000E055E" w:rsidRDefault="000E055E" w:rsidP="000E055E">
      <w:pPr>
        <w:pStyle w:val="VRGFBodycontent"/>
      </w:pPr>
      <w:r w:rsidRPr="000E055E">
        <w:t xml:space="preserve">Conversely, other participants linked gambling to over-eating. A male participant who had completed treatment had the insight to note a pattern of excessive consumption and what he described as </w:t>
      </w:r>
      <w:r w:rsidRPr="000E055E">
        <w:rPr>
          <w:i/>
        </w:rPr>
        <w:t>a real problem with instant gratification.</w:t>
      </w:r>
      <w:r w:rsidRPr="000E055E">
        <w:t xml:space="preserve"> Whilst not having the same level of insight into his behaviour, a male sports bettor noted that he was not only over-eating whilst spending long hours either gambling or researching his bets through reading forms and watching sport, but he was no longer as physically active:</w:t>
      </w:r>
    </w:p>
    <w:p w14:paraId="2B7DE2E1" w14:textId="77777777" w:rsidR="000E055E" w:rsidRPr="000E055E" w:rsidRDefault="000E055E" w:rsidP="007B139D">
      <w:pPr>
        <w:pStyle w:val="Quote"/>
      </w:pPr>
      <w:r w:rsidRPr="000E055E">
        <w:t>I used to go to the gym, outdoors, and stuff. Then I just look at it as my motivation just crashes. It's just like - I'd just rather go sit at the computer, play a computer game, talk to someone. It's probably not good for my health, but it's - I don't know... maybe I've just changed my interests.</w:t>
      </w:r>
    </w:p>
    <w:p w14:paraId="1775AC54" w14:textId="20EBEF24" w:rsidR="000E055E" w:rsidRPr="000E055E" w:rsidRDefault="000E055E" w:rsidP="000E055E">
      <w:pPr>
        <w:pStyle w:val="VRGFBodycontent"/>
      </w:pPr>
      <w:r w:rsidRPr="000E055E">
        <w:t xml:space="preserve">Effects on sleep patterns were also reported both by participants who gambled and affected others. This was not linked to play patterns but to the experiences of emotional or psychological distress. Even when people slept it was not always restorative. As one </w:t>
      </w:r>
      <w:r w:rsidR="00A52CB8">
        <w:t>female</w:t>
      </w:r>
      <w:r w:rsidR="00A52CB8" w:rsidRPr="000E055E">
        <w:t xml:space="preserve"> </w:t>
      </w:r>
      <w:r w:rsidRPr="000E055E">
        <w:t xml:space="preserve">currently seeking treatment described: </w:t>
      </w:r>
    </w:p>
    <w:p w14:paraId="1860DD26" w14:textId="77777777" w:rsidR="000E055E" w:rsidRPr="000E055E" w:rsidRDefault="000E055E" w:rsidP="007B139D">
      <w:pPr>
        <w:pStyle w:val="Quote"/>
      </w:pPr>
      <w:r w:rsidRPr="000E055E">
        <w:t>I have nightmares and whatever, because my mind never switches off. Even though I've done this mindfulness stuff to try and do that, it doesn't switch off.</w:t>
      </w:r>
    </w:p>
    <w:p w14:paraId="5710AAFC" w14:textId="77777777" w:rsidR="000E055E" w:rsidRPr="000E055E" w:rsidRDefault="000E055E" w:rsidP="000E055E">
      <w:pPr>
        <w:pStyle w:val="VRGFBodycontent"/>
      </w:pPr>
      <w:r w:rsidRPr="000E055E">
        <w:t xml:space="preserve">The loss of quantity and quality of sleep is a significant health risk factor, having long term effects on chronic health conditions, whilst also increasing the risk of injury from accidents. An affected other shared how her lack of sleep due to worrying about the effects of a family member’s gambling caused her to have a car accident: </w:t>
      </w:r>
    </w:p>
    <w:p w14:paraId="357C5785" w14:textId="77777777" w:rsidR="000E055E" w:rsidRPr="000E055E" w:rsidRDefault="000E055E" w:rsidP="007B139D">
      <w:pPr>
        <w:pStyle w:val="Quote"/>
      </w:pPr>
      <w:r w:rsidRPr="000E055E">
        <w:t>I wasn't sleeping. I wasn't concentrating. I had an accident in my car one morning when I was driving to work.</w:t>
      </w:r>
    </w:p>
    <w:p w14:paraId="7E365836" w14:textId="77777777" w:rsidR="000E055E" w:rsidRPr="000E055E" w:rsidRDefault="000E055E" w:rsidP="000E055E">
      <w:pPr>
        <w:pStyle w:val="VRGFBodycontent"/>
      </w:pPr>
      <w:r w:rsidRPr="000E055E">
        <w:t>Gateway effects of gambling to other addictions and comorbidities was also identified in the data, especially depression and anxiety. A young male experiencing problems with gambling believed it had contributed to the onset of his depression:</w:t>
      </w:r>
    </w:p>
    <w:p w14:paraId="05E31A17" w14:textId="77777777" w:rsidR="000E055E" w:rsidRPr="000E055E" w:rsidRDefault="000E055E" w:rsidP="007B139D">
      <w:pPr>
        <w:pStyle w:val="Quote"/>
      </w:pPr>
      <w:r w:rsidRPr="000E055E">
        <w:t>That's when depression kicked in, when I had to live with the guilt. Knowing that you hurt the closest ones to you. Burning un-burnable bridges, and that's family. Being in a sense of - being under a blanket.</w:t>
      </w:r>
    </w:p>
    <w:p w14:paraId="746C8B3E" w14:textId="1641EA35" w:rsidR="000E055E" w:rsidRPr="000E055E" w:rsidRDefault="000E055E" w:rsidP="000E055E">
      <w:pPr>
        <w:pStyle w:val="VRGFBodycontent"/>
      </w:pPr>
      <w:r w:rsidRPr="000E055E">
        <w:t xml:space="preserve">A </w:t>
      </w:r>
      <w:r w:rsidR="00A52CB8">
        <w:t>female</w:t>
      </w:r>
      <w:r w:rsidR="00A52CB8" w:rsidRPr="000E055E">
        <w:t xml:space="preserve"> </w:t>
      </w:r>
      <w:r w:rsidRPr="000E055E">
        <w:t>in treatment described the complex interaction of social exclusion and emotional harms in her experience of depression:</w:t>
      </w:r>
    </w:p>
    <w:p w14:paraId="0326ADC8" w14:textId="77777777" w:rsidR="000E055E" w:rsidRPr="000E055E" w:rsidRDefault="000E055E" w:rsidP="007B139D">
      <w:pPr>
        <w:pStyle w:val="Quote"/>
      </w:pPr>
      <w:r w:rsidRPr="000E055E">
        <w:t xml:space="preserve">But I think when I look back actually, it caused depression. Partly depression, because of all that I was losing, the worse I became emotionally as a person, psychologically. There was a bit of isolation, where you knew that cycle of gambling, all you know other people that gamble, so you're not really socialising properly. Then there's a frustration of knowing you shouldn't have gambled but then you - it's an addiction where you keep on gambling, trying to make ends meet. Then you end up, in the end when you're down and out, a hopelessness sets in. If you don't get your help that you need, well you've had it. You could end up committing suicide. The thoughts have always been there, years ago, when I look back. Yeah. I lost </w:t>
      </w:r>
      <w:r w:rsidRPr="000E055E">
        <w:lastRenderedPageBreak/>
        <w:t>some of my friends who have committed suicide. That made me stop and hesitate, this is years ago.</w:t>
      </w:r>
    </w:p>
    <w:p w14:paraId="7DE586A1" w14:textId="77777777" w:rsidR="000E055E" w:rsidRPr="000E055E" w:rsidRDefault="000E055E" w:rsidP="000E055E">
      <w:pPr>
        <w:pStyle w:val="VRGFBodycontent"/>
      </w:pPr>
      <w:r w:rsidRPr="000E055E">
        <w:t xml:space="preserve">The relationship between gambling and depression is complex and often bi-directional. The distorted sense of temporal sequence and accurate recall of emotional states means that it is hard to pinpoint whether changes in the behaviour preceded the depression or vice versa. However, it is reasonable to suggest that both could exacerbate the harmful experience of the other. </w:t>
      </w:r>
    </w:p>
    <w:p w14:paraId="58BDC3B5" w14:textId="77777777" w:rsidR="007B139D" w:rsidRDefault="007B139D" w:rsidP="000E055E">
      <w:pPr>
        <w:pStyle w:val="VRGFBodycontent"/>
      </w:pPr>
    </w:p>
    <w:p w14:paraId="696AB870" w14:textId="41CC1B6C" w:rsidR="000E055E" w:rsidRPr="000E055E" w:rsidRDefault="000E055E" w:rsidP="007B139D">
      <w:pPr>
        <w:pStyle w:val="VRGFHead4"/>
      </w:pPr>
      <w:r w:rsidRPr="000E055E">
        <w:t>Cultural harms</w:t>
      </w:r>
    </w:p>
    <w:p w14:paraId="3E328B76" w14:textId="77777777" w:rsidR="000E055E" w:rsidRPr="000E055E" w:rsidRDefault="000E055E" w:rsidP="000E055E">
      <w:pPr>
        <w:pStyle w:val="VRGFBodycontent"/>
      </w:pPr>
      <w:r w:rsidRPr="000E055E">
        <w:t xml:space="preserve">It is important to separate the concept of cultural harms from aspects of people’s culture that can create additional risk of harm from gambling. Cultural harms are separate to a shared history, cultural beliefs and cultural practices that may influence differences in the risks and vulnerabilities to the behaviour and the potential for harm. Cultural harms are outcomes of engagement with gambling that create a decrement to a person, family or community’s wellbeing in relation to their cultural beliefs, practices, identity or connection. </w:t>
      </w:r>
    </w:p>
    <w:p w14:paraId="341D017D" w14:textId="77777777" w:rsidR="000E055E" w:rsidRPr="000E055E" w:rsidRDefault="000E055E" w:rsidP="000E055E">
      <w:pPr>
        <w:pStyle w:val="VRGFBodycontent"/>
      </w:pPr>
      <w:r w:rsidRPr="000E055E">
        <w:t xml:space="preserve">A further separation that needs to be distinguished is that different cultural beliefs place different values on harms and subsequently change the context of that experience of harm. These differences are discussed later in the chapter. </w:t>
      </w:r>
    </w:p>
    <w:p w14:paraId="4E44DF0B" w14:textId="77777777" w:rsidR="007B139D" w:rsidRDefault="007B139D" w:rsidP="000E055E">
      <w:pPr>
        <w:pStyle w:val="VRGFBodycontent"/>
        <w:rPr>
          <w:i/>
          <w:iCs/>
        </w:rPr>
      </w:pPr>
    </w:p>
    <w:p w14:paraId="57CEE729" w14:textId="5ED640E4" w:rsidR="000E055E" w:rsidRPr="000E055E" w:rsidRDefault="000E055E" w:rsidP="007B139D">
      <w:pPr>
        <w:pStyle w:val="VRGFHead5"/>
      </w:pPr>
      <w:r w:rsidRPr="000E055E">
        <w:t>The experience of cultural harm</w:t>
      </w:r>
    </w:p>
    <w:p w14:paraId="3786E610" w14:textId="77777777" w:rsidR="000E055E" w:rsidRPr="000E055E" w:rsidRDefault="000E055E" w:rsidP="000E055E">
      <w:pPr>
        <w:pStyle w:val="VRGFBodycontent"/>
      </w:pPr>
      <w:r w:rsidRPr="000E055E">
        <w:t>For some participants, gambling was an unacceptable behaviour according to their cultural or religious beliefs. To participate in gambling created a feeling of sin, or betrayal against their beliefs that made them feel unable to participate in cultural or religious rituals. This sometimes created second-order harms such as shame, emotional distress or reduced connection with their cultural community. For one Muslim participant who had been seen engaging in gambling by a community elder, the feeling of shame and being unworthy to engage in the normal religious rituals, led him back to the gambling venue:</w:t>
      </w:r>
    </w:p>
    <w:p w14:paraId="4D34C94E" w14:textId="77777777" w:rsidR="000E055E" w:rsidRPr="000E055E" w:rsidRDefault="000E055E" w:rsidP="007B139D">
      <w:pPr>
        <w:pStyle w:val="Quote"/>
      </w:pPr>
      <w:r w:rsidRPr="000E055E">
        <w:t>I didn’t go to the praying [place]. Usually the praying … is at night. So I didn’t go to the praying place, but go to the gambling place instead.</w:t>
      </w:r>
    </w:p>
    <w:p w14:paraId="7D1B98D6" w14:textId="77777777" w:rsidR="000E055E" w:rsidRPr="000E055E" w:rsidRDefault="000E055E" w:rsidP="000E055E">
      <w:pPr>
        <w:pStyle w:val="VRGFBodycontent"/>
      </w:pPr>
      <w:r w:rsidRPr="000E055E">
        <w:t xml:space="preserve">This incident had occurred decades earlier yet still caused him great shame. To understand the strength of the shame, the context of this experience needs to be considered. This was the only negative experience to have come from a very short engagement with gambling, yet decades later he still identified as having experienced a harm from gambling enough to actively respond to a research participant advertisement and commit time and effort to attend a focus group. </w:t>
      </w:r>
    </w:p>
    <w:p w14:paraId="26C35257" w14:textId="77777777" w:rsidR="000E055E" w:rsidRPr="000E055E" w:rsidRDefault="000E055E" w:rsidP="000E055E">
      <w:pPr>
        <w:pStyle w:val="VRGFBodycontent"/>
      </w:pPr>
      <w:r w:rsidRPr="000E055E">
        <w:t>Inability to fulfil culturally-identified roles within their family or community was a profound effect. The importance of this was highlighted by a number of participants who were rebuilding themselves through treatment and working to reclaim these roles. As a male Māori participant shared:</w:t>
      </w:r>
    </w:p>
    <w:p w14:paraId="2E3A8C2E" w14:textId="77777777" w:rsidR="000E055E" w:rsidRPr="000E055E" w:rsidRDefault="000E055E" w:rsidP="007B139D">
      <w:pPr>
        <w:pStyle w:val="Quote"/>
      </w:pPr>
      <w:r w:rsidRPr="000E055E">
        <w:t xml:space="preserve">My journey is starting when I go back home to my own little back yard. It's going to be a tough journey but somebody has to stand up to the plate, and - well not being the tāne of the whare, you know, that brings home the bacon . . . If I can show that </w:t>
      </w:r>
      <w:r w:rsidRPr="000E055E">
        <w:lastRenderedPageBreak/>
        <w:t>role model to my wahine and my tamariki and my moko, I think that could do a bit of change</w:t>
      </w:r>
      <w:r w:rsidRPr="000E055E">
        <w:rPr>
          <w:vertAlign w:val="superscript"/>
        </w:rPr>
        <w:footnoteReference w:id="14"/>
      </w:r>
      <w:r w:rsidRPr="000E055E">
        <w:t>.</w:t>
      </w:r>
    </w:p>
    <w:p w14:paraId="17207982" w14:textId="79C2BA95" w:rsidR="000E055E" w:rsidRPr="000E055E" w:rsidRDefault="000E055E" w:rsidP="000E055E">
      <w:pPr>
        <w:pStyle w:val="VRGFBodycontent"/>
      </w:pPr>
      <w:r w:rsidRPr="000E055E">
        <w:t xml:space="preserve">The idea of “bringing home the bacon” however, extended beyond the intuitive sense of financially providing for the family and was linked to what participants referred to as needing to “step up to the plate”. Their role was to assume responsibility for and provide leadership, protection, and stewardship for their whānau and community. Subsequently, their mana [authority, </w:t>
      </w:r>
      <w:r w:rsidR="000B22ED">
        <w:t>status</w:t>
      </w:r>
      <w:r w:rsidRPr="000E055E">
        <w:t>, honour, respect] was linked to the ability to fulfil this role and their capacity to look after the people they were responsible for. For the individual mana also had to do with a sense of belonging and identity.</w:t>
      </w:r>
    </w:p>
    <w:p w14:paraId="53E23DED" w14:textId="620FE52D" w:rsidR="000E055E" w:rsidRPr="000E055E" w:rsidRDefault="000E055E" w:rsidP="000E055E">
      <w:pPr>
        <w:pStyle w:val="VRGFBodycontent"/>
      </w:pPr>
      <w:r w:rsidRPr="000E055E">
        <w:t>The loss of mana and the experience of whakamā [shame</w:t>
      </w:r>
      <w:r w:rsidR="000B22ED">
        <w:t>, embarrassment</w:t>
      </w:r>
      <w:r w:rsidRPr="000E055E">
        <w:t>] was shared by a number of participants, because of their holistic or extended sense of health as being about the whole family’s wellness, not just the individual’s. A man whose wife had experienced problems with gambling shared how it made him feel as a man:</w:t>
      </w:r>
    </w:p>
    <w:p w14:paraId="296E94CD" w14:textId="77777777" w:rsidR="000E055E" w:rsidRPr="000E055E" w:rsidRDefault="000E055E" w:rsidP="007B139D">
      <w:pPr>
        <w:pStyle w:val="Quote"/>
      </w:pPr>
      <w:r w:rsidRPr="000E055E">
        <w:t>I was quite ashamed. In Māori, we call it whakamā, so shame, and I was pretty sad about it. It took me maybe a couple of weeks to come out of that shameful feeling and that's why I was saying, I felt like I wasn’t a very good father, not being able to provide.</w:t>
      </w:r>
    </w:p>
    <w:p w14:paraId="124F3EF0" w14:textId="77777777" w:rsidR="000E055E" w:rsidRPr="000E055E" w:rsidRDefault="000E055E" w:rsidP="000E055E">
      <w:pPr>
        <w:pStyle w:val="VRGFBodycontent"/>
      </w:pPr>
      <w:r w:rsidRPr="000E055E">
        <w:t xml:space="preserve">What he felt ashamed about was not just the idea of providing materially for his family, but providing emotional protection to stop his wife from developing problems with gambling, and to protect his children from the harms they experienced because of their mother’s gambling. That he had been unable to stop this harm at both levels created an experience of whakamā. </w:t>
      </w:r>
    </w:p>
    <w:p w14:paraId="052E3517" w14:textId="77777777" w:rsidR="000E055E" w:rsidRPr="000E055E" w:rsidRDefault="000E055E" w:rsidP="000E055E">
      <w:pPr>
        <w:pStyle w:val="VRGFBodycontent"/>
      </w:pPr>
      <w:r w:rsidRPr="000E055E">
        <w:t>Similar experiences of culturally-based harm were shared by treatment providers working with both the Pacific and Asian communities. They referred to culturally-defined roles that individuals played within their family and community that were affected by their involvement with gambling. Again this affected an individual’s culturally-defined identity and the harm spread within the family unit, as a service manager explained:</w:t>
      </w:r>
    </w:p>
    <w:p w14:paraId="58B753CC" w14:textId="77777777" w:rsidR="000E055E" w:rsidRPr="000E055E" w:rsidRDefault="000E055E" w:rsidP="007B139D">
      <w:pPr>
        <w:pStyle w:val="Quote"/>
      </w:pPr>
      <w:r w:rsidRPr="000E055E">
        <w:t>Well from a male perspective around that yes, it definitely hits hard in terms of dignity and being a male you should be able to protect and the man starts questioning his role….it does hit the core of a male and then it starts to bleed out towards the family members. Especially if it's - first of all if he's the gambler - it's just slightly different in the dynamics in that part. You go okay, and if she's the gambler then it reinforces his manhood - if you want to look at it that way, or disempowers that part - so the only way that he can disempower her is to go another way and then the kids just get caught in the middle of it all.</w:t>
      </w:r>
    </w:p>
    <w:p w14:paraId="5C84608A" w14:textId="77777777" w:rsidR="007B139D" w:rsidRDefault="007B139D" w:rsidP="000E055E">
      <w:pPr>
        <w:pStyle w:val="VRGFBodycontent"/>
        <w:rPr>
          <w:i/>
          <w:iCs/>
        </w:rPr>
      </w:pPr>
    </w:p>
    <w:p w14:paraId="0C16ABE7" w14:textId="72105482" w:rsidR="000E055E" w:rsidRPr="000E055E" w:rsidRDefault="000E055E" w:rsidP="007B139D">
      <w:pPr>
        <w:pStyle w:val="VRGFHead5"/>
      </w:pPr>
      <w:r w:rsidRPr="000E055E">
        <w:t>The experience of harm in relation to contributions to family and community</w:t>
      </w:r>
    </w:p>
    <w:p w14:paraId="5CCD7AE2" w14:textId="77777777" w:rsidR="000E055E" w:rsidRPr="000E055E" w:rsidRDefault="000E055E" w:rsidP="000E055E">
      <w:pPr>
        <w:pStyle w:val="VRGFBodycontent"/>
      </w:pPr>
      <w:r w:rsidRPr="000E055E">
        <w:t xml:space="preserve">Whilst most societies have an expectation that its members contribute to the greater good or are mutually supportive, such expectations are more overt within particular cultures. This expectation of collective contribution is often explicit within communities that gather in the practice of organised </w:t>
      </w:r>
      <w:r w:rsidRPr="000E055E">
        <w:lastRenderedPageBreak/>
        <w:t xml:space="preserve">religion. For a number of participants, the church community they belonged to represented another form of financial obligation to which they needed to contribute. When gambling behaviours reduced the available funds to contribute, it created an additional experience of harm. </w:t>
      </w:r>
    </w:p>
    <w:p w14:paraId="51F01242" w14:textId="77777777" w:rsidR="000E055E" w:rsidRPr="000E055E" w:rsidRDefault="000E055E" w:rsidP="000E055E">
      <w:pPr>
        <w:pStyle w:val="VRGFBodycontent"/>
      </w:pPr>
      <w:r w:rsidRPr="000E055E">
        <w:t>For people unable to contribute to community or religious fundraising, experiences included culturally-based shame that sometimes led to isolation and withdrawal from cultural celebrations or social activities within their communities. A researcher who had worked with Pacific cultures explained the experience:</w:t>
      </w:r>
    </w:p>
    <w:p w14:paraId="01F945DF" w14:textId="77777777" w:rsidR="000E055E" w:rsidRPr="000E055E" w:rsidRDefault="000E055E" w:rsidP="007B139D">
      <w:pPr>
        <w:pStyle w:val="Quote"/>
      </w:pPr>
      <w:r w:rsidRPr="000E055E">
        <w:t>So embarrassed, and that embarrassment and shame of not being able to contribute to a wider family function, say a wedding, a 21</w:t>
      </w:r>
      <w:r w:rsidRPr="000E055E">
        <w:rPr>
          <w:vertAlign w:val="superscript"/>
        </w:rPr>
        <w:t>st</w:t>
      </w:r>
      <w:r w:rsidRPr="000E055E">
        <w:t>, there are many in the Pacific context and to the church meant that they just wouldn’t go to these things to avoid being embarrassed publically. So there’s that self-isolation and then it gets to a point where I guess the collective might just expect or not even invite anymore, because they know this person may not come along.</w:t>
      </w:r>
    </w:p>
    <w:p w14:paraId="52FA31F6" w14:textId="77777777" w:rsidR="000E055E" w:rsidRPr="000E055E" w:rsidRDefault="000E055E" w:rsidP="000E055E">
      <w:pPr>
        <w:pStyle w:val="VRGFBodycontent"/>
      </w:pPr>
      <w:r w:rsidRPr="000E055E">
        <w:t>In some cases, the community’s response also contributes to the individual’s disconnection. A treatment provider described:</w:t>
      </w:r>
    </w:p>
    <w:p w14:paraId="635B7BD1" w14:textId="77777777" w:rsidR="000E055E" w:rsidRPr="000E055E" w:rsidRDefault="000E055E" w:rsidP="007B139D">
      <w:pPr>
        <w:pStyle w:val="Quote"/>
      </w:pPr>
      <w:r w:rsidRPr="000E055E">
        <w:t>It's usually - when people don’t contribute, they don't have - at first they are all pressured to give that because it's all unshared expectations. Then people are put under pressure that they must provide because they came to our stuff but even if they don't have anything they would sell whatever they have, or gamble in order to have that to maintain the relationship. Sometimes when they cannot maintain the relationship they seem to lose their credibility within their community. So it makes them look like a lesser person than anybody else so it really is that.</w:t>
      </w:r>
    </w:p>
    <w:p w14:paraId="47A9DC6A" w14:textId="77777777" w:rsidR="000E055E" w:rsidRPr="000E055E" w:rsidRDefault="000E055E" w:rsidP="000E055E">
      <w:pPr>
        <w:pStyle w:val="VRGFBodycontent"/>
      </w:pPr>
      <w:r w:rsidRPr="000E055E">
        <w:t xml:space="preserve">The reaction from the community could contribute to the internalised feelings of shame. People reported being labelled or “othered”, which increased feelings of desperation. In turn, these feelings motivated them to gamble more as they saw it as the only option for raising the funds needed to be able to contribute and restore their sense of worth and community connection. </w:t>
      </w:r>
    </w:p>
    <w:p w14:paraId="5A79A007" w14:textId="77777777" w:rsidR="000E055E" w:rsidRPr="000E055E" w:rsidRDefault="000E055E" w:rsidP="000E055E">
      <w:pPr>
        <w:pStyle w:val="VRGFBodycontent"/>
      </w:pPr>
      <w:r w:rsidRPr="000E055E">
        <w:t>The importance of family and community connection was highlighted by a number of participants, and its loss created numerous second and further order harms. This was highlighted in terms of the pervasive long-term impact, or legacy harms. A researcher who had examined gambling harm within Pacific communities explained that this extended beyond the person who gambled:</w:t>
      </w:r>
    </w:p>
    <w:p w14:paraId="06FD1E5D" w14:textId="77777777" w:rsidR="000E055E" w:rsidRPr="000E055E" w:rsidRDefault="000E055E" w:rsidP="007B139D">
      <w:pPr>
        <w:pStyle w:val="Quote"/>
      </w:pPr>
      <w:r w:rsidRPr="000E055E">
        <w:t>There’s also a loss of respect or a sense of a loss of respect within that family group and their community. That loss of respect can have huge detrimental consequences, potential suicidal ideation et cetera. That loss of respect reflects not only on that individual, but on their family who all have the same name. So that connectedness tarnishes one and many at the same time.</w:t>
      </w:r>
    </w:p>
    <w:p w14:paraId="378285E4" w14:textId="77777777" w:rsidR="000E055E" w:rsidRPr="000E055E" w:rsidRDefault="000E055E" w:rsidP="000E055E">
      <w:pPr>
        <w:pStyle w:val="VRGFBodycontent"/>
      </w:pPr>
      <w:r w:rsidRPr="000E055E">
        <w:t>The importance of culturally-based harm experienced by the family was also highlighted by a treatment provider who worked with Asian communities in terms of the fear of this shame acting as a barrier to treatment:</w:t>
      </w:r>
    </w:p>
    <w:p w14:paraId="255746D5" w14:textId="77777777" w:rsidR="000E055E" w:rsidRPr="000E055E" w:rsidRDefault="000E055E" w:rsidP="007B139D">
      <w:pPr>
        <w:pStyle w:val="Quote"/>
      </w:pPr>
      <w:r w:rsidRPr="000E055E">
        <w:t xml:space="preserve">Once someone develops with problem gambling, whole family feel shame - not the problem gambler themselves; the whole family feel shame, which means that they don't want to talk about that issue with other people… and hide problem away from </w:t>
      </w:r>
      <w:r w:rsidRPr="000E055E">
        <w:lastRenderedPageBreak/>
        <w:t>other people. Also, it's [an] “our problem” kind of thing and actually, that kind of hinders them from seeking help at the early stage.</w:t>
      </w:r>
    </w:p>
    <w:p w14:paraId="20452C67" w14:textId="77777777" w:rsidR="000E055E" w:rsidRPr="000E055E" w:rsidRDefault="000E055E" w:rsidP="000E055E">
      <w:pPr>
        <w:pStyle w:val="VRGFBodycontent"/>
      </w:pPr>
      <w:r w:rsidRPr="000E055E">
        <w:t xml:space="preserve">This had intergenerational effects, with participants from a number of cultural groups reporting negative impacts of the loss of a family’s “good name”. </w:t>
      </w:r>
    </w:p>
    <w:p w14:paraId="7786E68D" w14:textId="77777777" w:rsidR="007B139D" w:rsidRDefault="007B139D" w:rsidP="000E055E">
      <w:pPr>
        <w:pStyle w:val="VRGFBodycontent"/>
        <w:rPr>
          <w:i/>
          <w:iCs/>
        </w:rPr>
      </w:pPr>
    </w:p>
    <w:p w14:paraId="18C528C9" w14:textId="58FD988C" w:rsidR="000E055E" w:rsidRPr="000E055E" w:rsidRDefault="000E055E" w:rsidP="007B139D">
      <w:pPr>
        <w:pStyle w:val="VRGFHead5"/>
      </w:pPr>
      <w:r w:rsidRPr="000E055E">
        <w:t>Community level cultural harms</w:t>
      </w:r>
    </w:p>
    <w:p w14:paraId="5EBA77CA" w14:textId="77777777" w:rsidR="000E055E" w:rsidRPr="000E055E" w:rsidRDefault="000E055E" w:rsidP="000E055E">
      <w:pPr>
        <w:pStyle w:val="VRGFBodycontent"/>
      </w:pPr>
      <w:r w:rsidRPr="000E055E">
        <w:t xml:space="preserve">When community members are unable to contribute in terms of their roles, time or resources, the effect is felt by the rest of the community which needs to make up for that loss. This affects the collective wellbeing, and in some communities this situation was identified as being experienced “extensively”. Some participants described the “hard core of people” who were doing “huge amounts”. Such inequity in contribution can damage social cohesion, which creates further disconnection and harm. </w:t>
      </w:r>
    </w:p>
    <w:p w14:paraId="3292793E" w14:textId="77777777" w:rsidR="000E055E" w:rsidRPr="000E055E" w:rsidRDefault="000E055E" w:rsidP="000E055E">
      <w:pPr>
        <w:pStyle w:val="VRGFBodycontent"/>
      </w:pPr>
      <w:r w:rsidRPr="000E055E">
        <w:t>Consistent with culture-related harms identified in the literature (Dyall, Tse, &amp; Kingi, 2009; Morrison &amp; Boulton, 2013) participants from some cultural groups reported the use of cultural norms (such as beliefs or superstitions), traditional game designs, and culturally significant events in the design and promotion of commercial gambling to target people of that culture as a form of cultural harm. Whilst it could be argued that this is no different from marketing strategies used to create a sense of connection to a product, it was seen by a number of participants as being exploitative and harmful. This was particularly in relation to marketing strategies that promoted commercial gambling as a way for cultural communities to socialise and form connections. A treatment provider shared their view:</w:t>
      </w:r>
    </w:p>
    <w:p w14:paraId="384218D7" w14:textId="77777777" w:rsidR="000E055E" w:rsidRPr="000E055E" w:rsidRDefault="000E055E" w:rsidP="007B139D">
      <w:pPr>
        <w:pStyle w:val="Quote"/>
      </w:pPr>
      <w:r w:rsidRPr="000E055E">
        <w:t xml:space="preserve">They [i.e.the gambling </w:t>
      </w:r>
      <w:r w:rsidRPr="007B139D">
        <w:t>industry</w:t>
      </w:r>
      <w:r w:rsidRPr="000E055E">
        <w:t>] make it sound like a community. So people say oh that is less harmful because it's community, it's a game, it's a sociali[sing activity], actually it's not.</w:t>
      </w:r>
    </w:p>
    <w:p w14:paraId="5ABFB75C" w14:textId="77777777" w:rsidR="000E055E" w:rsidRPr="000E055E" w:rsidRDefault="000E055E" w:rsidP="000E055E">
      <w:pPr>
        <w:pStyle w:val="VRGFBodycontent"/>
      </w:pPr>
      <w:r w:rsidRPr="000E055E">
        <w:t>In opinions shared by a number of participants, outcomes were the opposite, in that it contributed to disconnection and isolation. Similar concerns were expressed about role models within cultural communities, such as sports stars doing promotional work for gambling products. Whilst this is again a standard marketing strategy, the esteem with which particular people are held by youth was highlighted as an unacceptable risk for their community.</w:t>
      </w:r>
    </w:p>
    <w:p w14:paraId="07EA3AAA" w14:textId="77777777" w:rsidR="000E055E" w:rsidRPr="000E055E" w:rsidRDefault="000E055E" w:rsidP="000E055E">
      <w:pPr>
        <w:pStyle w:val="VRGFBodycontent"/>
      </w:pPr>
      <w:r w:rsidRPr="000E055E">
        <w:t>A final community level cultural harm identified within the data and consistent with those previously identified by Langham et al. (2016), was the exacerbation of hopelessness through negative narrative that associates culture with gambling problems. This was described by one participant as a “huge whakamā [shame] to our culture”.</w:t>
      </w:r>
      <w:r w:rsidRPr="000E055E" w:rsidDel="008A145F">
        <w:t xml:space="preserve"> </w:t>
      </w:r>
    </w:p>
    <w:p w14:paraId="3FD930FF" w14:textId="77777777" w:rsidR="000E055E" w:rsidRPr="000E055E" w:rsidRDefault="000E055E" w:rsidP="000E055E">
      <w:pPr>
        <w:pStyle w:val="VRGFBodycontent"/>
      </w:pPr>
      <w:r w:rsidRPr="000E055E">
        <w:t>Whilst it is important to identify inequities (e.g. health inequities) between cultural groups in New Zealand, it is equally important to be specific about the causes of inequity to avoid an inadvertent normalisation of these inequities and subsequent influence on people. A number of participants described the experience of gambling problems or other health problems as “normal” within their culture:</w:t>
      </w:r>
    </w:p>
    <w:p w14:paraId="0A398B0B" w14:textId="77777777" w:rsidR="000E055E" w:rsidRPr="000E055E" w:rsidRDefault="000E055E" w:rsidP="00F53E12">
      <w:pPr>
        <w:pStyle w:val="Quote"/>
      </w:pPr>
      <w:r w:rsidRPr="000E055E">
        <w:t>Memories, yeah... gambling was pretty normalised for me growing up and it was just something that we did.</w:t>
      </w:r>
    </w:p>
    <w:p w14:paraId="5C97E7C1" w14:textId="77777777" w:rsidR="000E055E" w:rsidRPr="000E055E" w:rsidRDefault="000E055E" w:rsidP="00F53E12">
      <w:pPr>
        <w:pStyle w:val="Quote"/>
      </w:pPr>
      <w:r w:rsidRPr="000E055E">
        <w:lastRenderedPageBreak/>
        <w:t>So parental responses to gambling and there's examples of a woman who actually was married, and had three children. But was able to go to that safety net, like young people do, of her parents, because in their eyes she’s young. Or I don't know, maybe it’s normalised for them, that this is the type of behaviour that this particular child of theirs does.</w:t>
      </w:r>
    </w:p>
    <w:p w14:paraId="4AA2D13F" w14:textId="77777777" w:rsidR="000E055E" w:rsidRPr="000E055E" w:rsidRDefault="000E055E" w:rsidP="000E055E">
      <w:pPr>
        <w:pStyle w:val="VRGFBodycontent"/>
      </w:pPr>
      <w:r w:rsidRPr="000E055E">
        <w:t>This creates a tension in terms of being able to highlight issues, provide education and talk openly about issues affecting communities. As one treatment manager shared:</w:t>
      </w:r>
    </w:p>
    <w:p w14:paraId="63423A92" w14:textId="77777777" w:rsidR="000E055E" w:rsidRPr="000E055E" w:rsidRDefault="000E055E" w:rsidP="00F53E12">
      <w:pPr>
        <w:pStyle w:val="Quote"/>
      </w:pPr>
      <w:r w:rsidRPr="000E055E">
        <w:t>But hey what else are we going to do; it's just a matter of finding a way to maybe help our people to think about it, even though it's hard. But on the other hand I thought to myself; shall we keep quiet about it or wave the flag and raise the awareness for our people.</w:t>
      </w:r>
    </w:p>
    <w:p w14:paraId="7ECDE753" w14:textId="77777777" w:rsidR="000E055E" w:rsidRDefault="000E055E" w:rsidP="000E055E">
      <w:pPr>
        <w:pStyle w:val="VRGFBodycontent"/>
      </w:pPr>
      <w:r w:rsidRPr="000E055E">
        <w:t>What was apparent within the data was that it was not so much a person’s culture that was the risk factor for experiencing problems with gambling. Rather culture was an overt measure of a shared experience that created risk and vulnerability. Exposure to processes of colonisation, dispossession, migration and social exclusion were factors that act through a complex web of causal sequence in relation to aspiration and attempts to compensate for loss. For some participants, reconnecting with culture through culturally appropriate treatment modalities was critical to their recovery from problems with gambling.</w:t>
      </w:r>
    </w:p>
    <w:p w14:paraId="086630A0" w14:textId="77777777" w:rsidR="00EC29B6" w:rsidRPr="000E055E" w:rsidRDefault="00EC29B6" w:rsidP="000E055E">
      <w:pPr>
        <w:pStyle w:val="VRGFBodycontent"/>
      </w:pPr>
    </w:p>
    <w:p w14:paraId="3C3057C2" w14:textId="14A617A6" w:rsidR="000E055E" w:rsidRPr="000E055E" w:rsidRDefault="000E055E" w:rsidP="00F53E12">
      <w:pPr>
        <w:pStyle w:val="VRGFHead4"/>
      </w:pPr>
      <w:r w:rsidRPr="000E055E">
        <w:t>Reduced performance at work or study</w:t>
      </w:r>
    </w:p>
    <w:p w14:paraId="25A38A04" w14:textId="77777777" w:rsidR="000E055E" w:rsidRPr="000E055E" w:rsidRDefault="000E055E" w:rsidP="000E055E">
      <w:pPr>
        <w:pStyle w:val="VRGFBodycontent"/>
      </w:pPr>
      <w:r w:rsidRPr="000E055E">
        <w:t>Harms relating to work and study were not well reported in the present data. This is likely to be due to over a quarter of participants (n=20) being in treatment who focused on the ongoing harms they were experiencing, which were centred on relationships and feelings of self-worth. Nevertheless, both people who gamble and affected others had experienced reduced performance in their work, study and volunteering due to tiredness, distraction and absenteeism. For participants who gambled, this type of harm was related to the gambling behaviour, whilst for affected others it was related either to practical issues of managing other resultant harms, or the stress from having to deal with the harms. People who gambled shared experiences of long lunches or days off, as a male horse bettor reported:</w:t>
      </w:r>
    </w:p>
    <w:p w14:paraId="0DF27B72" w14:textId="77777777" w:rsidR="000E055E" w:rsidRPr="000E055E" w:rsidRDefault="000E055E" w:rsidP="00F53E12">
      <w:pPr>
        <w:pStyle w:val="Quote"/>
      </w:pPr>
      <w:r w:rsidRPr="000E055E">
        <w:t>Because I was into horse racing and that, and I got to the point where I was going - taking time off work to go to the races during the week meetings.</w:t>
      </w:r>
    </w:p>
    <w:p w14:paraId="2A767C89" w14:textId="3E7CE356" w:rsidR="000E055E" w:rsidRPr="000E055E" w:rsidRDefault="000E055E" w:rsidP="000E055E">
      <w:pPr>
        <w:pStyle w:val="VRGFBodycontent"/>
      </w:pPr>
      <w:r w:rsidRPr="000E055E">
        <w:t xml:space="preserve">A </w:t>
      </w:r>
      <w:r w:rsidR="00A52CB8">
        <w:t>female</w:t>
      </w:r>
      <w:r w:rsidR="00A52CB8" w:rsidRPr="000E055E">
        <w:t xml:space="preserve"> </w:t>
      </w:r>
      <w:r w:rsidRPr="000E055E">
        <w:t xml:space="preserve">whose partner experienced significant problems with gambling shared her experiences of the affect on her work: </w:t>
      </w:r>
    </w:p>
    <w:p w14:paraId="1E946F7C" w14:textId="77777777" w:rsidR="000E055E" w:rsidRPr="000E055E" w:rsidRDefault="000E055E" w:rsidP="00F53E12">
      <w:pPr>
        <w:pStyle w:val="Quote"/>
      </w:pPr>
      <w:r w:rsidRPr="000E055E">
        <w:t xml:space="preserve">I've had quite a bit of time off work at the beginning just when I was in this fight or flight mode and going holy shit I've got to do something and really panicking about - because, as I said before, I don't know anything about gambling or why you'd even want to or the severity of it all. So I had quite a bit of time off work while I went and talked to all the support organisations. Went and talked to lots of counsellors to try and find someone that he might connect with before I took him to wherever I was going to take him. I've had to have time off work to go to finance companies and pay finance companies out and go to [pawn broker], pay [finance providers] out, go to [the casino] with him, make sure he signs a form to say he can't go in there . . . </w:t>
      </w:r>
      <w:r w:rsidRPr="000E055E">
        <w:lastRenderedPageBreak/>
        <w:t>so I've had quite a lot of time off work to do all these things and stress… and I've just had quite a few days off just to sleep.</w:t>
      </w:r>
    </w:p>
    <w:p w14:paraId="3F85A81C" w14:textId="77777777" w:rsidR="000E055E" w:rsidRPr="000E055E" w:rsidRDefault="000E055E" w:rsidP="000E055E">
      <w:pPr>
        <w:pStyle w:val="VRGFBodycontent"/>
      </w:pPr>
      <w:r w:rsidRPr="000E055E">
        <w:t xml:space="preserve">Where reliability at work became problematic, instances of termination of employment were reported. An affected other described the effect gambling had on his wife’s attendance at work and how it had contributed to her employment being terminated: </w:t>
      </w:r>
    </w:p>
    <w:p w14:paraId="058F1FA1" w14:textId="77777777" w:rsidR="000E055E" w:rsidRPr="000E055E" w:rsidRDefault="000E055E" w:rsidP="00F53E12">
      <w:pPr>
        <w:pStyle w:val="Quote"/>
      </w:pPr>
      <w:r w:rsidRPr="000E055E">
        <w:t>She was meant to turn up to work on a Friday and she wouldn’t turn up and would have two or three days off. That ended up being a regular occurrence for her over about a three year period. She had already been given quite a few warnings.</w:t>
      </w:r>
    </w:p>
    <w:p w14:paraId="5EBD14B7" w14:textId="77777777" w:rsidR="000E055E" w:rsidRPr="000E055E" w:rsidRDefault="000E055E" w:rsidP="000E055E">
      <w:pPr>
        <w:pStyle w:val="VRGFBodycontent"/>
      </w:pPr>
      <w:r w:rsidRPr="000E055E">
        <w:t xml:space="preserve">Within the conceptual framework (Langham et al., 2016) volunteer work is identified as part of this domain due to its contribution to both economic activity and social capital. Within the present set of data, volunteer work was identified as a community level harm, without prompting. This suggested that people were aware of the loss. Volunteer work also offers another means of achieving connections - the same thing sought by some patrons in gambling venues. </w:t>
      </w:r>
    </w:p>
    <w:p w14:paraId="16D09749" w14:textId="77777777" w:rsidR="000E055E" w:rsidRPr="000E055E" w:rsidRDefault="000E055E" w:rsidP="000E055E">
      <w:pPr>
        <w:pStyle w:val="VRGFBodycontent"/>
      </w:pPr>
      <w:r w:rsidRPr="000E055E">
        <w:t>Community level relationship harm was also identified in the missed opportunities resulting from reduced or refrained participation in voluntary or community activities by a person who gambles or an affected other. Referring to her sister who was experiencing problems with gambling, one participant shared:</w:t>
      </w:r>
    </w:p>
    <w:p w14:paraId="5B488716" w14:textId="77777777" w:rsidR="000E055E" w:rsidRPr="000E055E" w:rsidRDefault="000E055E" w:rsidP="00F53E12">
      <w:pPr>
        <w:pStyle w:val="Quote"/>
      </w:pPr>
      <w:r w:rsidRPr="000E055E">
        <w:t>She's got good intentions but to be able to go ahead and do that sort of thing, so many times she said that I want to volunteer, it's just would like to, would like to. Has she done anything? No…</w:t>
      </w:r>
    </w:p>
    <w:p w14:paraId="08734058" w14:textId="77777777" w:rsidR="000E055E" w:rsidRPr="000E055E" w:rsidRDefault="000E055E" w:rsidP="000E055E">
      <w:pPr>
        <w:pStyle w:val="VRGFBodycontent"/>
      </w:pPr>
    </w:p>
    <w:p w14:paraId="48783248" w14:textId="7453E030" w:rsidR="000E055E" w:rsidRPr="000E055E" w:rsidRDefault="000E055E" w:rsidP="00F53E12">
      <w:pPr>
        <w:pStyle w:val="VRGFHead5"/>
      </w:pPr>
      <w:r w:rsidRPr="000E055E">
        <w:t>Interference with education</w:t>
      </w:r>
    </w:p>
    <w:p w14:paraId="462DC47B" w14:textId="582A21CC" w:rsidR="000E055E" w:rsidRPr="000E055E" w:rsidRDefault="000E055E" w:rsidP="000E055E">
      <w:pPr>
        <w:pStyle w:val="VRGFBodycontent"/>
      </w:pPr>
      <w:r w:rsidRPr="000E055E">
        <w:t xml:space="preserve">The effect of gambling on education was infrequently identified within this data set in relation to people who gamble. In one case, a husband of a </w:t>
      </w:r>
      <w:r w:rsidR="00A52CB8">
        <w:t>female</w:t>
      </w:r>
      <w:r w:rsidR="00A52CB8" w:rsidRPr="000E055E">
        <w:t xml:space="preserve"> </w:t>
      </w:r>
      <w:r w:rsidRPr="000E055E">
        <w:t>who frequently pawned her computer to obtain cash for gambling talked about how this eventually deprived her of a potential tool to support her education:</w:t>
      </w:r>
    </w:p>
    <w:p w14:paraId="64D771BB" w14:textId="77777777" w:rsidR="000E055E" w:rsidRPr="000E055E" w:rsidRDefault="000E055E" w:rsidP="00F53E12">
      <w:pPr>
        <w:pStyle w:val="Quote"/>
      </w:pPr>
      <w:r w:rsidRPr="000E055E">
        <w:t>It's unfortunate for her because right now she is doing a teacher aide certificate and she needs a computer. But I refuse to let her use anything of mine because in the past she hasn’t accepted the consequences that come with giving her computer away or giving money away.</w:t>
      </w:r>
    </w:p>
    <w:p w14:paraId="383304FA" w14:textId="77777777" w:rsidR="000E055E" w:rsidRPr="000E055E" w:rsidRDefault="000E055E" w:rsidP="000E055E">
      <w:pPr>
        <w:pStyle w:val="VRGFBodycontent"/>
      </w:pPr>
      <w:r w:rsidRPr="000E055E">
        <w:t xml:space="preserve">Effects on educational outcomes were identified more frequently in relation to children. This interference occurred through a variety of mechanisms due to the lack of appropriate food, funds for educational supplies, transport to school, and parental supervision including oversight of homework and attendance. This sometimes extended beyond school to tertiary education settings. A treatment provider described the effect on one family where the oldest child had withdrawn from tertiary studies due to a parent’s gambling and the consequent need to secure employment to help support the family. This created further order harms in terms of the relationship, due to feelings of anger and resentment, and long-term impacts on that child’s employability, and future earning potential. These types of harms to children are of particular concern due to the importance of education in addressing poverty and inequality. The effect on education combined with the impact on socio-economic status from problematic gambling behaviours creates a significant risk of intergenerational harm. </w:t>
      </w:r>
    </w:p>
    <w:p w14:paraId="50CC92EA" w14:textId="77777777" w:rsidR="00F53E12" w:rsidRDefault="00F53E12" w:rsidP="000E055E">
      <w:pPr>
        <w:pStyle w:val="VRGFBodycontent"/>
        <w:rPr>
          <w:i/>
          <w:iCs/>
        </w:rPr>
      </w:pPr>
    </w:p>
    <w:p w14:paraId="1852AFD5" w14:textId="55F88B1D" w:rsidR="000E055E" w:rsidRPr="000E055E" w:rsidRDefault="000E055E" w:rsidP="00F53E12">
      <w:pPr>
        <w:pStyle w:val="VRGFHead5"/>
      </w:pPr>
      <w:r w:rsidRPr="000E055E">
        <w:t>Legacy effects on employment, study and voluntary work</w:t>
      </w:r>
    </w:p>
    <w:p w14:paraId="37303D05" w14:textId="635F7ADB" w:rsidR="000E055E" w:rsidRPr="000E055E" w:rsidRDefault="000E055E" w:rsidP="000E055E">
      <w:pPr>
        <w:pStyle w:val="VRGFBodycontent"/>
      </w:pPr>
      <w:r w:rsidRPr="000E055E">
        <w:t xml:space="preserve">Legacy effects on employment and study were noted for people who had been in treatment for gambling behaviours, and especially for those who had ended up with criminal records. A </w:t>
      </w:r>
      <w:r w:rsidR="00A52CB8">
        <w:t>female</w:t>
      </w:r>
      <w:r w:rsidR="00A52CB8" w:rsidRPr="000E055E">
        <w:t xml:space="preserve"> </w:t>
      </w:r>
      <w:r w:rsidRPr="000E055E">
        <w:t>whose son had experienced problems with gambling described the ongoing effect on job seeking:</w:t>
      </w:r>
    </w:p>
    <w:p w14:paraId="50A1BCF6" w14:textId="77777777" w:rsidR="000E055E" w:rsidRPr="000E055E" w:rsidRDefault="000E055E" w:rsidP="00F53E12">
      <w:pPr>
        <w:pStyle w:val="Quote"/>
      </w:pPr>
      <w:r w:rsidRPr="000E055E">
        <w:t>But always, always, always petrified when he applied for a job, petrified that they would - I've gone all cold - they'd want references. He'd been in the same job, I think, for 20 years and if they looked too far, he wouldn't have a reference. That was one of the big evils out of it.</w:t>
      </w:r>
    </w:p>
    <w:p w14:paraId="67DB0288" w14:textId="77777777" w:rsidR="000E055E" w:rsidRPr="000E055E" w:rsidRDefault="000E055E" w:rsidP="000E055E">
      <w:pPr>
        <w:pStyle w:val="VRGFBodycontent"/>
      </w:pPr>
      <w:r w:rsidRPr="000E055E">
        <w:t xml:space="preserve">Other participants expressed similar fear. One man who had completed a long-term residential treatment programme and was currently working in a community organisation, shared that there had been more concerns over his employment due to his history with gambling problems and fraud, than other employees who had criminal records for drug trafficking and murder. </w:t>
      </w:r>
    </w:p>
    <w:p w14:paraId="57FCFB17" w14:textId="77777777" w:rsidR="000E055E" w:rsidRPr="000E055E" w:rsidRDefault="000E055E" w:rsidP="000E055E">
      <w:pPr>
        <w:pStyle w:val="VRGFBodycontent"/>
      </w:pPr>
      <w:r w:rsidRPr="000E055E">
        <w:t xml:space="preserve">A few participants expressed a need to ‘give back’ or make up for past wrong doings through their employment, which suggested lingering feelings of regret. A few were working in treatment provision as support workers or as consumer representatives. Whilst most were comfortable with those choices, one participant who had a criminal record influencing his employment options expressed concern: </w:t>
      </w:r>
    </w:p>
    <w:p w14:paraId="1F397979" w14:textId="77777777" w:rsidR="000E055E" w:rsidRPr="000E055E" w:rsidRDefault="000E055E" w:rsidP="00F53E12">
      <w:pPr>
        <w:pStyle w:val="Quote"/>
      </w:pPr>
      <w:r w:rsidRPr="000E055E">
        <w:t>It also can be a bit overwhelming at times, because at times I feel my life is around addiction the whole time, and when the hell do I get a break from it. But on the whole it is good and better for me.</w:t>
      </w:r>
    </w:p>
    <w:p w14:paraId="7AF5E1CF" w14:textId="77777777" w:rsidR="000E055E" w:rsidRPr="000E055E" w:rsidRDefault="000E055E" w:rsidP="000E055E">
      <w:pPr>
        <w:pStyle w:val="VRGFBodycontent"/>
      </w:pPr>
      <w:r w:rsidRPr="000E055E">
        <w:t>Others were volunteering to reach out to people who were experiencing similar harm or to prevent others from having to experience the same harms. A male participant in treatment shared:</w:t>
      </w:r>
    </w:p>
    <w:p w14:paraId="45E4ADA5" w14:textId="77777777" w:rsidR="000E055E" w:rsidRPr="000E055E" w:rsidRDefault="000E055E" w:rsidP="00F53E12">
      <w:pPr>
        <w:pStyle w:val="Quote"/>
      </w:pPr>
      <w:r w:rsidRPr="000E055E">
        <w:t>Yeah I do the same, about humbling myself, I go and do a couple of nights a week on the streets of South Auckland, giving out food and soup and that to people that probably are in situations that I was in. I've joined as a facilitator at a youth group of about 20 kids in South Auckland that meet every week, and I tell my story and let them ask questions and be there for them and go on outings and things like that. Just get my reward or giving back out of that, because it's still that reward thing or finding a way that you're somehow safe. To get that back.</w:t>
      </w:r>
    </w:p>
    <w:p w14:paraId="70E67F0F" w14:textId="77777777" w:rsidR="000E055E" w:rsidRPr="000E055E" w:rsidRDefault="000E055E" w:rsidP="000E055E">
      <w:pPr>
        <w:pStyle w:val="VRGFBodycontent"/>
      </w:pPr>
      <w:r w:rsidRPr="000E055E">
        <w:t>Another male participant who had found benefit in arts based therapy of creative writing was now facilitating a creative writing group:</w:t>
      </w:r>
    </w:p>
    <w:p w14:paraId="55A566C6" w14:textId="77777777" w:rsidR="000E055E" w:rsidRPr="000E055E" w:rsidRDefault="000E055E" w:rsidP="00F53E12">
      <w:pPr>
        <w:pStyle w:val="Quote"/>
      </w:pPr>
      <w:r w:rsidRPr="000E055E">
        <w:t>I'm going every Friday, I take an intellectually handicapped class in creative writing, at a place called [name] in [area] and I go there every Friday and take the class for a couple of hours. I quite enjoy it…. It's good to see how much they improve, and just in creating a story and making up people and their names and colours. I've had a lot of enjoyment out of it actually. It feels like you've done something bad against society and now you're putting something back kind of thing. Not that it equals it out, but it helps. So I enjoy that.</w:t>
      </w:r>
    </w:p>
    <w:p w14:paraId="45648B60" w14:textId="77777777" w:rsidR="000E055E" w:rsidRPr="000E055E" w:rsidRDefault="000E055E" w:rsidP="000E055E">
      <w:pPr>
        <w:pStyle w:val="VRGFBodycontent"/>
        <w:rPr>
          <w:i/>
        </w:rPr>
      </w:pPr>
      <w:r w:rsidRPr="000E055E">
        <w:lastRenderedPageBreak/>
        <w:t xml:space="preserve">Similarly, other participants commented on the value of being able to give something back through volunteering, and how this had assisted their own recovery. For instance, another man commented that taking on the gardening for the set of units where he lived was a starting point. </w:t>
      </w:r>
    </w:p>
    <w:p w14:paraId="3AFDADC7" w14:textId="77777777" w:rsidR="00F53E12" w:rsidRDefault="00F53E12" w:rsidP="000E055E">
      <w:pPr>
        <w:pStyle w:val="VRGFBodycontent"/>
        <w:rPr>
          <w:i/>
          <w:iCs/>
        </w:rPr>
      </w:pPr>
    </w:p>
    <w:p w14:paraId="3D43CCB9" w14:textId="248F1F5F" w:rsidR="000E055E" w:rsidRPr="000E055E" w:rsidRDefault="000E055E" w:rsidP="00F53E12">
      <w:pPr>
        <w:pStyle w:val="VRGFHead5"/>
      </w:pPr>
      <w:r w:rsidRPr="000E055E">
        <w:t>Community level effects resulting from reduced employment and voluntary work</w:t>
      </w:r>
    </w:p>
    <w:p w14:paraId="6D11AFCB" w14:textId="77777777" w:rsidR="000E055E" w:rsidRPr="000E055E" w:rsidRDefault="000E055E" w:rsidP="000E055E">
      <w:pPr>
        <w:pStyle w:val="VRGFBodycontent"/>
      </w:pPr>
      <w:r w:rsidRPr="000E055E">
        <w:t xml:space="preserve">One example of community level effects relating to reduced work performance includes effects on children (future generations). One participant in the expert group shared effects resulting from a gambler’s lack of contributions as a sports coach: </w:t>
      </w:r>
    </w:p>
    <w:p w14:paraId="5A91EFBD" w14:textId="77777777" w:rsidR="000E055E" w:rsidRPr="000E055E" w:rsidRDefault="000E055E" w:rsidP="00F53E12">
      <w:pPr>
        <w:pStyle w:val="Quote"/>
      </w:pPr>
      <w:r w:rsidRPr="000E055E">
        <w:t xml:space="preserve">When it comes to putting back to the voluntary sector, the next generation, you know sport, they’re not trustable. Coaching, sports coaching, they’re not available because they’ve got that position. They’re just not available and so the community loses out. </w:t>
      </w:r>
    </w:p>
    <w:p w14:paraId="2BA6FC34" w14:textId="77777777" w:rsidR="000E055E" w:rsidRPr="000E055E" w:rsidRDefault="000E055E" w:rsidP="000E055E">
      <w:pPr>
        <w:pStyle w:val="VRGFBodycontent"/>
      </w:pPr>
      <w:r w:rsidRPr="000E055E">
        <w:t>Likewise, another participant referred to his experiences while at school of the loss of his tutor (in an extracurricular programme) as a consequence of gambling:</w:t>
      </w:r>
    </w:p>
    <w:p w14:paraId="402628DD" w14:textId="77777777" w:rsidR="000E055E" w:rsidRPr="000E055E" w:rsidRDefault="000E055E" w:rsidP="00F53E12">
      <w:pPr>
        <w:pStyle w:val="Quote"/>
      </w:pPr>
      <w:r w:rsidRPr="000E055E">
        <w:t>…he [my uncle] used to actually be one of the teachers in my kapa haka group [traditional Māori performance group] and then one day he just disappeared and I asked my [dad]. He didn't tell me the full story until I was about 15, when I asked him where he was. [It was a loss] … because kapa haka after that actually stopped, after he left.</w:t>
      </w:r>
    </w:p>
    <w:p w14:paraId="12FA7530" w14:textId="77777777" w:rsidR="000E055E" w:rsidRPr="000E055E" w:rsidRDefault="000E055E" w:rsidP="000E055E">
      <w:pPr>
        <w:pStyle w:val="VRGFBodycontent"/>
      </w:pPr>
      <w:r w:rsidRPr="000E055E">
        <w:t>Wider losses to the community were also identified in cases where people experiencing gambling harms were not functioning at maximum capacity, as a participant in the expert group shared:</w:t>
      </w:r>
    </w:p>
    <w:p w14:paraId="2D6E702E" w14:textId="77777777" w:rsidR="000E055E" w:rsidRPr="000E055E" w:rsidRDefault="000E055E" w:rsidP="00F53E12">
      <w:pPr>
        <w:pStyle w:val="Quote"/>
      </w:pPr>
      <w:r w:rsidRPr="000E055E">
        <w:t>The contribution those people would make to the voluntary sector. ...The time that they would be doing, putting their talents to - you know a lot of those people are very clever and they are educated, sometimes very highly.</w:t>
      </w:r>
    </w:p>
    <w:p w14:paraId="00D261F7" w14:textId="77777777" w:rsidR="000E055E" w:rsidRPr="000E055E" w:rsidRDefault="000E055E" w:rsidP="000E055E">
      <w:pPr>
        <w:pStyle w:val="VRGFBodycontent"/>
      </w:pPr>
      <w:r w:rsidRPr="000E055E">
        <w:t xml:space="preserve">The experiences in the above sections highlight the value of being able to make meaningful social connections to an individual’s health and wellbeing. Employment and social participation were also valuable factors in recovery. Participants who had experienced problems with gambling but now had purpose through employment, education or voluntary experiences all identified the importance it had in being able to avoid relapse. </w:t>
      </w:r>
    </w:p>
    <w:p w14:paraId="21B3535C" w14:textId="77777777" w:rsidR="00F53E12" w:rsidRDefault="00F53E12" w:rsidP="000E055E">
      <w:pPr>
        <w:pStyle w:val="VRGFBodycontent"/>
      </w:pPr>
    </w:p>
    <w:p w14:paraId="2204FEA0" w14:textId="298146B4" w:rsidR="000E055E" w:rsidRPr="000E055E" w:rsidRDefault="000E055E" w:rsidP="00F53E12">
      <w:pPr>
        <w:pStyle w:val="VRGFHead4"/>
      </w:pPr>
      <w:r w:rsidRPr="000E055E">
        <w:t>Criminal harms</w:t>
      </w:r>
    </w:p>
    <w:p w14:paraId="34A8F4F4" w14:textId="1298A8F7" w:rsidR="000E055E" w:rsidRPr="000E055E" w:rsidRDefault="000E055E" w:rsidP="000E055E">
      <w:pPr>
        <w:pStyle w:val="VRGFBodycontent"/>
      </w:pPr>
      <w:r w:rsidRPr="000E055E">
        <w:t>Criminal acts stemming from engagement in gambling have been categorised into three groups consistent with the adopted conceptual framework:</w:t>
      </w:r>
    </w:p>
    <w:p w14:paraId="50C9F5CA" w14:textId="77777777" w:rsidR="000E055E" w:rsidRPr="000E055E" w:rsidRDefault="000E055E" w:rsidP="00F53E12">
      <w:pPr>
        <w:pStyle w:val="VRGFBulletedlist"/>
      </w:pPr>
      <w:r w:rsidRPr="000E055E">
        <w:t xml:space="preserve">Crimes of negligence capture acts such as child or elder neglect. </w:t>
      </w:r>
    </w:p>
    <w:p w14:paraId="6EE730F7" w14:textId="60F9050A" w:rsidR="000E055E" w:rsidRPr="000E055E" w:rsidRDefault="000E055E" w:rsidP="00F53E12">
      <w:pPr>
        <w:pStyle w:val="VRGFBulletedlist"/>
      </w:pPr>
      <w:r w:rsidRPr="000E055E">
        <w:t>Crimes of duress capture people being drawn into drug trafficking to settle debts relating to gambling.</w:t>
      </w:r>
    </w:p>
    <w:p w14:paraId="364E6F83" w14:textId="77777777" w:rsidR="000E055E" w:rsidRPr="000E055E" w:rsidRDefault="000E055E" w:rsidP="00F53E12">
      <w:pPr>
        <w:pStyle w:val="VRGFBulletedlist"/>
      </w:pPr>
      <w:r w:rsidRPr="000E055E">
        <w:lastRenderedPageBreak/>
        <w:t xml:space="preserve">Crimes of opportunity capture criminal acts such as theft and fraud used to generate funds (Langham et al., 2016). </w:t>
      </w:r>
    </w:p>
    <w:p w14:paraId="5F8225E2" w14:textId="77777777" w:rsidR="00F53E12" w:rsidRPr="00EC29B6" w:rsidRDefault="00F53E12" w:rsidP="000E055E">
      <w:pPr>
        <w:pStyle w:val="VRGFBodycontent"/>
        <w:rPr>
          <w:iCs/>
        </w:rPr>
      </w:pPr>
    </w:p>
    <w:p w14:paraId="7A18D120" w14:textId="7B088E0E" w:rsidR="000E055E" w:rsidRPr="000E055E" w:rsidRDefault="000E055E" w:rsidP="00F53E12">
      <w:pPr>
        <w:pStyle w:val="VRGFHead5"/>
      </w:pPr>
      <w:r w:rsidRPr="000E055E">
        <w:t>Crimes of neglect</w:t>
      </w:r>
    </w:p>
    <w:p w14:paraId="251B9EFB" w14:textId="4C433689" w:rsidR="000E055E" w:rsidRPr="000E055E" w:rsidRDefault="000E055E" w:rsidP="000E055E">
      <w:pPr>
        <w:pStyle w:val="VRGFBodycontent"/>
      </w:pPr>
      <w:r w:rsidRPr="000E055E">
        <w:t xml:space="preserve">Cases of child neglect that had led to children being legally removed from their parents were reported. The removal of children was often related to an overall environment of neglect where gambling problems were comorbid with other issues such as drug use. Instances of child neglect differed from crimes of opportunity in that they were not intentional. A </w:t>
      </w:r>
      <w:r w:rsidR="00A52CB8">
        <w:t>female</w:t>
      </w:r>
      <w:r w:rsidR="00A52CB8" w:rsidRPr="000E055E">
        <w:t xml:space="preserve"> </w:t>
      </w:r>
      <w:r w:rsidRPr="000E055E">
        <w:t xml:space="preserve">who had experienced problems with gambling herself shared her experiences as a child in a family that gambled: </w:t>
      </w:r>
    </w:p>
    <w:p w14:paraId="2FAEBB75" w14:textId="77777777" w:rsidR="000E055E" w:rsidRPr="000E055E" w:rsidRDefault="000E055E" w:rsidP="00F53E12">
      <w:pPr>
        <w:pStyle w:val="Quote"/>
      </w:pPr>
      <w:r w:rsidRPr="000E055E">
        <w:t>My step-mum was a pokie lady. That's how we had our power not paid, our rent not paid. So when she used to bring us over, and I used to have to look after the kids in the car, she used to drive all the way over to here. She used to go - duck into the pokies somewhere in [area], and I used to just think we were sitting at the WINZ [Work and Income New Zealand], but we weren't. I found out - in - only overhearing an argument with dad and mum, and it came out she was a gambler.</w:t>
      </w:r>
    </w:p>
    <w:p w14:paraId="5D5A3ACA" w14:textId="77777777" w:rsidR="000E055E" w:rsidRPr="000E055E" w:rsidRDefault="000E055E" w:rsidP="000E055E">
      <w:pPr>
        <w:pStyle w:val="VRGFBodycontent"/>
      </w:pPr>
      <w:r w:rsidRPr="000E055E">
        <w:t>A man whose brother and sister-in-law experienced problems with gambling identified an early warning sign when he would go to their home and find their children left on their own. He shared their experiences:</w:t>
      </w:r>
    </w:p>
    <w:p w14:paraId="698E3591" w14:textId="77777777" w:rsidR="000E055E" w:rsidRPr="000E055E" w:rsidRDefault="000E055E" w:rsidP="00F53E12">
      <w:pPr>
        <w:pStyle w:val="Quote"/>
      </w:pPr>
      <w:r w:rsidRPr="000E055E">
        <w:t>The worst is the kids. Because they're the ones that don't... have toys, they don't have, for example, food. You see, as I said, the example, the toys, sometimes you go there say in winter or summer and it's started like six or seven and my nephews and nieces still haven't eaten, so I just go straight to the shop and get them something... something to eat. That's another worse thing is the food... for example, if they go to the machine they will still; because they will ring, the kids will ring them on their mobile or text them, “where are you? We're still waiting for food”.</w:t>
      </w:r>
    </w:p>
    <w:p w14:paraId="0FA9E1E2" w14:textId="77777777" w:rsidR="000E055E" w:rsidRPr="000E055E" w:rsidRDefault="000E055E" w:rsidP="000E055E">
      <w:pPr>
        <w:pStyle w:val="VRGFBodycontent"/>
      </w:pPr>
      <w:r w:rsidRPr="000E055E">
        <w:t xml:space="preserve">Participants who had experienced neglect as a child, and those reporting on neglects by the person who gambled used phrases like </w:t>
      </w:r>
      <w:r w:rsidRPr="000E055E">
        <w:rPr>
          <w:i/>
        </w:rPr>
        <w:t>overstaying</w:t>
      </w:r>
      <w:r w:rsidRPr="000E055E">
        <w:t xml:space="preserve"> and </w:t>
      </w:r>
      <w:r w:rsidRPr="000E055E">
        <w:rPr>
          <w:i/>
        </w:rPr>
        <w:t xml:space="preserve">time getting away </w:t>
      </w:r>
      <w:r w:rsidRPr="000E055E">
        <w:t>which suggests that this was influenced by cognitive dissonance and over-involvement in the activity rather than a deliberate act of neglect. This is not to suggest that these harms are insignificant, but understanding the mechanism is of value in identifying effective harm minimisation strategies.</w:t>
      </w:r>
    </w:p>
    <w:p w14:paraId="123E9AE9" w14:textId="77777777" w:rsidR="00F53E12" w:rsidRDefault="00F53E12" w:rsidP="000E055E">
      <w:pPr>
        <w:pStyle w:val="VRGFBodycontent"/>
        <w:rPr>
          <w:i/>
          <w:iCs/>
        </w:rPr>
      </w:pPr>
    </w:p>
    <w:p w14:paraId="034B454A" w14:textId="52673533" w:rsidR="000E055E" w:rsidRPr="000E055E" w:rsidRDefault="000E055E" w:rsidP="00F53E12">
      <w:pPr>
        <w:pStyle w:val="VRGFHead5"/>
      </w:pPr>
      <w:r w:rsidRPr="000E055E">
        <w:t>Crimes of duress</w:t>
      </w:r>
    </w:p>
    <w:p w14:paraId="79ADE578" w14:textId="499000CF" w:rsidR="000E055E" w:rsidRPr="000E055E" w:rsidRDefault="000E055E" w:rsidP="000E055E">
      <w:pPr>
        <w:pStyle w:val="VRGFBodycontent"/>
      </w:pPr>
      <w:r w:rsidRPr="000E055E">
        <w:t xml:space="preserve">Only a few instances of crimes of duress were reported by participants. These were largely case histories from treatment providers and involved the sale of drugs to settle illegal debts. A treatment provider spoke of a client who was in prison for drug dealing due to gambling debts. He had also worked with a couple who had acted as drug mules to clear gambling debts and ended up incarcerated, and their young child in foster care. Another reported case was of an elderly couple experiencing significant problems with gambling who was approached by drug dealers who offered </w:t>
      </w:r>
      <w:r w:rsidRPr="000E055E">
        <w:lastRenderedPageBreak/>
        <w:t xml:space="preserve">help, but the cost was utilising their home as a </w:t>
      </w:r>
      <w:r w:rsidRPr="000E055E">
        <w:rPr>
          <w:i/>
        </w:rPr>
        <w:t>tinnie house</w:t>
      </w:r>
      <w:r w:rsidRPr="000E055E">
        <w:rPr>
          <w:i/>
          <w:vertAlign w:val="superscript"/>
        </w:rPr>
        <w:footnoteReference w:id="15"/>
      </w:r>
      <w:r w:rsidRPr="000E055E">
        <w:t xml:space="preserve">. The </w:t>
      </w:r>
      <w:r w:rsidR="00A52CB8">
        <w:t>female</w:t>
      </w:r>
      <w:r w:rsidR="00A52CB8" w:rsidRPr="000E055E">
        <w:t xml:space="preserve"> </w:t>
      </w:r>
      <w:r w:rsidRPr="000E055E">
        <w:t>was caught, arrested, prosecuted and ended up in jail. She had never previously had any problems with the law.</w:t>
      </w:r>
    </w:p>
    <w:p w14:paraId="5C70C941" w14:textId="77777777" w:rsidR="00F53E12" w:rsidRDefault="00F53E12" w:rsidP="000E055E">
      <w:pPr>
        <w:pStyle w:val="VRGFBodycontent"/>
        <w:rPr>
          <w:i/>
          <w:iCs/>
        </w:rPr>
      </w:pPr>
    </w:p>
    <w:p w14:paraId="570EA25A" w14:textId="712B1091" w:rsidR="000E055E" w:rsidRPr="000E055E" w:rsidRDefault="000E055E" w:rsidP="00F53E12">
      <w:pPr>
        <w:pStyle w:val="VRGFHead5"/>
      </w:pPr>
      <w:r w:rsidRPr="000E055E">
        <w:t>Crimes of opportunity</w:t>
      </w:r>
    </w:p>
    <w:p w14:paraId="67772811" w14:textId="78081CE3" w:rsidR="000E055E" w:rsidRPr="000E055E" w:rsidRDefault="000E055E" w:rsidP="000E055E">
      <w:pPr>
        <w:pStyle w:val="VRGFBodycontent"/>
      </w:pPr>
      <w:r w:rsidRPr="000E055E">
        <w:t xml:space="preserve">The majority of the crimes of opportunity reported were committed against people known to, or close to, the person experiencing problems with gambling. Family were common targets. A </w:t>
      </w:r>
      <w:r w:rsidR="00A52CB8">
        <w:t>female</w:t>
      </w:r>
      <w:r w:rsidR="00A52CB8" w:rsidRPr="000E055E">
        <w:t xml:space="preserve"> </w:t>
      </w:r>
      <w:r w:rsidRPr="000E055E">
        <w:t xml:space="preserve">whose husband experienced problems with gambling shared: </w:t>
      </w:r>
    </w:p>
    <w:p w14:paraId="6148F80E" w14:textId="77777777" w:rsidR="000E055E" w:rsidRPr="000E055E" w:rsidRDefault="000E055E" w:rsidP="00F53E12">
      <w:pPr>
        <w:pStyle w:val="Quote"/>
      </w:pPr>
      <w:r w:rsidRPr="000E055E">
        <w:t>He'll go and get the money. Even the kids' piggy bank he'll get money out of there.</w:t>
      </w:r>
    </w:p>
    <w:p w14:paraId="47610FCC" w14:textId="77777777" w:rsidR="000E055E" w:rsidRPr="000E055E" w:rsidRDefault="000E055E" w:rsidP="000E055E">
      <w:pPr>
        <w:pStyle w:val="VRGFBodycontent"/>
      </w:pPr>
      <w:r w:rsidRPr="000E055E">
        <w:t xml:space="preserve">A female who had experienced problems with gambling spoke of her shame at having transferred money from her children’s savings accounts, whilst a male who had experienced problems with gambling had also taken from family members: </w:t>
      </w:r>
    </w:p>
    <w:p w14:paraId="71A7CF5C" w14:textId="77777777" w:rsidR="000E055E" w:rsidRPr="000E055E" w:rsidRDefault="000E055E" w:rsidP="00F53E12">
      <w:pPr>
        <w:pStyle w:val="Quote"/>
      </w:pPr>
      <w:r w:rsidRPr="000E055E">
        <w:t xml:space="preserve">I used to pull cheques out of my mother's cheque book, out of the back. I took - pulled them out and cashed them, and down the local or that, to pay for me and my gambling and other things. </w:t>
      </w:r>
    </w:p>
    <w:p w14:paraId="4DCAFCD9" w14:textId="77777777" w:rsidR="000E055E" w:rsidRPr="000E055E" w:rsidRDefault="000E055E" w:rsidP="000E055E">
      <w:pPr>
        <w:pStyle w:val="VRGFBodycontent"/>
      </w:pPr>
      <w:r w:rsidRPr="000E055E">
        <w:t xml:space="preserve">It was not just family who were affected, as participants also reported stealing from neighbours, friends, colleagues and employers. </w:t>
      </w:r>
    </w:p>
    <w:p w14:paraId="7F52F78E" w14:textId="77777777" w:rsidR="000E055E" w:rsidRPr="000E055E" w:rsidRDefault="000E055E" w:rsidP="00F53E12">
      <w:pPr>
        <w:pStyle w:val="Quote"/>
      </w:pPr>
      <w:r w:rsidRPr="000E055E">
        <w:t>I committed theft and fraud against my employer, basically to try and pay back the losses that I was making and just ended up in a mess.</w:t>
      </w:r>
    </w:p>
    <w:p w14:paraId="2CF003EA" w14:textId="77777777" w:rsidR="000E055E" w:rsidRPr="000E055E" w:rsidRDefault="000E055E" w:rsidP="000E055E">
      <w:pPr>
        <w:pStyle w:val="VRGFBodycontent"/>
      </w:pPr>
      <w:r w:rsidRPr="000E055E">
        <w:t>Multiple instances of these types of crimes were identified where it had not been reported to the authorities, and people were kept out of the justice system even when significant amounts of money were involved. In some cases, keeping the matter out of the justice system meant that there was a better chance of recovering the monies stolen. This was highlighted by one experience shared by a participant:</w:t>
      </w:r>
    </w:p>
    <w:p w14:paraId="0ED2EF45" w14:textId="77777777" w:rsidR="000E055E" w:rsidRPr="000E055E" w:rsidRDefault="000E055E" w:rsidP="00F53E12">
      <w:pPr>
        <w:pStyle w:val="Quote"/>
      </w:pPr>
      <w:r w:rsidRPr="000E055E">
        <w:t>A guy that I used to play soccer with. He was a [tradesman]. Then he got paid for a job that he had to do…. He got paid $25,000, $24,000-odd on a Friday afternoon, cash, from a builder or whatever. He's obviously got to take it back to his boss Friday afternoon. So the boss is... I'm going to see you Monday. He went and put that whole $24,000 on Manchester United to win within the 90 minutes. It was a draw after 90 minutes. They won at extra time. He lost the $24,000. He had to go to his boss on Monday, so that $24,000, I gambled it away. So then for the next however long, he was - pretty much he was working 80, 90 hour weeks just so that he could pay $500 off this debt and then still have a liveable wage.</w:t>
      </w:r>
    </w:p>
    <w:p w14:paraId="4D31D394" w14:textId="77777777" w:rsidR="000E055E" w:rsidRPr="000E055E" w:rsidRDefault="000E055E" w:rsidP="000E055E">
      <w:pPr>
        <w:pStyle w:val="VRGFBodycontent"/>
      </w:pPr>
      <w:r w:rsidRPr="000E055E">
        <w:t xml:space="preserve">The reports of these types of crimes suggests that there are missed opportunities for addressing the gambling behind the crimes. There is an </w:t>
      </w:r>
      <w:r w:rsidRPr="000E055E">
        <w:rPr>
          <w:i/>
        </w:rPr>
        <w:t xml:space="preserve">all or nothing </w:t>
      </w:r>
      <w:r w:rsidRPr="000E055E">
        <w:t xml:space="preserve">choice that is made due to the severity of the effect of criminal charges. When families try to protect people who gamble by settling their debts, or businesses try to protect the opportunity to recover lost assets, there is a lost opportunity to ensure </w:t>
      </w:r>
      <w:r w:rsidRPr="000E055E">
        <w:lastRenderedPageBreak/>
        <w:t xml:space="preserve">the person addresses their problematic gambling behaviours. The outcome may be dealt with but the causal behaviour remains unchanged and the potential for further harm may increase due to the lack of appropriate consequences to motivate behaviour change. An example of this was from a male participant who had worked in a bank and sourced funds for gambling through illegal transactions: </w:t>
      </w:r>
    </w:p>
    <w:p w14:paraId="0B8EA05F" w14:textId="77777777" w:rsidR="000E055E" w:rsidRPr="000E055E" w:rsidRDefault="000E055E" w:rsidP="00F53E12">
      <w:pPr>
        <w:pStyle w:val="Quote"/>
      </w:pPr>
      <w:r w:rsidRPr="000E055E">
        <w:t>That was when I was starting to do dodgy bank transfers and things to put money in my account to go to [casino] to gamble.</w:t>
      </w:r>
    </w:p>
    <w:p w14:paraId="79AB1A8D" w14:textId="77777777" w:rsidR="000E055E" w:rsidRPr="000E055E" w:rsidRDefault="000E055E" w:rsidP="000E055E">
      <w:pPr>
        <w:pStyle w:val="VRGFBodycontent"/>
      </w:pPr>
      <w:r w:rsidRPr="000E055E">
        <w:t xml:space="preserve">This also included extending his own line of credit (which when discovered contributed to his employment being terminated) and stealing money from an unused corporate account which was never discovered. He acknowledged that had he been caught, it might have helped him address the behaviour sooner. He relayed the sense of having </w:t>
      </w:r>
      <w:r w:rsidRPr="000E055E">
        <w:rPr>
          <w:i/>
        </w:rPr>
        <w:t>sweated on that</w:t>
      </w:r>
      <w:r w:rsidRPr="000E055E">
        <w:t xml:space="preserve"> until he was aware the statute of limits had passed for prosecution. Overall, there was a sense of escalation of what people were prepared to risk, if they got away with smaller crimes of opportunities. An affected other talking about her sister-in-law shared their family’s experience: </w:t>
      </w:r>
    </w:p>
    <w:p w14:paraId="34267C59" w14:textId="77777777" w:rsidR="000E055E" w:rsidRPr="000E055E" w:rsidRDefault="000E055E" w:rsidP="00F53E12">
      <w:pPr>
        <w:pStyle w:val="Quote"/>
      </w:pPr>
      <w:r w:rsidRPr="000E055E">
        <w:t xml:space="preserve">I discovered that she had taken my mum's credit card and used it and I was paying mum's accounts and things and I didn't know what to do with it. </w:t>
      </w:r>
    </w:p>
    <w:p w14:paraId="437D362D" w14:textId="6A4936F5" w:rsidR="000E055E" w:rsidRPr="000E055E" w:rsidRDefault="000E055E" w:rsidP="000E055E">
      <w:pPr>
        <w:pStyle w:val="VRGFBodycontent"/>
      </w:pPr>
      <w:r w:rsidRPr="000E055E">
        <w:t xml:space="preserve">The family discovered that she had also stolen jewellery and taken out credit using the name of the older </w:t>
      </w:r>
      <w:r w:rsidR="00A52CB8">
        <w:t>female</w:t>
      </w:r>
      <w:r w:rsidR="00A52CB8" w:rsidRPr="000E055E">
        <w:t xml:space="preserve"> </w:t>
      </w:r>
      <w:r w:rsidRPr="000E055E">
        <w:t xml:space="preserve">(who was suffering from dementia). The matter was not reported, and her sister in law’s behaviour continued unchanged. Unable to access more funds from her mother-in-law, she then stole from her husband’s business some years later: </w:t>
      </w:r>
    </w:p>
    <w:p w14:paraId="35944001" w14:textId="77777777" w:rsidR="000E055E" w:rsidRPr="000E055E" w:rsidRDefault="000E055E" w:rsidP="00F53E12">
      <w:pPr>
        <w:pStyle w:val="Quote"/>
      </w:pPr>
      <w:r w:rsidRPr="000E055E">
        <w:t xml:space="preserve">Four years ago she went off the rails again. She stole off him. He has a business and he would write the cheques out and sign them and she would fill them in. He was always busy and not taking too much notice and she filled them out for cash and cashed them. A couple of months down the track the people - suppliers were ringing him and saying why haven't you paid your bill. </w:t>
      </w:r>
    </w:p>
    <w:p w14:paraId="1368302C" w14:textId="77777777" w:rsidR="000E055E" w:rsidRPr="000E055E" w:rsidRDefault="000E055E" w:rsidP="000E055E">
      <w:pPr>
        <w:pStyle w:val="VRGFBodycontent"/>
      </w:pPr>
      <w:r w:rsidRPr="000E055E">
        <w:t xml:space="preserve">This pattern of behaviour is concerning given the amount of petty crime within families that people were not held accountable for within this small sample. This suggests that holding these people accountable in some way, may be a protective factor against the escalation to other crimes. </w:t>
      </w:r>
    </w:p>
    <w:p w14:paraId="1C277D05" w14:textId="77777777" w:rsidR="00F53E12" w:rsidRDefault="00F53E12" w:rsidP="000E055E">
      <w:pPr>
        <w:pStyle w:val="VRGFBodycontent"/>
      </w:pPr>
    </w:p>
    <w:p w14:paraId="1F0CB83E" w14:textId="3940F839" w:rsidR="000E055E" w:rsidRPr="000E055E" w:rsidRDefault="000E055E" w:rsidP="00F53E12">
      <w:pPr>
        <w:pStyle w:val="VRGFHead4"/>
      </w:pPr>
      <w:r w:rsidRPr="000E055E">
        <w:t>Lifecourse and intergenerational harms</w:t>
      </w:r>
    </w:p>
    <w:p w14:paraId="4604D51A" w14:textId="77777777" w:rsidR="000E055E" w:rsidRPr="000E055E" w:rsidRDefault="000E055E" w:rsidP="000E055E">
      <w:pPr>
        <w:pStyle w:val="VRGFBodycontent"/>
      </w:pPr>
      <w:r w:rsidRPr="000E055E">
        <w:t>At times an individual experience of harm or a combination of multiple harms can create a significant decrement to people’s life course, cause generational loss or create intergenerational harm. Lifecourse and intergenerational harm are of particular interest to public health due to the level of impact they have on health determinants (Langham et al., 2016). Examples of lifecourse and intergenerational harm, and especially generational loss were identified within the present data.</w:t>
      </w:r>
    </w:p>
    <w:p w14:paraId="42701139" w14:textId="77777777" w:rsidR="000E055E" w:rsidRPr="000E055E" w:rsidRDefault="000E055E" w:rsidP="000E055E">
      <w:pPr>
        <w:pStyle w:val="VRGFBodycontent"/>
      </w:pPr>
      <w:r w:rsidRPr="000E055E">
        <w:t>Experiences of generational loss was usually related to significant financial or developmental loss that eroded or prevented the achievement of generational milestones such as home ownership or retirement. The effect varied depending on the age of the person affected, and the particular milestone lost. A researcher within the gambling field explained this type of effect for youth:</w:t>
      </w:r>
    </w:p>
    <w:p w14:paraId="60519C2F" w14:textId="77777777" w:rsidR="000E055E" w:rsidRPr="000E055E" w:rsidRDefault="000E055E" w:rsidP="00F53E12">
      <w:pPr>
        <w:pStyle w:val="Quote"/>
      </w:pPr>
      <w:r w:rsidRPr="000E055E">
        <w:lastRenderedPageBreak/>
        <w:t>Depending on what age that happens, that can be really, really critical in terms of if you think about adolescence. The developmental stages that they’re going through, they can miss out in terms of things like social attachment, educational achievements. If you drop out of school that’s not something you just pick up again, potentially that’s the rest of your life that you don’t get good education, you therefore don’t get a well-paying job, you therefore don’t get to own a house. You’re sort of struggling for the rest of your life.</w:t>
      </w:r>
    </w:p>
    <w:p w14:paraId="35E1A72B" w14:textId="77777777" w:rsidR="000E055E" w:rsidRPr="000E055E" w:rsidRDefault="000E055E" w:rsidP="000E055E">
      <w:pPr>
        <w:pStyle w:val="VRGFBodycontent"/>
      </w:pPr>
      <w:r w:rsidRPr="000E055E">
        <w:t>The main experiences shared were on milestones relating to financial achievement or relationship milestones rather than social development. This was expected given that both financial and relationship milestones are more easily identified and measured through comparison with peers. Social development is a more individual issue and harder for an individual to identify. For example, lost opportunity for achieving a financial milestone was shared by a female affected other reflecting on the profound impact of her ex-husband’s gambling:</w:t>
      </w:r>
    </w:p>
    <w:p w14:paraId="2CD6EC45" w14:textId="77777777" w:rsidR="000E055E" w:rsidRPr="000E055E" w:rsidRDefault="000E055E" w:rsidP="00F53E12">
      <w:pPr>
        <w:pStyle w:val="Quote"/>
      </w:pPr>
      <w:r w:rsidRPr="000E055E">
        <w:t>There was never a house, never a deposit for a house. It's only through my own hard work [after her divorce] that I've got myself a house.</w:t>
      </w:r>
    </w:p>
    <w:p w14:paraId="4C32F020" w14:textId="15CE5702" w:rsidR="000E055E" w:rsidRPr="000E055E" w:rsidRDefault="000E055E" w:rsidP="000E055E">
      <w:pPr>
        <w:pStyle w:val="VRGFBodycontent"/>
      </w:pPr>
      <w:r w:rsidRPr="000E055E">
        <w:t xml:space="preserve">Generational loss also captures choices relating to fertility, and the loss of choice or capacity to have children. A further generational loss this </w:t>
      </w:r>
      <w:r w:rsidR="00A52CB8">
        <w:t>female</w:t>
      </w:r>
      <w:r w:rsidR="00A52CB8" w:rsidRPr="000E055E">
        <w:t xml:space="preserve"> </w:t>
      </w:r>
      <w:r w:rsidRPr="000E055E">
        <w:t xml:space="preserve">had experienced was the opportunity to have children. She described her ex-husband’s prioritisation of gambling over having children and how the loss of having children was a harm that continued to affect the present: </w:t>
      </w:r>
    </w:p>
    <w:p w14:paraId="5932EC64" w14:textId="77777777" w:rsidR="000E055E" w:rsidRPr="000E055E" w:rsidRDefault="000E055E" w:rsidP="00F53E12">
      <w:pPr>
        <w:pStyle w:val="Quote"/>
      </w:pPr>
      <w:r w:rsidRPr="000E055E">
        <w:t>No, it was not my choice [to not have children]. He refused to sleep with me after a while in case I got pregnant and that was kind of the beginning of the end [the marriage] . . . there never was any money, there never was any of the things…. But it is a shame, it does wreck lives and it makes me very angry that I've never had children because I wanted to and I know I would have been a good mother.</w:t>
      </w:r>
    </w:p>
    <w:p w14:paraId="11A3A055" w14:textId="77777777" w:rsidR="000E055E" w:rsidRPr="000E055E" w:rsidRDefault="000E055E" w:rsidP="000E055E">
      <w:pPr>
        <w:pStyle w:val="VRGFBodycontent"/>
      </w:pPr>
      <w:r w:rsidRPr="000E055E">
        <w:t xml:space="preserve">The loss of potential children was experienced by another affected other, who shared the painful decision she had made to terminate a pregnancy after careful consideration of the options based on her partner’s 25 years of problems with gambling, his inability to deal with those problems, and the pervasive effect it had already had on those around him, including issues of physical security due to his use of loan sharks for credit. She explained: </w:t>
      </w:r>
    </w:p>
    <w:p w14:paraId="4D4A94DA" w14:textId="77777777" w:rsidR="000E055E" w:rsidRPr="000E055E" w:rsidRDefault="000E055E" w:rsidP="00F53E12">
      <w:pPr>
        <w:pStyle w:val="Quote"/>
      </w:pPr>
      <w:r w:rsidRPr="000E055E">
        <w:t>If there was no gambling we would be having the baby, but I can't put myself in that vulnerable situation. Aside from the gambling and the finance and the debts, he needs so much emotional support that he'll suck me dry and there'll be nothing. If we have a baby I mean it's incredibly - probably the most difficult thing I'll ever have to do, and to do it - for me to cope emotionally with that and to support [my partner], the intense emotional support he needs, there's nothing for myself. I think it'd just end in complete disaster, so I know there's no way I can put myself in that situation.</w:t>
      </w:r>
    </w:p>
    <w:p w14:paraId="413D3CF9" w14:textId="77777777" w:rsidR="000E055E" w:rsidRPr="000E055E" w:rsidRDefault="000E055E" w:rsidP="000E055E">
      <w:pPr>
        <w:pStyle w:val="VRGFBodycontent"/>
      </w:pPr>
      <w:r w:rsidRPr="000E055E">
        <w:t xml:space="preserve">The cycle of deprivation that some people with gambling problems experienced was disruptive even to those who had benefitted from a tertiary education and a well-paid job. Gambling problems could easily erode that foundation and affect the achievement of lifecourse milestones. A male participant who had completed a residential treatment programme described the effect gambling had on him: </w:t>
      </w:r>
    </w:p>
    <w:p w14:paraId="6558E4C3" w14:textId="77777777" w:rsidR="000E055E" w:rsidRPr="000E055E" w:rsidRDefault="000E055E" w:rsidP="00F53E12">
      <w:pPr>
        <w:pStyle w:val="Quote"/>
      </w:pPr>
      <w:r w:rsidRPr="000E055E">
        <w:t xml:space="preserve">I used to go away and work for a couple of years, good job, I'd do well and everything. Then come crashing down again after a couple of years and went back </w:t>
      </w:r>
      <w:r w:rsidRPr="000E055E">
        <w:lastRenderedPageBreak/>
        <w:t>home with mum and dad. Essentially bludge off them really and then do another - do it again, move out somewhere else and think it was all going to be okay, and then same thing again. So it's just a repetitive cycle of running away from everything instead of dealing with what was happening. I don't have a partner, I haven't had one for 10 years, don't have kids, don't have a house, don't have - yeah I've got my $2,000 car and that's about it really.</w:t>
      </w:r>
    </w:p>
    <w:p w14:paraId="1E4CF18C" w14:textId="77777777" w:rsidR="000E055E" w:rsidRPr="000E055E" w:rsidRDefault="000E055E" w:rsidP="000E055E">
      <w:pPr>
        <w:pStyle w:val="VRGFBodycontent"/>
      </w:pPr>
      <w:r w:rsidRPr="000E055E">
        <w:t>Generational loss could also have a pronounced effect on people on the cusp of retirement. Parents of adult gamblers who had tried to assist them financially were often affected. A social worker gave an example of a client:</w:t>
      </w:r>
    </w:p>
    <w:p w14:paraId="08DB4022" w14:textId="77777777" w:rsidR="000E055E" w:rsidRPr="000E055E" w:rsidRDefault="000E055E" w:rsidP="00F53E12">
      <w:pPr>
        <w:pStyle w:val="Quote"/>
      </w:pPr>
      <w:r w:rsidRPr="000E055E">
        <w:t>The consequences were that the parents had much less money and they had to work. I think between them they had to work another 13 years.</w:t>
      </w:r>
    </w:p>
    <w:p w14:paraId="5E381BA3" w14:textId="3BE281DD" w:rsidR="000E055E" w:rsidRPr="000E055E" w:rsidRDefault="000E055E" w:rsidP="000E055E">
      <w:pPr>
        <w:pStyle w:val="VRGFBodycontent"/>
      </w:pPr>
      <w:r w:rsidRPr="000E055E">
        <w:t xml:space="preserve">In some cases, the effect stemmed from the lost relationships, for example children were removed from homes, or estrangement of adults meant children lost connection with extended family. In one case, the steps taken by a </w:t>
      </w:r>
      <w:r w:rsidR="00A52CB8">
        <w:t>female</w:t>
      </w:r>
      <w:r w:rsidR="00A52CB8" w:rsidRPr="000E055E">
        <w:t xml:space="preserve"> </w:t>
      </w:r>
      <w:r w:rsidRPr="000E055E">
        <w:t>who had experienced problems with gambling to redress other harms created a lifecourse harm of moving overseas and losing connection with her children. A financial counsellor shared the experience of this client who had generated a huge amount of debt, nearly costing the family their home. Her marriage had broken down. She moved overseas to take a higher paying job, allowing her to send money back to clear the debts, whilst she lived in an environment where gambling was not allowed. However, her children were teenagers, remained in New Zealand with their father, and only got to see their mother once a year. The effect was felt by all of the family, and whilst she was able to make some reparation of the financial loss, and felt safe from gambling by living where it was illegal, there was harm done because of her absence in her children’s lives. The loss of a mother constitutes a lifecourse harm from the perspective of the children.</w:t>
      </w:r>
    </w:p>
    <w:p w14:paraId="29891A67" w14:textId="77777777" w:rsidR="000E055E" w:rsidRPr="000E055E" w:rsidRDefault="000E055E" w:rsidP="000E055E">
      <w:pPr>
        <w:pStyle w:val="VRGFBodycontent"/>
      </w:pPr>
      <w:r w:rsidRPr="000E055E">
        <w:t>Similar experiences were reported in relation to people who had been incarcerated. Incarceration creates a series of further order harms relating to relationships, emotional wellbeing, future employment and financial standing. A female in treatment for her problems with gambling shared her experience:</w:t>
      </w:r>
    </w:p>
    <w:p w14:paraId="0BC6A143" w14:textId="77777777" w:rsidR="000E055E" w:rsidRPr="000E055E" w:rsidRDefault="000E055E" w:rsidP="00F53E12">
      <w:pPr>
        <w:pStyle w:val="Quote"/>
      </w:pPr>
      <w:r w:rsidRPr="000E055E">
        <w:t>I think prison impacted greatly on my children I had at that time as well as my immediate whānau, my wider whānau as well. It's impacted on my ability to gain employment now, so that's a real negative effect. I had to file for [bankruptcy] procedure.</w:t>
      </w:r>
    </w:p>
    <w:p w14:paraId="5E253186" w14:textId="77777777" w:rsidR="000E055E" w:rsidRPr="000E055E" w:rsidRDefault="000E055E" w:rsidP="000E055E">
      <w:pPr>
        <w:pStyle w:val="VRGFBodycontent"/>
      </w:pPr>
      <w:r w:rsidRPr="000E055E">
        <w:t>Where parents had been drawn into illegal activity, intergenerational harms were identified in terms of choices their children then made. A treatment provider shared the story of a family where the father had ended up in prison from drug dealing to clear his gambling debts. His sons were also incarcerated; whilst they had never gambled, they had been drawn into the drug dealing.</w:t>
      </w:r>
    </w:p>
    <w:p w14:paraId="0C7F7B5A" w14:textId="77777777" w:rsidR="00F53E12" w:rsidRDefault="00F53E12" w:rsidP="000E055E">
      <w:pPr>
        <w:pStyle w:val="VRGFBodycontent"/>
        <w:rPr>
          <w:i/>
          <w:iCs/>
        </w:rPr>
      </w:pPr>
    </w:p>
    <w:p w14:paraId="53E9C5A2" w14:textId="3B9CE41D" w:rsidR="000E055E" w:rsidRPr="000E055E" w:rsidRDefault="000E055E" w:rsidP="00F53E12">
      <w:pPr>
        <w:pStyle w:val="VRGFHead5"/>
      </w:pPr>
      <w:r w:rsidRPr="000E055E">
        <w:t>The normalisation of gambling as an intergenerational harm</w:t>
      </w:r>
    </w:p>
    <w:p w14:paraId="4A4FBD87" w14:textId="77777777" w:rsidR="000E055E" w:rsidRPr="000E055E" w:rsidRDefault="000E055E" w:rsidP="000E055E">
      <w:pPr>
        <w:pStyle w:val="VRGFBodycontent"/>
      </w:pPr>
      <w:r w:rsidRPr="000E055E">
        <w:t>The normalisation of gambling which creates a risk or vulnerability in future generations, can be considered a form of intergenerational harm. Many of the participants who had experienced problems with gambling spoke of the early exposure and involvement in gambling due to older family members. A female participant in treatment shared:</w:t>
      </w:r>
    </w:p>
    <w:p w14:paraId="7026D089" w14:textId="77777777" w:rsidR="000E055E" w:rsidRPr="000E055E" w:rsidRDefault="000E055E" w:rsidP="00F53E12">
      <w:pPr>
        <w:pStyle w:val="Quote"/>
      </w:pPr>
      <w:r w:rsidRPr="000E055E">
        <w:lastRenderedPageBreak/>
        <w:t>We were brought up with gambling. It was very much part of our lives and upbringing from a very young age. My dad and my grandparents were very heavily - they used to bet on horses and that, and we were ourselves as kids grew up and [we'd then] play cards for money and stuff like that. So we were brought up in that environment where it was an acceptable means of entertainment and making money.</w:t>
      </w:r>
    </w:p>
    <w:p w14:paraId="1C1B1893" w14:textId="77777777" w:rsidR="000E055E" w:rsidRPr="000E055E" w:rsidRDefault="000E055E" w:rsidP="000E055E">
      <w:pPr>
        <w:pStyle w:val="VRGFBodycontent"/>
      </w:pPr>
      <w:r w:rsidRPr="000E055E">
        <w:t>A similar memory was shared by another participant in treatment:</w:t>
      </w:r>
    </w:p>
    <w:p w14:paraId="568A7C2B" w14:textId="77777777" w:rsidR="000E055E" w:rsidRPr="000E055E" w:rsidRDefault="000E055E" w:rsidP="00F53E12">
      <w:pPr>
        <w:pStyle w:val="Quote"/>
      </w:pPr>
      <w:r w:rsidRPr="000E055E">
        <w:t>I used to play poker with my mother and I would imagine being about 10 years old. I was still in primary school and we had a jar of - and it was even pennies and stuff, a jar of coins. Every night, myself and my mum, kid from down the road, would come and play poker. We would be playing poker every night, my mum and dad played poker on a regular - on a Wednesday night. It was as long as I can remember from a little child, we'd always go to racecourses. So we'd always be around gambling, and I've got two brothers, we've all had a problem with pokie machines, ongoing, stopping and going.</w:t>
      </w:r>
    </w:p>
    <w:p w14:paraId="19CA6360" w14:textId="77777777" w:rsidR="000E055E" w:rsidRPr="000E055E" w:rsidRDefault="000E055E" w:rsidP="000E055E">
      <w:pPr>
        <w:pStyle w:val="VRGFBodycontent"/>
      </w:pPr>
      <w:r w:rsidRPr="000E055E">
        <w:t xml:space="preserve">As a treatment provider participant explained: </w:t>
      </w:r>
    </w:p>
    <w:p w14:paraId="045326FB" w14:textId="77777777" w:rsidR="000E055E" w:rsidRPr="000E055E" w:rsidRDefault="000E055E" w:rsidP="00F53E12">
      <w:pPr>
        <w:pStyle w:val="Quote"/>
      </w:pPr>
      <w:r w:rsidRPr="000E055E">
        <w:t>Say for example Tuesday, Thursday and Saturday; those are normally training days for children for sports or even drama classes or parent interviews but you know, the parent can't make it because they prefer to go the housie or to go for a dabble. I've spoken to some kids who now perceive it as a norm, like them growing up and their family and their parents going for a gamble or going to the TAB, they just see it as a norm now.</w:t>
      </w:r>
    </w:p>
    <w:p w14:paraId="050B1B24" w14:textId="77777777" w:rsidR="000E055E" w:rsidRPr="000E055E" w:rsidRDefault="000E055E" w:rsidP="000E055E">
      <w:pPr>
        <w:pStyle w:val="VRGFBodycontent"/>
      </w:pPr>
      <w:r w:rsidRPr="000E055E">
        <w:t>A number of participants recalled early experiences of gambling within their family. It was part of the fun, social activities they would do together, creating positive associations for them as one man currently seeking treatment remembered:</w:t>
      </w:r>
    </w:p>
    <w:p w14:paraId="161CF126" w14:textId="77777777" w:rsidR="000E055E" w:rsidRPr="000E055E" w:rsidRDefault="000E055E" w:rsidP="00F53E12">
      <w:pPr>
        <w:pStyle w:val="Quote"/>
      </w:pPr>
      <w:r w:rsidRPr="000E055E">
        <w:t>Before that it was all fun and everyone loved it. Well me, my brothers, my cousins, everyone, every time we saw each other it was card games.</w:t>
      </w:r>
    </w:p>
    <w:p w14:paraId="6F5BF3B4" w14:textId="77777777" w:rsidR="000E055E" w:rsidRPr="000E055E" w:rsidRDefault="000E055E" w:rsidP="000E055E">
      <w:pPr>
        <w:pStyle w:val="VRGFBodycontent"/>
      </w:pPr>
      <w:r w:rsidRPr="000E055E">
        <w:t xml:space="preserve">Another participant described his first experiences of gambling with his grandfather, with whom he was particularly close and whom he admired for his sporting achievements: </w:t>
      </w:r>
    </w:p>
    <w:p w14:paraId="35A1235F" w14:textId="77777777" w:rsidR="000E055E" w:rsidRPr="000E055E" w:rsidRDefault="000E055E" w:rsidP="00F53E12">
      <w:pPr>
        <w:pStyle w:val="Quote"/>
      </w:pPr>
      <w:r w:rsidRPr="000E055E">
        <w:t xml:space="preserve">My first experience was probably going with my grandfather to a TAB where he placed bets... I must have been around about eight or nine, it was in school holidays or something; he didn't take me in there. He went and placed a bet and come out and I was sort of a little bit curious. Then we were at home and he was looking through the guide in the paper and he sort of explained to me what everything meant. So I sort of learnt from then. </w:t>
      </w:r>
    </w:p>
    <w:p w14:paraId="01D6CB68" w14:textId="77777777" w:rsidR="000E055E" w:rsidRPr="000E055E" w:rsidRDefault="000E055E" w:rsidP="000E055E">
      <w:pPr>
        <w:pStyle w:val="VRGFBodycontent"/>
      </w:pPr>
      <w:r w:rsidRPr="000E055E">
        <w:t xml:space="preserve">Sometimes the experience was the only time the child had with the parent, and so it became even more valued, as one male participant in treatment shared: </w:t>
      </w:r>
    </w:p>
    <w:p w14:paraId="28460ABB" w14:textId="77777777" w:rsidR="000E055E" w:rsidRPr="000E055E" w:rsidRDefault="000E055E" w:rsidP="00F53E12">
      <w:pPr>
        <w:pStyle w:val="Quote"/>
      </w:pPr>
      <w:r w:rsidRPr="000E055E">
        <w:t xml:space="preserve">I had no choice, to sit in a car in front of the TAB for hours on end straight after school, as a kid. My dad would pick me up. That's a consequence there. I'm thinking oh yay, my dad's picking me up. I didn't even know it until I got older, but why the hell would I want to do that for? </w:t>
      </w:r>
    </w:p>
    <w:p w14:paraId="22167963" w14:textId="77777777" w:rsidR="000E055E" w:rsidRPr="000E055E" w:rsidRDefault="000E055E" w:rsidP="000E055E">
      <w:pPr>
        <w:pStyle w:val="VRGFBodycontent"/>
      </w:pPr>
      <w:r w:rsidRPr="000E055E">
        <w:lastRenderedPageBreak/>
        <w:t>Children would often see the celebration of a win and might remember a dinner out or a day at the zoo because someone had won money. However, they did not always see the effect of the losses, which were hidden. There was concern that this distorted perception of gambling (which was centred on only the fun and winning elements) was another form of intergenerational harm, making them more vulnerable to harmful gambling when they grew up. A service manager shared the collective experience of children they had worked with:</w:t>
      </w:r>
    </w:p>
    <w:p w14:paraId="533B8017" w14:textId="77777777" w:rsidR="000E055E" w:rsidRPr="000E055E" w:rsidRDefault="000E055E" w:rsidP="00F53E12">
      <w:pPr>
        <w:pStyle w:val="Quote"/>
      </w:pPr>
      <w:r w:rsidRPr="000E055E">
        <w:t>They see the positive - oh I shouldn't say positive side of gambling, but the winning - so family celebrating the wins, but they don't see [the negative effects on the] family, I mean they don’t understand that when they're arguing about the losses that it's related to gambling. So of course when the families are celebrating their gambling wins they'll take the family out for a meal someplace nice but of course, when they've lost a lot of money… they did not associate that with the lack of food or conflict.</w:t>
      </w:r>
    </w:p>
    <w:p w14:paraId="2CADC3E1" w14:textId="7B9CD280" w:rsidR="000E055E" w:rsidRPr="000E055E" w:rsidRDefault="000E055E" w:rsidP="000E055E">
      <w:pPr>
        <w:pStyle w:val="VRGFBodycontent"/>
      </w:pPr>
      <w:r w:rsidRPr="000E055E">
        <w:t xml:space="preserve">It is important to highlight that within a family where gambling was part of their daily life, that not all of the now adult children gambled. Some rejected the behaviour totally. A </w:t>
      </w:r>
      <w:r w:rsidR="00A52CB8">
        <w:t>female</w:t>
      </w:r>
      <w:r w:rsidR="00A52CB8" w:rsidRPr="000E055E">
        <w:t xml:space="preserve"> </w:t>
      </w:r>
      <w:r w:rsidRPr="000E055E">
        <w:t xml:space="preserve">whose husband grew up in a family that gambled a lot described the differences between his siblings: </w:t>
      </w:r>
    </w:p>
    <w:p w14:paraId="21405A31" w14:textId="77777777" w:rsidR="000E055E" w:rsidRPr="000E055E" w:rsidRDefault="000E055E" w:rsidP="00F53E12">
      <w:pPr>
        <w:pStyle w:val="Quote"/>
      </w:pPr>
      <w:r w:rsidRPr="000E055E">
        <w:t xml:space="preserve">He used to do horse betting, because his family - he grew up in that environment. His grandmother used to live with them and the grandmother used to do the horses. They had a telephone account and they put money in the account and then from home they'd ring and do the bet. His mother is into that, so he was raised in that environment. It was a thing to do. So I don't blame him, he grew up in that environment - racing and all that. It became a big issue and now I would tend and blame it on his mother. His mother says she doesn't want to take responsibility... there's two other kids. She's got three kids. He is the one who's close to the parents and he is the one taken over the rugby and all the sports - they're into it. The other two kids, they hate gambling... they don't do anything with it. They say that it's up to the individual. They can give up. It's like he likes doing it, so it's - he has to stop it. </w:t>
      </w:r>
    </w:p>
    <w:p w14:paraId="3CD0E045" w14:textId="77777777" w:rsidR="000E055E" w:rsidRPr="000E055E" w:rsidRDefault="000E055E" w:rsidP="000E055E">
      <w:pPr>
        <w:pStyle w:val="VRGFBodycontent"/>
      </w:pPr>
      <w:r w:rsidRPr="000E055E">
        <w:t xml:space="preserve">She had blamed his mother for encouraging the behaviour but his mother and siblings rejected that, saying it was up to him. No explanation could be offered for why children raised in the same environment would experience different attitudes and outcomes. </w:t>
      </w:r>
    </w:p>
    <w:p w14:paraId="34388212" w14:textId="77777777" w:rsidR="000E055E" w:rsidRPr="000E055E" w:rsidRDefault="000E055E" w:rsidP="000E055E">
      <w:pPr>
        <w:pStyle w:val="VRGFBodycontent"/>
      </w:pPr>
      <w:r w:rsidRPr="000E055E">
        <w:t>Of further concern was the normalisation of keeping secrets and lying. Participants reported that children were living in an environment where it was common to keep secrets (to maintain face within the community) or to hide the gambling within the family. This type of behaviour is at odds with the practices encouraged for protective behaviour. For protective behaviours, children are usually taught not to keep secrets, and the concern is that a child who keeps secrets can be more vulnerable to predatory behaviours. These types of perpetrators tend to seek out vulnerable children such as those whose parents are not giving them the time and attention they deserve. This creates a perfect storm of risk; children who are neglected and who are also more amiable to keeping secrets. Whilst no specific cases of this issue were identified within these data, it is a concern in terms of the potential risk created by the normalisation of unhealthy behaviours.</w:t>
      </w:r>
    </w:p>
    <w:p w14:paraId="0CE7EF73" w14:textId="77777777" w:rsidR="00F53E12" w:rsidRDefault="00F53E12" w:rsidP="000E055E">
      <w:pPr>
        <w:pStyle w:val="VRGFBodycontent"/>
      </w:pPr>
    </w:p>
    <w:p w14:paraId="76E2BF8E" w14:textId="5FDC6282" w:rsidR="000E055E" w:rsidRPr="000E055E" w:rsidRDefault="000E055E" w:rsidP="00F53E12">
      <w:pPr>
        <w:pStyle w:val="VRGFHead2"/>
      </w:pPr>
      <w:bookmarkStart w:id="170" w:name="_Toc462738023"/>
      <w:r w:rsidRPr="000E055E">
        <w:lastRenderedPageBreak/>
        <w:t>Cultural differences in the experience of gambling harm</w:t>
      </w:r>
      <w:bookmarkEnd w:id="170"/>
    </w:p>
    <w:p w14:paraId="73DBB4AD" w14:textId="77777777" w:rsidR="000E055E" w:rsidRPr="000E055E" w:rsidRDefault="000E055E" w:rsidP="000E055E">
      <w:pPr>
        <w:pStyle w:val="VRGFBodycontent"/>
      </w:pPr>
      <w:r w:rsidRPr="000E055E">
        <w:t>Given the small number of participants in this phase and the unequal representation of the different ethnic groups, it is not possible to make meaningful comparisons between different ethnicities in terms of their cultural-specific experiences of gambling harm. However, some broad level differences between non-European populations and Western culture were evident in the present data.</w:t>
      </w:r>
    </w:p>
    <w:p w14:paraId="24BBF85C" w14:textId="77777777" w:rsidR="00F53E12" w:rsidRDefault="00F53E12" w:rsidP="000E055E">
      <w:pPr>
        <w:pStyle w:val="VRGFBodycontent"/>
      </w:pPr>
    </w:p>
    <w:p w14:paraId="4EAF480F" w14:textId="42FF2C24" w:rsidR="000E055E" w:rsidRPr="000E055E" w:rsidRDefault="000E055E" w:rsidP="00F53E12">
      <w:pPr>
        <w:pStyle w:val="VRGFHead3"/>
      </w:pPr>
      <w:bookmarkStart w:id="171" w:name="_Toc462738024"/>
      <w:r w:rsidRPr="000E055E">
        <w:t>Inadvertent creation or enhancement of risk resulting from aspects of culture</w:t>
      </w:r>
      <w:bookmarkEnd w:id="171"/>
    </w:p>
    <w:p w14:paraId="356C40FD" w14:textId="77777777" w:rsidR="000E055E" w:rsidRPr="000E055E" w:rsidRDefault="000E055E" w:rsidP="000E055E">
      <w:pPr>
        <w:pStyle w:val="VRGFBodycontent"/>
      </w:pPr>
      <w:r w:rsidRPr="000E055E">
        <w:t xml:space="preserve">It is important to separate the concept of ‘cultural harms’ described in the preceding section from ‘aspects of people’s culture’ that can increase risk-levels or create additional risk of gambling harm. ‘Aspects of people’s culture’ include cultural practices, shared history and cultural beliefs that may influence differences in risks and vulnerabilities in relation to gambling behaviour, and potential for harm. For instance, the tradition of financially supporting others without question because of culturally-valued practices such as </w:t>
      </w:r>
      <w:r w:rsidRPr="000E055E">
        <w:rPr>
          <w:lang w:val="en-NZ"/>
        </w:rPr>
        <w:t xml:space="preserve">fa’alavelave [gift giving] may provide gamblers with a safety net, enabling continuation of gambling and inadvertently delaying problem recognition. While not a ‘cultural harm’, fa’alavelave is an ‘aspect of culture’ that may inadvertently create risk for gamblers. </w:t>
      </w:r>
    </w:p>
    <w:p w14:paraId="15060613" w14:textId="77777777" w:rsidR="000E055E" w:rsidRPr="000E055E" w:rsidRDefault="000E055E" w:rsidP="000E055E">
      <w:pPr>
        <w:pStyle w:val="VRGFBodycontent"/>
      </w:pPr>
      <w:r w:rsidRPr="000E055E">
        <w:t>Likewise, as already noted in the preceding sections, the normalisation of gambling in some cultures because of longstanding gambling-based fundraising practices within church communities, inadvertently increases the risks experienced by these communities. Traditionally, gambling to raise funds among Pacific communities is viewed positively; as one participant in the expert group described:</w:t>
      </w:r>
    </w:p>
    <w:p w14:paraId="2323CA6A" w14:textId="77777777" w:rsidR="000E055E" w:rsidRPr="000E055E" w:rsidRDefault="000E055E" w:rsidP="00F53E12">
      <w:pPr>
        <w:pStyle w:val="Quote"/>
        <w:rPr>
          <w:lang w:val="en-NZ"/>
        </w:rPr>
      </w:pPr>
      <w:r w:rsidRPr="000E055E">
        <w:rPr>
          <w:lang w:val="en-NZ"/>
        </w:rPr>
        <w:t>…people are definitely connected and the majority of us are affiliated with a particular church. Our churches fundraise to be able to provide for the collective through housie [bingo], and that happens every night of the week. Many of our people go to housie, they take their children along, it happens in the islands as well. The children are there sitting, observing... Children sit there on the concrete floor, listening out to the housie numbers, they get a packet of chips, they get a soft drink, they're happy. Mum and dad are playing because it’s for the good of the community. So that exists here in New Zealand as well, and it is considered acceptable because of the relationship between the minister of the church and god.</w:t>
      </w:r>
    </w:p>
    <w:p w14:paraId="2F19113C" w14:textId="77777777" w:rsidR="000E055E" w:rsidRPr="000E055E" w:rsidRDefault="000E055E" w:rsidP="000E055E">
      <w:pPr>
        <w:pStyle w:val="VRGFBodycontent"/>
        <w:rPr>
          <w:lang w:val="en-NZ"/>
        </w:rPr>
      </w:pPr>
      <w:r w:rsidRPr="000E055E">
        <w:rPr>
          <w:lang w:val="en-NZ"/>
        </w:rPr>
        <w:t>However, the transition from traditional gambling activities to gambling in commercial venues, by some Pacific people, when they move to New Zealand, means that this traditional fund-raising practice becomes capable of unintentionally creating harm for this community. As another participant in the Pacific treatment service provider group explained:</w:t>
      </w:r>
    </w:p>
    <w:p w14:paraId="6FB704A2" w14:textId="77777777" w:rsidR="000E055E" w:rsidRPr="000E055E" w:rsidRDefault="000E055E" w:rsidP="00F53E12">
      <w:pPr>
        <w:pStyle w:val="Quote"/>
      </w:pPr>
      <w:r w:rsidRPr="000E055E">
        <w:t xml:space="preserve">Just to add a little bit more onto that, in terms of fundraising - I have a sort of a definition, there is this commercial gambling and then there's home gambling. With the home gambling in terms of the fundraising part, we've had that throughout both Māori and Samoan culture for many, many - for moons you know, just to create the fun to support the community and so forth…. in my view we've had that part of us </w:t>
      </w:r>
      <w:r w:rsidRPr="000E055E">
        <w:lastRenderedPageBreak/>
        <w:t>towards an easy transition over to the commercial gambling. It was very easy and that's how these two mixed to a point that the harm has now become more from both sides at the same time, but to see what sort of degree is yet to show us how bad. So with the gambling and the home gambling yes it was for a particular reason. It's maybe for a funeral, maybe for the building of a whare [dwelling place] it was all going back into the community but it has transformed itself into these sorts of things now. Now, when we have our youth groups doing certain things, that's taken it to another type of fundraising for that or whichever the case is, and then it's just easy - it just goes on to the next level and so on and so on and so on. We haven't been able to stop that transformation across, that was all forwards - backwards or forwards - and it goes like that all the time. The bigger the demand is, especially for the community to grow, the bigger the demand is for money, of course the bigger the fundraising has to be.</w:t>
      </w:r>
    </w:p>
    <w:p w14:paraId="5B39B2E3" w14:textId="77777777" w:rsidR="000E055E" w:rsidRPr="000E055E" w:rsidRDefault="000E055E" w:rsidP="000E055E">
      <w:pPr>
        <w:pStyle w:val="VRGFBodycontent"/>
        <w:rPr>
          <w:lang w:val="en-NZ"/>
        </w:rPr>
      </w:pPr>
      <w:r w:rsidRPr="000E055E">
        <w:rPr>
          <w:lang w:val="en-NZ"/>
        </w:rPr>
        <w:t>It may be argued that when gambling for fundraising in the Pacific Islands, wins went towards the church and losses simply went to someone else in the community – in other words, money remains within the community. The same gambling for fundraising practiced in New Zealand, however, creates risks when some individuals feel so pressured to contribute that they resort to gambling at commercial venues to try and win money. Gambling losses in this case means a loss not only to the individual but to the community they belong to. P</w:t>
      </w:r>
      <w:r w:rsidRPr="000E055E">
        <w:t>articipants in this study commented on the biased redistribution of gambling funds (see community-level financial harm) in that the money does not go back to the same community that it was generated from. T</w:t>
      </w:r>
      <w:r w:rsidRPr="000E055E">
        <w:rPr>
          <w:lang w:val="en-NZ"/>
        </w:rPr>
        <w:t xml:space="preserve">he losses further exacerbate harm to the individual, who now also feels shame for having lost the capacity to even make a small contribution to the community fundraising. </w:t>
      </w:r>
    </w:p>
    <w:p w14:paraId="4F908801" w14:textId="77777777" w:rsidR="000E055E" w:rsidRPr="000E055E" w:rsidRDefault="000E055E" w:rsidP="000E055E">
      <w:pPr>
        <w:pStyle w:val="VRGFBodycontent"/>
        <w:rPr>
          <w:lang w:val="en-NZ"/>
        </w:rPr>
      </w:pPr>
      <w:r w:rsidRPr="000E055E">
        <w:rPr>
          <w:lang w:val="en-NZ"/>
        </w:rPr>
        <w:t xml:space="preserve">The shared history of Māori in New Zealand, particularly impacts resulting from colonisation, may also increase risk of gambling harm for this population. The review of literature for this study noted that </w:t>
      </w:r>
      <w:r w:rsidRPr="000E055E">
        <w:t>gambling was not a norm in traditional Māori culture but was rather introduced with the arrival of European settlers in the 19</w:t>
      </w:r>
      <w:r w:rsidRPr="000E055E">
        <w:rPr>
          <w:vertAlign w:val="superscript"/>
        </w:rPr>
        <w:t>th</w:t>
      </w:r>
      <w:r w:rsidRPr="000E055E">
        <w:t xml:space="preserve"> century (Dyall &amp; Morrison, 2002; Grant, 1994). </w:t>
      </w:r>
      <w:r w:rsidRPr="000E055E">
        <w:rPr>
          <w:lang w:val="en-NZ"/>
        </w:rPr>
        <w:t>In the expert consultation, participants discussed how the social environment in gambling venues were filling the void in Māori communities following colonisation:</w:t>
      </w:r>
    </w:p>
    <w:p w14:paraId="76BE6A86" w14:textId="77777777" w:rsidR="000E055E" w:rsidRPr="000E055E" w:rsidRDefault="000E055E" w:rsidP="00F53E12">
      <w:pPr>
        <w:pStyle w:val="Quote"/>
        <w:rPr>
          <w:lang w:val="en-NZ"/>
        </w:rPr>
      </w:pPr>
      <w:r w:rsidRPr="000E055E">
        <w:rPr>
          <w:lang w:val="en-NZ"/>
        </w:rPr>
        <w:t xml:space="preserve">…Yeah maybe they don’t have that - the other thing to take into account, the historical trauma and the impact of colonisation. Where we’ve lost a lot of our cultural strengths, they’ve been systematically stripped by oppression, so we don’t have those systems in place, where we have the backups. We don't have - especially urbanised Māori…. They don't have the backups, they don't have close family living nearby where they can say oh aunty can you watch the kids, mum’s gone out for a while. It’s not happening in an urban context. </w:t>
      </w:r>
    </w:p>
    <w:p w14:paraId="0209808F" w14:textId="77777777" w:rsidR="000E055E" w:rsidRPr="000E055E" w:rsidRDefault="000E055E" w:rsidP="00F53E12">
      <w:pPr>
        <w:pStyle w:val="Quote"/>
        <w:rPr>
          <w:lang w:val="en-NZ"/>
        </w:rPr>
      </w:pPr>
      <w:r w:rsidRPr="000E055E">
        <w:rPr>
          <w:lang w:val="en-NZ"/>
        </w:rPr>
        <w:t xml:space="preserve">Do you suppose harms from colonisation, because I just went to [a conference] and saw another indigenous speaker. She said that the casino, people go to fill those needs, the loss that’s been taken away through colonisation, to feel important, to feel loved…. </w:t>
      </w:r>
    </w:p>
    <w:p w14:paraId="41959463" w14:textId="77777777" w:rsidR="000E055E" w:rsidRPr="000E055E" w:rsidRDefault="000E055E" w:rsidP="000E055E">
      <w:pPr>
        <w:pStyle w:val="VRGFBodycontent"/>
        <w:rPr>
          <w:lang w:val="en-NZ"/>
        </w:rPr>
      </w:pPr>
      <w:r w:rsidRPr="000E055E">
        <w:rPr>
          <w:lang w:val="en-NZ"/>
        </w:rPr>
        <w:t>This vulnerability may be exploited by commercial gambling venues; some participants in this study drew attention to marketing messages promoting the gambling environment as a venue for socialising (see section on community level cultural harm).</w:t>
      </w:r>
    </w:p>
    <w:p w14:paraId="226A7AC7" w14:textId="77777777" w:rsidR="000E055E" w:rsidRPr="000E055E" w:rsidRDefault="000E055E" w:rsidP="000E055E">
      <w:pPr>
        <w:pStyle w:val="VRGFBodycontent"/>
      </w:pPr>
      <w:r w:rsidRPr="000E055E">
        <w:rPr>
          <w:lang w:val="en-NZ"/>
        </w:rPr>
        <w:lastRenderedPageBreak/>
        <w:t>It may be hypothesised that other populations which do not have similar cultural practices or historical experiences of colonisation would be less likely to be subjected to such additional risks and vulnerabilities.</w:t>
      </w:r>
    </w:p>
    <w:p w14:paraId="524D4435" w14:textId="77777777" w:rsidR="00F53E12" w:rsidRDefault="00F53E12" w:rsidP="000E055E">
      <w:pPr>
        <w:pStyle w:val="VRGFBodycontent"/>
      </w:pPr>
    </w:p>
    <w:p w14:paraId="69F4E27B" w14:textId="7CABC6CB" w:rsidR="000E055E" w:rsidRPr="000E055E" w:rsidRDefault="000E055E" w:rsidP="00F53E12">
      <w:pPr>
        <w:pStyle w:val="VRGFHead3"/>
      </w:pPr>
      <w:bookmarkStart w:id="172" w:name="_Toc462738025"/>
      <w:r w:rsidRPr="000E055E">
        <w:t>Contribution of culture to the meaning and experience of harm</w:t>
      </w:r>
      <w:bookmarkEnd w:id="172"/>
    </w:p>
    <w:p w14:paraId="72A17FBE" w14:textId="77777777" w:rsidR="000E055E" w:rsidRPr="000E055E" w:rsidRDefault="000E055E" w:rsidP="000E055E">
      <w:pPr>
        <w:pStyle w:val="VRGFBodycontent"/>
      </w:pPr>
      <w:r w:rsidRPr="000E055E">
        <w:t xml:space="preserve">In a number of populations there is a particular, culturally-based experience of shame that transcends experiences of emotional harm from a Western construct </w:t>
      </w:r>
      <w:r w:rsidRPr="000E055E">
        <w:fldChar w:fldCharType="begin"/>
      </w:r>
      <w:r w:rsidRPr="000E055E">
        <w:instrText xml:space="preserve"> ADDIN EN.CITE &lt;EndNote&gt;&lt;Cite&gt;&lt;Author&gt;Sachdev&lt;/Author&gt;&lt;Year&gt;1990&lt;/Year&gt;&lt;RecNum&gt;2697&lt;/RecNum&gt;&lt;DisplayText&gt;(Sachdev, 1990)&lt;/DisplayText&gt;&lt;record&gt;&lt;rec-number&gt;2697&lt;/rec-number&gt;&lt;foreign-keys&gt;&lt;key app="EN" db-id="vwx5w2at95wrp1e9p9wxzez0eeaadew0p225" timestamp="1456440755"&gt;2697&lt;/key&gt;&lt;/foreign-keys&gt;&lt;ref-type name="Journal Article"&gt;17&lt;/ref-type&gt;&lt;contributors&gt;&lt;authors&gt;&lt;author&gt;Sachdev, Perminder S&lt;/author&gt;&lt;/authors&gt;&lt;/contributors&gt;&lt;titles&gt;&lt;title&gt;Whakama: culturally determined behaviour in the New Zealand Maori&lt;/title&gt;&lt;secondary-title&gt;Psychological Medicine&lt;/secondary-title&gt;&lt;/titles&gt;&lt;periodical&gt;&lt;full-title&gt;Psychological medicine&lt;/full-title&gt;&lt;/periodical&gt;&lt;pages&gt;433-444&lt;/pages&gt;&lt;volume&gt;20&lt;/volume&gt;&lt;number&gt;2&lt;/number&gt;&lt;dates&gt;&lt;year&gt;1990&lt;/year&gt;&lt;/dates&gt;&lt;urls&gt;&lt;/urls&gt;&lt;/record&gt;&lt;/Cite&gt;&lt;/EndNote&gt;</w:instrText>
      </w:r>
      <w:r w:rsidRPr="000E055E">
        <w:fldChar w:fldCharType="separate"/>
      </w:r>
      <w:r w:rsidRPr="000E055E">
        <w:t>(Sachdev, 1990)</w:t>
      </w:r>
      <w:r w:rsidRPr="000E055E">
        <w:fldChar w:fldCharType="end"/>
      </w:r>
      <w:r w:rsidRPr="000E055E">
        <w:t>. As already cited in preceding sections, examples from Māori of loss of mana and whakamā were highlighted in the data as being significant and dominant experiences of harm both for people who gambled and affected others. Culture and cultural roles were central to many participants’ experience of harm. This was sometimes described in terms of feelings of shame (of not meeting cultural role obligations) or fear (of the problem becoming known to the wider community). In some cases, these feelings affected how participants related to their wider community.</w:t>
      </w:r>
    </w:p>
    <w:p w14:paraId="38AE8DEA" w14:textId="77777777" w:rsidR="000E055E" w:rsidRPr="000E055E" w:rsidRDefault="000E055E" w:rsidP="00F53E12">
      <w:pPr>
        <w:pStyle w:val="Quote"/>
      </w:pPr>
      <w:r w:rsidRPr="000E055E">
        <w:t>So the isolation from that collective wellbeing so to speak is extensive. Isolating oneself from that collective also means that at times this person can’t contribute to the obligations that are associated with being part of that collective…</w:t>
      </w:r>
    </w:p>
    <w:p w14:paraId="1B872772" w14:textId="4A4462D3" w:rsidR="000E055E" w:rsidRPr="000E055E" w:rsidRDefault="000E055E" w:rsidP="000E055E">
      <w:pPr>
        <w:pStyle w:val="VRGFBodycontent"/>
      </w:pPr>
      <w:r w:rsidRPr="000E055E">
        <w:t xml:space="preserve">The feeling of shame resulting from problems with gambling may be experienced by individuals from any culture including Western culture. For instance, as expressed by a European </w:t>
      </w:r>
      <w:r w:rsidR="00A52CB8">
        <w:t>female</w:t>
      </w:r>
      <w:r w:rsidR="00A52CB8" w:rsidRPr="000E055E">
        <w:t xml:space="preserve"> </w:t>
      </w:r>
      <w:r w:rsidRPr="000E055E">
        <w:t>in reference to her ex-husband who gambled:</w:t>
      </w:r>
    </w:p>
    <w:p w14:paraId="2B01074C" w14:textId="77777777" w:rsidR="000E055E" w:rsidRPr="000E055E" w:rsidRDefault="000E055E" w:rsidP="00F53E12">
      <w:pPr>
        <w:pStyle w:val="Quote"/>
      </w:pPr>
      <w:r w:rsidRPr="000E055E">
        <w:t>He lost his job and I think he didn't like his job anyway. He was just feeling incredibly low; I think the guilt and the shame. As a way of punishing himself he then cheated on me and had a relationship with another lady…</w:t>
      </w:r>
    </w:p>
    <w:p w14:paraId="6181C201" w14:textId="77777777" w:rsidR="000E055E" w:rsidRPr="000E055E" w:rsidRDefault="000E055E" w:rsidP="000E055E">
      <w:pPr>
        <w:pStyle w:val="VRGFBodycontent"/>
      </w:pPr>
      <w:r w:rsidRPr="000E055E">
        <w:t>The meaning of shame experienced was, however, different in different cultural contexts. The experience of shame (indicated by Māori and Pacific participants in particular) was broader in that it was not only linked to the family/whānau but also to the culture of the broader community they belonged to; expressed, for instance, as “</w:t>
      </w:r>
      <w:r w:rsidRPr="000E055E">
        <w:rPr>
          <w:i/>
        </w:rPr>
        <w:t>being embarrassed publically</w:t>
      </w:r>
      <w:r w:rsidRPr="000E055E">
        <w:t>”. (See the section above on experience of harm in relation to contributions to family and community).</w:t>
      </w:r>
    </w:p>
    <w:p w14:paraId="49FC8092" w14:textId="77777777" w:rsidR="000E055E" w:rsidRPr="000E055E" w:rsidRDefault="000E055E" w:rsidP="000E055E">
      <w:pPr>
        <w:pStyle w:val="VRGFBodycontent"/>
      </w:pPr>
      <w:r w:rsidRPr="000E055E">
        <w:t>A further distinction was the different cultural beliefs that place different values on harms and subsequently change the context of experienced harms. For instance, one participant expressed that he did not feel resentment at carrying an extra load, saying that he was happy to step up for his family:</w:t>
      </w:r>
    </w:p>
    <w:p w14:paraId="76DD4391" w14:textId="77777777" w:rsidR="000E055E" w:rsidRPr="000E055E" w:rsidRDefault="000E055E" w:rsidP="00F53E12">
      <w:pPr>
        <w:pStyle w:val="Quote"/>
      </w:pPr>
      <w:r w:rsidRPr="000E055E">
        <w:t>That's part of our culture, is that if one family member is put out, then the whole family pulls in together at home, no matter what it is.… I don't have a problem with delegating the time because … it's a family member… So to me, time isn't an issue, irrespective of whether it consumes most of my time or not. …I don't see it as shouldering extra responsibility. I don’t. Why? …Well you can't see it as that because it's family, go right back to what I said before about family. Whatever - if there's something wrong with my family, it's not shouldering responsibility. Yes it's my responsibility to go there and help them sort it out. Absolutely, but it's not shouldering. It's not a burden on me, in other words.</w:t>
      </w:r>
    </w:p>
    <w:p w14:paraId="21760C69" w14:textId="77777777" w:rsidR="000E055E" w:rsidRPr="000E055E" w:rsidRDefault="000E055E" w:rsidP="000E055E">
      <w:pPr>
        <w:pStyle w:val="VRGFBodycontent"/>
      </w:pPr>
      <w:r w:rsidRPr="000E055E">
        <w:lastRenderedPageBreak/>
        <w:t>This was a unique case. While the researchers in this study identified the loss of time among affected others (while supporting the person who gambles) as a form of harm, the above respondent did not view it as a “burden” because of a strong sense of familial responsibility based on Māori culture. This alerts to the possibility that individuals with a strong culturally-based sense of duty to family, although affected by a family member’s gambling, may refuse to acknowledge harms to self because of how they choose to define such harm. Such harms, among affected others are likely to remain hidden. This highlights a key difference between harms as experienced by the more collectivist type cultures and the more individualistic Western culture. In the latter, loss to personal time is more likely to be identified as a harm.</w:t>
      </w:r>
    </w:p>
    <w:p w14:paraId="64F66662" w14:textId="77777777" w:rsidR="00F53E12" w:rsidRDefault="00F53E12" w:rsidP="000E055E">
      <w:pPr>
        <w:pStyle w:val="VRGFBodycontent"/>
      </w:pPr>
    </w:p>
    <w:p w14:paraId="48C6E000" w14:textId="28111D99" w:rsidR="000E055E" w:rsidRPr="000E055E" w:rsidRDefault="000E055E" w:rsidP="00F53E12">
      <w:pPr>
        <w:pStyle w:val="VRGFHead2"/>
      </w:pPr>
      <w:bookmarkStart w:id="173" w:name="_Toc462738026"/>
      <w:r w:rsidRPr="000E055E">
        <w:t>Conclusion</w:t>
      </w:r>
      <w:bookmarkEnd w:id="173"/>
    </w:p>
    <w:p w14:paraId="108C4143" w14:textId="77777777" w:rsidR="000E055E" w:rsidRPr="000E055E" w:rsidRDefault="000E055E" w:rsidP="000E055E">
      <w:pPr>
        <w:pStyle w:val="VRGFBodycontent"/>
      </w:pPr>
      <w:r w:rsidRPr="000E055E">
        <w:t>The objectives of this phase of the study were to:</w:t>
      </w:r>
    </w:p>
    <w:p w14:paraId="6FB051F9" w14:textId="77777777" w:rsidR="000E055E" w:rsidRPr="000E055E" w:rsidRDefault="000E055E" w:rsidP="00F53E12">
      <w:pPr>
        <w:pStyle w:val="VRGFNumberedlist"/>
        <w:numPr>
          <w:ilvl w:val="0"/>
          <w:numId w:val="35"/>
        </w:numPr>
      </w:pPr>
      <w:r w:rsidRPr="000E055E">
        <w:t>To refine and expand the definition of gambling-related harm.</w:t>
      </w:r>
    </w:p>
    <w:p w14:paraId="5A45A4DB" w14:textId="77777777" w:rsidR="000E055E" w:rsidRPr="000E055E" w:rsidRDefault="000E055E" w:rsidP="00F53E12">
      <w:pPr>
        <w:pStyle w:val="VRGFNumberedlist"/>
      </w:pPr>
      <w:r w:rsidRPr="000E055E">
        <w:t>Expand on the knowledge of actual experienced harms reported in New Zealand.</w:t>
      </w:r>
    </w:p>
    <w:p w14:paraId="3CD258E0" w14:textId="77777777" w:rsidR="000E055E" w:rsidRPr="000E055E" w:rsidRDefault="000E055E" w:rsidP="00F53E12">
      <w:pPr>
        <w:pStyle w:val="VRGFNumberedlist"/>
      </w:pPr>
      <w:r w:rsidRPr="000E055E">
        <w:t xml:space="preserve">Refine and adjust the theoretical framework as required to reflect local experiences. </w:t>
      </w:r>
    </w:p>
    <w:p w14:paraId="6CA851C1" w14:textId="77777777" w:rsidR="000E055E" w:rsidRPr="000E055E" w:rsidRDefault="000E055E" w:rsidP="00F53E12">
      <w:pPr>
        <w:pStyle w:val="VRGFNumberedlist"/>
      </w:pPr>
      <w:r w:rsidRPr="000E055E">
        <w:t xml:space="preserve">To build a preliminary dimensional harm checklist for use in the subsequent phases of the project. </w:t>
      </w:r>
    </w:p>
    <w:p w14:paraId="105544CA" w14:textId="77777777" w:rsidR="000E055E" w:rsidRPr="000E055E" w:rsidRDefault="000E055E" w:rsidP="000E055E">
      <w:pPr>
        <w:pStyle w:val="VRGFBodycontent"/>
      </w:pPr>
      <w:r w:rsidRPr="000E055E">
        <w:t xml:space="preserve">The actual experienced harms reported in this study aligned with the existing taxonomy of gambling-related harms proposed by Langham et al. (2016). All the examples of harms experienced within the data were reflected in the broad descriptions of harm experiences in the taxonomy. Some harm experiences, however, were rephrased within the taxonomy to make them more relevant to specific cultural structures in New Zealand, in particular the importance of whānau. </w:t>
      </w:r>
    </w:p>
    <w:p w14:paraId="323CAD9C" w14:textId="7B011935" w:rsidR="000E055E" w:rsidRPr="000E055E" w:rsidRDefault="000E055E" w:rsidP="000E055E">
      <w:pPr>
        <w:pStyle w:val="VRGFBodycontent"/>
        <w:rPr>
          <w:i/>
        </w:rPr>
      </w:pPr>
      <w:r w:rsidRPr="000E055E">
        <w:t xml:space="preserve">Thus, overall, the previously proposed definition of gambling-related harm: </w:t>
      </w:r>
      <w:r w:rsidRPr="000E055E">
        <w:rPr>
          <w:i/>
        </w:rPr>
        <w:t xml:space="preserve">Any initial or exacerbated adverse consequence due to an engagement with gambling that leads to a decrement to the health or wellbeing of an individual, family unit, community or population </w:t>
      </w:r>
      <w:r w:rsidRPr="000E055E">
        <w:t>(Langham et al.,</w:t>
      </w:r>
      <w:r w:rsidRPr="000E055E">
        <w:fldChar w:fldCharType="begin"/>
      </w:r>
      <w:r w:rsidRPr="000E055E">
        <w:instrText xml:space="preserve"> ADDIN EN.CITE &lt;EndNote&gt;&lt;Cite ExcludeAuth="1"&gt;&lt;Author&gt;Langham&lt;/Author&gt;&lt;Year&gt;2016&lt;/Year&gt;&lt;RecNum&gt;2653&lt;/RecNum&gt;&lt;DisplayText&gt;(2016)&lt;/DisplayText&gt;&lt;record&gt;&lt;rec-number&gt;2653&lt;/rec-number&gt;&lt;foreign-keys&gt;&lt;key app="EN" db-id="vwx5w2at95wrp1e9p9wxzez0eeaadew0p225" timestamp="1452728871"&gt;2653&lt;/key&gt;&lt;/foreign-keys&gt;&lt;ref-type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Health&lt;/full-title&gt;&lt;/periodical&gt;&lt;volume&gt;16&lt;/volume&gt;&lt;number&gt;80&lt;/number&gt;&lt;dates&gt;&lt;year&gt;2016&lt;/year&gt;&lt;pub-dates&gt;&lt;date&gt;27 Jan 2016&lt;/date&gt;&lt;/pub-dates&gt;&lt;/dates&gt;&lt;urls&gt;&lt;related-urls&gt;&lt;url&gt;http://www.biomedcentral.com/1471-2458/16/80&lt;/url&gt;&lt;/related-urls&gt;&lt;/urls&gt;&lt;electronic-resource-num&gt;DOI 10.1186/s12889-016-2747-0&lt;/electronic-resource-num&gt;&lt;/record&gt;&lt;/Cite&gt;&lt;/EndNote&gt;</w:instrText>
      </w:r>
      <w:r w:rsidRPr="000E055E">
        <w:fldChar w:fldCharType="separate"/>
      </w:r>
      <w:r w:rsidRPr="000E055E">
        <w:t xml:space="preserve"> </w:t>
      </w:r>
      <w:r w:rsidRPr="00F53E12">
        <w:t>2016</w:t>
      </w:r>
      <w:r w:rsidRPr="000E055E">
        <w:t>)</w:t>
      </w:r>
      <w:r w:rsidRPr="000E055E">
        <w:fldChar w:fldCharType="end"/>
      </w:r>
      <w:r w:rsidRPr="000E055E">
        <w:t xml:space="preserve"> appears to remain appropriate although fails to take into account the importance of whānau. Therefore, we refine the definition of gambling-related harm in New Zealand to: </w:t>
      </w:r>
      <w:r w:rsidRPr="000E055E">
        <w:rPr>
          <w:i/>
        </w:rPr>
        <w:t>Any initial or exacerbated adverse consequence due to an engagement with gambling that leads to a decrement to the health or wellbeing of an individual, family or whānau, community or population.</w:t>
      </w:r>
    </w:p>
    <w:p w14:paraId="5CDD044D" w14:textId="77777777" w:rsidR="000E055E" w:rsidRPr="000E055E" w:rsidRDefault="000E055E" w:rsidP="000E055E">
      <w:pPr>
        <w:pStyle w:val="VRGFBodycontent"/>
      </w:pPr>
      <w:r w:rsidRPr="000E055E">
        <w:t xml:space="preserve">The theoretical or conceptual framework proposed for this study was validated by the gathered data. Data analysis enabled an expansion of our understanding of cultural harms and an exploration of the underlying reasons for the priority given to different domains. It was noted that there was a greater emphasis on emotional harms and harms to relationship, which were often regarded as more important than financial harms by participants of all ethnicities. </w:t>
      </w:r>
    </w:p>
    <w:p w14:paraId="25FAD484" w14:textId="77777777" w:rsidR="000E055E" w:rsidRPr="000E055E" w:rsidRDefault="000E055E" w:rsidP="000E055E">
      <w:pPr>
        <w:pStyle w:val="VRGFBodycontent"/>
      </w:pPr>
      <w:r w:rsidRPr="000E055E">
        <w:t xml:space="preserve">Some experiences of harm identified within the taxonomy (developed in Australia) were not reported within the data collected for this phase of the study. This was not surprising given the size of the sample, and the dominance of people who had experienced problems with gambling at a more severe level. This is not to say that these harms were not experienced but rather that they were not a priority in how people shared their experience. As such, all previously identified harms (including </w:t>
      </w:r>
      <w:r w:rsidRPr="000E055E">
        <w:lastRenderedPageBreak/>
        <w:t xml:space="preserve">those not explicitly identified in the current data) were considered for the national survey for this study, given New Zealand’s similarities to Australia in terms of ethnic diversity. </w:t>
      </w:r>
    </w:p>
    <w:p w14:paraId="7D8029DA" w14:textId="77777777" w:rsidR="006F47AB" w:rsidRDefault="006F47AB" w:rsidP="000E055E">
      <w:pPr>
        <w:pStyle w:val="VRGFBodycontent"/>
      </w:pPr>
    </w:p>
    <w:p w14:paraId="22B79DED" w14:textId="77777777" w:rsidR="000E055E" w:rsidRPr="000E055E" w:rsidRDefault="000E055E" w:rsidP="000E055E">
      <w:pPr>
        <w:pStyle w:val="VRGFBodycontent"/>
      </w:pPr>
      <w:r w:rsidRPr="000E055E">
        <w:t>The limitations of this phase included:</w:t>
      </w:r>
    </w:p>
    <w:p w14:paraId="79325BFE" w14:textId="77777777" w:rsidR="000E055E" w:rsidRPr="000E055E" w:rsidRDefault="000E055E" w:rsidP="00F53E12">
      <w:pPr>
        <w:pStyle w:val="VRGFBulletedlist"/>
      </w:pPr>
      <w:r w:rsidRPr="000E055E">
        <w:t>A small sample size - whilst more than appropriate for a qualitative study of this type, the sample was not representative and, as such, no generalisations to the broader population can be drawn. It was not possible to state that the entire range of harm experiences relevant to New Zealand was captured.</w:t>
      </w:r>
    </w:p>
    <w:p w14:paraId="1C0029BE" w14:textId="77777777" w:rsidR="000E055E" w:rsidRPr="000E055E" w:rsidRDefault="000E055E" w:rsidP="00F53E12">
      <w:pPr>
        <w:pStyle w:val="VRGFBulletedlist"/>
      </w:pPr>
      <w:r w:rsidRPr="000E055E">
        <w:t xml:space="preserve">A dominance of participants who were previously or currently experiencing significant problems with gambling and undergoing treatment, and professionals involved in providing treatment. This influenced the priority given to particular types of harms. Whilst this did not expand on experiences of early types of general harms from gambling, it did offer insight into the priority given to harm over time and from a legacy perspective. </w:t>
      </w:r>
    </w:p>
    <w:p w14:paraId="4D4E2B46" w14:textId="77777777" w:rsidR="000E055E" w:rsidRDefault="000E055E" w:rsidP="000E055E">
      <w:pPr>
        <w:pStyle w:val="VRGFBodycontent"/>
      </w:pPr>
      <w:r w:rsidRPr="000E055E">
        <w:t>The findings of this phase enabled the development of a revised dimensional harms check list that is relevant to the New Zealand context and which supported the development of the population survey.</w:t>
      </w:r>
    </w:p>
    <w:p w14:paraId="71F5A6AC" w14:textId="77777777" w:rsidR="009409A4" w:rsidRDefault="009409A4" w:rsidP="000E055E">
      <w:pPr>
        <w:pStyle w:val="VRGFBodycontent"/>
        <w:sectPr w:rsidR="009409A4" w:rsidSect="00995D54">
          <w:footerReference w:type="default" r:id="rId19"/>
          <w:pgSz w:w="11906" w:h="16838"/>
          <w:pgMar w:top="1440" w:right="1440" w:bottom="1440" w:left="1440" w:header="708" w:footer="708" w:gutter="0"/>
          <w:pgNumType w:start="0"/>
          <w:cols w:space="708"/>
          <w:titlePg/>
          <w:docGrid w:linePitch="360"/>
        </w:sectPr>
      </w:pPr>
    </w:p>
    <w:p w14:paraId="40522931" w14:textId="15EFC921" w:rsidR="009409A4" w:rsidRDefault="00044A20" w:rsidP="00044A20">
      <w:pPr>
        <w:pStyle w:val="Caption"/>
      </w:pPr>
      <w:bookmarkStart w:id="174" w:name="_Toc462738105"/>
      <w:r>
        <w:lastRenderedPageBreak/>
        <w:t xml:space="preserve">Table </w:t>
      </w:r>
      <w:fldSimple w:instr=" SEQ Table \* ARABIC ">
        <w:r w:rsidR="0006479A">
          <w:rPr>
            <w:noProof/>
          </w:rPr>
          <w:t>2</w:t>
        </w:r>
      </w:fldSimple>
      <w:r>
        <w:t>. A taxonomy of harms experienced by people who gamble</w:t>
      </w:r>
      <w:bookmarkEnd w:id="174"/>
    </w:p>
    <w:tbl>
      <w:tblPr>
        <w:tblW w:w="13892" w:type="dxa"/>
        <w:tblBorders>
          <w:top w:val="single" w:sz="12" w:space="0" w:color="FF9E3C"/>
          <w:left w:val="single" w:sz="12" w:space="0" w:color="FF9E3C"/>
          <w:bottom w:val="single" w:sz="12" w:space="0" w:color="FF9E3C"/>
          <w:right w:val="single" w:sz="12" w:space="0" w:color="FF9E3C"/>
          <w:insideH w:val="single" w:sz="12" w:space="0" w:color="FF9E3C"/>
          <w:insideV w:val="single" w:sz="12" w:space="0" w:color="FF9E3C"/>
        </w:tblBorders>
        <w:tblLook w:val="04A0" w:firstRow="1" w:lastRow="0" w:firstColumn="1" w:lastColumn="0" w:noHBand="0" w:noVBand="1"/>
      </w:tblPr>
      <w:tblGrid>
        <w:gridCol w:w="1843"/>
        <w:gridCol w:w="3969"/>
        <w:gridCol w:w="3969"/>
        <w:gridCol w:w="4111"/>
      </w:tblGrid>
      <w:tr w:rsidR="00F16E95" w:rsidRPr="00F16E95" w14:paraId="1C9FE762" w14:textId="77777777" w:rsidTr="002E05E5">
        <w:trPr>
          <w:trHeight w:val="281"/>
          <w:tblHeader/>
        </w:trPr>
        <w:tc>
          <w:tcPr>
            <w:tcW w:w="1843" w:type="dxa"/>
            <w:shd w:val="clear" w:color="auto" w:fill="FFBC64"/>
            <w:vAlign w:val="center"/>
          </w:tcPr>
          <w:p w14:paraId="47D53F38" w14:textId="77777777" w:rsidR="00044A20" w:rsidRPr="00F16E95" w:rsidRDefault="00044A20" w:rsidP="00044A20">
            <w:pPr>
              <w:tabs>
                <w:tab w:val="clear" w:pos="426"/>
              </w:tabs>
              <w:spacing w:before="0" w:after="0" w:line="240" w:lineRule="auto"/>
              <w:ind w:left="0" w:right="0"/>
              <w:rPr>
                <w:rFonts w:eastAsiaTheme="minorEastAsia" w:cs="Arial"/>
                <w:b/>
                <w:bCs/>
                <w:color w:val="1C3158"/>
                <w:sz w:val="18"/>
                <w:szCs w:val="22"/>
                <w:lang w:eastAsia="ja-JP"/>
              </w:rPr>
            </w:pPr>
          </w:p>
        </w:tc>
        <w:tc>
          <w:tcPr>
            <w:tcW w:w="3969" w:type="dxa"/>
            <w:shd w:val="clear" w:color="auto" w:fill="FFBC64"/>
            <w:vAlign w:val="center"/>
          </w:tcPr>
          <w:p w14:paraId="5AE72647"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General</w:t>
            </w:r>
          </w:p>
        </w:tc>
        <w:tc>
          <w:tcPr>
            <w:tcW w:w="3969" w:type="dxa"/>
            <w:shd w:val="clear" w:color="auto" w:fill="FFBC64"/>
            <w:vAlign w:val="center"/>
          </w:tcPr>
          <w:p w14:paraId="70B450F3"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Crisis</w:t>
            </w:r>
          </w:p>
        </w:tc>
        <w:tc>
          <w:tcPr>
            <w:tcW w:w="4111" w:type="dxa"/>
            <w:shd w:val="clear" w:color="auto" w:fill="FFBC64"/>
            <w:vAlign w:val="center"/>
          </w:tcPr>
          <w:p w14:paraId="50926E57"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Legacy</w:t>
            </w:r>
          </w:p>
        </w:tc>
      </w:tr>
      <w:tr w:rsidR="00F16E95" w:rsidRPr="00F16E95" w14:paraId="27547542" w14:textId="77777777" w:rsidTr="002E05E5">
        <w:trPr>
          <w:trHeight w:val="315"/>
        </w:trPr>
        <w:tc>
          <w:tcPr>
            <w:tcW w:w="1843" w:type="dxa"/>
            <w:shd w:val="clear" w:color="auto" w:fill="auto"/>
          </w:tcPr>
          <w:p w14:paraId="3D7C6408"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Financial harm</w:t>
            </w:r>
          </w:p>
        </w:tc>
        <w:tc>
          <w:tcPr>
            <w:tcW w:w="3969" w:type="dxa"/>
            <w:shd w:val="clear" w:color="auto" w:fill="auto"/>
          </w:tcPr>
          <w:p w14:paraId="6816610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Reduction or loss of capacity to purchase luxury items (e.g. holidays, electronics)</w:t>
            </w:r>
          </w:p>
          <w:p w14:paraId="3D95D08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Reduction or loss of discretionary spending such as non-gambling entertainment or other family members’ activities (e.g. children’s sports)</w:t>
            </w:r>
          </w:p>
          <w:p w14:paraId="376E2D6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Erosion of savings</w:t>
            </w:r>
          </w:p>
          <w:p w14:paraId="18D0982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Activities to manage short term cash-flow problems:</w:t>
            </w:r>
          </w:p>
          <w:p w14:paraId="1569811C"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Additional employment or other forms of income generation</w:t>
            </w:r>
          </w:p>
          <w:p w14:paraId="0B8AD575"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Accessing more credit</w:t>
            </w:r>
          </w:p>
          <w:p w14:paraId="682BAB83"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Credit card balance transfers</w:t>
            </w:r>
          </w:p>
          <w:p w14:paraId="6E5FC1C4"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Selling or pawning items</w:t>
            </w:r>
          </w:p>
          <w:p w14:paraId="6A995BBC"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Pay day loans</w:t>
            </w:r>
          </w:p>
          <w:p w14:paraId="18612BEB"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Non-payment or juggling of large bills such as utilities or rates</w:t>
            </w:r>
          </w:p>
          <w:p w14:paraId="62DE8A1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Cost of replacing items sold or pawned as part of short term cash strategies</w:t>
            </w:r>
          </w:p>
          <w:p w14:paraId="0E63BB1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Reduction or loss of non-immediate consequence expenditure</w:t>
            </w:r>
          </w:p>
          <w:p w14:paraId="230E3AED"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Insurance (e.g. health, home, car, income protection, business)</w:t>
            </w:r>
          </w:p>
          <w:p w14:paraId="73F76572"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Repairs or maintenance costs (home, car, business)</w:t>
            </w:r>
          </w:p>
          <w:p w14:paraId="74FBADF6"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Health maintenance activities (e.g. check-ups, long-term medications, allied health support)</w:t>
            </w:r>
          </w:p>
          <w:p w14:paraId="764DB7C4"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Household items</w:t>
            </w:r>
          </w:p>
          <w:p w14:paraId="1E8FCEB8" w14:textId="77777777" w:rsidR="00044A20" w:rsidRPr="00F16E95" w:rsidRDefault="00044A20" w:rsidP="00044A20">
            <w:pPr>
              <w:numPr>
                <w:ilvl w:val="0"/>
                <w:numId w:val="16"/>
              </w:numPr>
              <w:tabs>
                <w:tab w:val="clear" w:pos="426"/>
              </w:tabs>
              <w:spacing w:before="0" w:after="0" w:line="240" w:lineRule="auto"/>
              <w:ind w:left="318" w:right="0" w:hanging="284"/>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Reduction or loss of expenditure on items of immediate consequence:</w:t>
            </w:r>
          </w:p>
          <w:p w14:paraId="0DFA2DB5"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Children’s expenses (education)</w:t>
            </w:r>
          </w:p>
          <w:p w14:paraId="51B82975"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Medication or health care</w:t>
            </w:r>
          </w:p>
          <w:p w14:paraId="211B49E5"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Clothing</w:t>
            </w:r>
          </w:p>
          <w:p w14:paraId="2EEE883F"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Food (including use of food parcel)</w:t>
            </w:r>
          </w:p>
          <w:p w14:paraId="0FED9941"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Housing or accommodation</w:t>
            </w:r>
          </w:p>
          <w:p w14:paraId="291D0737"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Needing assistance with bill payments from welfare organisations or inability to pay bills (e.g. utilities)</w:t>
            </w:r>
          </w:p>
          <w:p w14:paraId="59AA9016"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EastAsia" w:cs="Arial"/>
                <w:color w:val="1C3158"/>
                <w:sz w:val="18"/>
                <w:szCs w:val="22"/>
                <w:lang w:eastAsia="ja-JP"/>
              </w:rPr>
            </w:pPr>
            <w:r w:rsidRPr="00F16E95">
              <w:rPr>
                <w:rFonts w:eastAsiaTheme="minorHAnsi" w:cs="Arial"/>
                <w:color w:val="1C3158"/>
                <w:sz w:val="18"/>
                <w:szCs w:val="22"/>
                <w:lang w:eastAsia="ja-JP"/>
              </w:rPr>
              <w:t>Transport costs (petrol, fares)</w:t>
            </w:r>
          </w:p>
        </w:tc>
        <w:tc>
          <w:tcPr>
            <w:tcW w:w="3969" w:type="dxa"/>
            <w:shd w:val="clear" w:color="auto" w:fill="auto"/>
          </w:tcPr>
          <w:p w14:paraId="7F66844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Loss of additional financial sources (e.g. no further credit available)</w:t>
            </w:r>
          </w:p>
          <w:p w14:paraId="1AEE051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capacity to meet essential needs (e.g. food)</w:t>
            </w:r>
          </w:p>
          <w:p w14:paraId="3846271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Loss of normal accommodation – homelessness or requiring temporary accommodation </w:t>
            </w:r>
          </w:p>
          <w:p w14:paraId="765647C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major assets (e.g. car, home, business)</w:t>
            </w:r>
          </w:p>
          <w:p w14:paraId="670BFCB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Bankruptcy</w:t>
            </w:r>
          </w:p>
        </w:tc>
        <w:tc>
          <w:tcPr>
            <w:tcW w:w="4111" w:type="dxa"/>
            <w:shd w:val="clear" w:color="auto" w:fill="auto"/>
          </w:tcPr>
          <w:p w14:paraId="51EA386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Reliant on welfare</w:t>
            </w:r>
          </w:p>
          <w:p w14:paraId="21832F1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Resultant restrictions due to bankruptcy or credit rating</w:t>
            </w:r>
          </w:p>
          <w:p w14:paraId="40B29DD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financial hardship</w:t>
            </w:r>
          </w:p>
          <w:p w14:paraId="1F5DE6B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Further financial harm from attempts to manage debt (e.g. non-reputable finance providers for debt consolidation)</w:t>
            </w:r>
          </w:p>
          <w:p w14:paraId="706901B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issues relating to financial security, poverty, or financial disadvantage.</w:t>
            </w:r>
          </w:p>
          <w:p w14:paraId="0774111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Higher costs associated with poor credit rating including premium cost of pay-as-you-go services or increased security bonds.</w:t>
            </w:r>
          </w:p>
          <w:p w14:paraId="0AC0750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“Forced” cohabitation or involvement in unhealthy relationships due to financial constraint</w:t>
            </w:r>
          </w:p>
          <w:p w14:paraId="14554C15" w14:textId="77777777" w:rsidR="00044A20" w:rsidRPr="00F16E95" w:rsidRDefault="00044A20" w:rsidP="00044A20">
            <w:pPr>
              <w:tabs>
                <w:tab w:val="clear" w:pos="426"/>
              </w:tabs>
              <w:spacing w:before="0" w:after="0" w:line="240" w:lineRule="auto"/>
              <w:ind w:left="0" w:right="0"/>
              <w:jc w:val="center"/>
              <w:rPr>
                <w:rFonts w:eastAsiaTheme="minorHAnsi" w:cs="Arial"/>
                <w:color w:val="1C3158"/>
                <w:sz w:val="18"/>
                <w:szCs w:val="22"/>
                <w:lang w:eastAsia="ja-JP"/>
              </w:rPr>
            </w:pPr>
          </w:p>
        </w:tc>
      </w:tr>
      <w:tr w:rsidR="00F16E95" w:rsidRPr="00F16E95" w14:paraId="2F034921" w14:textId="77777777" w:rsidTr="002E05E5">
        <w:trPr>
          <w:trHeight w:val="315"/>
        </w:trPr>
        <w:tc>
          <w:tcPr>
            <w:tcW w:w="1843" w:type="dxa"/>
            <w:shd w:val="clear" w:color="auto" w:fill="auto"/>
          </w:tcPr>
          <w:p w14:paraId="6E231E38"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Relationship disruption, conflict or breakdown</w:t>
            </w:r>
          </w:p>
        </w:tc>
        <w:tc>
          <w:tcPr>
            <w:tcW w:w="3969" w:type="dxa"/>
            <w:shd w:val="clear" w:color="auto" w:fill="auto"/>
          </w:tcPr>
          <w:p w14:paraId="544B41D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Dishonest communication within relationships with spouse, partner, children, family, whānau, friends or community</w:t>
            </w:r>
          </w:p>
          <w:p w14:paraId="662A3D9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Unreliable or unavailable to spouse, partner, children, family, whānau, friends or community</w:t>
            </w:r>
          </w:p>
          <w:p w14:paraId="7D8A555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amount of time spent with spouse, partner, children, family, whānau, friends or community</w:t>
            </w:r>
          </w:p>
          <w:p w14:paraId="3EF922B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quality of time spent with spouse, partner, children, family, whānau, friends or community</w:t>
            </w:r>
          </w:p>
          <w:p w14:paraId="76B5387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Disengagement or withdrawal from relationship responsibilities</w:t>
            </w:r>
          </w:p>
          <w:p w14:paraId="21442EB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levels of neglect of relationships</w:t>
            </w:r>
          </w:p>
          <w:p w14:paraId="4FC0AAC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Pervasive neglect or disengagement from relationships</w:t>
            </w:r>
          </w:p>
          <w:p w14:paraId="2D65342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Reduced engagement in family, whānau or social events </w:t>
            </w:r>
          </w:p>
          <w:p w14:paraId="1E8F2A3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Tension with spouse, partner, children, family, whānau, friends or community</w:t>
            </w:r>
          </w:p>
          <w:p w14:paraId="75535C9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Minor or occasional conflict due to increased involvement in gambling or suspicion of increased involvement with gambling</w:t>
            </w:r>
          </w:p>
          <w:p w14:paraId="1A13FA2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Serious or regular conflict due to increased involvement in gambling or suspicion of increased involvement with gambling</w:t>
            </w:r>
          </w:p>
          <w:p w14:paraId="0B716AC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Major or constant conflict due to increased involvement in gambling or suspicion of increased involvement with gambling</w:t>
            </w:r>
          </w:p>
          <w:p w14:paraId="191A841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Loss of trust from relationship with spouse, partner, children, family, whānau, friends or community</w:t>
            </w:r>
          </w:p>
          <w:p w14:paraId="2949ABB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“Punishment” by spouse, partner, children, family, </w:t>
            </w:r>
            <w:r w:rsidRPr="00F16E95">
              <w:rPr>
                <w:rFonts w:eastAsiaTheme="minorEastAsia" w:cs="Arial"/>
                <w:color w:val="1C3158"/>
                <w:sz w:val="18"/>
                <w:lang w:eastAsia="ja-JP"/>
              </w:rPr>
              <w:t>whānau</w:t>
            </w:r>
            <w:r w:rsidRPr="00F16E95">
              <w:rPr>
                <w:rFonts w:eastAsiaTheme="minorEastAsia" w:cs="Arial"/>
                <w:color w:val="1C3158"/>
                <w:sz w:val="22"/>
                <w:szCs w:val="22"/>
                <w:lang w:eastAsia="ja-JP"/>
              </w:rPr>
              <w:t xml:space="preserve">, </w:t>
            </w:r>
            <w:r w:rsidRPr="00F16E95">
              <w:rPr>
                <w:rFonts w:eastAsiaTheme="minorHAnsi" w:cs="Arial"/>
                <w:color w:val="1C3158"/>
                <w:sz w:val="18"/>
                <w:szCs w:val="22"/>
                <w:lang w:eastAsia="ja-JP"/>
              </w:rPr>
              <w:t>friends, or community</w:t>
            </w:r>
          </w:p>
          <w:p w14:paraId="0A4C502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Episodic distortion of relationship roles (infantilising the person gambling, others including children having to take parental type role)</w:t>
            </w:r>
          </w:p>
          <w:p w14:paraId="2CAC0AD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color w:val="1C3158"/>
                <w:sz w:val="18"/>
                <w:szCs w:val="22"/>
                <w:lang w:eastAsia="ja-JP"/>
              </w:rPr>
            </w:pPr>
            <w:r w:rsidRPr="00F16E95">
              <w:rPr>
                <w:rFonts w:eastAsiaTheme="minorHAnsi" w:cs="Arial"/>
                <w:color w:val="1C3158"/>
                <w:sz w:val="18"/>
                <w:szCs w:val="22"/>
                <w:lang w:eastAsia="ja-JP"/>
              </w:rPr>
              <w:t>Incidence or escalation of family violence or intimate partner violence</w:t>
            </w:r>
          </w:p>
        </w:tc>
        <w:tc>
          <w:tcPr>
            <w:tcW w:w="3969" w:type="dxa"/>
            <w:shd w:val="clear" w:color="auto" w:fill="auto"/>
          </w:tcPr>
          <w:p w14:paraId="5F289AB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Threat of separation or rejection from relationship with spouse, partner, children, family, whānau, friends or community</w:t>
            </w:r>
          </w:p>
          <w:p w14:paraId="33C3682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Actual separation or rejection from relationship with spouse, partner, children, family, whānau, friends or community</w:t>
            </w:r>
          </w:p>
          <w:p w14:paraId="6A801AB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Social isolation</w:t>
            </w:r>
          </w:p>
          <w:p w14:paraId="4F8E3AF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relationship (temporary or permanent) with spouse, partner, children, family, whānau, friends or community</w:t>
            </w:r>
          </w:p>
          <w:p w14:paraId="1E7A11E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Distortion of relationship roles (e.g. infantilising the person gambling, others including children having to take parental type role)</w:t>
            </w:r>
          </w:p>
          <w:p w14:paraId="4C0E309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Incidence or escalation of family violence or intimate partner violence</w:t>
            </w:r>
          </w:p>
          <w:p w14:paraId="576A46D3" w14:textId="77777777" w:rsidR="00044A20" w:rsidRPr="00F16E95" w:rsidRDefault="00044A20" w:rsidP="00044A20">
            <w:pPr>
              <w:tabs>
                <w:tab w:val="clear" w:pos="426"/>
              </w:tabs>
              <w:spacing w:before="0" w:after="0" w:line="240" w:lineRule="auto"/>
              <w:ind w:left="0" w:right="0"/>
              <w:jc w:val="center"/>
              <w:rPr>
                <w:rFonts w:eastAsiaTheme="minorEastAsia" w:cs="Arial"/>
                <w:color w:val="1C3158"/>
                <w:sz w:val="18"/>
                <w:szCs w:val="22"/>
                <w:lang w:eastAsia="ja-JP"/>
              </w:rPr>
            </w:pPr>
          </w:p>
        </w:tc>
        <w:tc>
          <w:tcPr>
            <w:tcW w:w="4111" w:type="dxa"/>
            <w:shd w:val="clear" w:color="auto" w:fill="auto"/>
          </w:tcPr>
          <w:p w14:paraId="232BFB2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Social isolation due to ongoing estrangement from relationships with spouse, partner, children, family, whānau, friends or community</w:t>
            </w:r>
          </w:p>
          <w:p w14:paraId="694F9DC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Vulnerability to problematic gambling relapse due to isolation or relationship breakdown</w:t>
            </w:r>
          </w:p>
          <w:p w14:paraId="2E63B5A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Inability or reluctance to participate in social functions at gambling venues</w:t>
            </w:r>
          </w:p>
          <w:p w14:paraId="423BA40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“punishment” or resentment from spouse, partner, children, family, whānau, friends or community</w:t>
            </w:r>
          </w:p>
          <w:p w14:paraId="05105F6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Relationship rebuilding or reconciliation</w:t>
            </w:r>
          </w:p>
          <w:p w14:paraId="602901D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involvement of family court in parenting or co-parenting</w:t>
            </w:r>
          </w:p>
          <w:p w14:paraId="2038152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Long term damage to, or estrangement from, relationship/s with spouse, partner, children, family, whānau, friends or community</w:t>
            </w:r>
          </w:p>
          <w:p w14:paraId="2291668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distortion of relationship roles (e.g. infantilising the person gambling, others including children having to take parental type role)</w:t>
            </w:r>
          </w:p>
          <w:p w14:paraId="3F16C9D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psychological development through lack of appropriate social interaction</w:t>
            </w:r>
          </w:p>
          <w:p w14:paraId="684B236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Incidence or escalation of family violence or intimate partner violence</w:t>
            </w:r>
          </w:p>
          <w:p w14:paraId="259A6437" w14:textId="77777777" w:rsidR="00044A20" w:rsidRPr="00F16E95" w:rsidRDefault="00044A20" w:rsidP="00044A20">
            <w:pPr>
              <w:tabs>
                <w:tab w:val="clear" w:pos="426"/>
              </w:tabs>
              <w:spacing w:before="0" w:after="0" w:line="240" w:lineRule="auto"/>
              <w:ind w:left="0" w:right="0"/>
              <w:jc w:val="center"/>
              <w:rPr>
                <w:rFonts w:eastAsiaTheme="minorEastAsia" w:cs="Arial"/>
                <w:color w:val="1C3158"/>
                <w:sz w:val="18"/>
                <w:szCs w:val="22"/>
                <w:lang w:eastAsia="ja-JP"/>
              </w:rPr>
            </w:pPr>
          </w:p>
        </w:tc>
      </w:tr>
      <w:tr w:rsidR="00F16E95" w:rsidRPr="00F16E95" w14:paraId="55B5E4B6" w14:textId="77777777" w:rsidTr="002E05E5">
        <w:trPr>
          <w:trHeight w:val="315"/>
        </w:trPr>
        <w:tc>
          <w:tcPr>
            <w:tcW w:w="1843" w:type="dxa"/>
            <w:shd w:val="clear" w:color="auto" w:fill="auto"/>
          </w:tcPr>
          <w:p w14:paraId="2C1944D7"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Emotional or psychological distress</w:t>
            </w:r>
          </w:p>
        </w:tc>
        <w:tc>
          <w:tcPr>
            <w:tcW w:w="3969" w:type="dxa"/>
            <w:shd w:val="clear" w:color="auto" w:fill="auto"/>
          </w:tcPr>
          <w:p w14:paraId="6072BB6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and psychological distress caused by living outside personal value systems</w:t>
            </w:r>
          </w:p>
          <w:p w14:paraId="2C8B58D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Experience of distorted cognitions or erroneous beliefs</w:t>
            </w:r>
          </w:p>
          <w:p w14:paraId="78DB4F4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from hiding gambling from others (including lying and creating alibis for lost time and money)</w:t>
            </w:r>
          </w:p>
          <w:p w14:paraId="107DFCB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feelings of self-worth and pride</w:t>
            </w:r>
          </w:p>
          <w:p w14:paraId="4C55A85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feelings of shame</w:t>
            </w:r>
          </w:p>
          <w:p w14:paraId="0D26F41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Increased feelings of inadequacy or personal failure because of inability to control gambling </w:t>
            </w:r>
          </w:p>
          <w:p w14:paraId="2A6F90F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Perceptions of being stigmatised</w:t>
            </w:r>
          </w:p>
          <w:p w14:paraId="151A2A4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from inability to control gambling</w:t>
            </w:r>
          </w:p>
          <w:p w14:paraId="27D5B77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feelings of insecurity and vulnerability</w:t>
            </w:r>
          </w:p>
          <w:p w14:paraId="4CED4FB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caused by other resultant harms</w:t>
            </w:r>
          </w:p>
          <w:p w14:paraId="4717EB6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due to harm caused to others (guilt)</w:t>
            </w:r>
          </w:p>
          <w:p w14:paraId="7BADE88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“face” or reputation due to impact of other resultant harms</w:t>
            </w:r>
          </w:p>
          <w:p w14:paraId="59BDE89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Desperation from not being able to recoup losses </w:t>
            </w:r>
          </w:p>
          <w:p w14:paraId="6590E48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Emotional or psychological distress from not wanting to accept problems with gambling</w:t>
            </w:r>
          </w:p>
          <w:p w14:paraId="029D3DE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Loss of sense of future or ability to get ahead </w:t>
            </w:r>
          </w:p>
          <w:p w14:paraId="655BCB3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Increasing feelings of powerlessness</w:t>
            </w:r>
          </w:p>
          <w:p w14:paraId="0D8FB4B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Fear and distress from creditors’ (legal and illegal) follow up and harassment </w:t>
            </w:r>
          </w:p>
        </w:tc>
        <w:tc>
          <w:tcPr>
            <w:tcW w:w="3969" w:type="dxa"/>
            <w:shd w:val="clear" w:color="auto" w:fill="auto"/>
          </w:tcPr>
          <w:p w14:paraId="5D1539C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Extreme emotional or psychological distress in relation to other resultant harms</w:t>
            </w:r>
          </w:p>
          <w:p w14:paraId="125785C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Extreme emotional or psychological distress due to harm caused to others</w:t>
            </w:r>
          </w:p>
          <w:p w14:paraId="42B4EDE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Extreme emotional or psychological distress caused by living outside personal value systems</w:t>
            </w:r>
          </w:p>
          <w:p w14:paraId="3216938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Complete loss of feelings of self-worth and pride</w:t>
            </w:r>
          </w:p>
          <w:p w14:paraId="2725694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Extreme shame</w:t>
            </w:r>
          </w:p>
          <w:p w14:paraId="614458C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Extreme sense of hopelessness and powerlessness</w:t>
            </w:r>
          </w:p>
          <w:p w14:paraId="160DB20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Suicidal ideation</w:t>
            </w:r>
          </w:p>
          <w:p w14:paraId="2673FFE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“face” or reputation (stigma) if problem with gambling becomes publicly known</w:t>
            </w:r>
          </w:p>
          <w:p w14:paraId="4B2C10D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Shame from utilising responsible gambling measures such as exclusion or seeking treatment</w:t>
            </w:r>
          </w:p>
          <w:p w14:paraId="748EC11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Extreme fear and distress from creditors’ (legal and illegal) follow up and harassment </w:t>
            </w:r>
          </w:p>
        </w:tc>
        <w:tc>
          <w:tcPr>
            <w:tcW w:w="4111" w:type="dxa"/>
            <w:shd w:val="clear" w:color="auto" w:fill="auto"/>
          </w:tcPr>
          <w:p w14:paraId="2393CB3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Experienced, perceived and internal stigma</w:t>
            </w:r>
          </w:p>
          <w:p w14:paraId="77E871C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guilt and shame</w:t>
            </w:r>
          </w:p>
          <w:p w14:paraId="2B617C8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and psychological effects from the process of recovery (e.g. constant vigilance and behavioural adaptation)</w:t>
            </w:r>
          </w:p>
          <w:p w14:paraId="55F2A7C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feelings of insecurity and vulnerability</w:t>
            </w:r>
          </w:p>
          <w:p w14:paraId="591C20C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emotional and psychological distress in relation to other harms</w:t>
            </w:r>
          </w:p>
          <w:p w14:paraId="2721C90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emotional or psychological distress due to harm caused to others</w:t>
            </w:r>
          </w:p>
          <w:p w14:paraId="5629285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emotional or psychological distress caused by having lived outside personal value systems</w:t>
            </w:r>
          </w:p>
          <w:p w14:paraId="03FD90E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Ongoing vulnerability to suicidal behaviours </w:t>
            </w:r>
          </w:p>
          <w:p w14:paraId="31AD056D" w14:textId="77777777" w:rsidR="00044A20" w:rsidRPr="00F16E95" w:rsidRDefault="00044A20" w:rsidP="00044A20">
            <w:pPr>
              <w:tabs>
                <w:tab w:val="clear" w:pos="426"/>
              </w:tabs>
              <w:spacing w:before="0" w:after="0" w:line="240" w:lineRule="auto"/>
              <w:ind w:left="0" w:right="0"/>
              <w:jc w:val="center"/>
              <w:rPr>
                <w:rFonts w:eastAsiaTheme="minorHAnsi" w:cs="Arial"/>
                <w:color w:val="1C3158"/>
                <w:sz w:val="18"/>
                <w:szCs w:val="22"/>
                <w:lang w:eastAsia="ja-JP"/>
              </w:rPr>
            </w:pPr>
          </w:p>
        </w:tc>
      </w:tr>
      <w:tr w:rsidR="00F16E95" w:rsidRPr="00F16E95" w14:paraId="7F40A1DF" w14:textId="77777777" w:rsidTr="002E05E5">
        <w:trPr>
          <w:trHeight w:val="315"/>
        </w:trPr>
        <w:tc>
          <w:tcPr>
            <w:tcW w:w="1843" w:type="dxa"/>
            <w:shd w:val="clear" w:color="auto" w:fill="auto"/>
          </w:tcPr>
          <w:p w14:paraId="3E140A36"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Decrements to health</w:t>
            </w:r>
          </w:p>
        </w:tc>
        <w:tc>
          <w:tcPr>
            <w:tcW w:w="3969" w:type="dxa"/>
            <w:shd w:val="clear" w:color="auto" w:fill="auto"/>
          </w:tcPr>
          <w:p w14:paraId="21D8894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sedentary behaviour during time spent gambling</w:t>
            </w:r>
          </w:p>
          <w:p w14:paraId="0B16D2C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Biological manifestation of emotional and psychological distress (e.g. increased blood pressure, loss of sleep)</w:t>
            </w:r>
          </w:p>
          <w:p w14:paraId="05A0739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levels of self-care:</w:t>
            </w:r>
          </w:p>
          <w:p w14:paraId="777FE94E"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nutrition</w:t>
            </w:r>
          </w:p>
          <w:p w14:paraId="01265A0A"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hygiene</w:t>
            </w:r>
          </w:p>
          <w:p w14:paraId="3758D91F"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sufficient sleep</w:t>
            </w:r>
          </w:p>
          <w:p w14:paraId="668E4989"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compliance with medical care</w:t>
            </w:r>
          </w:p>
          <w:p w14:paraId="7BA7F8D0"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physical activity</w:t>
            </w:r>
          </w:p>
          <w:p w14:paraId="760140EA"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quality of living circumstances (e.g. cannot afford heating)</w:t>
            </w:r>
          </w:p>
          <w:p w14:paraId="29244CD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Incidence of disease or injury due to reduced levels of self-care</w:t>
            </w:r>
          </w:p>
          <w:p w14:paraId="70A59DD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risk due to gateway effect, interaction with, or exacerbation of other health risk factors (e.g. alcohol use, tobacco use, illegal substances use)</w:t>
            </w:r>
          </w:p>
          <w:p w14:paraId="1CA6107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risk due to gateway effect, interaction with, or exacerbation of health comorbidities (e.g. depression, anxiety, biophysical chronic disease)</w:t>
            </w:r>
          </w:p>
          <w:p w14:paraId="29D33FC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experience of family violence due to involvement in gambling</w:t>
            </w:r>
          </w:p>
          <w:p w14:paraId="2842DA9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Incidence of self-harm</w:t>
            </w:r>
          </w:p>
          <w:p w14:paraId="27C87AC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color w:val="1C3158"/>
                <w:sz w:val="18"/>
                <w:szCs w:val="22"/>
                <w:lang w:eastAsia="ja-JP"/>
              </w:rPr>
            </w:pPr>
            <w:r w:rsidRPr="00F16E95">
              <w:rPr>
                <w:rFonts w:eastAsiaTheme="minorHAnsi" w:cs="Arial"/>
                <w:color w:val="1C3158"/>
                <w:sz w:val="18"/>
                <w:szCs w:val="22"/>
                <w:lang w:eastAsia="ja-JP"/>
              </w:rPr>
              <w:t xml:space="preserve">Minor health ailments (e.g. headache migraine) related to focusing on a screen </w:t>
            </w:r>
            <w:r w:rsidRPr="00F16E95">
              <w:rPr>
                <w:rFonts w:eastAsiaTheme="minorHAnsi" w:cs="Arial"/>
                <w:color w:val="1C3158"/>
                <w:sz w:val="18"/>
                <w:szCs w:val="22"/>
                <w:lang w:eastAsia="ja-JP"/>
              </w:rPr>
              <w:lastRenderedPageBreak/>
              <w:t>for long periods of time with particular gambling products</w:t>
            </w:r>
          </w:p>
        </w:tc>
        <w:tc>
          <w:tcPr>
            <w:tcW w:w="3969" w:type="dxa"/>
            <w:shd w:val="clear" w:color="auto" w:fill="auto"/>
          </w:tcPr>
          <w:p w14:paraId="511B907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Physical effects of living rough due to homelessness, or poor living conditions including increased risk of disease, and violence.</w:t>
            </w:r>
          </w:p>
          <w:p w14:paraId="2982137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Experience of violence due to involvement in gambling </w:t>
            </w:r>
          </w:p>
          <w:p w14:paraId="7E31040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Medical emergency (including mortality) due to onset exacerbation of, or failure to diagnose a health condition due to gambling </w:t>
            </w:r>
          </w:p>
          <w:p w14:paraId="39749E4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Serious self-harm</w:t>
            </w:r>
          </w:p>
          <w:p w14:paraId="49E87E2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Attempted (or completed) suicide</w:t>
            </w:r>
          </w:p>
          <w:p w14:paraId="773D7EA1" w14:textId="77777777" w:rsidR="00044A20" w:rsidRPr="00F16E95" w:rsidRDefault="00044A20" w:rsidP="00044A20">
            <w:pPr>
              <w:tabs>
                <w:tab w:val="clear" w:pos="426"/>
              </w:tabs>
              <w:spacing w:before="0" w:after="0" w:line="240" w:lineRule="auto"/>
              <w:ind w:left="0" w:right="0"/>
              <w:jc w:val="center"/>
              <w:rPr>
                <w:rFonts w:eastAsiaTheme="minorEastAsia" w:cs="Arial"/>
                <w:color w:val="1C3158"/>
                <w:sz w:val="18"/>
                <w:szCs w:val="22"/>
                <w:lang w:eastAsia="ja-JP"/>
              </w:rPr>
            </w:pPr>
          </w:p>
        </w:tc>
        <w:tc>
          <w:tcPr>
            <w:tcW w:w="4111" w:type="dxa"/>
            <w:shd w:val="clear" w:color="auto" w:fill="auto"/>
          </w:tcPr>
          <w:p w14:paraId="0D2FD11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disability or decrement to health through attempted suicide or other forms of self-harm</w:t>
            </w:r>
          </w:p>
          <w:p w14:paraId="7E760B4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increased risk of disease or decrement to health due to legacy effects of risk factors or poor self-care</w:t>
            </w:r>
          </w:p>
          <w:p w14:paraId="119C1A3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disability or decrement to health due to other medical conditions exacerbated or advanced due to involvement with gambling</w:t>
            </w:r>
          </w:p>
          <w:p w14:paraId="2CA634B4" w14:textId="77777777" w:rsidR="00044A20" w:rsidRPr="00F16E95" w:rsidRDefault="00044A20" w:rsidP="00044A20">
            <w:pPr>
              <w:tabs>
                <w:tab w:val="clear" w:pos="426"/>
              </w:tabs>
              <w:spacing w:before="0" w:after="0" w:line="240" w:lineRule="auto"/>
              <w:ind w:left="0" w:right="0"/>
              <w:jc w:val="center"/>
              <w:rPr>
                <w:rFonts w:eastAsiaTheme="minorEastAsia" w:cs="Arial"/>
                <w:color w:val="1C3158"/>
                <w:sz w:val="18"/>
                <w:szCs w:val="22"/>
                <w:lang w:eastAsia="ja-JP"/>
              </w:rPr>
            </w:pPr>
          </w:p>
        </w:tc>
      </w:tr>
      <w:tr w:rsidR="00F16E95" w:rsidRPr="00F16E95" w14:paraId="4D1754A5" w14:textId="77777777" w:rsidTr="002E05E5">
        <w:trPr>
          <w:trHeight w:val="315"/>
        </w:trPr>
        <w:tc>
          <w:tcPr>
            <w:tcW w:w="1843" w:type="dxa"/>
            <w:shd w:val="clear" w:color="auto" w:fill="auto"/>
          </w:tcPr>
          <w:p w14:paraId="6D8EE8F6"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Cultural harm</w:t>
            </w:r>
          </w:p>
        </w:tc>
        <w:tc>
          <w:tcPr>
            <w:tcW w:w="3969" w:type="dxa"/>
            <w:shd w:val="clear" w:color="auto" w:fill="auto"/>
          </w:tcPr>
          <w:p w14:paraId="1E8C167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engagement in cultural rituals</w:t>
            </w:r>
          </w:p>
          <w:p w14:paraId="7F457DE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Culturally-based shame in relation to cultural roles and expectations</w:t>
            </w:r>
          </w:p>
          <w:p w14:paraId="27FC287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contribution to community and reduced participation in cultural practices of the community</w:t>
            </w:r>
          </w:p>
          <w:p w14:paraId="0FA9286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connection to community</w:t>
            </w:r>
          </w:p>
          <w:p w14:paraId="677F188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color w:val="1C3158"/>
                <w:sz w:val="18"/>
                <w:szCs w:val="22"/>
                <w:lang w:eastAsia="ja-JP"/>
              </w:rPr>
            </w:pPr>
            <w:r w:rsidRPr="00F16E95">
              <w:rPr>
                <w:rFonts w:eastAsiaTheme="minorHAnsi" w:cs="Arial"/>
                <w:color w:val="1C3158"/>
                <w:sz w:val="18"/>
                <w:szCs w:val="22"/>
                <w:lang w:eastAsia="ja-JP"/>
              </w:rPr>
              <w:t>Harm to individual through reduced connection to community and culture in terms of increased social exclusion or isolation</w:t>
            </w:r>
          </w:p>
        </w:tc>
        <w:tc>
          <w:tcPr>
            <w:tcW w:w="3969" w:type="dxa"/>
            <w:shd w:val="clear" w:color="auto" w:fill="auto"/>
          </w:tcPr>
          <w:p w14:paraId="11DE017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Extreme cultural shame in relation to culturally-based roles and expectations</w:t>
            </w:r>
          </w:p>
          <w:p w14:paraId="0CE9F73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Loss of ability to contribute to community </w:t>
            </w:r>
          </w:p>
          <w:p w14:paraId="06BD9E1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Impact on or loss of cultural practices</w:t>
            </w:r>
          </w:p>
          <w:p w14:paraId="3365EF0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Damaged or lost connection to community and culture</w:t>
            </w:r>
          </w:p>
          <w:p w14:paraId="688EEAB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Harm to individual through reduced or lost connection to community</w:t>
            </w:r>
          </w:p>
          <w:p w14:paraId="4DCFDAF4" w14:textId="77777777" w:rsidR="00044A20" w:rsidRPr="00F16E95" w:rsidRDefault="00044A20" w:rsidP="00044A20">
            <w:pPr>
              <w:tabs>
                <w:tab w:val="clear" w:pos="426"/>
              </w:tabs>
              <w:spacing w:before="0" w:after="0" w:line="240" w:lineRule="auto"/>
              <w:ind w:left="0" w:right="0"/>
              <w:jc w:val="center"/>
              <w:rPr>
                <w:rFonts w:eastAsiaTheme="minorEastAsia" w:cs="Arial"/>
                <w:color w:val="1C3158"/>
                <w:sz w:val="18"/>
                <w:szCs w:val="22"/>
                <w:lang w:eastAsia="ja-JP"/>
              </w:rPr>
            </w:pPr>
          </w:p>
        </w:tc>
        <w:tc>
          <w:tcPr>
            <w:tcW w:w="4111" w:type="dxa"/>
            <w:shd w:val="clear" w:color="auto" w:fill="auto"/>
          </w:tcPr>
          <w:p w14:paraId="3A0FA65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cultural shame in relation to roles and expectations</w:t>
            </w:r>
          </w:p>
          <w:p w14:paraId="056E5B4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Ongoing reduction or loss of contribution to community </w:t>
            </w:r>
          </w:p>
          <w:p w14:paraId="75B0D20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reduction or loss of cultural practices</w:t>
            </w:r>
          </w:p>
          <w:p w14:paraId="1B75BCC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loss of connection to community</w:t>
            </w:r>
          </w:p>
          <w:p w14:paraId="0ED798D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harm to individual through reduced connection to community</w:t>
            </w:r>
          </w:p>
          <w:p w14:paraId="000EA688" w14:textId="77777777" w:rsidR="00044A20" w:rsidRPr="00F16E95" w:rsidRDefault="00044A20" w:rsidP="00044A20">
            <w:pPr>
              <w:tabs>
                <w:tab w:val="clear" w:pos="426"/>
              </w:tabs>
              <w:spacing w:before="0" w:after="0" w:line="240" w:lineRule="auto"/>
              <w:ind w:left="0" w:right="0"/>
              <w:jc w:val="center"/>
              <w:rPr>
                <w:rFonts w:eastAsiaTheme="minorEastAsia" w:cs="Arial"/>
                <w:color w:val="1C3158"/>
                <w:sz w:val="18"/>
                <w:szCs w:val="22"/>
                <w:lang w:eastAsia="ja-JP"/>
              </w:rPr>
            </w:pPr>
          </w:p>
        </w:tc>
      </w:tr>
      <w:tr w:rsidR="00F16E95" w:rsidRPr="00F16E95" w14:paraId="35382395" w14:textId="77777777" w:rsidTr="002E05E5">
        <w:trPr>
          <w:trHeight w:val="315"/>
        </w:trPr>
        <w:tc>
          <w:tcPr>
            <w:tcW w:w="1843" w:type="dxa"/>
            <w:shd w:val="clear" w:color="auto" w:fill="auto"/>
          </w:tcPr>
          <w:p w14:paraId="1317225A" w14:textId="77777777" w:rsidR="00044A20" w:rsidRPr="00F16E95" w:rsidRDefault="00044A20" w:rsidP="00044A20">
            <w:pPr>
              <w:tabs>
                <w:tab w:val="clear" w:pos="426"/>
              </w:tabs>
              <w:spacing w:before="0" w:after="0" w:line="240" w:lineRule="auto"/>
              <w:ind w:left="0" w:right="0"/>
              <w:rPr>
                <w:rFonts w:eastAsiaTheme="minorEastAsia" w:cs="Arial"/>
                <w:b/>
                <w:bCs/>
                <w:color w:val="1C3158"/>
                <w:sz w:val="18"/>
                <w:szCs w:val="22"/>
                <w:lang w:eastAsia="ja-JP"/>
              </w:rPr>
            </w:pPr>
            <w:r w:rsidRPr="00F16E95">
              <w:rPr>
                <w:rFonts w:eastAsiaTheme="minorEastAsia" w:cs="Arial"/>
                <w:color w:val="1C3158"/>
                <w:sz w:val="18"/>
                <w:szCs w:val="22"/>
                <w:lang w:eastAsia="ja-JP"/>
              </w:rPr>
              <w:t>Reduced performance at work or study</w:t>
            </w:r>
          </w:p>
        </w:tc>
        <w:tc>
          <w:tcPr>
            <w:tcW w:w="3969" w:type="dxa"/>
            <w:shd w:val="clear" w:color="auto" w:fill="auto"/>
          </w:tcPr>
          <w:p w14:paraId="798D80B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performance due to tiredness or distraction</w:t>
            </w:r>
          </w:p>
          <w:p w14:paraId="44905BF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absenteeism due to gambling during work/study hours, tiredness, ill health or lack of transport due to gambling</w:t>
            </w:r>
          </w:p>
          <w:p w14:paraId="7124673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Consequences of using work or educational institution resources for gambling Reduced availability to contribute to the community through volunteer work</w:t>
            </w:r>
          </w:p>
        </w:tc>
        <w:tc>
          <w:tcPr>
            <w:tcW w:w="3969" w:type="dxa"/>
            <w:shd w:val="clear" w:color="auto" w:fill="auto"/>
          </w:tcPr>
          <w:p w14:paraId="1C97D4E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Job loss due to theft or fraud </w:t>
            </w:r>
          </w:p>
          <w:p w14:paraId="07CFD04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Job loss, suspension, or exclusion from educational institution due to poor performance</w:t>
            </w:r>
          </w:p>
          <w:p w14:paraId="4A76014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Exacerbation of, or contribution to, other harms due to job loss (including loss of wage)</w:t>
            </w:r>
          </w:p>
          <w:p w14:paraId="2C1B86D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Rejection from volunteer workforce</w:t>
            </w:r>
          </w:p>
          <w:p w14:paraId="37119B1C"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p>
        </w:tc>
        <w:tc>
          <w:tcPr>
            <w:tcW w:w="4111" w:type="dxa"/>
            <w:shd w:val="clear" w:color="auto" w:fill="auto"/>
          </w:tcPr>
          <w:p w14:paraId="39785E4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opportunity for employment or enrolment due to past poor performance or criminal activity</w:t>
            </w:r>
          </w:p>
          <w:p w14:paraId="59C6CE1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effect on volunteer work participation (linked to reputation and restriction of activities)</w:t>
            </w:r>
          </w:p>
          <w:p w14:paraId="3ADC6C6B"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p>
        </w:tc>
      </w:tr>
      <w:tr w:rsidR="00F16E95" w:rsidRPr="00F16E95" w14:paraId="30BB45DF" w14:textId="77777777" w:rsidTr="002E05E5">
        <w:trPr>
          <w:trHeight w:val="315"/>
        </w:trPr>
        <w:tc>
          <w:tcPr>
            <w:tcW w:w="1843" w:type="dxa"/>
            <w:shd w:val="clear" w:color="auto" w:fill="auto"/>
          </w:tcPr>
          <w:p w14:paraId="45B9D562" w14:textId="77777777" w:rsidR="00044A20" w:rsidRPr="00F16E95" w:rsidRDefault="00044A20" w:rsidP="00044A20">
            <w:pPr>
              <w:tabs>
                <w:tab w:val="clear" w:pos="426"/>
              </w:tabs>
              <w:spacing w:before="0" w:after="0" w:line="240" w:lineRule="auto"/>
              <w:ind w:left="0" w:right="0"/>
              <w:rPr>
                <w:rFonts w:eastAsiaTheme="minorEastAsia" w:cs="Arial"/>
                <w:b/>
                <w:bCs/>
                <w:color w:val="1C3158"/>
                <w:sz w:val="18"/>
                <w:szCs w:val="22"/>
                <w:lang w:eastAsia="ja-JP"/>
              </w:rPr>
            </w:pPr>
            <w:r w:rsidRPr="00F16E95">
              <w:rPr>
                <w:rFonts w:eastAsiaTheme="minorEastAsia" w:cs="Arial"/>
                <w:color w:val="1C3158"/>
                <w:sz w:val="18"/>
                <w:szCs w:val="22"/>
                <w:lang w:eastAsia="ja-JP"/>
              </w:rPr>
              <w:t>Criminal activity</w:t>
            </w:r>
          </w:p>
        </w:tc>
        <w:tc>
          <w:tcPr>
            <w:tcW w:w="3969" w:type="dxa"/>
            <w:shd w:val="clear" w:color="auto" w:fill="auto"/>
          </w:tcPr>
          <w:p w14:paraId="053BEAA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Vulnerability to illegal activities that offer fast access to funds </w:t>
            </w:r>
          </w:p>
          <w:p w14:paraId="66A6625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Engagement in crimes of negligence - acts such as child neglect (e.g. leaving children unsupervised) </w:t>
            </w:r>
          </w:p>
          <w:p w14:paraId="18174A4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Engagement in crimes of opportunity - petty theft including from family members </w:t>
            </w:r>
          </w:p>
          <w:p w14:paraId="5089086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Engagement in crimes of opportunity - property crimes for funds, funds from illicit lending, fraudulent efforts to attain funds</w:t>
            </w:r>
          </w:p>
          <w:p w14:paraId="3414B20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Engagement in crimes of duress to repay debt (e.g. drug trafficking)</w:t>
            </w:r>
          </w:p>
        </w:tc>
        <w:tc>
          <w:tcPr>
            <w:tcW w:w="3969" w:type="dxa"/>
            <w:shd w:val="clear" w:color="auto" w:fill="auto"/>
          </w:tcPr>
          <w:p w14:paraId="18FFC45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Arrest and / or conviction due to crime of opportunity</w:t>
            </w:r>
          </w:p>
          <w:p w14:paraId="271BFDB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Arrest and / or conviction due to crime of duress</w:t>
            </w:r>
          </w:p>
          <w:p w14:paraId="77E24E7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b/>
                <w:bCs/>
                <w:color w:val="1C3158"/>
                <w:sz w:val="18"/>
                <w:szCs w:val="22"/>
                <w:lang w:eastAsia="ja-JP"/>
              </w:rPr>
            </w:pPr>
            <w:r w:rsidRPr="00F16E95">
              <w:rPr>
                <w:rFonts w:eastAsiaTheme="minorHAnsi" w:cs="Arial"/>
                <w:color w:val="1C3158"/>
                <w:sz w:val="18"/>
                <w:szCs w:val="22"/>
                <w:lang w:eastAsia="ja-JP"/>
              </w:rPr>
              <w:t>Arrest and / or conviction due to crime of negligence</w:t>
            </w:r>
          </w:p>
        </w:tc>
        <w:tc>
          <w:tcPr>
            <w:tcW w:w="4111" w:type="dxa"/>
            <w:shd w:val="clear" w:color="auto" w:fill="auto"/>
          </w:tcPr>
          <w:p w14:paraId="3FE83EE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Prolonged consequences of having a criminal record on future employment opportunities, voluntary and community opportunities, and travel restrictions</w:t>
            </w:r>
          </w:p>
          <w:p w14:paraId="4BC14B6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Disruption to relationships due to custodial sentence</w:t>
            </w:r>
          </w:p>
          <w:p w14:paraId="517780F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Ongoing effects on spouse, partner, child, family, whānau and friends due criminal record or custodial sentence through other mechanisms </w:t>
            </w:r>
          </w:p>
          <w:p w14:paraId="709A906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Intergenerational consequences of criminal record or custodial sentence</w:t>
            </w:r>
          </w:p>
          <w:p w14:paraId="74A31DC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b/>
                <w:bCs/>
                <w:color w:val="1C3158"/>
                <w:sz w:val="18"/>
                <w:szCs w:val="22"/>
                <w:lang w:eastAsia="ja-JP"/>
              </w:rPr>
            </w:pPr>
            <w:r w:rsidRPr="00F16E95">
              <w:rPr>
                <w:rFonts w:eastAsiaTheme="minorHAnsi" w:cs="Arial"/>
                <w:color w:val="1C3158"/>
                <w:sz w:val="18"/>
                <w:szCs w:val="22"/>
                <w:lang w:eastAsia="ja-JP"/>
              </w:rPr>
              <w:t>Shame and stigma of criminal conviction or involvement in criminal activity</w:t>
            </w:r>
          </w:p>
        </w:tc>
      </w:tr>
      <w:tr w:rsidR="00F16E95" w:rsidRPr="00F16E95" w14:paraId="79B3A139" w14:textId="77777777" w:rsidTr="002E05E5">
        <w:trPr>
          <w:trHeight w:val="281"/>
        </w:trPr>
        <w:tc>
          <w:tcPr>
            <w:tcW w:w="1843" w:type="dxa"/>
            <w:shd w:val="clear" w:color="auto" w:fill="FFBC64"/>
          </w:tcPr>
          <w:p w14:paraId="1B74545B" w14:textId="77777777" w:rsidR="00044A20" w:rsidRPr="00F16E95" w:rsidRDefault="00044A20" w:rsidP="00044A20">
            <w:pPr>
              <w:tabs>
                <w:tab w:val="clear" w:pos="426"/>
              </w:tabs>
              <w:spacing w:before="0" w:after="0" w:line="240" w:lineRule="auto"/>
              <w:ind w:left="0" w:right="0"/>
              <w:rPr>
                <w:rFonts w:eastAsiaTheme="minorEastAsia" w:cs="Arial"/>
                <w:b/>
                <w:bCs/>
                <w:color w:val="1C3158"/>
                <w:sz w:val="18"/>
                <w:szCs w:val="22"/>
                <w:lang w:eastAsia="ja-JP"/>
              </w:rPr>
            </w:pPr>
          </w:p>
        </w:tc>
        <w:tc>
          <w:tcPr>
            <w:tcW w:w="12049" w:type="dxa"/>
            <w:gridSpan w:val="3"/>
            <w:shd w:val="clear" w:color="auto" w:fill="FFBC64"/>
          </w:tcPr>
          <w:p w14:paraId="58D4E074"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p>
        </w:tc>
      </w:tr>
      <w:tr w:rsidR="00F16E95" w:rsidRPr="00F16E95" w14:paraId="640C7292" w14:textId="77777777" w:rsidTr="002E05E5">
        <w:trPr>
          <w:trHeight w:val="315"/>
        </w:trPr>
        <w:tc>
          <w:tcPr>
            <w:tcW w:w="1843" w:type="dxa"/>
            <w:shd w:val="clear" w:color="auto" w:fill="auto"/>
          </w:tcPr>
          <w:p w14:paraId="7B3CF4CD"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lastRenderedPageBreak/>
              <w:t>Lifecourse and intergenerational harms</w:t>
            </w:r>
          </w:p>
        </w:tc>
        <w:tc>
          <w:tcPr>
            <w:tcW w:w="12049" w:type="dxa"/>
            <w:gridSpan w:val="3"/>
            <w:shd w:val="clear" w:color="auto" w:fill="auto"/>
          </w:tcPr>
          <w:p w14:paraId="6C88484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Generational loss relating to financial security or stages of financial achievement (e.g. ongoing consequences of inability to secure finances, or loss of major asset, superannuation)</w:t>
            </w:r>
          </w:p>
          <w:p w14:paraId="434A4DC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lifecourse events such as engagement / marriage / having children (generational loss)</w:t>
            </w:r>
          </w:p>
          <w:p w14:paraId="1496676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primary relationships and social connection (including parents / children / community)</w:t>
            </w:r>
          </w:p>
          <w:p w14:paraId="6909459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Having to move towns / countries due to consequences of gambling or other harms</w:t>
            </w:r>
          </w:p>
          <w:p w14:paraId="23BF78A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Homelessness</w:t>
            </w:r>
          </w:p>
          <w:p w14:paraId="0384DE3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Change to less profitable or less suitable career due to impact of gambling or other harms</w:t>
            </w:r>
          </w:p>
          <w:p w14:paraId="1B4C956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color w:val="1C3158"/>
                <w:sz w:val="18"/>
                <w:szCs w:val="22"/>
                <w:lang w:eastAsia="ja-JP"/>
              </w:rPr>
            </w:pPr>
            <w:r w:rsidRPr="00F16E95">
              <w:rPr>
                <w:rFonts w:eastAsiaTheme="minorHAnsi" w:cs="Arial"/>
                <w:color w:val="1C3158"/>
                <w:sz w:val="18"/>
                <w:szCs w:val="22"/>
                <w:lang w:eastAsia="ja-JP"/>
              </w:rPr>
              <w:t>Incarceration due to gambling</w:t>
            </w:r>
          </w:p>
        </w:tc>
      </w:tr>
    </w:tbl>
    <w:p w14:paraId="1CD441DF" w14:textId="77777777" w:rsidR="00044A20" w:rsidRDefault="00044A20" w:rsidP="00044A20">
      <w:pPr>
        <w:ind w:left="0"/>
      </w:pPr>
    </w:p>
    <w:p w14:paraId="4C94494B" w14:textId="77777777" w:rsidR="00044A20" w:rsidRDefault="00044A20" w:rsidP="00044A20">
      <w:pPr>
        <w:ind w:left="0"/>
      </w:pPr>
    </w:p>
    <w:p w14:paraId="6FCC9E8E" w14:textId="77777777" w:rsidR="00044A20" w:rsidRDefault="00044A20" w:rsidP="00044A20">
      <w:pPr>
        <w:ind w:left="0"/>
      </w:pPr>
    </w:p>
    <w:p w14:paraId="17EBA566" w14:textId="6F4ED187" w:rsidR="00044A20" w:rsidRDefault="002E05E5" w:rsidP="00044A20">
      <w:pPr>
        <w:pStyle w:val="Caption"/>
      </w:pPr>
      <w:r>
        <w:br w:type="column"/>
      </w:r>
      <w:bookmarkStart w:id="175" w:name="_Toc462738106"/>
      <w:r w:rsidR="00044A20">
        <w:lastRenderedPageBreak/>
        <w:t xml:space="preserve">Table </w:t>
      </w:r>
      <w:fldSimple w:instr=" SEQ Table \* ARABIC ">
        <w:r w:rsidR="0006479A">
          <w:rPr>
            <w:noProof/>
          </w:rPr>
          <w:t>3</w:t>
        </w:r>
      </w:fldSimple>
      <w:r w:rsidR="00044A20">
        <w:t>. A taxonomy of harms of experienced by affected others of people who gamble</w:t>
      </w:r>
      <w:bookmarkEnd w:id="175"/>
      <w:r w:rsidR="00044A20">
        <w:t xml:space="preserve"> </w:t>
      </w:r>
    </w:p>
    <w:tbl>
      <w:tblPr>
        <w:tblW w:w="13892" w:type="dxa"/>
        <w:tblInd w:w="-118" w:type="dxa"/>
        <w:tblBorders>
          <w:top w:val="single" w:sz="12" w:space="0" w:color="FF9E3C"/>
          <w:left w:val="single" w:sz="12" w:space="0" w:color="FF9E3C"/>
          <w:bottom w:val="single" w:sz="12" w:space="0" w:color="FF9E3C"/>
          <w:right w:val="single" w:sz="12" w:space="0" w:color="FF9E3C"/>
          <w:insideH w:val="single" w:sz="12" w:space="0" w:color="FF9E3C"/>
          <w:insideV w:val="single" w:sz="12" w:space="0" w:color="FF9E3C"/>
        </w:tblBorders>
        <w:tblLook w:val="04A0" w:firstRow="1" w:lastRow="0" w:firstColumn="1" w:lastColumn="0" w:noHBand="0" w:noVBand="1"/>
      </w:tblPr>
      <w:tblGrid>
        <w:gridCol w:w="1843"/>
        <w:gridCol w:w="3969"/>
        <w:gridCol w:w="3969"/>
        <w:gridCol w:w="4111"/>
      </w:tblGrid>
      <w:tr w:rsidR="00F16E95" w:rsidRPr="00F16E95" w14:paraId="142F2FB5" w14:textId="77777777" w:rsidTr="009A3B2A">
        <w:trPr>
          <w:trHeight w:val="281"/>
          <w:tblHeader/>
        </w:trPr>
        <w:tc>
          <w:tcPr>
            <w:tcW w:w="1843" w:type="dxa"/>
            <w:shd w:val="clear" w:color="auto" w:fill="FFBC64"/>
            <w:vAlign w:val="center"/>
          </w:tcPr>
          <w:p w14:paraId="42FF2F91" w14:textId="77777777" w:rsidR="00044A20" w:rsidRPr="00F16E95" w:rsidRDefault="00044A20" w:rsidP="00044A20">
            <w:pPr>
              <w:tabs>
                <w:tab w:val="clear" w:pos="426"/>
              </w:tabs>
              <w:spacing w:before="0" w:after="0" w:line="240" w:lineRule="auto"/>
              <w:ind w:left="0" w:right="0"/>
              <w:rPr>
                <w:rFonts w:eastAsiaTheme="minorEastAsia" w:cs="Arial"/>
                <w:b/>
                <w:bCs/>
                <w:color w:val="1C3158"/>
                <w:sz w:val="18"/>
                <w:szCs w:val="22"/>
                <w:lang w:eastAsia="ja-JP"/>
              </w:rPr>
            </w:pPr>
          </w:p>
        </w:tc>
        <w:tc>
          <w:tcPr>
            <w:tcW w:w="3969" w:type="dxa"/>
            <w:shd w:val="clear" w:color="auto" w:fill="FFBC64"/>
            <w:vAlign w:val="center"/>
          </w:tcPr>
          <w:p w14:paraId="52D0953B"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General</w:t>
            </w:r>
          </w:p>
        </w:tc>
        <w:tc>
          <w:tcPr>
            <w:tcW w:w="3969" w:type="dxa"/>
            <w:shd w:val="clear" w:color="auto" w:fill="FFBC64"/>
            <w:vAlign w:val="center"/>
          </w:tcPr>
          <w:p w14:paraId="26F9E42F"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Crisis</w:t>
            </w:r>
          </w:p>
        </w:tc>
        <w:tc>
          <w:tcPr>
            <w:tcW w:w="4111" w:type="dxa"/>
            <w:shd w:val="clear" w:color="auto" w:fill="FFBC64"/>
            <w:vAlign w:val="center"/>
          </w:tcPr>
          <w:p w14:paraId="5BB39A31"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Legacy</w:t>
            </w:r>
          </w:p>
        </w:tc>
      </w:tr>
      <w:tr w:rsidR="00F16E95" w:rsidRPr="00F16E95" w14:paraId="4368588F" w14:textId="77777777" w:rsidTr="00F16E95">
        <w:trPr>
          <w:trHeight w:val="315"/>
        </w:trPr>
        <w:tc>
          <w:tcPr>
            <w:tcW w:w="1843" w:type="dxa"/>
            <w:shd w:val="clear" w:color="auto" w:fill="auto"/>
          </w:tcPr>
          <w:p w14:paraId="7145E76D"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Financial harm</w:t>
            </w:r>
          </w:p>
        </w:tc>
        <w:tc>
          <w:tcPr>
            <w:tcW w:w="3969" w:type="dxa"/>
            <w:shd w:val="clear" w:color="auto" w:fill="auto"/>
          </w:tcPr>
          <w:p w14:paraId="21CC350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Additional costs due to lack of capacity of person who gambles to contribute their share of costs or joint costs (minor to major items)</w:t>
            </w:r>
          </w:p>
          <w:p w14:paraId="321B7E9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Reduction or loss of capacity to purchase luxury items (e.g. holidays, electronics)</w:t>
            </w:r>
          </w:p>
          <w:p w14:paraId="63D495B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Reduction or loss of discretionary spending such as non-gambling entertainment or other family members’ activities (e.g. children’s sports)</w:t>
            </w:r>
          </w:p>
          <w:p w14:paraId="6D814B8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Erosion of savings</w:t>
            </w:r>
          </w:p>
          <w:p w14:paraId="143C3C8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Activities to manage short term cash-flow problems:</w:t>
            </w:r>
          </w:p>
          <w:p w14:paraId="65EB2537"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Additional employment or other forms of income generation</w:t>
            </w:r>
          </w:p>
          <w:p w14:paraId="08FF99D5"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Accessing more credit</w:t>
            </w:r>
          </w:p>
          <w:p w14:paraId="50BD349A"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Credit card balance transfers</w:t>
            </w:r>
          </w:p>
          <w:p w14:paraId="0597E8F1"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Selling or pawning items</w:t>
            </w:r>
          </w:p>
          <w:p w14:paraId="2FD015BB"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Pay day loans</w:t>
            </w:r>
          </w:p>
          <w:p w14:paraId="5CDE78E7"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Non-payment or juggling of large bills such as utilities or rates</w:t>
            </w:r>
          </w:p>
          <w:p w14:paraId="5DD12B2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Cost of replacing items sold or pawned as part of short term cash strategies</w:t>
            </w:r>
          </w:p>
          <w:p w14:paraId="3C7267D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Reduction or loss of non-immediate consequence expenditure</w:t>
            </w:r>
          </w:p>
          <w:p w14:paraId="0C058A2E"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Insurance (e.g. health, home, car, income protection, business)</w:t>
            </w:r>
          </w:p>
          <w:p w14:paraId="4B92C49A"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Repairs or maintenance costs (e.g. home, car, business)</w:t>
            </w:r>
          </w:p>
          <w:p w14:paraId="588D2322"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Health maintenance activities (e.g. check-ups, long term medications, allied health support)</w:t>
            </w:r>
          </w:p>
          <w:p w14:paraId="3989AB5D"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Household items</w:t>
            </w:r>
          </w:p>
          <w:p w14:paraId="717FEAB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Reduction or loss of expenditure on items of immediate consequence:</w:t>
            </w:r>
          </w:p>
          <w:p w14:paraId="535C902D"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Children’s expenses (education)</w:t>
            </w:r>
          </w:p>
          <w:p w14:paraId="2113E797"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Medication or health care</w:t>
            </w:r>
          </w:p>
          <w:p w14:paraId="13A84C26"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Clothing</w:t>
            </w:r>
          </w:p>
          <w:p w14:paraId="3A7DFB70"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Food (including use of food parcel)</w:t>
            </w:r>
          </w:p>
          <w:p w14:paraId="0E23C2EB"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Housing or accommodation</w:t>
            </w:r>
          </w:p>
          <w:p w14:paraId="0CF972F0"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Needing assistance with bill payments from welfare organisations or inability to pay bills (e.g. utilities)</w:t>
            </w:r>
          </w:p>
          <w:p w14:paraId="58BB1230" w14:textId="77777777" w:rsidR="00044A20" w:rsidRPr="00F16E95" w:rsidRDefault="00044A20" w:rsidP="00044A20">
            <w:pPr>
              <w:numPr>
                <w:ilvl w:val="1"/>
                <w:numId w:val="16"/>
              </w:numPr>
              <w:tabs>
                <w:tab w:val="clear" w:pos="426"/>
              </w:tabs>
              <w:spacing w:before="0" w:after="0" w:line="240" w:lineRule="auto"/>
              <w:ind w:left="743" w:right="0" w:hanging="425"/>
              <w:contextualSpacing/>
              <w:rPr>
                <w:rFonts w:eastAsiaTheme="minorEastAsia" w:cs="Arial"/>
                <w:color w:val="1C3158"/>
                <w:sz w:val="18"/>
                <w:szCs w:val="22"/>
                <w:lang w:eastAsia="ja-JP"/>
              </w:rPr>
            </w:pPr>
            <w:r w:rsidRPr="00F16E95">
              <w:rPr>
                <w:rFonts w:eastAsiaTheme="minorHAnsi" w:cs="Arial"/>
                <w:color w:val="1C3158"/>
                <w:sz w:val="18"/>
                <w:szCs w:val="22"/>
                <w:lang w:eastAsia="ja-JP"/>
              </w:rPr>
              <w:t>Transport costs (petrol, fares)</w:t>
            </w:r>
          </w:p>
        </w:tc>
        <w:tc>
          <w:tcPr>
            <w:tcW w:w="3969" w:type="dxa"/>
            <w:shd w:val="clear" w:color="auto" w:fill="auto"/>
          </w:tcPr>
          <w:p w14:paraId="1BB5B3B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Loss of capacity to meet essential needs (e.g. food)</w:t>
            </w:r>
          </w:p>
          <w:p w14:paraId="24BBA1F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Loss of normal accommodation – homelessness or requiring temporary accommodation </w:t>
            </w:r>
          </w:p>
          <w:p w14:paraId="4D411C3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major assets (e.g. car, home, business)</w:t>
            </w:r>
          </w:p>
          <w:p w14:paraId="55E4D04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Bankruptcy</w:t>
            </w:r>
          </w:p>
          <w:p w14:paraId="46184E7A" w14:textId="77777777" w:rsidR="00044A20" w:rsidRPr="00F16E95" w:rsidRDefault="00044A20" w:rsidP="00044A20">
            <w:pPr>
              <w:tabs>
                <w:tab w:val="clear" w:pos="426"/>
              </w:tabs>
              <w:spacing w:before="0" w:after="0" w:line="240" w:lineRule="auto"/>
              <w:ind w:left="0" w:right="0"/>
              <w:contextualSpacing/>
              <w:rPr>
                <w:rFonts w:eastAsiaTheme="minorHAnsi" w:cs="Arial"/>
                <w:color w:val="1C3158"/>
                <w:sz w:val="18"/>
                <w:szCs w:val="22"/>
                <w:lang w:eastAsia="ja-JP"/>
              </w:rPr>
            </w:pPr>
          </w:p>
        </w:tc>
        <w:tc>
          <w:tcPr>
            <w:tcW w:w="4111" w:type="dxa"/>
            <w:shd w:val="clear" w:color="auto" w:fill="auto"/>
          </w:tcPr>
          <w:p w14:paraId="2D8767C0"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Reliant on welfare</w:t>
            </w:r>
          </w:p>
          <w:p w14:paraId="3EA40AE4"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Resultant restrictions due to bankruptcy or credit rating</w:t>
            </w:r>
          </w:p>
          <w:p w14:paraId="36429403"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financial hardship</w:t>
            </w:r>
          </w:p>
          <w:p w14:paraId="3334FFFF"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 “Forced” cohabitation or involvement in unhealthy relationship due to financial constraint</w:t>
            </w:r>
          </w:p>
          <w:p w14:paraId="134DA95D"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Further financial harm from attempts to manage debt (e.g. non-reputable finance providers for debt consolidation)</w:t>
            </w:r>
          </w:p>
          <w:p w14:paraId="25671274"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issues relating to financial security, poverty or financial disadvantage.</w:t>
            </w:r>
          </w:p>
          <w:p w14:paraId="7E3BB26B"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Higher costs associated with poor credit rating including premium cost of pay-as-you-go services or increased security bonds.</w:t>
            </w:r>
          </w:p>
          <w:p w14:paraId="5338C19C" w14:textId="77777777" w:rsidR="00044A20" w:rsidRPr="00F16E95" w:rsidRDefault="00044A20" w:rsidP="00044A20">
            <w:pPr>
              <w:tabs>
                <w:tab w:val="clear" w:pos="426"/>
              </w:tabs>
              <w:spacing w:before="0" w:after="0" w:line="240" w:lineRule="auto"/>
              <w:ind w:left="0" w:right="0"/>
              <w:jc w:val="center"/>
              <w:rPr>
                <w:rFonts w:eastAsiaTheme="minorHAnsi" w:cs="Arial"/>
                <w:color w:val="1C3158"/>
                <w:sz w:val="18"/>
                <w:szCs w:val="22"/>
                <w:lang w:eastAsia="ja-JP"/>
              </w:rPr>
            </w:pPr>
          </w:p>
        </w:tc>
      </w:tr>
      <w:tr w:rsidR="00F16E95" w:rsidRPr="00F16E95" w14:paraId="4BFCA2CC" w14:textId="77777777" w:rsidTr="00F16E95">
        <w:trPr>
          <w:trHeight w:val="315"/>
        </w:trPr>
        <w:tc>
          <w:tcPr>
            <w:tcW w:w="1843" w:type="dxa"/>
            <w:shd w:val="clear" w:color="auto" w:fill="auto"/>
          </w:tcPr>
          <w:p w14:paraId="151A4C74"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Relationship disruption, conflict or breakdown</w:t>
            </w:r>
          </w:p>
        </w:tc>
        <w:tc>
          <w:tcPr>
            <w:tcW w:w="3969" w:type="dxa"/>
            <w:shd w:val="clear" w:color="auto" w:fill="auto"/>
          </w:tcPr>
          <w:p w14:paraId="2CF3C43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Dishonest communication within relationship from person who gambles to affected other</w:t>
            </w:r>
          </w:p>
          <w:p w14:paraId="1EBAAC0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Person who gambles is unreliable or unavailable to affected other</w:t>
            </w:r>
          </w:p>
          <w:p w14:paraId="7A653CC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amount of time spent with person who gambles</w:t>
            </w:r>
          </w:p>
          <w:p w14:paraId="18DAD5F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quality of time spent with person who gambles</w:t>
            </w:r>
          </w:p>
          <w:p w14:paraId="1E4F863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Feelings of unequal contribution to relationship from person who gambles</w:t>
            </w:r>
          </w:p>
          <w:p w14:paraId="6BDC3D1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Disengagement or withdrawal from relationship responsibilities by person who gambles</w:t>
            </w:r>
          </w:p>
          <w:p w14:paraId="7B1FE6F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levels of neglect of relationship by person who gambles</w:t>
            </w:r>
          </w:p>
          <w:p w14:paraId="11ED066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engagement in family or social events with person who gambles</w:t>
            </w:r>
          </w:p>
          <w:p w14:paraId="4D1A469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Tension in relationship with person who gambles</w:t>
            </w:r>
          </w:p>
          <w:p w14:paraId="04133E7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Tension in or disruption of other relationships due to emotional and/or material demands of trying to manage relationship with person who gambles</w:t>
            </w:r>
          </w:p>
          <w:p w14:paraId="7151124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Minor or occasional conflict due to increased involvement in gambling or suspicion of increased involvement with gambling by person who gambles</w:t>
            </w:r>
          </w:p>
          <w:p w14:paraId="4E36477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Serious or regular conflict due to increased involvement in gambling or suspicion of </w:t>
            </w:r>
            <w:r w:rsidRPr="00F16E95">
              <w:rPr>
                <w:rFonts w:eastAsiaTheme="minorHAnsi" w:cs="Arial"/>
                <w:color w:val="1C3158"/>
                <w:sz w:val="18"/>
                <w:szCs w:val="22"/>
                <w:lang w:eastAsia="ja-JP"/>
              </w:rPr>
              <w:lastRenderedPageBreak/>
              <w:t>increased involvement with gambling by person who gambles</w:t>
            </w:r>
          </w:p>
          <w:p w14:paraId="135F8F6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Major or constant conflict due to increased involvement in gambling or suspicion of increased involvement with gambling by person who gambles</w:t>
            </w:r>
          </w:p>
          <w:p w14:paraId="540CEB4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trust in the relationship with the person who gambles</w:t>
            </w:r>
          </w:p>
          <w:p w14:paraId="0EAA2D7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Episodic distortion of relationship roles (e.g.</w:t>
            </w:r>
            <w:r w:rsidRPr="00F16E95">
              <w:rPr>
                <w:rFonts w:eastAsiaTheme="minorEastAsia" w:cs="Arial"/>
                <w:color w:val="1C3158"/>
                <w:sz w:val="22"/>
                <w:szCs w:val="22"/>
                <w:lang w:eastAsia="ja-JP"/>
              </w:rPr>
              <w:t> </w:t>
            </w:r>
            <w:r w:rsidRPr="00F16E95">
              <w:rPr>
                <w:rFonts w:eastAsiaTheme="minorHAnsi" w:cs="Arial"/>
                <w:color w:val="1C3158"/>
                <w:sz w:val="18"/>
                <w:szCs w:val="22"/>
                <w:lang w:eastAsia="ja-JP"/>
              </w:rPr>
              <w:t>infantilising the person gambling, others including children having to take parental type role)</w:t>
            </w:r>
          </w:p>
          <w:p w14:paraId="319E72E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Significant disruption to other relationships due to emotional and/or material demands of trying to manage relationship with person who gambles</w:t>
            </w:r>
          </w:p>
          <w:p w14:paraId="26AA4DB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Episodic distortion of relationship between affected others (e.g. spouse of person who gambles using their children as confidants)</w:t>
            </w:r>
          </w:p>
          <w:p w14:paraId="6E73A0B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color w:val="1C3158"/>
                <w:sz w:val="18"/>
                <w:szCs w:val="22"/>
                <w:lang w:eastAsia="ja-JP"/>
              </w:rPr>
            </w:pPr>
            <w:r w:rsidRPr="00F16E95">
              <w:rPr>
                <w:rFonts w:eastAsiaTheme="minorHAnsi" w:cs="Arial"/>
                <w:color w:val="1C3158"/>
                <w:sz w:val="18"/>
                <w:szCs w:val="22"/>
                <w:lang w:eastAsia="ja-JP"/>
              </w:rPr>
              <w:t>Incidence or escalation of family violence or intimate partner violence</w:t>
            </w:r>
          </w:p>
        </w:tc>
        <w:tc>
          <w:tcPr>
            <w:tcW w:w="3969" w:type="dxa"/>
            <w:shd w:val="clear" w:color="auto" w:fill="auto"/>
          </w:tcPr>
          <w:p w14:paraId="64E8B03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Contemplation of separation or rejection from relationship with person who gambles</w:t>
            </w:r>
          </w:p>
          <w:p w14:paraId="4DBE23C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Actual separation or rejection from relationship with person who gambles and potentially with other related individuals</w:t>
            </w:r>
          </w:p>
          <w:p w14:paraId="12702AD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other relationships due to emotional and/or material demands of trying to manage, or remaining in, relationship with person who gambles</w:t>
            </w:r>
          </w:p>
          <w:p w14:paraId="7427685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Social isolation due to feelings of shame or being stigmatised</w:t>
            </w:r>
          </w:p>
          <w:p w14:paraId="26DBD33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Loss of relationship with person who gambles </w:t>
            </w:r>
          </w:p>
          <w:p w14:paraId="5A41A7C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Distortion of relationship roles (e.g. infantilising the person gambling, others including children having to take parental type role)</w:t>
            </w:r>
          </w:p>
          <w:p w14:paraId="23CEB19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Incidence or escalation of family violence or intimate partner violence</w:t>
            </w:r>
          </w:p>
          <w:p w14:paraId="4B7F08ED" w14:textId="77777777" w:rsidR="00044A20" w:rsidRPr="00F16E95" w:rsidRDefault="00044A20" w:rsidP="00044A20">
            <w:pPr>
              <w:tabs>
                <w:tab w:val="clear" w:pos="426"/>
              </w:tabs>
              <w:spacing w:before="0" w:after="0" w:line="240" w:lineRule="auto"/>
              <w:ind w:left="318" w:right="0" w:hanging="318"/>
              <w:jc w:val="center"/>
              <w:rPr>
                <w:rFonts w:eastAsiaTheme="minorHAnsi" w:cs="Arial"/>
                <w:color w:val="1C3158"/>
                <w:sz w:val="18"/>
                <w:szCs w:val="22"/>
                <w:lang w:eastAsia="ja-JP"/>
              </w:rPr>
            </w:pPr>
          </w:p>
        </w:tc>
        <w:tc>
          <w:tcPr>
            <w:tcW w:w="4111" w:type="dxa"/>
            <w:shd w:val="clear" w:color="auto" w:fill="auto"/>
          </w:tcPr>
          <w:p w14:paraId="63865299"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Feelings of guilt over ending relationship with person who gambles and potential impact of this</w:t>
            </w:r>
          </w:p>
          <w:p w14:paraId="331BA401"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Social isolation due to ongoing estrangement from other relationships </w:t>
            </w:r>
          </w:p>
          <w:p w14:paraId="466F8DD5"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Vulnerability to continuing in ongoing unhealthy relationship with person who gambles (episodic reconciliations) for reasons of guilt or inadequacy</w:t>
            </w:r>
          </w:p>
          <w:p w14:paraId="40A10B8E"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Inability or reluctance to participate in social functions at gambling venues to protect person who gambles</w:t>
            </w:r>
          </w:p>
          <w:p w14:paraId="7D4524FE"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resentment and shame within relationship with person who gambles</w:t>
            </w:r>
          </w:p>
          <w:p w14:paraId="60A91F61"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Relationship rebuilding or reconciliation</w:t>
            </w:r>
          </w:p>
          <w:p w14:paraId="5325B6DC"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involvement of family court in parenting or co-parenting</w:t>
            </w:r>
          </w:p>
          <w:p w14:paraId="68E501F7"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Long-term damage or estrangement from person who gambles and potentially with related others</w:t>
            </w:r>
          </w:p>
          <w:p w14:paraId="34895E16" w14:textId="77777777" w:rsidR="00044A20" w:rsidRPr="00F16E95" w:rsidRDefault="00044A20" w:rsidP="00044A20">
            <w:pPr>
              <w:numPr>
                <w:ilvl w:val="0"/>
                <w:numId w:val="15"/>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distortion of relationship roles (e.g. infantilising the person gambling, others including children having to take parental type role or confidant role)</w:t>
            </w:r>
          </w:p>
          <w:p w14:paraId="14EB476A" w14:textId="77777777" w:rsidR="00044A20" w:rsidRPr="00F16E95" w:rsidRDefault="00044A20" w:rsidP="00044A20">
            <w:pPr>
              <w:numPr>
                <w:ilvl w:val="0"/>
                <w:numId w:val="15"/>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Inability to form trusting relationships with others or hypervigilance within relationships</w:t>
            </w:r>
          </w:p>
          <w:p w14:paraId="211F63AF" w14:textId="77777777" w:rsidR="00044A20" w:rsidRPr="00F16E95" w:rsidRDefault="00044A20" w:rsidP="00044A20">
            <w:pPr>
              <w:numPr>
                <w:ilvl w:val="0"/>
                <w:numId w:val="15"/>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Incidence or escalation of family violence or intimate partner violence</w:t>
            </w:r>
          </w:p>
          <w:p w14:paraId="4C3FF090" w14:textId="77777777" w:rsidR="00044A20" w:rsidRPr="00F16E95" w:rsidRDefault="00044A20" w:rsidP="00044A20">
            <w:pPr>
              <w:tabs>
                <w:tab w:val="clear" w:pos="426"/>
              </w:tabs>
              <w:spacing w:before="0" w:after="0" w:line="240" w:lineRule="auto"/>
              <w:ind w:left="318" w:right="0" w:hanging="318"/>
              <w:jc w:val="center"/>
              <w:rPr>
                <w:rFonts w:eastAsiaTheme="minorHAnsi" w:cs="Arial"/>
                <w:color w:val="1C3158"/>
                <w:sz w:val="18"/>
                <w:szCs w:val="22"/>
                <w:lang w:eastAsia="ja-JP"/>
              </w:rPr>
            </w:pPr>
          </w:p>
        </w:tc>
      </w:tr>
      <w:tr w:rsidR="00F16E95" w:rsidRPr="00F16E95" w14:paraId="60BB2231" w14:textId="77777777" w:rsidTr="00F16E95">
        <w:trPr>
          <w:trHeight w:val="315"/>
        </w:trPr>
        <w:tc>
          <w:tcPr>
            <w:tcW w:w="1843" w:type="dxa"/>
            <w:shd w:val="clear" w:color="auto" w:fill="auto"/>
          </w:tcPr>
          <w:p w14:paraId="35FE47D3"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Emotional or psychological distress</w:t>
            </w:r>
          </w:p>
        </w:tc>
        <w:tc>
          <w:tcPr>
            <w:tcW w:w="3969" w:type="dxa"/>
            <w:shd w:val="clear" w:color="auto" w:fill="auto"/>
          </w:tcPr>
          <w:p w14:paraId="771629B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Feelings of frustration over behaviour of person who gambles</w:t>
            </w:r>
          </w:p>
          <w:p w14:paraId="284B36E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Anxiety when person who gambles does not respond to normal communication methods</w:t>
            </w:r>
          </w:p>
          <w:p w14:paraId="6887469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and psychological distress caused by conflicts with personal value systems</w:t>
            </w:r>
          </w:p>
          <w:p w14:paraId="28AAF70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caused by feelings of suspicion or being lied to</w:t>
            </w:r>
          </w:p>
          <w:p w14:paraId="41D4876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feelings of self-worth</w:t>
            </w:r>
          </w:p>
          <w:p w14:paraId="115BB13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Feelings of shame or guilt</w:t>
            </w:r>
          </w:p>
          <w:p w14:paraId="05AB792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feelings of safety and security in life</w:t>
            </w:r>
          </w:p>
          <w:p w14:paraId="1E53C10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Increased feelings of inadequacy or personal failure because of inability to help person who gambles</w:t>
            </w:r>
          </w:p>
          <w:p w14:paraId="0E203C8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from being manipulated or threatened (e.g. threats to the affected other or threats of self-harm by person who gambles)</w:t>
            </w:r>
          </w:p>
          <w:p w14:paraId="05BEAF8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Perceptions of being stigmatised</w:t>
            </w:r>
          </w:p>
          <w:p w14:paraId="7F5FC4F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Anxiety when person who gambles disappears for extended periods of time (days) without contact </w:t>
            </w:r>
          </w:p>
          <w:p w14:paraId="1815626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from being blamed for other person’s gambling</w:t>
            </w:r>
          </w:p>
          <w:p w14:paraId="076BBA8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Emotional or psychological distress (including among children) from witnessing family members arguing over gambling behaviours </w:t>
            </w:r>
          </w:p>
          <w:p w14:paraId="4AE02CC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feelings of insecurity and vulnerability</w:t>
            </w:r>
          </w:p>
          <w:p w14:paraId="1522B6A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caused by other resultant harms</w:t>
            </w:r>
          </w:p>
          <w:p w14:paraId="6FC698E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“face” or reputation due to effect of other resultant harms</w:t>
            </w:r>
          </w:p>
          <w:p w14:paraId="30E5E85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Reduced sense of hope for the future or ability to get ahead </w:t>
            </w:r>
          </w:p>
          <w:p w14:paraId="7F0FDBA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Increasing feelings of powerlessness</w:t>
            </w:r>
          </w:p>
          <w:p w14:paraId="1E6B55E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Guilt over harms to other affected others</w:t>
            </w:r>
          </w:p>
          <w:p w14:paraId="16CBB26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feelings of anger and frustration</w:t>
            </w:r>
          </w:p>
          <w:p w14:paraId="1F86C17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Fear and distress from creditors’ (legal and illegal) follow up and harassment </w:t>
            </w:r>
          </w:p>
          <w:p w14:paraId="0FB92C6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Feelings of guilt if affected other was the person who introduced the person who gambles to gambling</w:t>
            </w:r>
          </w:p>
          <w:p w14:paraId="4DEA39E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risk to emotional or psychological wellbeing of affected other in the care of the person who gambles due to their distraction or tiredness</w:t>
            </w:r>
          </w:p>
        </w:tc>
        <w:tc>
          <w:tcPr>
            <w:tcW w:w="3969" w:type="dxa"/>
            <w:shd w:val="clear" w:color="auto" w:fill="auto"/>
          </w:tcPr>
          <w:p w14:paraId="2DBC006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Extreme emotional or psychological distress in relation to other harms</w:t>
            </w:r>
          </w:p>
          <w:p w14:paraId="20682CB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Extreme emotional or psychological distress due to harm caused to other affected others</w:t>
            </w:r>
          </w:p>
          <w:p w14:paraId="57880BE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Extreme emotional or psychological distress caused by living with constant feelings of insecurity and vulnerability</w:t>
            </w:r>
          </w:p>
          <w:p w14:paraId="193E335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Complete loss of feelings of self-worth and pride</w:t>
            </w:r>
          </w:p>
          <w:p w14:paraId="0244DCA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Extreme shame</w:t>
            </w:r>
          </w:p>
          <w:p w14:paraId="26D123F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Extreme sense of hopelessness and powerlessness</w:t>
            </w:r>
          </w:p>
          <w:p w14:paraId="405EABC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from dealing with person who gambles’ problems including their distress, self-harm, or suicidal ideation or completion</w:t>
            </w:r>
          </w:p>
          <w:p w14:paraId="0AEFEBD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Loss of “face” or reputation (stigma) if the gambling problem becomes publicly known</w:t>
            </w:r>
          </w:p>
          <w:p w14:paraId="3137AA6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or psychological distress from supporting and/or assisting person who gambles to seek treatment</w:t>
            </w:r>
          </w:p>
          <w:p w14:paraId="3F91826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Extreme fear and distress from creditors’ (legal and illegal) follow up and harassment </w:t>
            </w:r>
          </w:p>
          <w:p w14:paraId="4C44270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Grief and/or resentment due to loss of security, lifestyle or relationship</w:t>
            </w:r>
          </w:p>
          <w:p w14:paraId="6D99CBD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Feelings of rejection that gambling is chosen over the affected other</w:t>
            </w:r>
          </w:p>
        </w:tc>
        <w:tc>
          <w:tcPr>
            <w:tcW w:w="4111" w:type="dxa"/>
            <w:shd w:val="clear" w:color="auto" w:fill="auto"/>
          </w:tcPr>
          <w:p w14:paraId="402E264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Experienced and perceived stigma</w:t>
            </w:r>
          </w:p>
          <w:p w14:paraId="457FB26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guilt and shame</w:t>
            </w:r>
          </w:p>
          <w:p w14:paraId="4EED261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Emotional and psychological consequences resulting from the process of recovery (e.g. constant vigilance and behavioural adaptation)</w:t>
            </w:r>
          </w:p>
          <w:p w14:paraId="7ADB0B0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feelings of insecurity and vulnerability</w:t>
            </w:r>
          </w:p>
          <w:p w14:paraId="40441BF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emotional and psychological distress in relation to other resultant harms</w:t>
            </w:r>
          </w:p>
          <w:p w14:paraId="0FF17A3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emotional or psychological distress due to harm caused to other affected others</w:t>
            </w:r>
          </w:p>
          <w:p w14:paraId="3DEA859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emotional or psychological distress from vigilance to mental health status of person who gambles including distress, self-harm, or suicidal ideation or completion</w:t>
            </w:r>
          </w:p>
          <w:p w14:paraId="6914DEF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Ongoing feelings of grief, resentment and anger</w:t>
            </w:r>
          </w:p>
        </w:tc>
      </w:tr>
      <w:tr w:rsidR="00F16E95" w:rsidRPr="00F16E95" w14:paraId="6DCF03B7" w14:textId="77777777" w:rsidTr="00F16E95">
        <w:trPr>
          <w:trHeight w:val="315"/>
        </w:trPr>
        <w:tc>
          <w:tcPr>
            <w:tcW w:w="1843" w:type="dxa"/>
            <w:shd w:val="clear" w:color="auto" w:fill="auto"/>
          </w:tcPr>
          <w:p w14:paraId="061B97EF"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lastRenderedPageBreak/>
              <w:t>Decrements to health</w:t>
            </w:r>
          </w:p>
        </w:tc>
        <w:tc>
          <w:tcPr>
            <w:tcW w:w="3969" w:type="dxa"/>
            <w:shd w:val="clear" w:color="auto" w:fill="auto"/>
          </w:tcPr>
          <w:p w14:paraId="6BA04F0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Physical impacts of other harms</w:t>
            </w:r>
          </w:p>
          <w:p w14:paraId="00051AB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Biological manifestation of emotional and psychological distress (e.g. feeling tired, increased blood pressure, loss of sleep, migraine, nausea, diarrhoea) </w:t>
            </w:r>
          </w:p>
          <w:p w14:paraId="5EDE772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levels of self-care:</w:t>
            </w:r>
          </w:p>
          <w:p w14:paraId="178D23FB"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nutrition</w:t>
            </w:r>
          </w:p>
          <w:p w14:paraId="1CAA003E"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hygiene</w:t>
            </w:r>
          </w:p>
          <w:p w14:paraId="40D81CDF"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sufficient sleep</w:t>
            </w:r>
          </w:p>
          <w:p w14:paraId="3DD86264"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compliance with medical care</w:t>
            </w:r>
          </w:p>
          <w:p w14:paraId="314365D4"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physical activity</w:t>
            </w:r>
          </w:p>
          <w:p w14:paraId="01A64525" w14:textId="77777777" w:rsidR="00044A20" w:rsidRPr="00F16E95" w:rsidRDefault="00044A20" w:rsidP="00044A20">
            <w:pPr>
              <w:numPr>
                <w:ilvl w:val="1"/>
                <w:numId w:val="15"/>
              </w:numPr>
              <w:tabs>
                <w:tab w:val="clear" w:pos="426"/>
              </w:tabs>
              <w:spacing w:before="0" w:after="0" w:line="240" w:lineRule="auto"/>
              <w:ind w:left="743" w:right="0" w:hanging="425"/>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quality of living circumstances (e.g. cannot afford heating)</w:t>
            </w:r>
          </w:p>
          <w:p w14:paraId="62B748B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Incidence of disease or injury due to reduced levels of self-care</w:t>
            </w:r>
          </w:p>
          <w:p w14:paraId="2C6DC87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risk due to gateway effect, interaction with, or exacerbation of other health risk factors (e.g. alcohol use, tobacco use, illegal substance use)</w:t>
            </w:r>
          </w:p>
          <w:p w14:paraId="0AB0215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risk due to gateway effect, interaction with, or exacerbation of health comorbidities (e.g. depression, anxiety, biophysical chronic disease)</w:t>
            </w:r>
          </w:p>
          <w:p w14:paraId="21FC1BF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experience of family violence due to involvement with person who gambles</w:t>
            </w:r>
          </w:p>
          <w:p w14:paraId="5FC8A06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Incidence of self-harm</w:t>
            </w:r>
          </w:p>
          <w:p w14:paraId="2EBE5D9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color w:val="1C3158"/>
                <w:sz w:val="18"/>
                <w:szCs w:val="22"/>
                <w:lang w:eastAsia="ja-JP"/>
              </w:rPr>
            </w:pPr>
            <w:r w:rsidRPr="00F16E95">
              <w:rPr>
                <w:rFonts w:eastAsiaTheme="minorHAnsi" w:cs="Arial"/>
                <w:color w:val="1C3158"/>
                <w:sz w:val="18"/>
                <w:szCs w:val="22"/>
                <w:lang w:eastAsia="ja-JP"/>
              </w:rPr>
              <w:t>Increased risk to physical wellbeing of affected other in the care of the person who gambles due to their distraction or tiredness</w:t>
            </w:r>
          </w:p>
        </w:tc>
        <w:tc>
          <w:tcPr>
            <w:tcW w:w="3969" w:type="dxa"/>
            <w:shd w:val="clear" w:color="auto" w:fill="auto"/>
          </w:tcPr>
          <w:p w14:paraId="58186ED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Onset of health condition due to exacerbation of risk factors or continued stress from other harms</w:t>
            </w:r>
          </w:p>
          <w:p w14:paraId="3C6064C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Physical effects of living rough due to homelessness, and consequences of poor living conditions including increased risk of disease, and violence </w:t>
            </w:r>
          </w:p>
          <w:p w14:paraId="5905FA4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Experience of violence due to involvement with person who gambles</w:t>
            </w:r>
          </w:p>
          <w:p w14:paraId="555E8E0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Medical emergency (including mortality) due to onset or exacerbation of, or failure to diagnose a health condition due to consequences of the behaviour of the person who gambles </w:t>
            </w:r>
          </w:p>
          <w:p w14:paraId="277B19B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Serious self-harm</w:t>
            </w:r>
          </w:p>
          <w:p w14:paraId="3895D79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Attempted (or completed) suicide</w:t>
            </w:r>
          </w:p>
          <w:p w14:paraId="677CCDD0" w14:textId="77777777" w:rsidR="00044A20" w:rsidRPr="00F16E95" w:rsidRDefault="00044A20" w:rsidP="00044A20">
            <w:pPr>
              <w:tabs>
                <w:tab w:val="clear" w:pos="426"/>
              </w:tabs>
              <w:spacing w:before="0" w:after="0" w:line="240" w:lineRule="auto"/>
              <w:ind w:left="318" w:right="0" w:hanging="318"/>
              <w:jc w:val="center"/>
              <w:rPr>
                <w:rFonts w:eastAsiaTheme="minorHAnsi" w:cs="Arial"/>
                <w:color w:val="1C3158"/>
                <w:sz w:val="18"/>
                <w:szCs w:val="22"/>
                <w:lang w:eastAsia="ja-JP"/>
              </w:rPr>
            </w:pPr>
          </w:p>
        </w:tc>
        <w:tc>
          <w:tcPr>
            <w:tcW w:w="4111" w:type="dxa"/>
            <w:shd w:val="clear" w:color="auto" w:fill="auto"/>
          </w:tcPr>
          <w:p w14:paraId="39F09E79"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disability or decrement to health through attempted suicide or other forms of self-harm</w:t>
            </w:r>
          </w:p>
          <w:p w14:paraId="5EFC4FBD"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increased risk of disease or decrement to health due to legacy effects of risk factors or poor self-care</w:t>
            </w:r>
          </w:p>
          <w:p w14:paraId="108BDFF4" w14:textId="77777777" w:rsidR="00044A20" w:rsidRPr="00F16E95" w:rsidRDefault="00044A20" w:rsidP="00044A20">
            <w:pPr>
              <w:numPr>
                <w:ilvl w:val="0"/>
                <w:numId w:val="17"/>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disability or decrement to health due to other medical conditions exacerbated or advanced due to involvement with person who gambles</w:t>
            </w:r>
          </w:p>
          <w:p w14:paraId="611B4265" w14:textId="77777777" w:rsidR="00044A20" w:rsidRPr="00F16E95" w:rsidRDefault="00044A20" w:rsidP="00044A20">
            <w:pPr>
              <w:tabs>
                <w:tab w:val="clear" w:pos="426"/>
              </w:tabs>
              <w:spacing w:before="0" w:after="0" w:line="240" w:lineRule="auto"/>
              <w:ind w:left="318" w:right="0" w:hanging="318"/>
              <w:jc w:val="center"/>
              <w:rPr>
                <w:rFonts w:eastAsiaTheme="minorHAnsi" w:cs="Arial"/>
                <w:color w:val="1C3158"/>
                <w:sz w:val="18"/>
                <w:szCs w:val="22"/>
                <w:lang w:eastAsia="ja-JP"/>
              </w:rPr>
            </w:pPr>
          </w:p>
        </w:tc>
      </w:tr>
      <w:tr w:rsidR="00F16E95" w:rsidRPr="00F16E95" w14:paraId="04150B11" w14:textId="77777777" w:rsidTr="00F16E95">
        <w:trPr>
          <w:trHeight w:val="315"/>
        </w:trPr>
        <w:tc>
          <w:tcPr>
            <w:tcW w:w="1843" w:type="dxa"/>
            <w:shd w:val="clear" w:color="auto" w:fill="auto"/>
          </w:tcPr>
          <w:p w14:paraId="39CE7A51"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Cultural harm</w:t>
            </w:r>
          </w:p>
        </w:tc>
        <w:tc>
          <w:tcPr>
            <w:tcW w:w="3969" w:type="dxa"/>
            <w:shd w:val="clear" w:color="auto" w:fill="auto"/>
          </w:tcPr>
          <w:p w14:paraId="4137529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engagement in cultural rituals</w:t>
            </w:r>
          </w:p>
          <w:p w14:paraId="02672FB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Culturally-based shame in relation to roles and expectations</w:t>
            </w:r>
          </w:p>
          <w:p w14:paraId="4B9D307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contribution to community and participation in cultural practices of the community</w:t>
            </w:r>
          </w:p>
          <w:p w14:paraId="6858B0D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Reduced connection to community</w:t>
            </w:r>
          </w:p>
          <w:p w14:paraId="2D857C7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Harm to individual through reduced connection to community and culture in terms of increased social exclusion or isolation</w:t>
            </w:r>
          </w:p>
        </w:tc>
        <w:tc>
          <w:tcPr>
            <w:tcW w:w="3969" w:type="dxa"/>
            <w:shd w:val="clear" w:color="auto" w:fill="auto"/>
          </w:tcPr>
          <w:p w14:paraId="75043F2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Extreme cultural shame in relation to culturally-based roles and expectations</w:t>
            </w:r>
          </w:p>
          <w:p w14:paraId="3EF7091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Loss of ability to contribute to community </w:t>
            </w:r>
          </w:p>
          <w:p w14:paraId="262590D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Impact on or loss of cultural practices</w:t>
            </w:r>
          </w:p>
          <w:p w14:paraId="0A32C39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Damaged or lost connection to community and culture</w:t>
            </w:r>
          </w:p>
          <w:p w14:paraId="5885CA1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Damage to individual through reduced or lost connection to community</w:t>
            </w:r>
          </w:p>
        </w:tc>
        <w:tc>
          <w:tcPr>
            <w:tcW w:w="4111" w:type="dxa"/>
            <w:shd w:val="clear" w:color="auto" w:fill="auto"/>
          </w:tcPr>
          <w:p w14:paraId="1FA6156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Ongoing (including intergenerational) cultural shame in relation to roles and expectations</w:t>
            </w:r>
          </w:p>
          <w:p w14:paraId="41906D8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Ongoing reduction or loss of contribution to community </w:t>
            </w:r>
          </w:p>
          <w:p w14:paraId="5CC6D51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Ongoing reduction or loss of cultural practices</w:t>
            </w:r>
          </w:p>
          <w:p w14:paraId="52E8E52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loss of connection to community</w:t>
            </w:r>
          </w:p>
          <w:p w14:paraId="4BAB422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color w:val="1C3158"/>
                <w:sz w:val="18"/>
                <w:szCs w:val="22"/>
                <w:lang w:eastAsia="ja-JP"/>
              </w:rPr>
            </w:pPr>
            <w:r w:rsidRPr="00F16E95">
              <w:rPr>
                <w:rFonts w:eastAsiaTheme="minorHAnsi" w:cs="Arial"/>
                <w:color w:val="1C3158"/>
                <w:sz w:val="18"/>
                <w:szCs w:val="22"/>
                <w:lang w:eastAsia="ja-JP"/>
              </w:rPr>
              <w:t>Ongoing (intergenerational) damage to individual through reduced connection to community</w:t>
            </w:r>
          </w:p>
        </w:tc>
      </w:tr>
      <w:tr w:rsidR="00F16E95" w:rsidRPr="00F16E95" w14:paraId="69E1FFB5" w14:textId="77777777" w:rsidTr="00F16E95">
        <w:trPr>
          <w:trHeight w:val="315"/>
        </w:trPr>
        <w:tc>
          <w:tcPr>
            <w:tcW w:w="1843" w:type="dxa"/>
            <w:shd w:val="clear" w:color="auto" w:fill="auto"/>
          </w:tcPr>
          <w:p w14:paraId="36563031" w14:textId="77777777" w:rsidR="00044A20" w:rsidRPr="00F16E95" w:rsidRDefault="00044A20" w:rsidP="00044A20">
            <w:pPr>
              <w:tabs>
                <w:tab w:val="clear" w:pos="426"/>
              </w:tabs>
              <w:spacing w:before="0" w:after="0" w:line="240" w:lineRule="auto"/>
              <w:ind w:left="0" w:right="0"/>
              <w:rPr>
                <w:rFonts w:eastAsiaTheme="minorEastAsia" w:cs="Arial"/>
                <w:b/>
                <w:bCs/>
                <w:color w:val="1C3158"/>
                <w:sz w:val="18"/>
                <w:szCs w:val="22"/>
                <w:lang w:eastAsia="ja-JP"/>
              </w:rPr>
            </w:pPr>
            <w:r w:rsidRPr="00F16E95">
              <w:rPr>
                <w:rFonts w:eastAsiaTheme="minorEastAsia" w:cs="Arial"/>
                <w:color w:val="1C3158"/>
                <w:sz w:val="18"/>
                <w:szCs w:val="22"/>
                <w:lang w:eastAsia="ja-JP"/>
              </w:rPr>
              <w:lastRenderedPageBreak/>
              <w:t>Reduced performance at work or study</w:t>
            </w:r>
          </w:p>
        </w:tc>
        <w:tc>
          <w:tcPr>
            <w:tcW w:w="3969" w:type="dxa"/>
            <w:shd w:val="clear" w:color="auto" w:fill="auto"/>
          </w:tcPr>
          <w:p w14:paraId="2383974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performance due to tiredness or distraction</w:t>
            </w:r>
          </w:p>
          <w:p w14:paraId="0A50341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absenteeism due to time spent supporting or addressing problems of person who gambles</w:t>
            </w:r>
          </w:p>
          <w:p w14:paraId="41EB75B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availability to contribute to the community through volunteer work</w:t>
            </w:r>
          </w:p>
        </w:tc>
        <w:tc>
          <w:tcPr>
            <w:tcW w:w="3969" w:type="dxa"/>
            <w:shd w:val="clear" w:color="auto" w:fill="auto"/>
          </w:tcPr>
          <w:p w14:paraId="011047D3" w14:textId="77777777" w:rsidR="00044A20" w:rsidRPr="00F16E95" w:rsidRDefault="00044A20" w:rsidP="00044A20">
            <w:pPr>
              <w:numPr>
                <w:ilvl w:val="0"/>
                <w:numId w:val="16"/>
              </w:numPr>
              <w:tabs>
                <w:tab w:val="clear" w:pos="426"/>
              </w:tabs>
              <w:spacing w:before="0" w:after="0" w:line="240" w:lineRule="auto"/>
              <w:ind w:left="365" w:right="0" w:hanging="284"/>
              <w:contextualSpacing/>
              <w:rPr>
                <w:rFonts w:eastAsiaTheme="minorHAnsi" w:cs="Arial"/>
                <w:color w:val="1C3158"/>
                <w:sz w:val="18"/>
                <w:szCs w:val="22"/>
                <w:lang w:eastAsia="ja-JP"/>
              </w:rPr>
            </w:pPr>
            <w:r w:rsidRPr="00F16E95">
              <w:rPr>
                <w:rFonts w:eastAsiaTheme="minorHAnsi" w:cs="Arial"/>
                <w:color w:val="1C3158"/>
                <w:sz w:val="18"/>
                <w:szCs w:val="22"/>
                <w:lang w:eastAsia="ja-JP"/>
              </w:rPr>
              <w:t>Theft or fraud involving employment or educational institution</w:t>
            </w:r>
          </w:p>
          <w:p w14:paraId="68A028AA" w14:textId="77777777" w:rsidR="00044A20" w:rsidRPr="00F16E95" w:rsidRDefault="00044A20" w:rsidP="00044A20">
            <w:pPr>
              <w:numPr>
                <w:ilvl w:val="0"/>
                <w:numId w:val="16"/>
              </w:numPr>
              <w:tabs>
                <w:tab w:val="clear" w:pos="426"/>
              </w:tabs>
              <w:spacing w:before="0" w:after="0" w:line="240" w:lineRule="auto"/>
              <w:ind w:left="365" w:right="0" w:hanging="284"/>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job, or suspension or exclusion from educational institution</w:t>
            </w:r>
          </w:p>
          <w:p w14:paraId="6344F8BE" w14:textId="77777777" w:rsidR="00044A20" w:rsidRPr="00F16E95" w:rsidRDefault="00044A20" w:rsidP="00044A20">
            <w:pPr>
              <w:numPr>
                <w:ilvl w:val="0"/>
                <w:numId w:val="16"/>
              </w:numPr>
              <w:tabs>
                <w:tab w:val="clear" w:pos="426"/>
              </w:tabs>
              <w:spacing w:before="0" w:after="0" w:line="240" w:lineRule="auto"/>
              <w:ind w:left="365" w:right="0" w:hanging="284"/>
              <w:contextualSpacing/>
              <w:rPr>
                <w:rFonts w:eastAsiaTheme="minorHAnsi" w:cs="Arial"/>
                <w:color w:val="1C3158"/>
                <w:sz w:val="18"/>
                <w:szCs w:val="22"/>
                <w:lang w:eastAsia="ja-JP"/>
              </w:rPr>
            </w:pPr>
            <w:r w:rsidRPr="00F16E95">
              <w:rPr>
                <w:rFonts w:eastAsiaTheme="minorHAnsi" w:cs="Arial"/>
                <w:color w:val="1C3158"/>
                <w:sz w:val="18"/>
                <w:szCs w:val="22"/>
                <w:lang w:eastAsia="ja-JP"/>
              </w:rPr>
              <w:t>Exacerbation of, or contribution to, other harms due to job loss (including loss of wage)</w:t>
            </w:r>
          </w:p>
          <w:p w14:paraId="68078768" w14:textId="77777777" w:rsidR="00044A20" w:rsidRPr="00F16E95" w:rsidRDefault="00044A20" w:rsidP="00044A20">
            <w:pPr>
              <w:numPr>
                <w:ilvl w:val="0"/>
                <w:numId w:val="16"/>
              </w:numPr>
              <w:tabs>
                <w:tab w:val="clear" w:pos="426"/>
              </w:tabs>
              <w:spacing w:before="0" w:after="0" w:line="240" w:lineRule="auto"/>
              <w:ind w:left="365" w:right="0" w:hanging="284"/>
              <w:contextualSpacing/>
              <w:rPr>
                <w:rFonts w:eastAsiaTheme="minorHAnsi" w:cs="Arial"/>
                <w:color w:val="1C3158"/>
                <w:sz w:val="18"/>
                <w:szCs w:val="22"/>
                <w:lang w:eastAsia="ja-JP"/>
              </w:rPr>
            </w:pPr>
            <w:r w:rsidRPr="00F16E95">
              <w:rPr>
                <w:rFonts w:eastAsiaTheme="minorHAnsi" w:cs="Arial"/>
                <w:color w:val="1C3158"/>
                <w:sz w:val="18"/>
                <w:szCs w:val="22"/>
                <w:lang w:eastAsia="ja-JP"/>
              </w:rPr>
              <w:t>Consequence of loss of job or education on others</w:t>
            </w:r>
          </w:p>
        </w:tc>
        <w:tc>
          <w:tcPr>
            <w:tcW w:w="4111" w:type="dxa"/>
            <w:shd w:val="clear" w:color="auto" w:fill="auto"/>
          </w:tcPr>
          <w:p w14:paraId="03E2A0B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Reduced opportunity for employment or enrolment due to past poor performance or criminal activity</w:t>
            </w:r>
          </w:p>
          <w:p w14:paraId="283B35B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intergenerational consequences of loss of income and reduced future ability to participate in employment</w:t>
            </w:r>
          </w:p>
          <w:p w14:paraId="0289572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effect on participation in volunteer work (linked to reputation and restriction of activities)</w:t>
            </w:r>
          </w:p>
        </w:tc>
      </w:tr>
      <w:tr w:rsidR="00F16E95" w:rsidRPr="00F16E95" w14:paraId="3639DD56" w14:textId="77777777" w:rsidTr="00F16E95">
        <w:trPr>
          <w:trHeight w:val="315"/>
        </w:trPr>
        <w:tc>
          <w:tcPr>
            <w:tcW w:w="1843" w:type="dxa"/>
            <w:shd w:val="clear" w:color="auto" w:fill="auto"/>
          </w:tcPr>
          <w:p w14:paraId="1E1BC2F6" w14:textId="77777777" w:rsidR="00044A20" w:rsidRPr="00F16E95" w:rsidRDefault="00044A20" w:rsidP="00044A20">
            <w:pPr>
              <w:tabs>
                <w:tab w:val="clear" w:pos="426"/>
              </w:tabs>
              <w:spacing w:before="0" w:after="0" w:line="240" w:lineRule="auto"/>
              <w:ind w:left="0" w:right="0"/>
              <w:rPr>
                <w:rFonts w:eastAsiaTheme="minorEastAsia" w:cs="Arial"/>
                <w:b/>
                <w:bCs/>
                <w:color w:val="1C3158"/>
                <w:sz w:val="18"/>
                <w:szCs w:val="22"/>
                <w:lang w:eastAsia="ja-JP"/>
              </w:rPr>
            </w:pPr>
            <w:r w:rsidRPr="00F16E95">
              <w:rPr>
                <w:rFonts w:eastAsiaTheme="minorEastAsia" w:cs="Arial"/>
                <w:color w:val="1C3158"/>
                <w:sz w:val="18"/>
                <w:szCs w:val="22"/>
                <w:lang w:eastAsia="ja-JP"/>
              </w:rPr>
              <w:t>Criminal activity</w:t>
            </w:r>
          </w:p>
        </w:tc>
        <w:tc>
          <w:tcPr>
            <w:tcW w:w="3969" w:type="dxa"/>
            <w:shd w:val="clear" w:color="auto" w:fill="auto"/>
          </w:tcPr>
          <w:p w14:paraId="2A1319A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Victim of crime from person who gambles – petty theft of items or small amounts of cash</w:t>
            </w:r>
          </w:p>
          <w:p w14:paraId="39CCF88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Vulnerability to illegal activities that can provide fast access to funds </w:t>
            </w:r>
          </w:p>
          <w:p w14:paraId="07676ED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Engagement in crimes of opportunity - petty theft including from family members </w:t>
            </w:r>
          </w:p>
          <w:p w14:paraId="261339F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Engagement in crimes of opportunity - property crimes for funds, illicit lending, fraudulent efforts to obtain funds</w:t>
            </w:r>
          </w:p>
          <w:p w14:paraId="4AA3A41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Engagement in crimes of duress - relating to repaying debt (e.g. drug trafficking)</w:t>
            </w:r>
          </w:p>
        </w:tc>
        <w:tc>
          <w:tcPr>
            <w:tcW w:w="3969" w:type="dxa"/>
            <w:shd w:val="clear" w:color="auto" w:fill="auto"/>
          </w:tcPr>
          <w:p w14:paraId="02DB5E7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Victim of crime from person who gambles -fraud</w:t>
            </w:r>
          </w:p>
          <w:p w14:paraId="34C335E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Victim of crime from person who gambles - significant theft of money or items</w:t>
            </w:r>
          </w:p>
          <w:p w14:paraId="3FF877E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Victim of crime from involvement of person who gambles in illegal activities</w:t>
            </w:r>
          </w:p>
          <w:p w14:paraId="3A1CA93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Arrest and / or conviction of criminal activity of opportunity</w:t>
            </w:r>
          </w:p>
          <w:p w14:paraId="78957E9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Arrest and / or conviction of criminal activity of duress</w:t>
            </w:r>
          </w:p>
          <w:p w14:paraId="1A259915"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b/>
                <w:bCs/>
                <w:color w:val="1C3158"/>
                <w:sz w:val="18"/>
                <w:szCs w:val="22"/>
                <w:lang w:eastAsia="ja-JP"/>
              </w:rPr>
            </w:pPr>
            <w:r w:rsidRPr="00F16E95">
              <w:rPr>
                <w:rFonts w:eastAsiaTheme="minorHAnsi" w:cs="Arial"/>
                <w:color w:val="1C3158"/>
                <w:sz w:val="18"/>
                <w:szCs w:val="22"/>
                <w:lang w:eastAsia="ja-JP"/>
              </w:rPr>
              <w:t>Arrest and / or conviction of criminal activity of negligence</w:t>
            </w:r>
          </w:p>
        </w:tc>
        <w:tc>
          <w:tcPr>
            <w:tcW w:w="4111" w:type="dxa"/>
            <w:shd w:val="clear" w:color="auto" w:fill="auto"/>
          </w:tcPr>
          <w:p w14:paraId="2F6E7FC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Ongoing consequences from being victim of crime</w:t>
            </w:r>
          </w:p>
          <w:p w14:paraId="3D2934F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Effect of criminal record on future employment opportunities, voluntary and community opportunities, and travel restrictions</w:t>
            </w:r>
          </w:p>
          <w:p w14:paraId="70E18D4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Disruption of custodial sentence to relationships </w:t>
            </w:r>
          </w:p>
          <w:p w14:paraId="17F569F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Ongoing effects on spouse, partner, child, family, whānau and friends due to consequences of criminal record or custodial sentence through other mechanisms </w:t>
            </w:r>
          </w:p>
          <w:p w14:paraId="3CEF9AD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Intergenerational consequences of criminal record or custodial sentence</w:t>
            </w:r>
          </w:p>
          <w:p w14:paraId="4F1365E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Shame and stigma of criminal conviction or involvement in criminal activity</w:t>
            </w:r>
          </w:p>
        </w:tc>
      </w:tr>
      <w:tr w:rsidR="00F16E95" w:rsidRPr="00F16E95" w14:paraId="4973A00E" w14:textId="77777777" w:rsidTr="009A3B2A">
        <w:trPr>
          <w:trHeight w:val="281"/>
        </w:trPr>
        <w:tc>
          <w:tcPr>
            <w:tcW w:w="1843" w:type="dxa"/>
            <w:shd w:val="clear" w:color="auto" w:fill="FFBC64"/>
          </w:tcPr>
          <w:p w14:paraId="64ECF479" w14:textId="77777777" w:rsidR="00044A20" w:rsidRPr="00F16E95" w:rsidRDefault="00044A20" w:rsidP="00044A20">
            <w:pPr>
              <w:tabs>
                <w:tab w:val="clear" w:pos="426"/>
              </w:tabs>
              <w:spacing w:before="0" w:after="0" w:line="240" w:lineRule="auto"/>
              <w:ind w:left="0" w:right="0"/>
              <w:rPr>
                <w:rFonts w:eastAsiaTheme="minorEastAsia" w:cs="Arial"/>
                <w:b/>
                <w:bCs/>
                <w:color w:val="1C3158"/>
                <w:sz w:val="18"/>
                <w:szCs w:val="22"/>
                <w:lang w:eastAsia="ja-JP"/>
              </w:rPr>
            </w:pPr>
          </w:p>
        </w:tc>
        <w:tc>
          <w:tcPr>
            <w:tcW w:w="12049" w:type="dxa"/>
            <w:gridSpan w:val="3"/>
            <w:shd w:val="clear" w:color="auto" w:fill="FFBC64"/>
          </w:tcPr>
          <w:p w14:paraId="716BA3B1" w14:textId="77777777" w:rsidR="00044A20" w:rsidRPr="00F16E95" w:rsidRDefault="00044A20" w:rsidP="00044A20">
            <w:pPr>
              <w:tabs>
                <w:tab w:val="clear" w:pos="426"/>
              </w:tabs>
              <w:spacing w:before="0" w:after="0" w:line="240" w:lineRule="auto"/>
              <w:ind w:left="0" w:right="0"/>
              <w:jc w:val="center"/>
              <w:rPr>
                <w:rFonts w:eastAsiaTheme="minorEastAsia" w:cs="Arial"/>
                <w:b/>
                <w:bCs/>
                <w:color w:val="1C3158"/>
                <w:sz w:val="18"/>
                <w:szCs w:val="22"/>
                <w:lang w:eastAsia="ja-JP"/>
              </w:rPr>
            </w:pPr>
          </w:p>
        </w:tc>
      </w:tr>
      <w:tr w:rsidR="00F16E95" w:rsidRPr="00F16E95" w14:paraId="5CE7D9BB" w14:textId="77777777" w:rsidTr="00F16E95">
        <w:trPr>
          <w:trHeight w:val="315"/>
        </w:trPr>
        <w:tc>
          <w:tcPr>
            <w:tcW w:w="1843" w:type="dxa"/>
            <w:shd w:val="clear" w:color="auto" w:fill="auto"/>
          </w:tcPr>
          <w:p w14:paraId="73D02282" w14:textId="77777777" w:rsidR="00044A20" w:rsidRPr="00F16E95" w:rsidRDefault="00044A20" w:rsidP="00044A20">
            <w:pPr>
              <w:tabs>
                <w:tab w:val="clear" w:pos="426"/>
              </w:tabs>
              <w:spacing w:before="0" w:after="0" w:line="240" w:lineRule="auto"/>
              <w:ind w:left="0" w:right="0"/>
              <w:rPr>
                <w:rFonts w:eastAsiaTheme="minorEastAsia" w:cs="Arial"/>
                <w:color w:val="1C3158"/>
                <w:sz w:val="18"/>
                <w:szCs w:val="22"/>
                <w:lang w:eastAsia="ja-JP"/>
              </w:rPr>
            </w:pPr>
            <w:r w:rsidRPr="00F16E95">
              <w:rPr>
                <w:rFonts w:eastAsiaTheme="minorEastAsia" w:cs="Arial"/>
                <w:color w:val="1C3158"/>
                <w:sz w:val="18"/>
                <w:szCs w:val="22"/>
                <w:lang w:eastAsia="ja-JP"/>
              </w:rPr>
              <w:t>Lifecourse and intergenerational harms</w:t>
            </w:r>
          </w:p>
        </w:tc>
        <w:tc>
          <w:tcPr>
            <w:tcW w:w="12049" w:type="dxa"/>
            <w:gridSpan w:val="3"/>
            <w:shd w:val="clear" w:color="auto" w:fill="auto"/>
          </w:tcPr>
          <w:p w14:paraId="12C8C4D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Delay in lifecourse events and matters of financial security and achievement</w:t>
            </w:r>
          </w:p>
          <w:p w14:paraId="3B356B5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relating to financial security or financial achievement (ongoing consequences caused by loss of major assets, superannuation)</w:t>
            </w:r>
          </w:p>
          <w:p w14:paraId="0B64AC2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lifecourse events such as engagement / marriage / having children (generational loss)</w:t>
            </w:r>
          </w:p>
          <w:p w14:paraId="302CEDB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Loss of primary relationships and social connection (including parents / children / community)</w:t>
            </w:r>
          </w:p>
          <w:p w14:paraId="46A8835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Homelessness</w:t>
            </w:r>
          </w:p>
          <w:p w14:paraId="49C4404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lastRenderedPageBreak/>
              <w:t>Having to move towns / countries due to consequences from person who gambles or other harms</w:t>
            </w:r>
          </w:p>
          <w:p w14:paraId="08E1E3AB"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EastAsia" w:cs="Arial"/>
                <w:color w:val="1C3158"/>
                <w:sz w:val="18"/>
                <w:szCs w:val="22"/>
                <w:lang w:eastAsia="ja-JP"/>
              </w:rPr>
            </w:pPr>
            <w:r w:rsidRPr="00F16E95">
              <w:rPr>
                <w:rFonts w:eastAsiaTheme="minorHAnsi" w:cs="Arial"/>
                <w:color w:val="1C3158"/>
                <w:sz w:val="18"/>
                <w:szCs w:val="22"/>
                <w:lang w:eastAsia="ja-JP"/>
              </w:rPr>
              <w:t>Incarceration</w:t>
            </w:r>
          </w:p>
        </w:tc>
      </w:tr>
    </w:tbl>
    <w:p w14:paraId="68F46C63" w14:textId="77777777" w:rsidR="002E05E5" w:rsidRDefault="002E05E5" w:rsidP="00044A20">
      <w:pPr>
        <w:pStyle w:val="Caption"/>
      </w:pPr>
    </w:p>
    <w:p w14:paraId="111C21EB" w14:textId="03EF0881" w:rsidR="00044A20" w:rsidRDefault="002E05E5" w:rsidP="00044A20">
      <w:pPr>
        <w:pStyle w:val="Caption"/>
      </w:pPr>
      <w:r>
        <w:br w:type="column"/>
      </w:r>
      <w:bookmarkStart w:id="176" w:name="_Toc462738107"/>
      <w:r w:rsidR="00044A20">
        <w:lastRenderedPageBreak/>
        <w:t xml:space="preserve">Table </w:t>
      </w:r>
      <w:fldSimple w:instr=" SEQ Table \* ARABIC ">
        <w:r w:rsidR="0006479A">
          <w:rPr>
            <w:noProof/>
          </w:rPr>
          <w:t>4</w:t>
        </w:r>
      </w:fldSimple>
      <w:r w:rsidR="00044A20">
        <w:t>. A taxonomy of harms experienced by communities</w:t>
      </w:r>
      <w:bookmarkEnd w:id="176"/>
    </w:p>
    <w:tbl>
      <w:tblPr>
        <w:tblW w:w="14034" w:type="dxa"/>
        <w:tblInd w:w="-118" w:type="dxa"/>
        <w:tblBorders>
          <w:top w:val="single" w:sz="12" w:space="0" w:color="FF9E3C"/>
          <w:left w:val="single" w:sz="12" w:space="0" w:color="FF9E3C"/>
          <w:bottom w:val="single" w:sz="12" w:space="0" w:color="FF9E3C"/>
          <w:right w:val="single" w:sz="12" w:space="0" w:color="FF9E3C"/>
          <w:insideH w:val="single" w:sz="12" w:space="0" w:color="FF9E3C"/>
          <w:insideV w:val="single" w:sz="12" w:space="0" w:color="FF9E3C"/>
        </w:tblBorders>
        <w:tblLook w:val="04A0" w:firstRow="1" w:lastRow="0" w:firstColumn="1" w:lastColumn="0" w:noHBand="0" w:noVBand="1"/>
      </w:tblPr>
      <w:tblGrid>
        <w:gridCol w:w="3544"/>
        <w:gridCol w:w="3402"/>
        <w:gridCol w:w="3544"/>
        <w:gridCol w:w="3544"/>
      </w:tblGrid>
      <w:tr w:rsidR="00F16E95" w:rsidRPr="00F16E95" w14:paraId="304EC2F8" w14:textId="77777777" w:rsidTr="009A3B2A">
        <w:trPr>
          <w:trHeight w:val="281"/>
        </w:trPr>
        <w:tc>
          <w:tcPr>
            <w:tcW w:w="3544" w:type="dxa"/>
            <w:shd w:val="clear" w:color="auto" w:fill="FFBC64"/>
          </w:tcPr>
          <w:p w14:paraId="0DD75FC3" w14:textId="77777777" w:rsidR="00044A20" w:rsidRPr="00F16E95" w:rsidRDefault="00044A20" w:rsidP="0031197E">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Financial Harm</w:t>
            </w:r>
          </w:p>
        </w:tc>
        <w:tc>
          <w:tcPr>
            <w:tcW w:w="3402" w:type="dxa"/>
            <w:shd w:val="clear" w:color="auto" w:fill="FFBC64"/>
          </w:tcPr>
          <w:p w14:paraId="1A81704B" w14:textId="77777777" w:rsidR="00044A20" w:rsidRPr="00F16E95" w:rsidRDefault="00044A20" w:rsidP="0031197E">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Relationship Disruption, Conflict or Breakdown</w:t>
            </w:r>
          </w:p>
        </w:tc>
        <w:tc>
          <w:tcPr>
            <w:tcW w:w="3544" w:type="dxa"/>
            <w:shd w:val="clear" w:color="auto" w:fill="FFBC64"/>
          </w:tcPr>
          <w:p w14:paraId="72BDA66A" w14:textId="77777777" w:rsidR="00044A20" w:rsidRPr="00F16E95" w:rsidRDefault="00044A20" w:rsidP="0031197E">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Emotional or Psychological Distress</w:t>
            </w:r>
          </w:p>
        </w:tc>
        <w:tc>
          <w:tcPr>
            <w:tcW w:w="3544" w:type="dxa"/>
            <w:shd w:val="clear" w:color="auto" w:fill="FFBC64"/>
          </w:tcPr>
          <w:p w14:paraId="70A6210C" w14:textId="77777777" w:rsidR="00044A20" w:rsidRPr="00F16E95" w:rsidRDefault="00044A20" w:rsidP="0031197E">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Decrements to Health</w:t>
            </w:r>
          </w:p>
        </w:tc>
      </w:tr>
      <w:tr w:rsidR="00F16E95" w:rsidRPr="00F16E95" w14:paraId="28A780CC" w14:textId="77777777" w:rsidTr="00F16E95">
        <w:trPr>
          <w:trHeight w:val="315"/>
        </w:trPr>
        <w:tc>
          <w:tcPr>
            <w:tcW w:w="3544" w:type="dxa"/>
            <w:shd w:val="clear" w:color="auto" w:fill="auto"/>
          </w:tcPr>
          <w:p w14:paraId="589A767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reliance on both community and government provided welfare</w:t>
            </w:r>
          </w:p>
          <w:p w14:paraId="38BE986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Increased levels of debt and bankruptcy (including administrative costs of these)</w:t>
            </w:r>
          </w:p>
          <w:p w14:paraId="02EA837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Broader effects on the community resulting from business closures</w:t>
            </w:r>
          </w:p>
          <w:p w14:paraId="79C214FD"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Perpetuation of poverty and welfare reliance from a generational perspective</w:t>
            </w:r>
          </w:p>
          <w:p w14:paraId="25AC26E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Redistribution of community funds through biased processes</w:t>
            </w:r>
          </w:p>
          <w:p w14:paraId="585E03A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Effects on fundraising ventures for community organisations</w:t>
            </w:r>
          </w:p>
        </w:tc>
        <w:tc>
          <w:tcPr>
            <w:tcW w:w="3402" w:type="dxa"/>
            <w:shd w:val="clear" w:color="auto" w:fill="auto"/>
          </w:tcPr>
          <w:p w14:paraId="29BDED70"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Costs to the family law courts and associated organisations</w:t>
            </w:r>
          </w:p>
          <w:p w14:paraId="764AB322"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Costs of caring for dependents no longer supported</w:t>
            </w:r>
          </w:p>
          <w:p w14:paraId="2AC70A33"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Damage to social cohesion and social capital through isolation and exclusion</w:t>
            </w:r>
          </w:p>
        </w:tc>
        <w:tc>
          <w:tcPr>
            <w:tcW w:w="3544" w:type="dxa"/>
            <w:shd w:val="clear" w:color="auto" w:fill="auto"/>
          </w:tcPr>
          <w:p w14:paraId="30DF214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Decline in social and cultural capital</w:t>
            </w:r>
          </w:p>
          <w:p w14:paraId="7B0C064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Costs associated with provision of services to assist people with emotional and psychological harms</w:t>
            </w:r>
          </w:p>
          <w:p w14:paraId="1759535F"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Burden of disease from related psychological harms</w:t>
            </w:r>
          </w:p>
          <w:p w14:paraId="58E00FF1"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Harms to venue workers</w:t>
            </w:r>
          </w:p>
        </w:tc>
        <w:tc>
          <w:tcPr>
            <w:tcW w:w="3544" w:type="dxa"/>
            <w:shd w:val="clear" w:color="auto" w:fill="auto"/>
          </w:tcPr>
          <w:p w14:paraId="26D085BE" w14:textId="77777777" w:rsidR="00044A20" w:rsidRPr="00F16E95" w:rsidRDefault="00044A20" w:rsidP="00044A20">
            <w:pPr>
              <w:numPr>
                <w:ilvl w:val="0"/>
                <w:numId w:val="16"/>
              </w:numPr>
              <w:tabs>
                <w:tab w:val="clear" w:pos="426"/>
              </w:tabs>
              <w:spacing w:before="0" w:after="0" w:line="240" w:lineRule="auto"/>
              <w:ind w:left="318" w:right="0" w:hanging="318"/>
              <w:rPr>
                <w:rFonts w:eastAsiaTheme="minorHAnsi" w:cs="Arial"/>
                <w:color w:val="1C3158"/>
                <w:sz w:val="18"/>
                <w:szCs w:val="22"/>
                <w:lang w:eastAsia="ja-JP"/>
              </w:rPr>
            </w:pPr>
            <w:r w:rsidRPr="00F16E95">
              <w:rPr>
                <w:rFonts w:eastAsiaTheme="minorHAnsi" w:cs="Arial"/>
                <w:color w:val="1C3158"/>
                <w:sz w:val="18"/>
                <w:szCs w:val="22"/>
                <w:lang w:eastAsia="ja-JP"/>
              </w:rPr>
              <w:t>Increased costs to the health system (direct and indirect) both in terms of treatment for gambling and costs associated with other medical conditions caused or exacerbated by gambling</w:t>
            </w:r>
          </w:p>
        </w:tc>
      </w:tr>
      <w:tr w:rsidR="00F16E95" w:rsidRPr="00F16E95" w14:paraId="3F28A477" w14:textId="77777777" w:rsidTr="009A3B2A">
        <w:trPr>
          <w:trHeight w:val="281"/>
          <w:tblHeader/>
        </w:trPr>
        <w:tc>
          <w:tcPr>
            <w:tcW w:w="3544" w:type="dxa"/>
            <w:shd w:val="clear" w:color="auto" w:fill="FFBC64"/>
          </w:tcPr>
          <w:p w14:paraId="3D04E37B" w14:textId="77777777" w:rsidR="00044A20" w:rsidRPr="00F16E95" w:rsidRDefault="00044A20" w:rsidP="0031197E">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Cultural Harm</w:t>
            </w:r>
          </w:p>
        </w:tc>
        <w:tc>
          <w:tcPr>
            <w:tcW w:w="3402" w:type="dxa"/>
            <w:shd w:val="clear" w:color="auto" w:fill="FFBC64"/>
          </w:tcPr>
          <w:p w14:paraId="7F97C98F" w14:textId="77777777" w:rsidR="00044A20" w:rsidRPr="00F16E95" w:rsidRDefault="00044A20" w:rsidP="0031197E">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Reduced Performance at Work or Study</w:t>
            </w:r>
          </w:p>
        </w:tc>
        <w:tc>
          <w:tcPr>
            <w:tcW w:w="3544" w:type="dxa"/>
            <w:shd w:val="clear" w:color="auto" w:fill="FFBC64"/>
          </w:tcPr>
          <w:p w14:paraId="7D1C7805" w14:textId="77777777" w:rsidR="00044A20" w:rsidRPr="00F16E95" w:rsidRDefault="00044A20" w:rsidP="0031197E">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Criminal Activity</w:t>
            </w:r>
          </w:p>
        </w:tc>
        <w:tc>
          <w:tcPr>
            <w:tcW w:w="3544" w:type="dxa"/>
            <w:shd w:val="clear" w:color="auto" w:fill="FFBC64"/>
          </w:tcPr>
          <w:p w14:paraId="4835486F" w14:textId="77777777" w:rsidR="00044A20" w:rsidRPr="00F16E95" w:rsidRDefault="00044A20" w:rsidP="0031197E">
            <w:pPr>
              <w:tabs>
                <w:tab w:val="clear" w:pos="426"/>
              </w:tabs>
              <w:spacing w:before="0" w:after="0" w:line="240" w:lineRule="auto"/>
              <w:ind w:left="0" w:right="0"/>
              <w:jc w:val="center"/>
              <w:rPr>
                <w:rFonts w:eastAsiaTheme="minorEastAsia" w:cs="Arial"/>
                <w:b/>
                <w:bCs/>
                <w:color w:val="1C3158"/>
                <w:sz w:val="18"/>
                <w:szCs w:val="22"/>
                <w:lang w:eastAsia="ja-JP"/>
              </w:rPr>
            </w:pPr>
            <w:r w:rsidRPr="00F16E95">
              <w:rPr>
                <w:rFonts w:eastAsiaTheme="minorEastAsia" w:cs="Arial"/>
                <w:b/>
                <w:color w:val="1C3158"/>
                <w:sz w:val="18"/>
                <w:szCs w:val="22"/>
                <w:lang w:eastAsia="ja-JP"/>
              </w:rPr>
              <w:t>Lifecourse or Intergenerational Harms</w:t>
            </w:r>
          </w:p>
        </w:tc>
      </w:tr>
      <w:tr w:rsidR="00F16E95" w:rsidRPr="00F16E95" w14:paraId="48CC5DBC" w14:textId="77777777" w:rsidTr="00F16E95">
        <w:trPr>
          <w:trHeight w:val="315"/>
        </w:trPr>
        <w:tc>
          <w:tcPr>
            <w:tcW w:w="3544" w:type="dxa"/>
            <w:shd w:val="clear" w:color="auto" w:fill="auto"/>
          </w:tcPr>
          <w:p w14:paraId="153A306A"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Community must make up for lost contributions (e.g. roles, time, finance) due to disconnection of members</w:t>
            </w:r>
          </w:p>
          <w:p w14:paraId="74601B69"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Use of cultural norms and practices to promote gambling (disrespectful to the culture)</w:t>
            </w:r>
          </w:p>
          <w:p w14:paraId="2608813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Exacerbation of hopelessness through negative narrative associating culture with gambling problems</w:t>
            </w:r>
          </w:p>
          <w:p w14:paraId="2F52987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Disconnection of youth (generational loss)</w:t>
            </w:r>
          </w:p>
        </w:tc>
        <w:tc>
          <w:tcPr>
            <w:tcW w:w="3402" w:type="dxa"/>
            <w:shd w:val="clear" w:color="auto" w:fill="auto"/>
          </w:tcPr>
          <w:p w14:paraId="0EAFD384"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Cost of job turnover and absenteeism</w:t>
            </w:r>
          </w:p>
          <w:p w14:paraId="0A5230F8"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Effects on employment at other businesses (e.g. where a business closes and businesses that interacted with it lose sales)</w:t>
            </w:r>
          </w:p>
          <w:p w14:paraId="0E2D4E8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Decreased participation in volunteering and other community activities</w:t>
            </w:r>
          </w:p>
        </w:tc>
        <w:tc>
          <w:tcPr>
            <w:tcW w:w="3544" w:type="dxa"/>
            <w:shd w:val="clear" w:color="auto" w:fill="auto"/>
          </w:tcPr>
          <w:p w14:paraId="7B2B0A07"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Direct costs of criminal activity in terms of the investigation of crime, costs to the judicial system, incarceration, probation, and parole</w:t>
            </w:r>
          </w:p>
          <w:p w14:paraId="3D2C9F16"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 xml:space="preserve">Financial and emotional cost to victims of crime </w:t>
            </w:r>
          </w:p>
        </w:tc>
        <w:tc>
          <w:tcPr>
            <w:tcW w:w="3544" w:type="dxa"/>
            <w:shd w:val="clear" w:color="auto" w:fill="auto"/>
          </w:tcPr>
          <w:p w14:paraId="73DFE23C"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Normalisation of gambling and gambling-related harm</w:t>
            </w:r>
          </w:p>
          <w:p w14:paraId="6EF7106E" w14:textId="77777777" w:rsidR="00044A20" w:rsidRPr="00F16E95" w:rsidRDefault="00044A20" w:rsidP="00044A20">
            <w:pPr>
              <w:numPr>
                <w:ilvl w:val="0"/>
                <w:numId w:val="16"/>
              </w:numPr>
              <w:tabs>
                <w:tab w:val="clear" w:pos="426"/>
              </w:tabs>
              <w:spacing w:before="0" w:after="0" w:line="240" w:lineRule="auto"/>
              <w:ind w:left="318" w:right="0" w:hanging="318"/>
              <w:contextualSpacing/>
              <w:rPr>
                <w:rFonts w:eastAsiaTheme="minorHAnsi" w:cs="Arial"/>
                <w:color w:val="1C3158"/>
                <w:sz w:val="18"/>
                <w:szCs w:val="22"/>
                <w:lang w:eastAsia="ja-JP"/>
              </w:rPr>
            </w:pPr>
            <w:r w:rsidRPr="00F16E95">
              <w:rPr>
                <w:rFonts w:eastAsiaTheme="minorHAnsi" w:cs="Arial"/>
                <w:color w:val="1C3158"/>
                <w:sz w:val="18"/>
                <w:szCs w:val="22"/>
                <w:lang w:eastAsia="ja-JP"/>
              </w:rPr>
              <w:t>Cumulative impact of generational losses</w:t>
            </w:r>
          </w:p>
          <w:p w14:paraId="173E36E3" w14:textId="77777777" w:rsidR="00044A20" w:rsidRPr="00F16E95" w:rsidRDefault="00044A20" w:rsidP="00044A20">
            <w:pPr>
              <w:numPr>
                <w:ilvl w:val="0"/>
                <w:numId w:val="16"/>
              </w:numPr>
              <w:tabs>
                <w:tab w:val="clear" w:pos="426"/>
              </w:tabs>
              <w:spacing w:before="0" w:after="0" w:line="240" w:lineRule="auto"/>
              <w:ind w:left="318" w:right="0" w:hanging="318"/>
              <w:rPr>
                <w:rFonts w:eastAsiaTheme="minorHAnsi" w:cs="Arial"/>
                <w:color w:val="1C3158"/>
                <w:sz w:val="18"/>
                <w:szCs w:val="22"/>
                <w:lang w:eastAsia="ja-JP"/>
              </w:rPr>
            </w:pPr>
            <w:r w:rsidRPr="00F16E95">
              <w:rPr>
                <w:rFonts w:eastAsiaTheme="minorHAnsi" w:cs="Arial"/>
                <w:color w:val="1C3158"/>
                <w:sz w:val="18"/>
                <w:szCs w:val="22"/>
                <w:lang w:eastAsia="ja-JP"/>
              </w:rPr>
              <w:t>Intergenerational loss creating dependency</w:t>
            </w:r>
          </w:p>
        </w:tc>
      </w:tr>
    </w:tbl>
    <w:p w14:paraId="13C7B015" w14:textId="77777777" w:rsidR="00044A20" w:rsidRPr="00044A20" w:rsidRDefault="00044A20" w:rsidP="00044A20">
      <w:pPr>
        <w:ind w:left="0"/>
      </w:pPr>
    </w:p>
    <w:p w14:paraId="043C3BE0" w14:textId="77777777" w:rsidR="00044A20" w:rsidRDefault="00044A20" w:rsidP="00044A20">
      <w:pPr>
        <w:ind w:left="0"/>
        <w:sectPr w:rsidR="00044A20" w:rsidSect="00044A20">
          <w:pgSz w:w="16838" w:h="11906" w:orient="landscape"/>
          <w:pgMar w:top="1440" w:right="1440" w:bottom="1440" w:left="1440" w:header="708" w:footer="708" w:gutter="0"/>
          <w:cols w:space="708"/>
          <w:docGrid w:linePitch="360"/>
        </w:sectPr>
      </w:pPr>
    </w:p>
    <w:p w14:paraId="3E9B69A7" w14:textId="1734C288" w:rsidR="002C6277" w:rsidRDefault="002C6277" w:rsidP="00C3643F">
      <w:pPr>
        <w:pStyle w:val="VRGFHead1"/>
      </w:pPr>
      <w:bookmarkStart w:id="177" w:name="_Toc462738027"/>
      <w:r>
        <w:lastRenderedPageBreak/>
        <w:t xml:space="preserve">A </w:t>
      </w:r>
      <w:r w:rsidR="00A450D7">
        <w:t xml:space="preserve">national </w:t>
      </w:r>
      <w:r>
        <w:t>survey of harms arising from gambling</w:t>
      </w:r>
      <w:bookmarkEnd w:id="3"/>
      <w:bookmarkEnd w:id="177"/>
      <w:r w:rsidR="0066052A">
        <w:t xml:space="preserve"> </w:t>
      </w:r>
    </w:p>
    <w:p w14:paraId="4D883177" w14:textId="6E523DC9" w:rsidR="00431F7A" w:rsidRDefault="00A12A4C" w:rsidP="00431F7A">
      <w:pPr>
        <w:pStyle w:val="VRGFBodycontent"/>
      </w:pPr>
      <w:r>
        <w:t xml:space="preserve">This chapter reports findings from the third phase of our study – a </w:t>
      </w:r>
      <w:r w:rsidR="00431F7A">
        <w:t xml:space="preserve">quantitative </w:t>
      </w:r>
      <w:r w:rsidR="004170F5">
        <w:t xml:space="preserve">national </w:t>
      </w:r>
      <w:r w:rsidR="00431F7A">
        <w:t>survey of harm based on the comprehensive taxonomy of gambling harms as discussed in the previous chapter</w:t>
      </w:r>
      <w:r w:rsidR="00E03CA8">
        <w:t>.</w:t>
      </w:r>
      <w:r w:rsidR="008610D3">
        <w:t xml:space="preserve"> </w:t>
      </w:r>
      <w:r w:rsidR="00431F7A">
        <w:t xml:space="preserve">We build on this taxonomy, </w:t>
      </w:r>
      <w:r w:rsidR="00431F7A" w:rsidRPr="00C27CB8">
        <w:t>which organised the diverse range of impacts into eight dimensions</w:t>
      </w:r>
      <w:r w:rsidR="007D1CBC">
        <w:t xml:space="preserve"> (financial; </w:t>
      </w:r>
      <w:r w:rsidR="00F95618">
        <w:t>relationship disruption, conflict or breakdown; emotional or psychological distress; decrements to health; cultural harm; reduced performance at work or study; criminal activity; and life course</w:t>
      </w:r>
      <w:r w:rsidR="007F1CD6">
        <w:t xml:space="preserve"> </w:t>
      </w:r>
      <w:r w:rsidR="00F95618">
        <w:t>and intergenerational harms)</w:t>
      </w:r>
      <w:r w:rsidR="00E03CA8">
        <w:t>.</w:t>
      </w:r>
      <w:r w:rsidR="008610D3">
        <w:t xml:space="preserve"> </w:t>
      </w:r>
      <w:r w:rsidR="00431F7A">
        <w:t xml:space="preserve">The current chapter aims to provide insight and comparisons into the specific types of harms that occur </w:t>
      </w:r>
      <w:r w:rsidR="00C27CB8" w:rsidRPr="00C27CB8">
        <w:t>across the spectrum of gambling problems</w:t>
      </w:r>
      <w:r w:rsidR="00431F7A">
        <w:t xml:space="preserve">, to </w:t>
      </w:r>
      <w:r w:rsidR="00431F7A" w:rsidRPr="00BA49F6">
        <w:t>both gamblers and affected others, with respect to PGSI category</w:t>
      </w:r>
      <w:r w:rsidR="00E03CA8" w:rsidRPr="00BA49F6">
        <w:t>.</w:t>
      </w:r>
      <w:r w:rsidR="008610D3" w:rsidRPr="00BA49F6">
        <w:t xml:space="preserve"> </w:t>
      </w:r>
      <w:r w:rsidR="00343A3E" w:rsidRPr="00BA49F6">
        <w:t xml:space="preserve">It </w:t>
      </w:r>
      <w:r w:rsidR="00EA2F11" w:rsidRPr="00BA49F6">
        <w:t xml:space="preserve">was </w:t>
      </w:r>
      <w:r w:rsidR="00343A3E" w:rsidRPr="00BA49F6">
        <w:t xml:space="preserve">expected that </w:t>
      </w:r>
      <w:r w:rsidR="00C27CB8" w:rsidRPr="00BA49F6">
        <w:t xml:space="preserve">harms </w:t>
      </w:r>
      <w:r w:rsidR="00EA2F11" w:rsidRPr="00BA49F6">
        <w:t xml:space="preserve">would </w:t>
      </w:r>
      <w:r w:rsidR="00C27CB8" w:rsidRPr="00BA49F6">
        <w:t>vary considerably with regard to base prevalence, as well as with respect to the PGSI</w:t>
      </w:r>
      <w:r w:rsidR="00E03CA8" w:rsidRPr="00BA49F6">
        <w:t>.</w:t>
      </w:r>
      <w:r w:rsidR="008610D3" w:rsidRPr="00BA49F6">
        <w:t xml:space="preserve"> </w:t>
      </w:r>
      <w:r w:rsidR="00431F7A" w:rsidRPr="00BA49F6">
        <w:t>While this study represent</w:t>
      </w:r>
      <w:r w:rsidR="00EA2F11" w:rsidRPr="00BA49F6">
        <w:t>s</w:t>
      </w:r>
      <w:r w:rsidR="00431F7A" w:rsidRPr="00BA49F6">
        <w:t xml:space="preserve"> a significant output in and of itself, the experiences of harm reported by respondents </w:t>
      </w:r>
      <w:r w:rsidR="00EA2F11" w:rsidRPr="00BA49F6">
        <w:t>were</w:t>
      </w:r>
      <w:r w:rsidR="00431F7A" w:rsidRPr="00BA49F6">
        <w:t xml:space="preserve"> subsequently used in later stages of the broader project to form a database of vignettes describing the harm symptomology reported by individuals suffering from varying degrees of gambling problems.</w:t>
      </w:r>
      <w:r w:rsidR="00431F7A">
        <w:t xml:space="preserve"> </w:t>
      </w:r>
    </w:p>
    <w:p w14:paraId="0A7BBF1F" w14:textId="77777777" w:rsidR="00431F7A" w:rsidRDefault="00431F7A" w:rsidP="00431F7A">
      <w:pPr>
        <w:pStyle w:val="VRGFBodycontent"/>
      </w:pPr>
    </w:p>
    <w:p w14:paraId="686F5457" w14:textId="5CC8C0C1" w:rsidR="00E46750" w:rsidRPr="00C27CB8" w:rsidRDefault="00E46750" w:rsidP="00C27CB8">
      <w:pPr>
        <w:pStyle w:val="VRGFHead3"/>
      </w:pPr>
      <w:bookmarkStart w:id="178" w:name="_Toc440900272"/>
      <w:bookmarkStart w:id="179" w:name="_Toc462738028"/>
      <w:r w:rsidRPr="00C27CB8">
        <w:t xml:space="preserve">Measuring </w:t>
      </w:r>
      <w:r w:rsidR="002A2602">
        <w:t>gambling-related</w:t>
      </w:r>
      <w:r w:rsidRPr="00C27CB8">
        <w:t xml:space="preserve"> harms</w:t>
      </w:r>
      <w:bookmarkEnd w:id="178"/>
      <w:bookmarkEnd w:id="179"/>
      <w:r w:rsidR="00343A3E">
        <w:t xml:space="preserve"> </w:t>
      </w:r>
    </w:p>
    <w:p w14:paraId="12036AF8" w14:textId="5945317C" w:rsidR="00C27CB8" w:rsidRPr="00C27CB8" w:rsidRDefault="00E52B65" w:rsidP="00C27CB8">
      <w:pPr>
        <w:pStyle w:val="VRGFBodycontent"/>
      </w:pPr>
      <w:r>
        <w:t xml:space="preserve">The </w:t>
      </w:r>
      <w:r w:rsidRPr="00C27CB8">
        <w:t>Problem Gambling Severity Index (PGSI; Ferris &amp; Wynne, 2001)</w:t>
      </w:r>
      <w:r>
        <w:t xml:space="preserve"> is one of the most commonly used measures in</w:t>
      </w:r>
      <w:r w:rsidR="00374282">
        <w:t xml:space="preserve"> gambling</w:t>
      </w:r>
      <w:r>
        <w:t xml:space="preserve"> research to assess gambling problems </w:t>
      </w:r>
      <w:r w:rsidRPr="00C27CB8">
        <w:t>(e.g., Browne et al., 2014; Li, Rockloff, Browne, &amp; Donaldson, 2015; Rockloff, Browne, Li, &amp; O’Shea, 2014)</w:t>
      </w:r>
      <w:r w:rsidR="00CD301F">
        <w:t xml:space="preserve"> and is routinely used in recurring national studies of gambling in New Zealand such as the National Gambling Study, the New Zealand Health Survey and the Health and Lifestyles Survey</w:t>
      </w:r>
      <w:r w:rsidR="00E03CA8">
        <w:t>.</w:t>
      </w:r>
      <w:r w:rsidR="008610D3">
        <w:t xml:space="preserve"> </w:t>
      </w:r>
      <w:r w:rsidR="00374282">
        <w:t>However, c</w:t>
      </w:r>
      <w:r w:rsidRPr="00C27CB8">
        <w:t>onceptually the PGSI does not measure ‘amount of harm experienced’, but is rather a clinical screening instrument for gambling problems (Hodgins, Stea, &amp; Grant, 2011)</w:t>
      </w:r>
      <w:r w:rsidR="00E03CA8">
        <w:t>.</w:t>
      </w:r>
      <w:r w:rsidR="008610D3">
        <w:t xml:space="preserve"> </w:t>
      </w:r>
      <w:r>
        <w:t>Gambling harms are intrinsically related to gambling problems</w:t>
      </w:r>
      <w:r w:rsidR="00E03CA8">
        <w:t>.</w:t>
      </w:r>
      <w:r w:rsidR="008610D3">
        <w:t xml:space="preserve"> </w:t>
      </w:r>
      <w:r>
        <w:t xml:space="preserve">This is reflected by the </w:t>
      </w:r>
      <w:r w:rsidRPr="00C27CB8">
        <w:t>PGSI prob</w:t>
      </w:r>
      <w:r>
        <w:t xml:space="preserve">ing </w:t>
      </w:r>
      <w:r w:rsidRPr="00C27CB8">
        <w:t>several key harms as indicators of problem gambling</w:t>
      </w:r>
      <w:r w:rsidR="00E03CA8">
        <w:t>.</w:t>
      </w:r>
      <w:r w:rsidR="008610D3">
        <w:t xml:space="preserve"> </w:t>
      </w:r>
      <w:r w:rsidR="00374282">
        <w:t>The conceptual similarities and differences between gambling problems and gambling harms are still not fully understood</w:t>
      </w:r>
      <w:r w:rsidR="00E03CA8">
        <w:t>.</w:t>
      </w:r>
      <w:r w:rsidR="008610D3">
        <w:t xml:space="preserve"> </w:t>
      </w:r>
      <w:r w:rsidR="00F06D04">
        <w:t xml:space="preserve">To enable a better understanding of this, a </w:t>
      </w:r>
      <w:r w:rsidR="00C27CB8" w:rsidRPr="00C27CB8">
        <w:t>systematic</w:t>
      </w:r>
      <w:r w:rsidR="004170F5">
        <w:t xml:space="preserve"> national</w:t>
      </w:r>
      <w:r w:rsidR="00C27CB8" w:rsidRPr="00C27CB8">
        <w:t xml:space="preserve"> survey of harms associated with different levels of problem gambling</w:t>
      </w:r>
      <w:r w:rsidR="00F06D04">
        <w:t xml:space="preserve"> is needed</w:t>
      </w:r>
      <w:r w:rsidR="00E03CA8">
        <w:t>.</w:t>
      </w:r>
      <w:r w:rsidR="008610D3">
        <w:t xml:space="preserve"> </w:t>
      </w:r>
      <w:r w:rsidR="00C27CB8" w:rsidRPr="00C27CB8">
        <w:t>Accordingly, the present survey takes a comprehensive and exploratory approach; casting a ‘wide net’ in terms of probing for specific harms that may affect individuals.</w:t>
      </w:r>
    </w:p>
    <w:p w14:paraId="0F080A5C" w14:textId="0DF5DBD4" w:rsidR="00C27CB8" w:rsidRPr="00C27CB8" w:rsidRDefault="00956097" w:rsidP="00956097">
      <w:pPr>
        <w:pStyle w:val="VRGFBodycontent"/>
      </w:pPr>
      <w:r>
        <w:t>Furthermore, gambling can not only adversely impact gambler</w:t>
      </w:r>
      <w:r w:rsidR="008E5EAD">
        <w:t>s</w:t>
      </w:r>
      <w:r>
        <w:t xml:space="preserve"> themselves</w:t>
      </w:r>
      <w:r w:rsidR="008E5EAD">
        <w:t>;</w:t>
      </w:r>
      <w:r>
        <w:t xml:space="preserve"> it can </w:t>
      </w:r>
      <w:r w:rsidR="00CD301F">
        <w:t xml:space="preserve">also </w:t>
      </w:r>
      <w:r>
        <w:t xml:space="preserve">lead to a wide range of consequences for those connected to them, such as spouses/partners </w:t>
      </w:r>
      <w:r w:rsidR="00C27CB8" w:rsidRPr="00C27CB8">
        <w:t>(Dickson-Swift et al., 2005; Holdsworth et al., 2013b; Lorenz &amp; Shuttlesworth, 1983; Lorenz &amp; Yaff</w:t>
      </w:r>
      <w:r>
        <w:t xml:space="preserve">ee, 1988), their </w:t>
      </w:r>
      <w:r w:rsidR="00C27CB8" w:rsidRPr="00C27CB8">
        <w:t>children</w:t>
      </w:r>
      <w:r>
        <w:t xml:space="preserve"> (</w:t>
      </w:r>
      <w:r w:rsidR="00C27CB8" w:rsidRPr="00C27CB8">
        <w:t>Darbyshire et al., 2001b; Jacobs et al., 1989)</w:t>
      </w:r>
      <w:r>
        <w:t>, and other family</w:t>
      </w:r>
      <w:r w:rsidR="00CD301F">
        <w:t>/whānau</w:t>
      </w:r>
      <w:r w:rsidR="008610D3">
        <w:t xml:space="preserve"> </w:t>
      </w:r>
      <w:r>
        <w:t>members/</w:t>
      </w:r>
      <w:r w:rsidR="00C27CB8" w:rsidRPr="00C27CB8">
        <w:t>friends (Kalischuk, Nowatzki, Cardwell, Klein, &amp; Solowoniuk, 2006; Salonen, Castren, Alho, &amp; Lahti, 2014; Wenzel, Oren, &amp; Bakken, 2008). Despite this</w:t>
      </w:r>
      <w:r>
        <w:t xml:space="preserve"> knowledge, the body of </w:t>
      </w:r>
      <w:r w:rsidR="00C27CB8" w:rsidRPr="00C27CB8">
        <w:t>gambling literature is currently not in a position to provide meaningful insight regarding how gambling harms are experienced by both gamblers and</w:t>
      </w:r>
      <w:r>
        <w:t xml:space="preserve"> their</w:t>
      </w:r>
      <w:r w:rsidR="00C27CB8" w:rsidRPr="00C27CB8">
        <w:t xml:space="preserve"> </w:t>
      </w:r>
      <w:r w:rsidR="00C27CB8" w:rsidRPr="005462E7">
        <w:t>affected others</w:t>
      </w:r>
      <w:r w:rsidR="005462E7">
        <w:t xml:space="preserve">. </w:t>
      </w:r>
      <w:r w:rsidR="00741E1F">
        <w:t>Therefore</w:t>
      </w:r>
      <w:r w:rsidR="00C27CB8" w:rsidRPr="00C27CB8">
        <w:t xml:space="preserve">, the present study places approximately equal weight on the harms experienced by gamblers and affected others to make comparisons between these two groups. </w:t>
      </w:r>
    </w:p>
    <w:p w14:paraId="42822B1C" w14:textId="77777777" w:rsidR="00C27CB8" w:rsidRDefault="00C27CB8" w:rsidP="00C27CB8">
      <w:pPr>
        <w:pStyle w:val="VRGFBodycontent"/>
      </w:pPr>
    </w:p>
    <w:p w14:paraId="16BCBA26" w14:textId="77777777" w:rsidR="00E46750" w:rsidRPr="00C27CB8" w:rsidRDefault="00E46750" w:rsidP="00C27CB8">
      <w:pPr>
        <w:pStyle w:val="VRGFHead3"/>
      </w:pPr>
      <w:bookmarkStart w:id="180" w:name="_Toc440900274"/>
      <w:bookmarkStart w:id="181" w:name="_Toc462738029"/>
      <w:r w:rsidRPr="00C27CB8">
        <w:lastRenderedPageBreak/>
        <w:t>Aims</w:t>
      </w:r>
      <w:bookmarkEnd w:id="180"/>
      <w:bookmarkEnd w:id="181"/>
    </w:p>
    <w:p w14:paraId="613E09A3" w14:textId="79515138" w:rsidR="00C27CB8" w:rsidRPr="00C27CB8" w:rsidRDefault="00C27CB8" w:rsidP="00C27CB8">
      <w:pPr>
        <w:pStyle w:val="VRGFBodycontent"/>
      </w:pPr>
      <w:r w:rsidRPr="00C27CB8">
        <w:t xml:space="preserve">The aims of the current chapter are </w:t>
      </w:r>
      <w:r w:rsidR="00343A3E">
        <w:t>four</w:t>
      </w:r>
      <w:r w:rsidRPr="00C27CB8">
        <w:t>fold:</w:t>
      </w:r>
    </w:p>
    <w:p w14:paraId="24049725" w14:textId="7E97E965" w:rsidR="00C27CB8" w:rsidRPr="00C27CB8" w:rsidRDefault="00343A3E" w:rsidP="009C2A26">
      <w:pPr>
        <w:pStyle w:val="VRGFNumberedlist"/>
        <w:numPr>
          <w:ilvl w:val="0"/>
          <w:numId w:val="41"/>
        </w:numPr>
      </w:pPr>
      <w:r>
        <w:t xml:space="preserve">Establishing the </w:t>
      </w:r>
      <w:r w:rsidR="00C27CB8" w:rsidRPr="00C27CB8">
        <w:t>prevalence o</w:t>
      </w:r>
      <w:r>
        <w:t xml:space="preserve">f </w:t>
      </w:r>
      <w:r w:rsidR="00C27CB8" w:rsidRPr="00C27CB8">
        <w:t>specific harms experienced</w:t>
      </w:r>
      <w:r>
        <w:t xml:space="preserve"> by gamblers and affected others</w:t>
      </w:r>
      <w:r w:rsidR="008E5EAD">
        <w:t xml:space="preserve"> because</w:t>
      </w:r>
      <w:r w:rsidR="00C27CB8" w:rsidRPr="00C27CB8">
        <w:t xml:space="preserve"> of gambling.</w:t>
      </w:r>
    </w:p>
    <w:p w14:paraId="5F27339E" w14:textId="300304E0" w:rsidR="00C27CB8" w:rsidRPr="00C27CB8" w:rsidRDefault="00C27CB8" w:rsidP="00511A4B">
      <w:pPr>
        <w:pStyle w:val="VRGFNumberedlist"/>
      </w:pPr>
      <w:r w:rsidRPr="00C27CB8">
        <w:t>Testing individual harms as indicators of six general domains of harm (</w:t>
      </w:r>
      <w:r w:rsidR="00357F77">
        <w:t xml:space="preserve">adapted from </w:t>
      </w:r>
      <w:r w:rsidR="00195B2F">
        <w:t>eight dimension</w:t>
      </w:r>
      <w:r w:rsidR="009E26E8">
        <w:t>s</w:t>
      </w:r>
      <w:r w:rsidR="009E26E8">
        <w:rPr>
          <w:rStyle w:val="FootnoteReference"/>
        </w:rPr>
        <w:footnoteReference w:id="16"/>
      </w:r>
      <w:r w:rsidR="00195B2F">
        <w:t xml:space="preserve"> of harm</w:t>
      </w:r>
      <w:r w:rsidR="00357F77" w:rsidRPr="00C27CB8">
        <w:t xml:space="preserve"> identified </w:t>
      </w:r>
      <w:r w:rsidR="00357F77">
        <w:t xml:space="preserve">in the </w:t>
      </w:r>
      <w:r w:rsidR="00995548">
        <w:t xml:space="preserve">study’s second phase </w:t>
      </w:r>
      <w:r w:rsidR="00357F77" w:rsidRPr="00C27CB8">
        <w:t xml:space="preserve">qualitative </w:t>
      </w:r>
      <w:r w:rsidR="003B65FD">
        <w:t>component</w:t>
      </w:r>
      <w:r w:rsidR="00357F77">
        <w:t xml:space="preserve"> reported in the preceding chapter</w:t>
      </w:r>
      <w:r w:rsidRPr="00C27CB8">
        <w:t>).</w:t>
      </w:r>
    </w:p>
    <w:p w14:paraId="7DF411AE" w14:textId="77777777" w:rsidR="00C27CB8" w:rsidRDefault="00C27CB8" w:rsidP="00511A4B">
      <w:pPr>
        <w:pStyle w:val="VRGFNumberedlist"/>
      </w:pPr>
      <w:r w:rsidRPr="00C27CB8">
        <w:t xml:space="preserve">Assessing each of the harms in terms of their relationship to the PGSI, particularly with respect to identifying the threshold at which gambling problems are most likely to yield a given harm. </w:t>
      </w:r>
    </w:p>
    <w:p w14:paraId="3C107A3B" w14:textId="16BBE79B" w:rsidR="00C27CB8" w:rsidRPr="00C27CB8" w:rsidRDefault="00D0239D" w:rsidP="00511A4B">
      <w:pPr>
        <w:pStyle w:val="VRGFNumberedlist"/>
      </w:pPr>
      <w:r>
        <w:t xml:space="preserve">Identifying differences between ethnic groups across </w:t>
      </w:r>
      <w:r w:rsidR="005D5BC3">
        <w:t xml:space="preserve">gambling </w:t>
      </w:r>
      <w:r>
        <w:t>harm domains</w:t>
      </w:r>
      <w:r w:rsidR="00C27CB8">
        <w:t xml:space="preserve">. </w:t>
      </w:r>
    </w:p>
    <w:p w14:paraId="280BD410" w14:textId="77777777" w:rsidR="003926F4" w:rsidRDefault="003926F4" w:rsidP="003926F4">
      <w:pPr>
        <w:pStyle w:val="VRGFBodycontent"/>
      </w:pPr>
      <w:bookmarkStart w:id="182" w:name="_Toc430172935"/>
    </w:p>
    <w:p w14:paraId="1DD9748B" w14:textId="1B5F09E8" w:rsidR="00C767A9" w:rsidRDefault="00C767A9" w:rsidP="00C3643F">
      <w:pPr>
        <w:pStyle w:val="VRGFHead2"/>
      </w:pPr>
      <w:bookmarkStart w:id="183" w:name="_Toc462738030"/>
      <w:r w:rsidRPr="00524A90">
        <w:t>Method</w:t>
      </w:r>
      <w:bookmarkEnd w:id="182"/>
      <w:bookmarkEnd w:id="183"/>
    </w:p>
    <w:p w14:paraId="3A58B09E" w14:textId="77777777" w:rsidR="00C767A9" w:rsidRDefault="00C767A9" w:rsidP="00C3643F">
      <w:pPr>
        <w:pStyle w:val="VRGFHead3"/>
      </w:pPr>
      <w:bookmarkStart w:id="184" w:name="_Toc430172936"/>
      <w:bookmarkStart w:id="185" w:name="_Toc462738031"/>
      <w:r>
        <w:t xml:space="preserve">Development of harms </w:t>
      </w:r>
      <w:r w:rsidRPr="000F3042">
        <w:t>checklists</w:t>
      </w:r>
      <w:bookmarkEnd w:id="184"/>
      <w:bookmarkEnd w:id="185"/>
      <w:r>
        <w:t xml:space="preserve"> </w:t>
      </w:r>
    </w:p>
    <w:p w14:paraId="777C791C" w14:textId="02576F1E" w:rsidR="0061777D" w:rsidRPr="00A90F05" w:rsidRDefault="0044527F" w:rsidP="00B57D32">
      <w:pPr>
        <w:pStyle w:val="VRGFBodycontent"/>
      </w:pPr>
      <w:r>
        <w:t xml:space="preserve">The </w:t>
      </w:r>
      <w:r w:rsidR="00167C61" w:rsidRPr="00B57D32">
        <w:t>taxonomy</w:t>
      </w:r>
      <w:r w:rsidR="00167C61">
        <w:t xml:space="preserve"> of harms </w:t>
      </w:r>
      <w:r w:rsidR="00EB46DB">
        <w:t>from the</w:t>
      </w:r>
      <w:r w:rsidR="007045FF">
        <w:t xml:space="preserve"> </w:t>
      </w:r>
      <w:r w:rsidR="00793CCF">
        <w:t xml:space="preserve">second </w:t>
      </w:r>
      <w:r w:rsidR="007045FF">
        <w:t xml:space="preserve">phase of this research </w:t>
      </w:r>
      <w:r w:rsidR="0061777D" w:rsidRPr="00A90F05">
        <w:t>identified</w:t>
      </w:r>
      <w:r w:rsidR="00EB46DB">
        <w:t xml:space="preserve"> </w:t>
      </w:r>
      <w:r w:rsidR="0061777D" w:rsidRPr="00A90F05">
        <w:t>a large number of specific harms</w:t>
      </w:r>
      <w:r w:rsidR="00CF2CB6">
        <w:t>, many of which were in common with harms previously identified in Australia, and some that were distinct to New Zealand</w:t>
      </w:r>
      <w:r w:rsidR="00E03CA8">
        <w:t>.</w:t>
      </w:r>
      <w:r w:rsidR="008610D3">
        <w:t xml:space="preserve"> </w:t>
      </w:r>
      <w:r w:rsidR="0061777D" w:rsidRPr="00A90F05">
        <w:t>These harms were</w:t>
      </w:r>
      <w:r>
        <w:t xml:space="preserve"> transformed into individual items to be used as </w:t>
      </w:r>
      <w:r w:rsidR="0061777D" w:rsidRPr="00A90F05">
        <w:t>personal statements</w:t>
      </w:r>
      <w:r>
        <w:t xml:space="preserve"> within the national survey</w:t>
      </w:r>
      <w:r w:rsidR="00E03CA8">
        <w:t>.</w:t>
      </w:r>
      <w:r w:rsidR="008610D3">
        <w:t xml:space="preserve"> </w:t>
      </w:r>
      <w:r>
        <w:t xml:space="preserve">We used the </w:t>
      </w:r>
      <w:r w:rsidR="0061777D" w:rsidRPr="00A90F05">
        <w:t>following five criteria</w:t>
      </w:r>
      <w:r>
        <w:t xml:space="preserve"> in developing the items</w:t>
      </w:r>
      <w:r w:rsidR="0061777D" w:rsidRPr="00A90F05">
        <w:t>:</w:t>
      </w:r>
    </w:p>
    <w:p w14:paraId="7838B5AA" w14:textId="3DAC99EA" w:rsidR="00935E20" w:rsidRPr="00A90F05" w:rsidRDefault="0061777D" w:rsidP="00F84FCA">
      <w:pPr>
        <w:pStyle w:val="VRGFNumberedlist"/>
        <w:numPr>
          <w:ilvl w:val="0"/>
          <w:numId w:val="6"/>
        </w:numPr>
      </w:pPr>
      <w:r w:rsidRPr="00935E20">
        <w:t>Coverage</w:t>
      </w:r>
      <w:r w:rsidRPr="00A90F05">
        <w:t xml:space="preserve"> of the harms identified</w:t>
      </w:r>
      <w:r>
        <w:t xml:space="preserve"> in the</w:t>
      </w:r>
      <w:r w:rsidR="00167C61">
        <w:t xml:space="preserve"> taxonomy</w:t>
      </w:r>
      <w:r w:rsidR="00D60960">
        <w:t>.</w:t>
      </w:r>
    </w:p>
    <w:p w14:paraId="76F98C1B" w14:textId="300F6031" w:rsidR="0061777D" w:rsidRPr="00A90F05" w:rsidRDefault="0061777D" w:rsidP="00935E20">
      <w:pPr>
        <w:pStyle w:val="VRGFNumberedlist"/>
      </w:pPr>
      <w:r w:rsidRPr="00A90F05">
        <w:t xml:space="preserve">Accessibility by the general population, including using plain language, and </w:t>
      </w:r>
      <w:r>
        <w:t>the use of</w:t>
      </w:r>
      <w:r w:rsidRPr="00A90F05">
        <w:t xml:space="preserve"> examples where appropriate, e.g. ‘</w:t>
      </w:r>
      <w:r w:rsidRPr="00A7643F">
        <w:t xml:space="preserve">Experienced greater </w:t>
      </w:r>
      <w:r w:rsidR="00EB46DB">
        <w:t xml:space="preserve">conflict </w:t>
      </w:r>
      <w:r w:rsidRPr="00A7643F">
        <w:t>in my relationships (</w:t>
      </w:r>
      <w:r w:rsidR="00EB46DB">
        <w:t xml:space="preserve">arguing, fighting, </w:t>
      </w:r>
      <w:r w:rsidR="00801AB0">
        <w:t>ultimatums</w:t>
      </w:r>
      <w:r w:rsidRPr="00A7643F">
        <w:t>)</w:t>
      </w:r>
      <w:r>
        <w:t>’</w:t>
      </w:r>
      <w:r w:rsidR="00E03CA8">
        <w:t>.</w:t>
      </w:r>
      <w:r w:rsidR="008610D3">
        <w:t xml:space="preserve"> </w:t>
      </w:r>
      <w:r>
        <w:t>This phrasing c</w:t>
      </w:r>
      <w:r w:rsidR="00801AB0">
        <w:t>apture</w:t>
      </w:r>
      <w:r w:rsidR="00793CCF">
        <w:t>d</w:t>
      </w:r>
      <w:r w:rsidR="00801AB0">
        <w:t xml:space="preserve"> the broader construct (conflict</w:t>
      </w:r>
      <w:r>
        <w:t>) while providing further det</w:t>
      </w:r>
      <w:r w:rsidR="00940F7B">
        <w:t>ail on the meaning of the probe</w:t>
      </w:r>
      <w:r w:rsidR="00D60960">
        <w:t>.</w:t>
      </w:r>
    </w:p>
    <w:p w14:paraId="5E80ECCE" w14:textId="4FC6969B" w:rsidR="0061777D" w:rsidRPr="00A90F05" w:rsidRDefault="0061777D" w:rsidP="00935E20">
      <w:pPr>
        <w:pStyle w:val="VRGFNumberedlist"/>
      </w:pPr>
      <w:r w:rsidRPr="00A90F05">
        <w:t>Making each item unitary in scope</w:t>
      </w:r>
      <w:r w:rsidR="00E03CA8">
        <w:t>.</w:t>
      </w:r>
      <w:r w:rsidR="008610D3">
        <w:t xml:space="preserve"> </w:t>
      </w:r>
      <w:r w:rsidRPr="00A90F05">
        <w:t>For example, a candidate harm</w:t>
      </w:r>
      <w:r>
        <w:t>,</w:t>
      </w:r>
      <w:r w:rsidRPr="00A90F05">
        <w:t xml:space="preserve"> ‘</w:t>
      </w:r>
      <w:r w:rsidRPr="00A7643F">
        <w:t>spent less time and got less enjoyment from spending time with people I care about</w:t>
      </w:r>
      <w:r w:rsidRPr="00A90F05">
        <w:t>’ was brok</w:t>
      </w:r>
      <w:r>
        <w:t>en into two more specific items</w:t>
      </w:r>
      <w:r w:rsidR="00E03CA8">
        <w:t>.</w:t>
      </w:r>
      <w:r w:rsidR="008610D3">
        <w:t xml:space="preserve"> </w:t>
      </w:r>
      <w:r>
        <w:t>This enabled respondents to re</w:t>
      </w:r>
      <w:r w:rsidR="00940F7B">
        <w:t>spond definitively to each item</w:t>
      </w:r>
      <w:r w:rsidR="00D60960">
        <w:t>.</w:t>
      </w:r>
    </w:p>
    <w:p w14:paraId="13098490" w14:textId="5FAB5891" w:rsidR="0061777D" w:rsidRPr="00A90F05" w:rsidRDefault="0061777D" w:rsidP="00935E20">
      <w:pPr>
        <w:pStyle w:val="VRGFNumberedlist"/>
      </w:pPr>
      <w:r w:rsidRPr="00A90F05">
        <w:t>Avoidin</w:t>
      </w:r>
      <w:r w:rsidR="00940F7B">
        <w:t>g content overlap between items</w:t>
      </w:r>
      <w:r w:rsidR="00D60960">
        <w:t>.</w:t>
      </w:r>
    </w:p>
    <w:p w14:paraId="6F2F471A" w14:textId="7AF5174D" w:rsidR="0061777D" w:rsidRPr="00A90F05" w:rsidRDefault="0061777D" w:rsidP="00935E20">
      <w:pPr>
        <w:pStyle w:val="VRGFNumberedlist"/>
      </w:pPr>
      <w:r w:rsidRPr="00A90F05">
        <w:t xml:space="preserve">Using phrasing that was </w:t>
      </w:r>
      <w:r w:rsidR="00F95618">
        <w:t xml:space="preserve">similar </w:t>
      </w:r>
      <w:r w:rsidRPr="00A90F05">
        <w:t xml:space="preserve">regardless of </w:t>
      </w:r>
      <w:r>
        <w:t xml:space="preserve">whether </w:t>
      </w:r>
      <w:r w:rsidRPr="00A90F05">
        <w:t>the source of the harms</w:t>
      </w:r>
      <w:r>
        <w:t xml:space="preserve"> was </w:t>
      </w:r>
      <w:r w:rsidRPr="00A90F05">
        <w:t>one’s own gambl</w:t>
      </w:r>
      <w:r>
        <w:t>ing, or someone else’s gambling</w:t>
      </w:r>
      <w:r w:rsidR="00E03CA8">
        <w:t>.</w:t>
      </w:r>
      <w:r w:rsidR="008610D3">
        <w:t xml:space="preserve"> </w:t>
      </w:r>
      <w:r>
        <w:t>This facilitated com</w:t>
      </w:r>
      <w:r w:rsidR="00940F7B">
        <w:t>parisons between the two groups.</w:t>
      </w:r>
    </w:p>
    <w:p w14:paraId="610FDDD0" w14:textId="2894EB54" w:rsidR="00922DA5" w:rsidRPr="00BA49F6" w:rsidRDefault="0061777D" w:rsidP="0076432C">
      <w:pPr>
        <w:pStyle w:val="VRGFBodycontent"/>
      </w:pPr>
      <w:r w:rsidRPr="00BA49F6">
        <w:lastRenderedPageBreak/>
        <w:t>This process</w:t>
      </w:r>
      <w:r w:rsidR="00EB46DB" w:rsidRPr="00BA49F6">
        <w:t xml:space="preserve"> builds on previous research (</w:t>
      </w:r>
      <w:r w:rsidR="006A1A9B" w:rsidRPr="00BA49F6">
        <w:t xml:space="preserve">Browne et al., </w:t>
      </w:r>
      <w:r w:rsidR="00EB46DB" w:rsidRPr="00BA49F6">
        <w:t>2016)</w:t>
      </w:r>
      <w:r w:rsidRPr="00BA49F6">
        <w:t xml:space="preserve"> </w:t>
      </w:r>
      <w:r w:rsidR="00EB46DB" w:rsidRPr="00BA49F6">
        <w:t>and included additional items</w:t>
      </w:r>
      <w:r w:rsidR="00CF2CB6" w:rsidRPr="00BA49F6">
        <w:t>,</w:t>
      </w:r>
      <w:r w:rsidR="00EB46DB" w:rsidRPr="00BA49F6">
        <w:t xml:space="preserve"> which were culturally appropriate within the New Zealand context (such as ‘neglected my </w:t>
      </w:r>
      <w:r w:rsidR="00B12BDA" w:rsidRPr="00BA49F6">
        <w:t>whānau</w:t>
      </w:r>
      <w:r w:rsidR="00EB46DB" w:rsidRPr="00BA49F6">
        <w:t>/family responsibilities’)</w:t>
      </w:r>
      <w:r w:rsidR="00E03CA8" w:rsidRPr="00BA49F6">
        <w:t>.</w:t>
      </w:r>
      <w:r w:rsidR="008610D3" w:rsidRPr="00BA49F6">
        <w:t xml:space="preserve"> </w:t>
      </w:r>
      <w:r w:rsidR="00EB46DB" w:rsidRPr="00BA49F6">
        <w:t xml:space="preserve">The process resulted </w:t>
      </w:r>
      <w:r w:rsidRPr="00BA49F6">
        <w:t xml:space="preserve">in a set of </w:t>
      </w:r>
      <w:r w:rsidR="0044527F" w:rsidRPr="00BA49F6">
        <w:t>8</w:t>
      </w:r>
      <w:r w:rsidRPr="00BA49F6">
        <w:t xml:space="preserve">3 specific potential harms arising from gambling </w:t>
      </w:r>
      <w:r w:rsidR="00B97789" w:rsidRPr="00BA49F6">
        <w:t>(</w:t>
      </w:r>
      <w:r w:rsidR="00F168F2" w:rsidRPr="00BA49F6">
        <w:fldChar w:fldCharType="begin"/>
      </w:r>
      <w:r w:rsidR="00F168F2" w:rsidRPr="00BA49F6">
        <w:instrText xml:space="preserve"> REF _Ref448409050 \h </w:instrText>
      </w:r>
      <w:r w:rsidR="0064453E" w:rsidRPr="00BA49F6">
        <w:instrText xml:space="preserve"> \* MERGEFORMAT </w:instrText>
      </w:r>
      <w:r w:rsidR="00F168F2" w:rsidRPr="00BA49F6">
        <w:fldChar w:fldCharType="separate"/>
      </w:r>
      <w:r w:rsidR="0006479A">
        <w:t xml:space="preserve">Appendix </w:t>
      </w:r>
      <w:r w:rsidR="0006479A">
        <w:rPr>
          <w:noProof/>
        </w:rPr>
        <w:t>7</w:t>
      </w:r>
      <w:r w:rsidR="00F168F2" w:rsidRPr="00BA49F6">
        <w:fldChar w:fldCharType="end"/>
      </w:r>
      <w:r w:rsidR="00B97789" w:rsidRPr="00BA49F6">
        <w:t>)</w:t>
      </w:r>
      <w:r w:rsidRPr="00BA49F6">
        <w:t>, organised within the six broad domains adapted from the dimensional harms framework</w:t>
      </w:r>
      <w:r w:rsidR="00E03CA8" w:rsidRPr="00BA49F6">
        <w:t>.</w:t>
      </w:r>
      <w:r w:rsidR="008610D3" w:rsidRPr="00BA49F6">
        <w:t xml:space="preserve"> </w:t>
      </w:r>
      <w:r w:rsidRPr="00BA49F6">
        <w:t xml:space="preserve">These six domains </w:t>
      </w:r>
      <w:r w:rsidR="00937C46" w:rsidRPr="00BA49F6">
        <w:t xml:space="preserve">were </w:t>
      </w:r>
      <w:r w:rsidRPr="00BA49F6">
        <w:t>financial, work/study, health, emotional/psychological, relationship, and other harms</w:t>
      </w:r>
      <w:r w:rsidR="00E03CA8" w:rsidRPr="00BA49F6">
        <w:t>.</w:t>
      </w:r>
      <w:r w:rsidR="008610D3" w:rsidRPr="00BA49F6">
        <w:t xml:space="preserve"> </w:t>
      </w:r>
    </w:p>
    <w:p w14:paraId="77549C48" w14:textId="4289E2E2" w:rsidR="0076432C" w:rsidRDefault="0061777D" w:rsidP="0076432C">
      <w:pPr>
        <w:pStyle w:val="VRGFBodycontent"/>
      </w:pPr>
      <w:r w:rsidRPr="00BA49F6">
        <w:t xml:space="preserve">A checklist format </w:t>
      </w:r>
      <w:r w:rsidR="00167C61" w:rsidRPr="00BA49F6">
        <w:t xml:space="preserve">for presenting these </w:t>
      </w:r>
      <w:r w:rsidR="00793CCF" w:rsidRPr="00BA49F6">
        <w:t xml:space="preserve">harms </w:t>
      </w:r>
      <w:r w:rsidR="00167C61" w:rsidRPr="00BA49F6">
        <w:t xml:space="preserve">to participants was adopted </w:t>
      </w:r>
      <w:r w:rsidRPr="00BA49F6">
        <w:t>for several reasons</w:t>
      </w:r>
      <w:r w:rsidR="00E03CA8" w:rsidRPr="00BA49F6">
        <w:t>.</w:t>
      </w:r>
      <w:r w:rsidR="008610D3" w:rsidRPr="00BA49F6">
        <w:t xml:space="preserve"> </w:t>
      </w:r>
      <w:r w:rsidRPr="00BA49F6">
        <w:t>First, the large item set required that respondents be able to scan and respond to each probe quickly, in order to maintain</w:t>
      </w:r>
      <w:r>
        <w:t xml:space="preserve"> a reasonable time to complete</w:t>
      </w:r>
      <w:r w:rsidR="00793CCF">
        <w:t xml:space="preserve"> the survey</w:t>
      </w:r>
      <w:r w:rsidR="00E03CA8">
        <w:t>.</w:t>
      </w:r>
      <w:r w:rsidR="008610D3">
        <w:t xml:space="preserve"> </w:t>
      </w:r>
      <w:r>
        <w:t>Second, the content suited a binary response in terms of ‘has this happened or not’; which contribute</w:t>
      </w:r>
      <w:r w:rsidR="00793CCF">
        <w:t>d</w:t>
      </w:r>
      <w:r>
        <w:t xml:space="preserve"> to interpretation in terms of prevalence</w:t>
      </w:r>
      <w:r w:rsidR="00E03CA8">
        <w:t>.</w:t>
      </w:r>
      <w:r w:rsidR="008610D3">
        <w:t xml:space="preserve"> </w:t>
      </w:r>
      <w:r>
        <w:t>Finally, the responses were intended to form the basis for generating ‘condition descriptions’ of the experience of living with gambling harms: the binary response determined whether or not the harm was included in the condition description</w:t>
      </w:r>
      <w:r w:rsidR="00E03CA8">
        <w:t>.</w:t>
      </w:r>
      <w:r w:rsidR="008610D3">
        <w:t xml:space="preserve"> </w:t>
      </w:r>
      <w:r w:rsidRPr="00A90F05">
        <w:t xml:space="preserve">Accordingly, for each domain, participants were asked to review the list and check </w:t>
      </w:r>
      <w:r w:rsidR="00D059C3">
        <w:t xml:space="preserve">(tick) </w:t>
      </w:r>
      <w:r w:rsidRPr="00A90F05">
        <w:t>each item if they experienced</w:t>
      </w:r>
      <w:r w:rsidR="00793CCF">
        <w:t>, or believed,</w:t>
      </w:r>
      <w:r w:rsidRPr="00A90F05">
        <w:t xml:space="preserve"> that issue </w:t>
      </w:r>
      <w:r w:rsidR="00793CCF">
        <w:t>to be</w:t>
      </w:r>
      <w:r w:rsidR="00793CCF" w:rsidRPr="00A90F05">
        <w:t xml:space="preserve"> </w:t>
      </w:r>
      <w:r w:rsidRPr="00A90F05">
        <w:t>a result of the gambling</w:t>
      </w:r>
      <w:r w:rsidR="00E03CA8">
        <w:t>.</w:t>
      </w:r>
      <w:r w:rsidR="008610D3">
        <w:t xml:space="preserve"> </w:t>
      </w:r>
      <w:r w:rsidRPr="00A90F05">
        <w:t>A single 4-point Likert response item that assessed the overall level of harm experienced in that domain followed each domain checklist</w:t>
      </w:r>
      <w:r w:rsidR="00E03CA8">
        <w:t>.</w:t>
      </w:r>
      <w:r w:rsidR="008610D3">
        <w:t xml:space="preserve"> </w:t>
      </w:r>
      <w:r w:rsidRPr="00A90F05">
        <w:t xml:space="preserve">For example, the </w:t>
      </w:r>
      <w:r w:rsidR="002112EB">
        <w:t>health</w:t>
      </w:r>
      <w:r w:rsidRPr="00A90F05">
        <w:t xml:space="preserve"> domain concluded with the following item: ‘</w:t>
      </w:r>
      <w:r w:rsidRPr="00A90F05">
        <w:rPr>
          <w:i/>
        </w:rPr>
        <w:t>Overall, what level of impact did your gambling have upon your</w:t>
      </w:r>
      <w:r w:rsidR="002112EB">
        <w:rPr>
          <w:i/>
        </w:rPr>
        <w:t xml:space="preserve"> physical or mental health </w:t>
      </w:r>
      <w:r w:rsidRPr="00A90F05">
        <w:rPr>
          <w:i/>
        </w:rPr>
        <w:t>during this time?</w:t>
      </w:r>
      <w:r w:rsidRPr="00A90F05">
        <w:t>’</w:t>
      </w:r>
      <w:r w:rsidR="00E03CA8">
        <w:t>.</w:t>
      </w:r>
      <w:r w:rsidR="008610D3">
        <w:t xml:space="preserve"> </w:t>
      </w:r>
      <w:r w:rsidR="00CF2CB6">
        <w:t>Responses on this general self-assessment did not form part of the main analysis, but served as a useful further check on the validity of the specific harms</w:t>
      </w:r>
      <w:r w:rsidR="00E03CA8">
        <w:t>.</w:t>
      </w:r>
      <w:r w:rsidR="008610D3">
        <w:t xml:space="preserve"> </w:t>
      </w:r>
      <w:r w:rsidR="0076432C">
        <w:t xml:space="preserve">In addition to the harms checklist, participants also completed the PGSI, and a demographic questionnaire. </w:t>
      </w:r>
    </w:p>
    <w:p w14:paraId="2656CE32" w14:textId="77777777" w:rsidR="00956097" w:rsidRDefault="00956097" w:rsidP="007050E7">
      <w:pPr>
        <w:pStyle w:val="VRGFBodycontent"/>
      </w:pPr>
      <w:bookmarkStart w:id="186" w:name="_Toc430172937"/>
    </w:p>
    <w:p w14:paraId="2E7ED2AD" w14:textId="77777777" w:rsidR="00C767A9" w:rsidRDefault="00C767A9" w:rsidP="00C3643F">
      <w:pPr>
        <w:pStyle w:val="VRGFHead3"/>
      </w:pPr>
      <w:bookmarkStart w:id="187" w:name="_Toc462738032"/>
      <w:r>
        <w:t>Survey design</w:t>
      </w:r>
      <w:bookmarkEnd w:id="186"/>
      <w:bookmarkEnd w:id="187"/>
    </w:p>
    <w:p w14:paraId="526512C9" w14:textId="31CEE20D" w:rsidR="00D7490F" w:rsidRDefault="0061777D" w:rsidP="001D5A33">
      <w:pPr>
        <w:pStyle w:val="VRGFBodycontent"/>
      </w:pPr>
      <w:r w:rsidRPr="00A90F05">
        <w:t>Our focus was to understand the prevalence of harmful outcomes, relative to a particular degree of gambling problems</w:t>
      </w:r>
      <w:r w:rsidR="00E03CA8">
        <w:t>.</w:t>
      </w:r>
      <w:r w:rsidR="008610D3">
        <w:t xml:space="preserve"> </w:t>
      </w:r>
      <w:r w:rsidRPr="00A90F05">
        <w:t xml:space="preserve">Given the low expected prevalence of </w:t>
      </w:r>
      <w:r w:rsidRPr="00A90F05">
        <w:rPr>
          <w:i/>
        </w:rPr>
        <w:t>current</w:t>
      </w:r>
      <w:r w:rsidRPr="00A90F05">
        <w:t xml:space="preserve"> gambling </w:t>
      </w:r>
      <w:r>
        <w:t xml:space="preserve">problems and </w:t>
      </w:r>
      <w:r w:rsidRPr="00A90F05">
        <w:t>harms</w:t>
      </w:r>
      <w:r>
        <w:t xml:space="preserve"> </w:t>
      </w:r>
      <w:r w:rsidRPr="00A90F05">
        <w:t>in the general population, we opted for a retrospective survey design in order to elicit information from across the participant’s lifetime</w:t>
      </w:r>
      <w:r w:rsidR="00E03CA8">
        <w:t>.</w:t>
      </w:r>
      <w:r w:rsidR="008610D3">
        <w:t xml:space="preserve"> </w:t>
      </w:r>
      <w:r>
        <w:t>The cost to this decision involved accepting the use of a PGSI modified slightly to suit retrospective responding</w:t>
      </w:r>
      <w:r w:rsidR="00E03CA8">
        <w:t>.</w:t>
      </w:r>
      <w:r w:rsidR="008610D3">
        <w:t xml:space="preserve"> </w:t>
      </w:r>
      <w:r>
        <w:t>The benefit was to greatly increase the amount of useful data obtained, for a given sampling effort</w:t>
      </w:r>
      <w:r w:rsidR="00E03CA8">
        <w:t>.</w:t>
      </w:r>
      <w:r w:rsidR="008610D3">
        <w:t xml:space="preserve"> </w:t>
      </w:r>
      <w:r>
        <w:t>W</w:t>
      </w:r>
      <w:r w:rsidRPr="00A90F05">
        <w:t>e were interested in harms that accrue to significant others around the gambler (‘affected others’), as well as the gambler themselves</w:t>
      </w:r>
      <w:r w:rsidR="00E03CA8">
        <w:t>.</w:t>
      </w:r>
      <w:r w:rsidR="008610D3">
        <w:t xml:space="preserve"> </w:t>
      </w:r>
      <w:r w:rsidRPr="00A90F05">
        <w:t>Participants were requested to focus on the 12-month period of their life when the gambling was causing the most problems</w:t>
      </w:r>
      <w:r w:rsidR="00E03CA8">
        <w:t>.</w:t>
      </w:r>
      <w:r w:rsidR="008610D3">
        <w:t xml:space="preserve"> </w:t>
      </w:r>
      <w:r>
        <w:t>Throughout the survey</w:t>
      </w:r>
      <w:r w:rsidRPr="00A90F05">
        <w:t>, participants were reminded to reflect on that 12-month period</w:t>
      </w:r>
      <w:r w:rsidR="00E03CA8">
        <w:t>.</w:t>
      </w:r>
      <w:r w:rsidR="008610D3">
        <w:t xml:space="preserve"> </w:t>
      </w:r>
      <w:r w:rsidRPr="00A90F05">
        <w:t xml:space="preserve">This approach of reminding participants to continue to focus on the relevant 12-month period was matched for an accompanying retrospective version of the </w:t>
      </w:r>
      <w:r>
        <w:t>PGSI</w:t>
      </w:r>
      <w:r w:rsidR="00E03CA8">
        <w:t>.</w:t>
      </w:r>
      <w:r w:rsidR="008610D3">
        <w:t xml:space="preserve"> </w:t>
      </w:r>
      <w:r w:rsidRPr="00A90F05">
        <w:t>The PGSI items themselves were not modified except for the addition of the prefix ‘At this time…’ and the utilisation of past tense (e.g., ‘At this time, did gambling cause you any health problems, including stress or anxiety?’)</w:t>
      </w:r>
      <w:r w:rsidR="00E03CA8">
        <w:t>.</w:t>
      </w:r>
      <w:r w:rsidR="008610D3">
        <w:t xml:space="preserve"> </w:t>
      </w:r>
      <w:r w:rsidRPr="00A90F05">
        <w:t xml:space="preserve">For affected others, the PGSI </w:t>
      </w:r>
      <w:r w:rsidR="00D059C3">
        <w:t>was</w:t>
      </w:r>
      <w:r w:rsidR="00D059C3" w:rsidRPr="00A90F05">
        <w:t xml:space="preserve"> </w:t>
      </w:r>
      <w:r w:rsidRPr="00A90F05">
        <w:t xml:space="preserve">completed </w:t>
      </w:r>
      <w:r>
        <w:t>2</w:t>
      </w:r>
      <w:r w:rsidRPr="00512DD8">
        <w:rPr>
          <w:vertAlign w:val="superscript"/>
        </w:rPr>
        <w:t>nd</w:t>
      </w:r>
      <w:r>
        <w:t xml:space="preserve"> hand, from the perspective of the affected person </w:t>
      </w:r>
      <w:r w:rsidRPr="00A90F05">
        <w:t>(e.g., ‘At this time, did gambling cause the person any health problems, including stress or anxiety?’)</w:t>
      </w:r>
      <w:r w:rsidR="00E03CA8">
        <w:t>.</w:t>
      </w:r>
      <w:r w:rsidR="008610D3">
        <w:t xml:space="preserve"> </w:t>
      </w:r>
      <w:r>
        <w:t>However the harm</w:t>
      </w:r>
      <w:r w:rsidR="00531DA2">
        <w:t>s</w:t>
      </w:r>
      <w:r>
        <w:t xml:space="preserve"> were measured in both cases as a self-report from the person who experienced them</w:t>
      </w:r>
      <w:r w:rsidR="0008274B">
        <w:t xml:space="preserve"> (either gambler or affected other)</w:t>
      </w:r>
      <w:r>
        <w:t>.</w:t>
      </w:r>
    </w:p>
    <w:p w14:paraId="0A8E7DFE" w14:textId="77777777" w:rsidR="00D7490F" w:rsidRDefault="00D7490F" w:rsidP="001D5A33">
      <w:pPr>
        <w:pStyle w:val="VRGFBodycontent"/>
      </w:pPr>
    </w:p>
    <w:p w14:paraId="526600B4" w14:textId="77777777" w:rsidR="004A5F9C" w:rsidRDefault="004A5F9C" w:rsidP="001D5A33">
      <w:pPr>
        <w:pStyle w:val="VRGFBodycontent"/>
      </w:pPr>
    </w:p>
    <w:p w14:paraId="2E35EAC2" w14:textId="77777777" w:rsidR="004A5F9C" w:rsidRDefault="004A5F9C" w:rsidP="001D5A33">
      <w:pPr>
        <w:pStyle w:val="VRGFBodycontent"/>
      </w:pPr>
    </w:p>
    <w:p w14:paraId="17842C01" w14:textId="37B029B7" w:rsidR="00C767A9" w:rsidRDefault="00C767A9" w:rsidP="00C3643F">
      <w:pPr>
        <w:pStyle w:val="VRGFHead3"/>
      </w:pPr>
      <w:bookmarkStart w:id="188" w:name="_Toc430172938"/>
      <w:bookmarkStart w:id="189" w:name="_Toc462738033"/>
      <w:r>
        <w:lastRenderedPageBreak/>
        <w:t>Recruitment of participants</w:t>
      </w:r>
      <w:bookmarkEnd w:id="188"/>
      <w:bookmarkEnd w:id="189"/>
      <w:r w:rsidR="00BE3642">
        <w:t xml:space="preserve"> </w:t>
      </w:r>
    </w:p>
    <w:p w14:paraId="4498D4B7" w14:textId="25BEA41C" w:rsidR="00C915C5" w:rsidRDefault="001B164F" w:rsidP="0061777D">
      <w:pPr>
        <w:pStyle w:val="VRGFBodycontent"/>
      </w:pPr>
      <w:r>
        <w:t xml:space="preserve">Research studies conducted within the gambling field have </w:t>
      </w:r>
      <w:r w:rsidR="00FF7189" w:rsidRPr="00FF7189">
        <w:t>use</w:t>
      </w:r>
      <w:r>
        <w:t>d</w:t>
      </w:r>
      <w:r w:rsidR="00FF7189" w:rsidRPr="00FF7189">
        <w:t xml:space="preserve"> online panels</w:t>
      </w:r>
      <w:r>
        <w:t xml:space="preserve"> as a method of </w:t>
      </w:r>
      <w:r w:rsidR="00FF7189" w:rsidRPr="00FF7189">
        <w:t>recruit</w:t>
      </w:r>
      <w:r>
        <w:t>ing</w:t>
      </w:r>
      <w:r w:rsidR="00FF7189" w:rsidRPr="00FF7189">
        <w:t xml:space="preserve"> participants</w:t>
      </w:r>
      <w:r>
        <w:t xml:space="preserve"> </w:t>
      </w:r>
      <w:r w:rsidR="00FF7189" w:rsidRPr="00FF7189">
        <w:t>(Hing, Russell, Gainsbury, &amp; Nuske, 2015; Gainsbury, Wood, Russell, Hing, &amp; Blaszcynski, 2012</w:t>
      </w:r>
      <w:r w:rsidR="0008274B">
        <w:t>)</w:t>
      </w:r>
      <w:r w:rsidR="00E03CA8">
        <w:t>.</w:t>
      </w:r>
      <w:r w:rsidR="008610D3">
        <w:t xml:space="preserve"> </w:t>
      </w:r>
      <w:r w:rsidR="0008274B">
        <w:t>A</w:t>
      </w:r>
      <w:r>
        <w:t xml:space="preserve"> similar </w:t>
      </w:r>
      <w:r w:rsidR="0008274B">
        <w:t xml:space="preserve">online recruitment </w:t>
      </w:r>
      <w:r>
        <w:t>method was adopted here</w:t>
      </w:r>
      <w:r w:rsidR="003A6DA7">
        <w:t xml:space="preserve">, despite concerns about the representativeness and generalisability of online surveys (Fan &amp; Yan, 2010). </w:t>
      </w:r>
      <w:r w:rsidR="00314958">
        <w:t>The panel size of our recruitment provider was quite large w</w:t>
      </w:r>
      <w:r w:rsidR="00FF7189">
        <w:t>hich ensure</w:t>
      </w:r>
      <w:r w:rsidR="00314958">
        <w:t>d</w:t>
      </w:r>
      <w:r w:rsidR="00FF7189">
        <w:t xml:space="preserve"> the recruitment of participants from a wide range of demographics</w:t>
      </w:r>
      <w:r w:rsidR="00E03CA8">
        <w:t>.</w:t>
      </w:r>
      <w:r w:rsidR="008610D3">
        <w:t xml:space="preserve"> </w:t>
      </w:r>
      <w:r>
        <w:t>Our</w:t>
      </w:r>
      <w:r w:rsidR="0061777D" w:rsidRPr="00A90F05">
        <w:t xml:space="preserve"> goal for recruitment was to obtain a stratified sample of harms across PGSI categories</w:t>
      </w:r>
      <w:r w:rsidR="00E03CA8">
        <w:t>.</w:t>
      </w:r>
      <w:r w:rsidR="008610D3">
        <w:t xml:space="preserve"> </w:t>
      </w:r>
      <w:r w:rsidR="0061777D" w:rsidRPr="00A90F05">
        <w:t>Recruitment for</w:t>
      </w:r>
      <w:r w:rsidR="00D14859">
        <w:t xml:space="preserve"> the</w:t>
      </w:r>
      <w:r w:rsidR="0061777D" w:rsidRPr="00A90F05">
        <w:t xml:space="preserve"> online</w:t>
      </w:r>
      <w:r w:rsidR="004170F5">
        <w:t xml:space="preserve"> national</w:t>
      </w:r>
      <w:r w:rsidR="0061777D" w:rsidRPr="00A90F05">
        <w:t xml:space="preserve"> survey was done </w:t>
      </w:r>
      <w:r w:rsidR="004B3B1B" w:rsidRPr="00A90F05">
        <w:t xml:space="preserve">in two stages </w:t>
      </w:r>
      <w:r w:rsidR="0061777D" w:rsidRPr="00A90F05">
        <w:t xml:space="preserve">through </w:t>
      </w:r>
      <w:r w:rsidR="006C4C2F">
        <w:t xml:space="preserve">SSI, </w:t>
      </w:r>
      <w:r w:rsidR="0061777D" w:rsidRPr="00A90F05">
        <w:t xml:space="preserve">an ISO-accredited </w:t>
      </w:r>
      <w:r w:rsidR="006C4C2F">
        <w:t>international</w:t>
      </w:r>
      <w:r w:rsidR="006C4C2F" w:rsidRPr="00A90F05">
        <w:t xml:space="preserve"> </w:t>
      </w:r>
      <w:r w:rsidR="0061777D" w:rsidRPr="00A90F05">
        <w:t>commercial panel provider</w:t>
      </w:r>
      <w:r w:rsidR="00E03CA8">
        <w:t>.</w:t>
      </w:r>
      <w:r w:rsidR="008610D3">
        <w:t xml:space="preserve"> </w:t>
      </w:r>
      <w:r w:rsidR="0061777D" w:rsidRPr="00A90F05">
        <w:t xml:space="preserve">In the first stage of recruitment, the criteria for participation </w:t>
      </w:r>
      <w:r w:rsidR="004B3B1B">
        <w:t>were</w:t>
      </w:r>
      <w:r w:rsidR="004B3B1B" w:rsidRPr="00A90F05">
        <w:t xml:space="preserve"> </w:t>
      </w:r>
      <w:r w:rsidR="0061777D" w:rsidRPr="00A90F05">
        <w:t xml:space="preserve">either: that </w:t>
      </w:r>
      <w:r w:rsidR="0061777D" w:rsidRPr="00A90F05">
        <w:rPr>
          <w:i/>
        </w:rPr>
        <w:t>the participant’s own gambling had caused them problems, no matter how minor</w:t>
      </w:r>
      <w:r w:rsidR="0061777D" w:rsidRPr="00A90F05">
        <w:t xml:space="preserve"> (</w:t>
      </w:r>
      <w:r w:rsidR="0061777D">
        <w:t xml:space="preserve">participants </w:t>
      </w:r>
      <w:r w:rsidR="0061777D" w:rsidRPr="00A90F05">
        <w:t xml:space="preserve">directed toward the questionnaire for gamblers), or </w:t>
      </w:r>
      <w:r w:rsidR="0061777D" w:rsidRPr="00A90F05">
        <w:rPr>
          <w:i/>
        </w:rPr>
        <w:t>having had a close relationship with a person whose gambling had caused them problems, no matter how minor</w:t>
      </w:r>
      <w:r w:rsidR="0061777D" w:rsidRPr="00A90F05">
        <w:t xml:space="preserve"> (directed toward the questionnaire for affected others)</w:t>
      </w:r>
      <w:r w:rsidR="00E03CA8">
        <w:t>.</w:t>
      </w:r>
      <w:r w:rsidR="008610D3">
        <w:t xml:space="preserve"> </w:t>
      </w:r>
      <w:r w:rsidR="001E3D78">
        <w:t>All respondents were residing in</w:t>
      </w:r>
      <w:r w:rsidR="00FA46BC">
        <w:t xml:space="preserve"> New Zealand </w:t>
      </w:r>
      <w:r w:rsidR="001E3D78">
        <w:t xml:space="preserve">at the time of the study and </w:t>
      </w:r>
      <w:r w:rsidR="0061777D" w:rsidRPr="00A90F05">
        <w:t>completed only one questionnaire</w:t>
      </w:r>
      <w:r w:rsidR="00E03CA8">
        <w:t>.</w:t>
      </w:r>
      <w:r w:rsidR="008610D3">
        <w:t xml:space="preserve"> </w:t>
      </w:r>
      <w:r w:rsidR="004B3B1B">
        <w:t>If</w:t>
      </w:r>
      <w:r w:rsidR="0061777D" w:rsidRPr="00A90F05">
        <w:t xml:space="preserve"> a participant fulfilled both criteria, they were directed to complete the </w:t>
      </w:r>
      <w:r w:rsidR="0061777D">
        <w:t>questionnaire for gamblers</w:t>
      </w:r>
      <w:r w:rsidR="00E03CA8">
        <w:t>.</w:t>
      </w:r>
      <w:r w:rsidR="008610D3">
        <w:t xml:space="preserve"> </w:t>
      </w:r>
      <w:r w:rsidR="005A2750">
        <w:t xml:space="preserve">In total, </w:t>
      </w:r>
      <w:r w:rsidR="00FA46BC">
        <w:t xml:space="preserve">902 </w:t>
      </w:r>
      <w:r w:rsidR="005A2750">
        <w:t>respondents were recruited</w:t>
      </w:r>
      <w:r w:rsidR="00FA46BC">
        <w:t xml:space="preserve"> in stage 1</w:t>
      </w:r>
      <w:r w:rsidR="005A2750">
        <w:t xml:space="preserve">. </w:t>
      </w:r>
    </w:p>
    <w:p w14:paraId="4D07E573" w14:textId="1FEC40E8" w:rsidR="0061777D" w:rsidRDefault="0061777D" w:rsidP="0061777D">
      <w:pPr>
        <w:pStyle w:val="VRGFBodycontent"/>
      </w:pPr>
      <w:r w:rsidRPr="00A90F05">
        <w:t xml:space="preserve">Of the </w:t>
      </w:r>
      <w:r w:rsidR="000B30F7">
        <w:t>500</w:t>
      </w:r>
      <w:r w:rsidR="005A2750">
        <w:t xml:space="preserve"> </w:t>
      </w:r>
      <w:r w:rsidRPr="00A90F05">
        <w:t xml:space="preserve">gamblers and </w:t>
      </w:r>
      <w:r w:rsidR="000B30F7">
        <w:t>402</w:t>
      </w:r>
      <w:r w:rsidRPr="00A90F05">
        <w:t xml:space="preserve"> affected others who met the eligibility criteria</w:t>
      </w:r>
      <w:r w:rsidR="00FA46BC">
        <w:t xml:space="preserve"> </w:t>
      </w:r>
      <w:r w:rsidRPr="00A90F05">
        <w:t>and completed the survey</w:t>
      </w:r>
      <w:r w:rsidRPr="0037487A">
        <w:t xml:space="preserve">, </w:t>
      </w:r>
      <w:r w:rsidR="000B30F7">
        <w:t>59</w:t>
      </w:r>
      <w:r w:rsidRPr="00BD1298">
        <w:t>%</w:t>
      </w:r>
      <w:r w:rsidRPr="0037487A">
        <w:t xml:space="preserve"> of </w:t>
      </w:r>
      <w:r w:rsidRPr="00210759">
        <w:t xml:space="preserve">gamblers and </w:t>
      </w:r>
      <w:r w:rsidR="000B30F7">
        <w:t>76</w:t>
      </w:r>
      <w:r w:rsidRPr="00BD1298">
        <w:t>%</w:t>
      </w:r>
      <w:r w:rsidRPr="00A174CE">
        <w:t xml:space="preserve"> of affected others reported </w:t>
      </w:r>
      <w:r w:rsidR="006C4C2F">
        <w:t xml:space="preserve">the existence of </w:t>
      </w:r>
      <w:r w:rsidRPr="00A174CE">
        <w:t>gambling problems</w:t>
      </w:r>
      <w:r w:rsidR="00E03CA8">
        <w:t>.</w:t>
      </w:r>
      <w:r w:rsidR="008610D3">
        <w:t xml:space="preserve"> </w:t>
      </w:r>
      <w:r w:rsidR="00FA46BC">
        <w:t>T</w:t>
      </w:r>
      <w:r w:rsidRPr="00A174CE">
        <w:t xml:space="preserve">he sampling design </w:t>
      </w:r>
      <w:r w:rsidR="006C4C2F">
        <w:t>yielded a</w:t>
      </w:r>
      <w:r w:rsidRPr="00A174CE">
        <w:t xml:space="preserve"> high proportion</w:t>
      </w:r>
      <w:r>
        <w:t xml:space="preserve"> of gamblers at the higher levels of gambling problem severity </w:t>
      </w:r>
      <w:r w:rsidR="006C4C2F">
        <w:t>due to</w:t>
      </w:r>
      <w:r>
        <w:t xml:space="preserve"> the screening criteria</w:t>
      </w:r>
      <w:r w:rsidR="00E03CA8">
        <w:t>.</w:t>
      </w:r>
      <w:r w:rsidR="008610D3">
        <w:t xml:space="preserve"> </w:t>
      </w:r>
      <w:r w:rsidRPr="00A90F05">
        <w:t>In order to achieve a greater representation of participants in lower-risk categories, we initiated a second stage of recruitment</w:t>
      </w:r>
      <w:r w:rsidR="00E03CA8">
        <w:t>.</w:t>
      </w:r>
      <w:r w:rsidR="008610D3">
        <w:t xml:space="preserve"> </w:t>
      </w:r>
      <w:r w:rsidRPr="00A90F05">
        <w:t xml:space="preserve">The screening criteria were modified to indicate a time in the participant’s life </w:t>
      </w:r>
      <w:r w:rsidRPr="00A90F05">
        <w:rPr>
          <w:i/>
        </w:rPr>
        <w:t>when they were gambling often</w:t>
      </w:r>
      <w:r w:rsidRPr="00A90F05">
        <w:t xml:space="preserve"> (directed toward the questionnaire for gamblers), or </w:t>
      </w:r>
      <w:r w:rsidRPr="00A90F05">
        <w:rPr>
          <w:i/>
        </w:rPr>
        <w:t>had a close relationship with someone who was gambling often</w:t>
      </w:r>
      <w:r w:rsidRPr="00A90F05">
        <w:t xml:space="preserve"> (directed toward the questionnaire for affected others)</w:t>
      </w:r>
      <w:r w:rsidR="00E03CA8">
        <w:t>.</w:t>
      </w:r>
      <w:r w:rsidR="008610D3">
        <w:t xml:space="preserve"> </w:t>
      </w:r>
      <w:r>
        <w:t>Thus, the criteria for inclusion made no reference to gambling problems, only towards ‘gambling often’</w:t>
      </w:r>
      <w:r w:rsidR="00E03CA8">
        <w:t>.</w:t>
      </w:r>
      <w:r w:rsidR="008610D3">
        <w:t xml:space="preserve"> </w:t>
      </w:r>
      <w:r w:rsidRPr="00A90F05">
        <w:t xml:space="preserve">A further </w:t>
      </w:r>
      <w:r w:rsidR="000B30F7">
        <w:t>451</w:t>
      </w:r>
      <w:r w:rsidRPr="00A90F05">
        <w:t xml:space="preserve"> gamblers and </w:t>
      </w:r>
      <w:r w:rsidR="000B30F7" w:rsidRPr="00FA46BC">
        <w:t>189</w:t>
      </w:r>
      <w:r w:rsidRPr="00FA46BC">
        <w:t xml:space="preserve"> </w:t>
      </w:r>
      <w:r w:rsidRPr="00A90F05">
        <w:t xml:space="preserve">affected others were recruited in the second stage, with </w:t>
      </w:r>
      <w:r w:rsidR="000B30F7">
        <w:t>25</w:t>
      </w:r>
      <w:r w:rsidRPr="00A90F05">
        <w:t xml:space="preserve">% of gamblers and </w:t>
      </w:r>
      <w:r w:rsidR="000B30F7">
        <w:t>56</w:t>
      </w:r>
      <w:r w:rsidRPr="00A90F05">
        <w:t xml:space="preserve">% affected others in this group </w:t>
      </w:r>
      <w:r>
        <w:t>meeting the criteria for problem gambling base</w:t>
      </w:r>
      <w:r w:rsidR="00FA46BC">
        <w:t>d</w:t>
      </w:r>
      <w:r>
        <w:t xml:space="preserve"> on the PGSI cut-off</w:t>
      </w:r>
      <w:r w:rsidR="004B3B1B">
        <w:t xml:space="preserve"> score of 8</w:t>
      </w:r>
      <w:r w:rsidRPr="00A90F05">
        <w:t>.</w:t>
      </w:r>
    </w:p>
    <w:p w14:paraId="2540FF60" w14:textId="33251717" w:rsidR="00626D18" w:rsidRDefault="00626D18" w:rsidP="00C3507E">
      <w:pPr>
        <w:pStyle w:val="VRGFBodycontent"/>
      </w:pPr>
      <w:r>
        <w:t>The demographic characteristics of the sample are presented in</w:t>
      </w:r>
      <w:r w:rsidR="005C708B">
        <w:t xml:space="preserve"> </w:t>
      </w:r>
      <w:r w:rsidR="005C708B">
        <w:fldChar w:fldCharType="begin"/>
      </w:r>
      <w:r w:rsidR="005C708B">
        <w:instrText xml:space="preserve"> REF _Ref437873352 \h </w:instrText>
      </w:r>
      <w:r w:rsidR="005C708B">
        <w:fldChar w:fldCharType="separate"/>
      </w:r>
      <w:r w:rsidR="0006479A">
        <w:t xml:space="preserve">Table </w:t>
      </w:r>
      <w:r w:rsidR="0006479A">
        <w:rPr>
          <w:noProof/>
        </w:rPr>
        <w:t>5</w:t>
      </w:r>
      <w:r w:rsidR="005C708B">
        <w:fldChar w:fldCharType="end"/>
      </w:r>
      <w:r w:rsidR="00E03CA8">
        <w:t>.</w:t>
      </w:r>
      <w:r w:rsidR="008610D3">
        <w:t xml:space="preserve"> </w:t>
      </w:r>
      <w:r w:rsidR="00696CB8">
        <w:t xml:space="preserve">A key aim of the </w:t>
      </w:r>
      <w:r w:rsidR="00B375D2">
        <w:t xml:space="preserve">survey was to obtain </w:t>
      </w:r>
      <w:r w:rsidR="00C13868">
        <w:t xml:space="preserve">responses from gamblers and affected others </w:t>
      </w:r>
      <w:r w:rsidR="006C4C2F">
        <w:t xml:space="preserve">in </w:t>
      </w:r>
      <w:r w:rsidR="00C13868">
        <w:t xml:space="preserve">varying </w:t>
      </w:r>
      <w:r w:rsidR="00124C1C">
        <w:t xml:space="preserve">life situations, experiencing different </w:t>
      </w:r>
      <w:r w:rsidR="00C13868">
        <w:t>degree</w:t>
      </w:r>
      <w:r w:rsidR="00124C1C">
        <w:t>s</w:t>
      </w:r>
      <w:r w:rsidR="00C13868">
        <w:t xml:space="preserve"> of impac</w:t>
      </w:r>
      <w:r w:rsidR="006C4C2F">
        <w:t>t</w:t>
      </w:r>
      <w:r w:rsidR="00C13868">
        <w:t xml:space="preserve"> from gambling</w:t>
      </w:r>
      <w:r w:rsidR="00E03CA8">
        <w:t>.</w:t>
      </w:r>
      <w:r w:rsidR="008610D3">
        <w:t xml:space="preserve"> </w:t>
      </w:r>
      <w:r w:rsidR="006C4C2F">
        <w:t xml:space="preserve">In order to capture population heterogeneity, </w:t>
      </w:r>
      <w:r w:rsidR="00696CB8">
        <w:t xml:space="preserve">we recruited a </w:t>
      </w:r>
      <w:r w:rsidR="006C4C2F">
        <w:t xml:space="preserve">reasonably </w:t>
      </w:r>
      <w:r w:rsidR="00696CB8">
        <w:t xml:space="preserve">large number of respondents (N </w:t>
      </w:r>
      <w:r w:rsidR="00696CB8" w:rsidRPr="00FA46BC">
        <w:t xml:space="preserve">= </w:t>
      </w:r>
      <w:r w:rsidR="00DD464D" w:rsidRPr="00FA46BC">
        <w:t>1</w:t>
      </w:r>
      <w:r w:rsidR="004B3B1B">
        <w:t>,</w:t>
      </w:r>
      <w:r w:rsidR="00DD464D" w:rsidRPr="00FA46BC">
        <w:t>5</w:t>
      </w:r>
      <w:r w:rsidR="00696CB8" w:rsidRPr="00FA46BC">
        <w:t>2</w:t>
      </w:r>
      <w:r w:rsidR="00DD464D" w:rsidRPr="00FA46BC">
        <w:t>4</w:t>
      </w:r>
      <w:r w:rsidR="00696CB8">
        <w:t>)</w:t>
      </w:r>
      <w:r w:rsidR="00ED469F">
        <w:t>,</w:t>
      </w:r>
      <w:r w:rsidR="00696CB8">
        <w:t xml:space="preserve"> varying </w:t>
      </w:r>
      <w:r w:rsidR="00ED469F">
        <w:t xml:space="preserve">in </w:t>
      </w:r>
      <w:r w:rsidR="00696CB8">
        <w:t xml:space="preserve">demographic </w:t>
      </w:r>
      <w:r w:rsidR="00ED469F">
        <w:t>characteristics</w:t>
      </w:r>
      <w:r w:rsidR="00696CB8">
        <w:t xml:space="preserve">. </w:t>
      </w:r>
    </w:p>
    <w:p w14:paraId="381EA60A" w14:textId="77777777" w:rsidR="005606CA" w:rsidRDefault="005606CA" w:rsidP="00C3507E">
      <w:pPr>
        <w:pStyle w:val="VRGFBodycontent"/>
      </w:pPr>
    </w:p>
    <w:p w14:paraId="0425FDFB" w14:textId="77777777" w:rsidR="002E05E5" w:rsidRDefault="002E05E5" w:rsidP="00C3507E">
      <w:pPr>
        <w:pStyle w:val="VRGFBodycontent"/>
      </w:pPr>
    </w:p>
    <w:p w14:paraId="12A4EA35" w14:textId="77777777" w:rsidR="002E05E5" w:rsidRDefault="002E05E5" w:rsidP="00C3507E">
      <w:pPr>
        <w:pStyle w:val="VRGFBodycontent"/>
      </w:pPr>
    </w:p>
    <w:p w14:paraId="5BB9A3E2" w14:textId="77777777" w:rsidR="002E05E5" w:rsidRDefault="002E05E5" w:rsidP="00C3507E">
      <w:pPr>
        <w:pStyle w:val="VRGFBodycontent"/>
      </w:pPr>
    </w:p>
    <w:p w14:paraId="7BD0EA84" w14:textId="77777777" w:rsidR="002E05E5" w:rsidRDefault="002E05E5" w:rsidP="00C3507E">
      <w:pPr>
        <w:pStyle w:val="VRGFBodycontent"/>
      </w:pPr>
    </w:p>
    <w:p w14:paraId="18C1CCDB" w14:textId="77777777" w:rsidR="002E05E5" w:rsidRDefault="002E05E5" w:rsidP="00C3507E">
      <w:pPr>
        <w:pStyle w:val="VRGFBodycontent"/>
      </w:pPr>
    </w:p>
    <w:p w14:paraId="5DDCAD9F" w14:textId="77777777" w:rsidR="002E05E5" w:rsidRDefault="002E05E5" w:rsidP="00C3507E">
      <w:pPr>
        <w:pStyle w:val="VRGFBodycontent"/>
      </w:pPr>
    </w:p>
    <w:p w14:paraId="5D87E650" w14:textId="77777777" w:rsidR="003A2A21" w:rsidRDefault="003A2A21" w:rsidP="00C3507E">
      <w:pPr>
        <w:pStyle w:val="VRGFBodycontent"/>
      </w:pPr>
    </w:p>
    <w:p w14:paraId="5FEACF31" w14:textId="0E7BD9AD" w:rsidR="009930D1" w:rsidRPr="005F4A77" w:rsidRDefault="005C708B" w:rsidP="005C708B">
      <w:pPr>
        <w:pStyle w:val="Caption"/>
        <w:rPr>
          <w:color w:val="1C3158"/>
        </w:rPr>
      </w:pPr>
      <w:bookmarkStart w:id="190" w:name="_Ref437873352"/>
      <w:bookmarkStart w:id="191" w:name="_Toc462738108"/>
      <w:r>
        <w:lastRenderedPageBreak/>
        <w:t xml:space="preserve">Table </w:t>
      </w:r>
      <w:fldSimple w:instr=" SEQ Table \* ARABIC ">
        <w:r w:rsidR="0006479A">
          <w:rPr>
            <w:noProof/>
          </w:rPr>
          <w:t>5</w:t>
        </w:r>
      </w:fldSimple>
      <w:bookmarkEnd w:id="190"/>
      <w:r w:rsidR="00E03CA8">
        <w:t>.</w:t>
      </w:r>
      <w:r w:rsidR="008610D3">
        <w:t xml:space="preserve"> </w:t>
      </w:r>
      <w:r w:rsidR="00B12EEB" w:rsidRPr="005F4A77">
        <w:rPr>
          <w:color w:val="1C3158"/>
        </w:rPr>
        <w:t>Demographic characteristics</w:t>
      </w:r>
      <w:bookmarkEnd w:id="191"/>
      <w:r w:rsidR="00B12EEB" w:rsidRPr="005F4A77">
        <w:rPr>
          <w:color w:val="1C3158"/>
        </w:rPr>
        <w:t xml:space="preserve"> </w:t>
      </w:r>
    </w:p>
    <w:tbl>
      <w:tblPr>
        <w:tblW w:w="6729" w:type="dxa"/>
        <w:tblLook w:val="04A0" w:firstRow="1" w:lastRow="0" w:firstColumn="1" w:lastColumn="0" w:noHBand="0" w:noVBand="1"/>
      </w:tblPr>
      <w:tblGrid>
        <w:gridCol w:w="1701"/>
        <w:gridCol w:w="2962"/>
        <w:gridCol w:w="992"/>
        <w:gridCol w:w="1074"/>
      </w:tblGrid>
      <w:tr w:rsidR="006F6929" w:rsidRPr="00DD0DBE" w14:paraId="04A99CD5" w14:textId="77777777" w:rsidTr="00124C1C">
        <w:trPr>
          <w:trHeight w:val="255"/>
          <w:tblHeader/>
        </w:trPr>
        <w:tc>
          <w:tcPr>
            <w:tcW w:w="1701" w:type="dxa"/>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05C5A2E6" w14:textId="77777777" w:rsidR="006F6929" w:rsidRPr="00DD0DBE" w:rsidRDefault="006F6929" w:rsidP="00406FB4">
            <w:pPr>
              <w:tabs>
                <w:tab w:val="clear" w:pos="426"/>
              </w:tabs>
              <w:spacing w:before="0" w:after="0" w:line="240" w:lineRule="auto"/>
              <w:ind w:left="0" w:right="0"/>
              <w:rPr>
                <w:rFonts w:cs="Arial"/>
                <w:b/>
                <w:bCs/>
                <w:color w:val="1C3158"/>
                <w:sz w:val="18"/>
                <w:lang w:eastAsia="ja-JP"/>
              </w:rPr>
            </w:pPr>
            <w:r w:rsidRPr="00DD0DBE">
              <w:rPr>
                <w:rFonts w:cs="Arial"/>
                <w:b/>
                <w:bCs/>
                <w:color w:val="1C3158"/>
                <w:sz w:val="18"/>
                <w:lang w:eastAsia="ja-JP"/>
              </w:rPr>
              <w:t>Variable</w:t>
            </w:r>
          </w:p>
        </w:tc>
        <w:tc>
          <w:tcPr>
            <w:tcW w:w="2962" w:type="dxa"/>
            <w:tcBorders>
              <w:top w:val="single" w:sz="12" w:space="0" w:color="FF9E3C"/>
              <w:left w:val="nil"/>
              <w:bottom w:val="single" w:sz="12" w:space="0" w:color="FF9E3C"/>
              <w:right w:val="single" w:sz="12" w:space="0" w:color="FF9E3C"/>
            </w:tcBorders>
            <w:shd w:val="clear" w:color="000000" w:fill="FFBC64"/>
            <w:vAlign w:val="center"/>
            <w:hideMark/>
          </w:tcPr>
          <w:p w14:paraId="0A06FC31" w14:textId="77777777" w:rsidR="006F6929" w:rsidRPr="00DD0DBE" w:rsidRDefault="006F6929" w:rsidP="00124C1C">
            <w:pPr>
              <w:tabs>
                <w:tab w:val="clear" w:pos="426"/>
              </w:tabs>
              <w:spacing w:before="0" w:after="0" w:line="240" w:lineRule="auto"/>
              <w:ind w:left="0" w:right="0"/>
              <w:rPr>
                <w:rFonts w:cs="Arial"/>
                <w:b/>
                <w:bCs/>
                <w:color w:val="1C3158"/>
                <w:sz w:val="18"/>
                <w:lang w:eastAsia="ja-JP"/>
              </w:rPr>
            </w:pPr>
            <w:r w:rsidRPr="00DD0DBE">
              <w:rPr>
                <w:rFonts w:cs="Arial"/>
                <w:b/>
                <w:bCs/>
                <w:color w:val="1C3158"/>
                <w:sz w:val="18"/>
                <w:lang w:eastAsia="ja-JP"/>
              </w:rPr>
              <w:t>Sub-category</w:t>
            </w:r>
          </w:p>
        </w:tc>
        <w:tc>
          <w:tcPr>
            <w:tcW w:w="992" w:type="dxa"/>
            <w:tcBorders>
              <w:top w:val="single" w:sz="12" w:space="0" w:color="FF9E3C"/>
              <w:left w:val="nil"/>
              <w:bottom w:val="single" w:sz="12" w:space="0" w:color="FF9E3C"/>
              <w:right w:val="single" w:sz="12" w:space="0" w:color="FF9E3C"/>
            </w:tcBorders>
            <w:shd w:val="clear" w:color="000000" w:fill="FFBC64"/>
            <w:vAlign w:val="center"/>
            <w:hideMark/>
          </w:tcPr>
          <w:p w14:paraId="4905A4D7" w14:textId="77777777" w:rsidR="006F6929" w:rsidRPr="00DD0DBE" w:rsidRDefault="006F6929" w:rsidP="00AE22C6">
            <w:pPr>
              <w:tabs>
                <w:tab w:val="clear" w:pos="426"/>
              </w:tabs>
              <w:spacing w:before="0" w:after="0" w:line="240" w:lineRule="auto"/>
              <w:ind w:left="0" w:right="0"/>
              <w:jc w:val="right"/>
              <w:rPr>
                <w:rFonts w:cs="Arial"/>
                <w:b/>
                <w:bCs/>
                <w:color w:val="1C3158"/>
                <w:sz w:val="18"/>
                <w:lang w:eastAsia="ja-JP"/>
              </w:rPr>
            </w:pPr>
            <w:r w:rsidRPr="00DD0DBE">
              <w:rPr>
                <w:rFonts w:cs="Arial"/>
                <w:b/>
                <w:bCs/>
                <w:color w:val="1C3158"/>
                <w:sz w:val="18"/>
                <w:lang w:eastAsia="ja-JP"/>
              </w:rPr>
              <w:t>n</w:t>
            </w:r>
          </w:p>
        </w:tc>
        <w:tc>
          <w:tcPr>
            <w:tcW w:w="1074" w:type="dxa"/>
            <w:tcBorders>
              <w:top w:val="single" w:sz="12" w:space="0" w:color="FF9E3C"/>
              <w:left w:val="nil"/>
              <w:bottom w:val="single" w:sz="12" w:space="0" w:color="FF9E3C"/>
              <w:right w:val="single" w:sz="12" w:space="0" w:color="FF9E3C"/>
            </w:tcBorders>
            <w:shd w:val="clear" w:color="000000" w:fill="FFBC64"/>
            <w:vAlign w:val="center"/>
            <w:hideMark/>
          </w:tcPr>
          <w:p w14:paraId="7891990E" w14:textId="77777777" w:rsidR="006F6929" w:rsidRPr="00DD0DBE" w:rsidRDefault="006F6929" w:rsidP="00AE22C6">
            <w:pPr>
              <w:tabs>
                <w:tab w:val="clear" w:pos="426"/>
              </w:tabs>
              <w:spacing w:before="0" w:after="0" w:line="240" w:lineRule="auto"/>
              <w:ind w:left="0" w:right="0"/>
              <w:jc w:val="right"/>
              <w:rPr>
                <w:rFonts w:cs="Arial"/>
                <w:b/>
                <w:bCs/>
                <w:color w:val="1C3158"/>
                <w:sz w:val="18"/>
                <w:lang w:eastAsia="ja-JP"/>
              </w:rPr>
            </w:pPr>
            <w:r w:rsidRPr="00DD0DBE">
              <w:rPr>
                <w:rFonts w:cs="Arial"/>
                <w:b/>
                <w:bCs/>
                <w:color w:val="1C3158"/>
                <w:sz w:val="18"/>
                <w:lang w:eastAsia="ja-JP"/>
              </w:rPr>
              <w:t>%</w:t>
            </w:r>
          </w:p>
        </w:tc>
      </w:tr>
      <w:tr w:rsidR="006F6929" w:rsidRPr="00DD0DBE" w14:paraId="0F7844FC" w14:textId="77777777" w:rsidTr="00124C1C">
        <w:trPr>
          <w:trHeight w:val="255"/>
        </w:trPr>
        <w:tc>
          <w:tcPr>
            <w:tcW w:w="1701"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79F25CD6"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Group</w:t>
            </w:r>
          </w:p>
        </w:tc>
        <w:tc>
          <w:tcPr>
            <w:tcW w:w="2962" w:type="dxa"/>
            <w:tcBorders>
              <w:top w:val="nil"/>
              <w:left w:val="nil"/>
              <w:bottom w:val="single" w:sz="12" w:space="0" w:color="FF9E3C"/>
              <w:right w:val="single" w:sz="12" w:space="0" w:color="FF9E3C"/>
            </w:tcBorders>
            <w:shd w:val="clear" w:color="auto" w:fill="auto"/>
            <w:vAlign w:val="center"/>
            <w:hideMark/>
          </w:tcPr>
          <w:p w14:paraId="61E06631"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Gambler</w:t>
            </w:r>
          </w:p>
        </w:tc>
        <w:tc>
          <w:tcPr>
            <w:tcW w:w="992" w:type="dxa"/>
            <w:tcBorders>
              <w:top w:val="nil"/>
              <w:left w:val="nil"/>
              <w:bottom w:val="single" w:sz="12" w:space="0" w:color="FF9E3C"/>
              <w:right w:val="single" w:sz="12" w:space="0" w:color="FF9E3C"/>
            </w:tcBorders>
            <w:shd w:val="clear" w:color="auto" w:fill="auto"/>
            <w:vAlign w:val="center"/>
            <w:hideMark/>
          </w:tcPr>
          <w:p w14:paraId="78BD47BB"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951</w:t>
            </w:r>
          </w:p>
        </w:tc>
        <w:tc>
          <w:tcPr>
            <w:tcW w:w="1074" w:type="dxa"/>
            <w:tcBorders>
              <w:top w:val="nil"/>
              <w:left w:val="nil"/>
              <w:bottom w:val="single" w:sz="12" w:space="0" w:color="FF9E3C"/>
              <w:right w:val="single" w:sz="12" w:space="0" w:color="FF9E3C"/>
            </w:tcBorders>
            <w:shd w:val="clear" w:color="auto" w:fill="auto"/>
            <w:vAlign w:val="center"/>
            <w:hideMark/>
          </w:tcPr>
          <w:p w14:paraId="1075BA49"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61.7</w:t>
            </w:r>
          </w:p>
        </w:tc>
      </w:tr>
      <w:tr w:rsidR="006F6929" w:rsidRPr="00DD0DBE" w14:paraId="79837B5D"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13FB2F72"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2657EF39"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 xml:space="preserve">Affected other </w:t>
            </w:r>
          </w:p>
        </w:tc>
        <w:tc>
          <w:tcPr>
            <w:tcW w:w="992" w:type="dxa"/>
            <w:tcBorders>
              <w:top w:val="nil"/>
              <w:left w:val="nil"/>
              <w:bottom w:val="single" w:sz="12" w:space="0" w:color="FF9E3C"/>
              <w:right w:val="single" w:sz="12" w:space="0" w:color="FF9E3C"/>
            </w:tcBorders>
            <w:shd w:val="clear" w:color="auto" w:fill="auto"/>
            <w:vAlign w:val="center"/>
            <w:hideMark/>
          </w:tcPr>
          <w:p w14:paraId="16812A23"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591</w:t>
            </w:r>
          </w:p>
        </w:tc>
        <w:tc>
          <w:tcPr>
            <w:tcW w:w="1074" w:type="dxa"/>
            <w:tcBorders>
              <w:top w:val="nil"/>
              <w:left w:val="nil"/>
              <w:bottom w:val="single" w:sz="12" w:space="0" w:color="FF9E3C"/>
              <w:right w:val="single" w:sz="12" w:space="0" w:color="FF9E3C"/>
            </w:tcBorders>
            <w:shd w:val="clear" w:color="auto" w:fill="auto"/>
            <w:vAlign w:val="center"/>
            <w:hideMark/>
          </w:tcPr>
          <w:p w14:paraId="743A3EAD"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38.3</w:t>
            </w:r>
          </w:p>
        </w:tc>
      </w:tr>
      <w:tr w:rsidR="006F6929" w:rsidRPr="00DD0DBE" w14:paraId="59460598" w14:textId="77777777" w:rsidTr="00124C1C">
        <w:trPr>
          <w:trHeight w:val="255"/>
        </w:trPr>
        <w:tc>
          <w:tcPr>
            <w:tcW w:w="1701"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44209D30"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Gender</w:t>
            </w:r>
          </w:p>
        </w:tc>
        <w:tc>
          <w:tcPr>
            <w:tcW w:w="2962" w:type="dxa"/>
            <w:tcBorders>
              <w:top w:val="nil"/>
              <w:left w:val="nil"/>
              <w:bottom w:val="single" w:sz="12" w:space="0" w:color="FF9E3C"/>
              <w:right w:val="single" w:sz="12" w:space="0" w:color="FF9E3C"/>
            </w:tcBorders>
            <w:shd w:val="clear" w:color="auto" w:fill="auto"/>
            <w:vAlign w:val="center"/>
            <w:hideMark/>
          </w:tcPr>
          <w:p w14:paraId="323B24C3"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 xml:space="preserve">Male </w:t>
            </w:r>
          </w:p>
        </w:tc>
        <w:tc>
          <w:tcPr>
            <w:tcW w:w="992" w:type="dxa"/>
            <w:tcBorders>
              <w:top w:val="nil"/>
              <w:left w:val="nil"/>
              <w:bottom w:val="single" w:sz="12" w:space="0" w:color="FF9E3C"/>
              <w:right w:val="single" w:sz="12" w:space="0" w:color="FF9E3C"/>
            </w:tcBorders>
            <w:shd w:val="clear" w:color="auto" w:fill="auto"/>
            <w:vAlign w:val="center"/>
            <w:hideMark/>
          </w:tcPr>
          <w:p w14:paraId="21FE1D04"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703</w:t>
            </w:r>
          </w:p>
        </w:tc>
        <w:tc>
          <w:tcPr>
            <w:tcW w:w="1074" w:type="dxa"/>
            <w:tcBorders>
              <w:top w:val="nil"/>
              <w:left w:val="nil"/>
              <w:bottom w:val="single" w:sz="12" w:space="0" w:color="FF9E3C"/>
              <w:right w:val="single" w:sz="12" w:space="0" w:color="FF9E3C"/>
            </w:tcBorders>
            <w:shd w:val="clear" w:color="auto" w:fill="auto"/>
            <w:vAlign w:val="center"/>
            <w:hideMark/>
          </w:tcPr>
          <w:p w14:paraId="2CABE391"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45.6</w:t>
            </w:r>
          </w:p>
        </w:tc>
      </w:tr>
      <w:tr w:rsidR="006F6929" w:rsidRPr="00DD0DBE" w14:paraId="505FBC88"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6E5182D7"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48155E27"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 xml:space="preserve">Female </w:t>
            </w:r>
          </w:p>
        </w:tc>
        <w:tc>
          <w:tcPr>
            <w:tcW w:w="992" w:type="dxa"/>
            <w:tcBorders>
              <w:top w:val="nil"/>
              <w:left w:val="nil"/>
              <w:bottom w:val="single" w:sz="12" w:space="0" w:color="FF9E3C"/>
              <w:right w:val="single" w:sz="12" w:space="0" w:color="FF9E3C"/>
            </w:tcBorders>
            <w:shd w:val="clear" w:color="auto" w:fill="auto"/>
            <w:vAlign w:val="center"/>
            <w:hideMark/>
          </w:tcPr>
          <w:p w14:paraId="76C9D54E"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839</w:t>
            </w:r>
          </w:p>
        </w:tc>
        <w:tc>
          <w:tcPr>
            <w:tcW w:w="1074" w:type="dxa"/>
            <w:tcBorders>
              <w:top w:val="nil"/>
              <w:left w:val="nil"/>
              <w:bottom w:val="single" w:sz="12" w:space="0" w:color="FF9E3C"/>
              <w:right w:val="single" w:sz="12" w:space="0" w:color="FF9E3C"/>
            </w:tcBorders>
            <w:shd w:val="clear" w:color="auto" w:fill="auto"/>
            <w:vAlign w:val="center"/>
            <w:hideMark/>
          </w:tcPr>
          <w:p w14:paraId="38091B0E"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54.4</w:t>
            </w:r>
          </w:p>
        </w:tc>
      </w:tr>
      <w:tr w:rsidR="006F6929" w:rsidRPr="00DD0DBE" w14:paraId="37BFB827" w14:textId="77777777" w:rsidTr="00124C1C">
        <w:trPr>
          <w:trHeight w:val="255"/>
        </w:trPr>
        <w:tc>
          <w:tcPr>
            <w:tcW w:w="1701"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03D07C16" w14:textId="1414E0FD"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Age</w:t>
            </w:r>
            <w:r w:rsidR="002E05E5" w:rsidRPr="002E05E5">
              <w:rPr>
                <w:rFonts w:cs="Arial"/>
                <w:color w:val="1C3158"/>
                <w:sz w:val="18"/>
                <w:vertAlign w:val="superscript"/>
                <w:lang w:eastAsia="ja-JP"/>
              </w:rPr>
              <w:t>a</w:t>
            </w:r>
          </w:p>
        </w:tc>
        <w:tc>
          <w:tcPr>
            <w:tcW w:w="2962" w:type="dxa"/>
            <w:tcBorders>
              <w:top w:val="nil"/>
              <w:left w:val="nil"/>
              <w:bottom w:val="single" w:sz="12" w:space="0" w:color="FF9E3C"/>
              <w:right w:val="single" w:sz="12" w:space="0" w:color="FF9E3C"/>
            </w:tcBorders>
            <w:shd w:val="clear" w:color="auto" w:fill="auto"/>
            <w:vAlign w:val="center"/>
            <w:hideMark/>
          </w:tcPr>
          <w:p w14:paraId="703500D3"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18-24 yrs</w:t>
            </w:r>
          </w:p>
        </w:tc>
        <w:tc>
          <w:tcPr>
            <w:tcW w:w="992" w:type="dxa"/>
            <w:tcBorders>
              <w:top w:val="nil"/>
              <w:left w:val="nil"/>
              <w:bottom w:val="single" w:sz="12" w:space="0" w:color="FF9E3C"/>
              <w:right w:val="single" w:sz="12" w:space="0" w:color="FF9E3C"/>
            </w:tcBorders>
            <w:shd w:val="clear" w:color="auto" w:fill="auto"/>
            <w:vAlign w:val="center"/>
            <w:hideMark/>
          </w:tcPr>
          <w:p w14:paraId="3C6D9EA1"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134</w:t>
            </w:r>
          </w:p>
        </w:tc>
        <w:tc>
          <w:tcPr>
            <w:tcW w:w="1074" w:type="dxa"/>
            <w:tcBorders>
              <w:top w:val="nil"/>
              <w:left w:val="nil"/>
              <w:bottom w:val="single" w:sz="12" w:space="0" w:color="FF9E3C"/>
              <w:right w:val="single" w:sz="12" w:space="0" w:color="FF9E3C"/>
            </w:tcBorders>
            <w:shd w:val="clear" w:color="auto" w:fill="auto"/>
            <w:vAlign w:val="center"/>
            <w:hideMark/>
          </w:tcPr>
          <w:p w14:paraId="546B699E"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8.7</w:t>
            </w:r>
          </w:p>
        </w:tc>
      </w:tr>
      <w:tr w:rsidR="006F6929" w:rsidRPr="00DD0DBE" w14:paraId="4244C39A"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51087D45"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4DBA9662"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25-34 yrs</w:t>
            </w:r>
          </w:p>
        </w:tc>
        <w:tc>
          <w:tcPr>
            <w:tcW w:w="992" w:type="dxa"/>
            <w:tcBorders>
              <w:top w:val="nil"/>
              <w:left w:val="nil"/>
              <w:bottom w:val="single" w:sz="12" w:space="0" w:color="FF9E3C"/>
              <w:right w:val="single" w:sz="12" w:space="0" w:color="FF9E3C"/>
            </w:tcBorders>
            <w:shd w:val="clear" w:color="auto" w:fill="auto"/>
            <w:vAlign w:val="center"/>
            <w:hideMark/>
          </w:tcPr>
          <w:p w14:paraId="0A281109"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343</w:t>
            </w:r>
          </w:p>
        </w:tc>
        <w:tc>
          <w:tcPr>
            <w:tcW w:w="1074" w:type="dxa"/>
            <w:tcBorders>
              <w:top w:val="nil"/>
              <w:left w:val="nil"/>
              <w:bottom w:val="single" w:sz="12" w:space="0" w:color="FF9E3C"/>
              <w:right w:val="single" w:sz="12" w:space="0" w:color="FF9E3C"/>
            </w:tcBorders>
            <w:shd w:val="clear" w:color="auto" w:fill="auto"/>
            <w:vAlign w:val="center"/>
            <w:hideMark/>
          </w:tcPr>
          <w:p w14:paraId="3E223B2B"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22.4</w:t>
            </w:r>
          </w:p>
        </w:tc>
      </w:tr>
      <w:tr w:rsidR="006F6929" w:rsidRPr="00DD0DBE" w14:paraId="62DB1ED5"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6310C2C2"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150C8830"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35-49 yrs</w:t>
            </w:r>
          </w:p>
        </w:tc>
        <w:tc>
          <w:tcPr>
            <w:tcW w:w="992" w:type="dxa"/>
            <w:tcBorders>
              <w:top w:val="nil"/>
              <w:left w:val="nil"/>
              <w:bottom w:val="single" w:sz="12" w:space="0" w:color="FF9E3C"/>
              <w:right w:val="single" w:sz="12" w:space="0" w:color="FF9E3C"/>
            </w:tcBorders>
            <w:shd w:val="clear" w:color="auto" w:fill="auto"/>
            <w:vAlign w:val="center"/>
            <w:hideMark/>
          </w:tcPr>
          <w:p w14:paraId="1CD148A5"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463</w:t>
            </w:r>
          </w:p>
        </w:tc>
        <w:tc>
          <w:tcPr>
            <w:tcW w:w="1074" w:type="dxa"/>
            <w:tcBorders>
              <w:top w:val="nil"/>
              <w:left w:val="nil"/>
              <w:bottom w:val="single" w:sz="12" w:space="0" w:color="FF9E3C"/>
              <w:right w:val="single" w:sz="12" w:space="0" w:color="FF9E3C"/>
            </w:tcBorders>
            <w:shd w:val="clear" w:color="auto" w:fill="auto"/>
            <w:vAlign w:val="center"/>
            <w:hideMark/>
          </w:tcPr>
          <w:p w14:paraId="23DCA60E"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30.2</w:t>
            </w:r>
          </w:p>
        </w:tc>
      </w:tr>
      <w:tr w:rsidR="006F6929" w:rsidRPr="00DD0DBE" w14:paraId="065A31FD"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0B3AB09E"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65964BB4"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50-64 yrs</w:t>
            </w:r>
          </w:p>
        </w:tc>
        <w:tc>
          <w:tcPr>
            <w:tcW w:w="992" w:type="dxa"/>
            <w:tcBorders>
              <w:top w:val="nil"/>
              <w:left w:val="nil"/>
              <w:bottom w:val="single" w:sz="12" w:space="0" w:color="FF9E3C"/>
              <w:right w:val="single" w:sz="12" w:space="0" w:color="FF9E3C"/>
            </w:tcBorders>
            <w:shd w:val="clear" w:color="auto" w:fill="auto"/>
            <w:vAlign w:val="center"/>
            <w:hideMark/>
          </w:tcPr>
          <w:p w14:paraId="51E31BF8"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379</w:t>
            </w:r>
          </w:p>
        </w:tc>
        <w:tc>
          <w:tcPr>
            <w:tcW w:w="1074" w:type="dxa"/>
            <w:tcBorders>
              <w:top w:val="nil"/>
              <w:left w:val="nil"/>
              <w:bottom w:val="single" w:sz="12" w:space="0" w:color="FF9E3C"/>
              <w:right w:val="single" w:sz="12" w:space="0" w:color="FF9E3C"/>
            </w:tcBorders>
            <w:shd w:val="clear" w:color="auto" w:fill="auto"/>
            <w:vAlign w:val="center"/>
            <w:hideMark/>
          </w:tcPr>
          <w:p w14:paraId="10B4E24C"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24.7</w:t>
            </w:r>
          </w:p>
        </w:tc>
      </w:tr>
      <w:tr w:rsidR="006F6929" w:rsidRPr="00DD0DBE" w14:paraId="52A6B140"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4D3C691D"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21994BD6"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 xml:space="preserve">65+ yrs </w:t>
            </w:r>
          </w:p>
        </w:tc>
        <w:tc>
          <w:tcPr>
            <w:tcW w:w="992" w:type="dxa"/>
            <w:tcBorders>
              <w:top w:val="nil"/>
              <w:left w:val="nil"/>
              <w:bottom w:val="single" w:sz="12" w:space="0" w:color="FF9E3C"/>
              <w:right w:val="single" w:sz="12" w:space="0" w:color="FF9E3C"/>
            </w:tcBorders>
            <w:shd w:val="clear" w:color="auto" w:fill="auto"/>
            <w:vAlign w:val="center"/>
            <w:hideMark/>
          </w:tcPr>
          <w:p w14:paraId="10FF237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215</w:t>
            </w:r>
          </w:p>
        </w:tc>
        <w:tc>
          <w:tcPr>
            <w:tcW w:w="1074" w:type="dxa"/>
            <w:tcBorders>
              <w:top w:val="nil"/>
              <w:left w:val="nil"/>
              <w:bottom w:val="single" w:sz="12" w:space="0" w:color="FF9E3C"/>
              <w:right w:val="single" w:sz="12" w:space="0" w:color="FF9E3C"/>
            </w:tcBorders>
            <w:shd w:val="clear" w:color="auto" w:fill="auto"/>
            <w:vAlign w:val="center"/>
            <w:hideMark/>
          </w:tcPr>
          <w:p w14:paraId="27005417" w14:textId="6681AB4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14</w:t>
            </w:r>
            <w:r w:rsidR="00124C1C">
              <w:rPr>
                <w:rFonts w:cs="Arial"/>
                <w:color w:val="1C3158"/>
                <w:sz w:val="18"/>
                <w:lang w:eastAsia="ja-JP"/>
              </w:rPr>
              <w:t>.0</w:t>
            </w:r>
          </w:p>
        </w:tc>
      </w:tr>
      <w:tr w:rsidR="006F6929" w:rsidRPr="00DD0DBE" w14:paraId="49B17AEF" w14:textId="77777777" w:rsidTr="00124C1C">
        <w:trPr>
          <w:trHeight w:val="255"/>
        </w:trPr>
        <w:tc>
          <w:tcPr>
            <w:tcW w:w="1701"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5FEAB53F"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Marital status</w:t>
            </w:r>
          </w:p>
        </w:tc>
        <w:tc>
          <w:tcPr>
            <w:tcW w:w="2962" w:type="dxa"/>
            <w:tcBorders>
              <w:top w:val="nil"/>
              <w:left w:val="nil"/>
              <w:bottom w:val="single" w:sz="12" w:space="0" w:color="FF9E3C"/>
              <w:right w:val="single" w:sz="12" w:space="0" w:color="FF9E3C"/>
            </w:tcBorders>
            <w:shd w:val="clear" w:color="auto" w:fill="auto"/>
            <w:vAlign w:val="center"/>
            <w:hideMark/>
          </w:tcPr>
          <w:p w14:paraId="4A38194A"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Single</w:t>
            </w:r>
          </w:p>
        </w:tc>
        <w:tc>
          <w:tcPr>
            <w:tcW w:w="992" w:type="dxa"/>
            <w:tcBorders>
              <w:top w:val="nil"/>
              <w:left w:val="nil"/>
              <w:bottom w:val="single" w:sz="12" w:space="0" w:color="FF9E3C"/>
              <w:right w:val="single" w:sz="12" w:space="0" w:color="FF9E3C"/>
            </w:tcBorders>
            <w:shd w:val="clear" w:color="auto" w:fill="auto"/>
            <w:vAlign w:val="center"/>
            <w:hideMark/>
          </w:tcPr>
          <w:p w14:paraId="652EF8D5"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402</w:t>
            </w:r>
          </w:p>
        </w:tc>
        <w:tc>
          <w:tcPr>
            <w:tcW w:w="1074" w:type="dxa"/>
            <w:tcBorders>
              <w:top w:val="nil"/>
              <w:left w:val="nil"/>
              <w:bottom w:val="single" w:sz="12" w:space="0" w:color="FF9E3C"/>
              <w:right w:val="single" w:sz="12" w:space="0" w:color="FF9E3C"/>
            </w:tcBorders>
            <w:shd w:val="clear" w:color="auto" w:fill="auto"/>
            <w:vAlign w:val="center"/>
            <w:hideMark/>
          </w:tcPr>
          <w:p w14:paraId="560CF21F"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26.1</w:t>
            </w:r>
          </w:p>
        </w:tc>
      </w:tr>
      <w:tr w:rsidR="006F6929" w:rsidRPr="00DD0DBE" w14:paraId="38878DCF"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38C5FD57"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1E94B645"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Widowed</w:t>
            </w:r>
          </w:p>
        </w:tc>
        <w:tc>
          <w:tcPr>
            <w:tcW w:w="992" w:type="dxa"/>
            <w:tcBorders>
              <w:top w:val="nil"/>
              <w:left w:val="nil"/>
              <w:bottom w:val="single" w:sz="12" w:space="0" w:color="FF9E3C"/>
              <w:right w:val="single" w:sz="12" w:space="0" w:color="FF9E3C"/>
            </w:tcBorders>
            <w:shd w:val="clear" w:color="auto" w:fill="auto"/>
            <w:vAlign w:val="center"/>
            <w:hideMark/>
          </w:tcPr>
          <w:p w14:paraId="4A21295E"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47</w:t>
            </w:r>
          </w:p>
        </w:tc>
        <w:tc>
          <w:tcPr>
            <w:tcW w:w="1074" w:type="dxa"/>
            <w:tcBorders>
              <w:top w:val="nil"/>
              <w:left w:val="nil"/>
              <w:bottom w:val="single" w:sz="12" w:space="0" w:color="FF9E3C"/>
              <w:right w:val="single" w:sz="12" w:space="0" w:color="FF9E3C"/>
            </w:tcBorders>
            <w:shd w:val="clear" w:color="auto" w:fill="auto"/>
            <w:vAlign w:val="center"/>
            <w:hideMark/>
          </w:tcPr>
          <w:p w14:paraId="753CCCBE" w14:textId="1794BE5A"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w:t>
            </w:r>
            <w:r w:rsidR="00124C1C">
              <w:rPr>
                <w:rFonts w:cs="Arial"/>
                <w:color w:val="1C3158"/>
                <w:sz w:val="18"/>
                <w:lang w:eastAsia="ja-JP"/>
              </w:rPr>
              <w:t>.0</w:t>
            </w:r>
          </w:p>
        </w:tc>
      </w:tr>
      <w:tr w:rsidR="006F6929" w:rsidRPr="00DD0DBE" w14:paraId="6C57D3F6"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4358108C"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247F963D"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Divorced/separated</w:t>
            </w:r>
          </w:p>
        </w:tc>
        <w:tc>
          <w:tcPr>
            <w:tcW w:w="992" w:type="dxa"/>
            <w:tcBorders>
              <w:top w:val="nil"/>
              <w:left w:val="nil"/>
              <w:bottom w:val="single" w:sz="12" w:space="0" w:color="FF9E3C"/>
              <w:right w:val="single" w:sz="12" w:space="0" w:color="FF9E3C"/>
            </w:tcBorders>
            <w:shd w:val="clear" w:color="auto" w:fill="auto"/>
            <w:vAlign w:val="center"/>
            <w:hideMark/>
          </w:tcPr>
          <w:p w14:paraId="4DB371A9"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208</w:t>
            </w:r>
          </w:p>
        </w:tc>
        <w:tc>
          <w:tcPr>
            <w:tcW w:w="1074" w:type="dxa"/>
            <w:tcBorders>
              <w:top w:val="nil"/>
              <w:left w:val="nil"/>
              <w:bottom w:val="single" w:sz="12" w:space="0" w:color="FF9E3C"/>
              <w:right w:val="single" w:sz="12" w:space="0" w:color="FF9E3C"/>
            </w:tcBorders>
            <w:shd w:val="clear" w:color="auto" w:fill="auto"/>
            <w:vAlign w:val="center"/>
            <w:hideMark/>
          </w:tcPr>
          <w:p w14:paraId="781C2F84"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13.5</w:t>
            </w:r>
          </w:p>
        </w:tc>
      </w:tr>
      <w:tr w:rsidR="006F6929" w:rsidRPr="00DD0DBE" w14:paraId="322085C7"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006B6BB3"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340F51B9"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Married</w:t>
            </w:r>
          </w:p>
        </w:tc>
        <w:tc>
          <w:tcPr>
            <w:tcW w:w="992" w:type="dxa"/>
            <w:tcBorders>
              <w:top w:val="nil"/>
              <w:left w:val="nil"/>
              <w:bottom w:val="single" w:sz="12" w:space="0" w:color="FF9E3C"/>
              <w:right w:val="single" w:sz="12" w:space="0" w:color="FF9E3C"/>
            </w:tcBorders>
            <w:shd w:val="clear" w:color="auto" w:fill="auto"/>
            <w:vAlign w:val="center"/>
            <w:hideMark/>
          </w:tcPr>
          <w:p w14:paraId="4ABEF9AE"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587</w:t>
            </w:r>
          </w:p>
        </w:tc>
        <w:tc>
          <w:tcPr>
            <w:tcW w:w="1074" w:type="dxa"/>
            <w:tcBorders>
              <w:top w:val="nil"/>
              <w:left w:val="nil"/>
              <w:bottom w:val="single" w:sz="12" w:space="0" w:color="FF9E3C"/>
              <w:right w:val="single" w:sz="12" w:space="0" w:color="FF9E3C"/>
            </w:tcBorders>
            <w:shd w:val="clear" w:color="auto" w:fill="auto"/>
            <w:vAlign w:val="center"/>
            <w:hideMark/>
          </w:tcPr>
          <w:p w14:paraId="1B7D548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38.1</w:t>
            </w:r>
          </w:p>
        </w:tc>
      </w:tr>
      <w:tr w:rsidR="006F6929" w:rsidRPr="00DD0DBE" w14:paraId="638ED116"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24B8E8C1"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64C5F633"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De facto</w:t>
            </w:r>
          </w:p>
        </w:tc>
        <w:tc>
          <w:tcPr>
            <w:tcW w:w="992" w:type="dxa"/>
            <w:tcBorders>
              <w:top w:val="nil"/>
              <w:left w:val="nil"/>
              <w:bottom w:val="single" w:sz="12" w:space="0" w:color="FF9E3C"/>
              <w:right w:val="single" w:sz="12" w:space="0" w:color="FF9E3C"/>
            </w:tcBorders>
            <w:shd w:val="clear" w:color="auto" w:fill="auto"/>
            <w:vAlign w:val="center"/>
            <w:hideMark/>
          </w:tcPr>
          <w:p w14:paraId="1982E450"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275</w:t>
            </w:r>
          </w:p>
        </w:tc>
        <w:tc>
          <w:tcPr>
            <w:tcW w:w="1074" w:type="dxa"/>
            <w:tcBorders>
              <w:top w:val="nil"/>
              <w:left w:val="nil"/>
              <w:bottom w:val="single" w:sz="12" w:space="0" w:color="FF9E3C"/>
              <w:right w:val="single" w:sz="12" w:space="0" w:color="FF9E3C"/>
            </w:tcBorders>
            <w:shd w:val="clear" w:color="auto" w:fill="auto"/>
            <w:vAlign w:val="center"/>
            <w:hideMark/>
          </w:tcPr>
          <w:p w14:paraId="4D7D861C"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17.8</w:t>
            </w:r>
          </w:p>
        </w:tc>
      </w:tr>
      <w:tr w:rsidR="006F6929" w:rsidRPr="00DD0DBE" w14:paraId="137146DC"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78F82EED"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642D368D"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Other</w:t>
            </w:r>
          </w:p>
        </w:tc>
        <w:tc>
          <w:tcPr>
            <w:tcW w:w="992" w:type="dxa"/>
            <w:tcBorders>
              <w:top w:val="nil"/>
              <w:left w:val="nil"/>
              <w:bottom w:val="single" w:sz="12" w:space="0" w:color="FF9E3C"/>
              <w:right w:val="single" w:sz="12" w:space="0" w:color="FF9E3C"/>
            </w:tcBorders>
            <w:shd w:val="clear" w:color="auto" w:fill="auto"/>
            <w:vAlign w:val="center"/>
            <w:hideMark/>
          </w:tcPr>
          <w:p w14:paraId="3592B430"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23</w:t>
            </w:r>
          </w:p>
        </w:tc>
        <w:tc>
          <w:tcPr>
            <w:tcW w:w="1074" w:type="dxa"/>
            <w:tcBorders>
              <w:top w:val="nil"/>
              <w:left w:val="nil"/>
              <w:bottom w:val="single" w:sz="12" w:space="0" w:color="FF9E3C"/>
              <w:right w:val="single" w:sz="12" w:space="0" w:color="FF9E3C"/>
            </w:tcBorders>
            <w:shd w:val="clear" w:color="auto" w:fill="auto"/>
            <w:vAlign w:val="center"/>
            <w:hideMark/>
          </w:tcPr>
          <w:p w14:paraId="58175DAB"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1.5</w:t>
            </w:r>
          </w:p>
        </w:tc>
      </w:tr>
      <w:tr w:rsidR="006F6929" w:rsidRPr="00DD0DBE" w14:paraId="26A39BC6" w14:textId="77777777" w:rsidTr="00124C1C">
        <w:trPr>
          <w:trHeight w:val="255"/>
        </w:trPr>
        <w:tc>
          <w:tcPr>
            <w:tcW w:w="1701"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7BB82250"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Country of birth</w:t>
            </w:r>
          </w:p>
        </w:tc>
        <w:tc>
          <w:tcPr>
            <w:tcW w:w="2962" w:type="dxa"/>
            <w:tcBorders>
              <w:top w:val="nil"/>
              <w:left w:val="nil"/>
              <w:bottom w:val="single" w:sz="12" w:space="0" w:color="FF9E3C"/>
              <w:right w:val="single" w:sz="12" w:space="0" w:color="FF9E3C"/>
            </w:tcBorders>
            <w:shd w:val="clear" w:color="auto" w:fill="auto"/>
            <w:vAlign w:val="center"/>
            <w:hideMark/>
          </w:tcPr>
          <w:p w14:paraId="62094056"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New Zealand</w:t>
            </w:r>
          </w:p>
        </w:tc>
        <w:tc>
          <w:tcPr>
            <w:tcW w:w="992" w:type="dxa"/>
            <w:tcBorders>
              <w:top w:val="nil"/>
              <w:left w:val="nil"/>
              <w:bottom w:val="single" w:sz="12" w:space="0" w:color="FF9E3C"/>
              <w:right w:val="single" w:sz="12" w:space="0" w:color="FF9E3C"/>
            </w:tcBorders>
            <w:shd w:val="clear" w:color="auto" w:fill="auto"/>
            <w:vAlign w:val="center"/>
            <w:hideMark/>
          </w:tcPr>
          <w:p w14:paraId="17F6050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1205</w:t>
            </w:r>
          </w:p>
        </w:tc>
        <w:tc>
          <w:tcPr>
            <w:tcW w:w="1074" w:type="dxa"/>
            <w:tcBorders>
              <w:top w:val="nil"/>
              <w:left w:val="nil"/>
              <w:bottom w:val="single" w:sz="12" w:space="0" w:color="FF9E3C"/>
              <w:right w:val="single" w:sz="12" w:space="0" w:color="FF9E3C"/>
            </w:tcBorders>
            <w:shd w:val="clear" w:color="auto" w:fill="auto"/>
            <w:vAlign w:val="center"/>
            <w:hideMark/>
          </w:tcPr>
          <w:p w14:paraId="542B929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78.1</w:t>
            </w:r>
          </w:p>
        </w:tc>
      </w:tr>
      <w:tr w:rsidR="006F6929" w:rsidRPr="00DD0DBE" w14:paraId="247B6EDF"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6D9BCA80"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0CB48CF6"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Other</w:t>
            </w:r>
          </w:p>
        </w:tc>
        <w:tc>
          <w:tcPr>
            <w:tcW w:w="992" w:type="dxa"/>
            <w:tcBorders>
              <w:top w:val="nil"/>
              <w:left w:val="nil"/>
              <w:bottom w:val="single" w:sz="12" w:space="0" w:color="FF9E3C"/>
              <w:right w:val="single" w:sz="12" w:space="0" w:color="FF9E3C"/>
            </w:tcBorders>
            <w:shd w:val="clear" w:color="auto" w:fill="auto"/>
            <w:vAlign w:val="center"/>
            <w:hideMark/>
          </w:tcPr>
          <w:p w14:paraId="0590619C"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337</w:t>
            </w:r>
          </w:p>
        </w:tc>
        <w:tc>
          <w:tcPr>
            <w:tcW w:w="1074" w:type="dxa"/>
            <w:tcBorders>
              <w:top w:val="nil"/>
              <w:left w:val="nil"/>
              <w:bottom w:val="single" w:sz="12" w:space="0" w:color="FF9E3C"/>
              <w:right w:val="single" w:sz="12" w:space="0" w:color="FF9E3C"/>
            </w:tcBorders>
            <w:shd w:val="clear" w:color="auto" w:fill="auto"/>
            <w:vAlign w:val="center"/>
            <w:hideMark/>
          </w:tcPr>
          <w:p w14:paraId="0EFD3F8B"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21.9</w:t>
            </w:r>
          </w:p>
        </w:tc>
      </w:tr>
      <w:tr w:rsidR="006F6929" w:rsidRPr="00DD0DBE" w14:paraId="693070BB" w14:textId="77777777" w:rsidTr="00124C1C">
        <w:trPr>
          <w:trHeight w:val="255"/>
        </w:trPr>
        <w:tc>
          <w:tcPr>
            <w:tcW w:w="1701"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2E591D68" w14:textId="6CA7E0FE"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Ethnic group</w:t>
            </w:r>
            <w:r w:rsidR="002E05E5" w:rsidRPr="002E05E5">
              <w:rPr>
                <w:rFonts w:cs="Arial"/>
                <w:color w:val="1C3158"/>
                <w:sz w:val="18"/>
                <w:vertAlign w:val="superscript"/>
                <w:lang w:eastAsia="ja-JP"/>
              </w:rPr>
              <w:t>b</w:t>
            </w:r>
          </w:p>
        </w:tc>
        <w:tc>
          <w:tcPr>
            <w:tcW w:w="2962" w:type="dxa"/>
            <w:tcBorders>
              <w:top w:val="nil"/>
              <w:left w:val="nil"/>
              <w:bottom w:val="single" w:sz="12" w:space="0" w:color="FF9E3C"/>
              <w:right w:val="single" w:sz="12" w:space="0" w:color="FF9E3C"/>
            </w:tcBorders>
            <w:shd w:val="clear" w:color="auto" w:fill="auto"/>
            <w:vAlign w:val="center"/>
            <w:hideMark/>
          </w:tcPr>
          <w:p w14:paraId="2BC9E1B2"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 xml:space="preserve">New Zealand European </w:t>
            </w:r>
          </w:p>
        </w:tc>
        <w:tc>
          <w:tcPr>
            <w:tcW w:w="992" w:type="dxa"/>
            <w:tcBorders>
              <w:top w:val="nil"/>
              <w:left w:val="nil"/>
              <w:bottom w:val="single" w:sz="12" w:space="0" w:color="FF9E3C"/>
              <w:right w:val="single" w:sz="12" w:space="0" w:color="FF9E3C"/>
            </w:tcBorders>
            <w:shd w:val="clear" w:color="auto" w:fill="auto"/>
            <w:vAlign w:val="center"/>
            <w:hideMark/>
          </w:tcPr>
          <w:p w14:paraId="7AE42501"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1125</w:t>
            </w:r>
          </w:p>
        </w:tc>
        <w:tc>
          <w:tcPr>
            <w:tcW w:w="1074" w:type="dxa"/>
            <w:tcBorders>
              <w:top w:val="nil"/>
              <w:left w:val="nil"/>
              <w:bottom w:val="single" w:sz="12" w:space="0" w:color="FF9E3C"/>
              <w:right w:val="single" w:sz="12" w:space="0" w:color="FF9E3C"/>
            </w:tcBorders>
            <w:shd w:val="clear" w:color="auto" w:fill="auto"/>
            <w:vAlign w:val="center"/>
            <w:hideMark/>
          </w:tcPr>
          <w:p w14:paraId="1D6C922C" w14:textId="40574A54"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73</w:t>
            </w:r>
            <w:r w:rsidR="00124C1C">
              <w:rPr>
                <w:rFonts w:cs="Arial"/>
                <w:color w:val="1C3158"/>
                <w:sz w:val="18"/>
                <w:lang w:eastAsia="ja-JP"/>
              </w:rPr>
              <w:t>.0</w:t>
            </w:r>
          </w:p>
        </w:tc>
      </w:tr>
      <w:tr w:rsidR="006F6929" w:rsidRPr="00DD0DBE" w14:paraId="3EEE355C"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0261B278"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790854B8" w14:textId="13CF277C" w:rsidR="006F6929" w:rsidRPr="00DD0DBE" w:rsidRDefault="00B12BDA" w:rsidP="00406FB4">
            <w:pPr>
              <w:tabs>
                <w:tab w:val="clear" w:pos="426"/>
              </w:tabs>
              <w:spacing w:before="0" w:after="0" w:line="240" w:lineRule="auto"/>
              <w:ind w:left="0" w:right="0"/>
              <w:rPr>
                <w:rFonts w:cs="Arial"/>
                <w:color w:val="1C3158"/>
                <w:sz w:val="18"/>
                <w:lang w:eastAsia="ja-JP"/>
              </w:rPr>
            </w:pPr>
            <w:r>
              <w:rPr>
                <w:rFonts w:cs="Arial"/>
                <w:color w:val="1C3158"/>
                <w:sz w:val="18"/>
                <w:lang w:eastAsia="ja-JP"/>
              </w:rPr>
              <w:t>Māori</w:t>
            </w:r>
          </w:p>
        </w:tc>
        <w:tc>
          <w:tcPr>
            <w:tcW w:w="992" w:type="dxa"/>
            <w:tcBorders>
              <w:top w:val="nil"/>
              <w:left w:val="nil"/>
              <w:bottom w:val="single" w:sz="12" w:space="0" w:color="FF9E3C"/>
              <w:right w:val="single" w:sz="12" w:space="0" w:color="FF9E3C"/>
            </w:tcBorders>
            <w:shd w:val="clear" w:color="auto" w:fill="auto"/>
            <w:vAlign w:val="center"/>
            <w:hideMark/>
          </w:tcPr>
          <w:p w14:paraId="4FA720B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207</w:t>
            </w:r>
          </w:p>
        </w:tc>
        <w:tc>
          <w:tcPr>
            <w:tcW w:w="1074" w:type="dxa"/>
            <w:tcBorders>
              <w:top w:val="nil"/>
              <w:left w:val="nil"/>
              <w:bottom w:val="single" w:sz="12" w:space="0" w:color="FF9E3C"/>
              <w:right w:val="single" w:sz="12" w:space="0" w:color="FF9E3C"/>
            </w:tcBorders>
            <w:shd w:val="clear" w:color="auto" w:fill="auto"/>
            <w:vAlign w:val="center"/>
            <w:hideMark/>
          </w:tcPr>
          <w:p w14:paraId="599EDF6D"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13.4</w:t>
            </w:r>
          </w:p>
        </w:tc>
      </w:tr>
      <w:tr w:rsidR="006F6929" w:rsidRPr="00DD0DBE" w14:paraId="4C9F1831"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5381DF51"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3860F88C"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Pacific Islander</w:t>
            </w:r>
          </w:p>
        </w:tc>
        <w:tc>
          <w:tcPr>
            <w:tcW w:w="992" w:type="dxa"/>
            <w:tcBorders>
              <w:top w:val="nil"/>
              <w:left w:val="nil"/>
              <w:bottom w:val="single" w:sz="12" w:space="0" w:color="FF9E3C"/>
              <w:right w:val="single" w:sz="12" w:space="0" w:color="FF9E3C"/>
            </w:tcBorders>
            <w:shd w:val="clear" w:color="auto" w:fill="auto"/>
            <w:vAlign w:val="center"/>
            <w:hideMark/>
          </w:tcPr>
          <w:p w14:paraId="7B2BEFB1"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74</w:t>
            </w:r>
          </w:p>
        </w:tc>
        <w:tc>
          <w:tcPr>
            <w:tcW w:w="1074" w:type="dxa"/>
            <w:tcBorders>
              <w:top w:val="nil"/>
              <w:left w:val="nil"/>
              <w:bottom w:val="single" w:sz="12" w:space="0" w:color="FF9E3C"/>
              <w:right w:val="single" w:sz="12" w:space="0" w:color="FF9E3C"/>
            </w:tcBorders>
            <w:shd w:val="clear" w:color="auto" w:fill="auto"/>
            <w:vAlign w:val="center"/>
            <w:hideMark/>
          </w:tcPr>
          <w:p w14:paraId="5F975B86"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4.8</w:t>
            </w:r>
          </w:p>
        </w:tc>
      </w:tr>
      <w:tr w:rsidR="006F6929" w:rsidRPr="00DD0DBE" w14:paraId="52555FD3"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0E6FFAF4"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78FB0C5F"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Asian</w:t>
            </w:r>
          </w:p>
        </w:tc>
        <w:tc>
          <w:tcPr>
            <w:tcW w:w="992" w:type="dxa"/>
            <w:tcBorders>
              <w:top w:val="nil"/>
              <w:left w:val="nil"/>
              <w:bottom w:val="single" w:sz="12" w:space="0" w:color="FF9E3C"/>
              <w:right w:val="single" w:sz="12" w:space="0" w:color="FF9E3C"/>
            </w:tcBorders>
            <w:shd w:val="clear" w:color="auto" w:fill="auto"/>
            <w:vAlign w:val="center"/>
            <w:hideMark/>
          </w:tcPr>
          <w:p w14:paraId="52169F62"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136</w:t>
            </w:r>
          </w:p>
        </w:tc>
        <w:tc>
          <w:tcPr>
            <w:tcW w:w="1074" w:type="dxa"/>
            <w:tcBorders>
              <w:top w:val="nil"/>
              <w:left w:val="nil"/>
              <w:bottom w:val="single" w:sz="12" w:space="0" w:color="FF9E3C"/>
              <w:right w:val="single" w:sz="12" w:space="0" w:color="FF9E3C"/>
            </w:tcBorders>
            <w:shd w:val="clear" w:color="auto" w:fill="auto"/>
            <w:vAlign w:val="center"/>
            <w:hideMark/>
          </w:tcPr>
          <w:p w14:paraId="48ED4AA4"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8.8</w:t>
            </w:r>
          </w:p>
        </w:tc>
      </w:tr>
      <w:tr w:rsidR="006F6929" w:rsidRPr="00DD0DBE" w14:paraId="51DE4B93"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304A1139"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24837CF1"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Other</w:t>
            </w:r>
          </w:p>
        </w:tc>
        <w:tc>
          <w:tcPr>
            <w:tcW w:w="992" w:type="dxa"/>
            <w:tcBorders>
              <w:top w:val="nil"/>
              <w:left w:val="nil"/>
              <w:bottom w:val="single" w:sz="12" w:space="0" w:color="FF9E3C"/>
              <w:right w:val="single" w:sz="12" w:space="0" w:color="FF9E3C"/>
            </w:tcBorders>
            <w:shd w:val="clear" w:color="auto" w:fill="auto"/>
            <w:vAlign w:val="center"/>
            <w:hideMark/>
          </w:tcPr>
          <w:p w14:paraId="635CFD18"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149</w:t>
            </w:r>
          </w:p>
        </w:tc>
        <w:tc>
          <w:tcPr>
            <w:tcW w:w="1074" w:type="dxa"/>
            <w:tcBorders>
              <w:top w:val="nil"/>
              <w:left w:val="nil"/>
              <w:bottom w:val="single" w:sz="12" w:space="0" w:color="FF9E3C"/>
              <w:right w:val="single" w:sz="12" w:space="0" w:color="FF9E3C"/>
            </w:tcBorders>
            <w:shd w:val="clear" w:color="auto" w:fill="auto"/>
            <w:vAlign w:val="center"/>
            <w:hideMark/>
          </w:tcPr>
          <w:p w14:paraId="01666FDE"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9.7</w:t>
            </w:r>
          </w:p>
        </w:tc>
      </w:tr>
      <w:tr w:rsidR="006F6929" w:rsidRPr="00DD0DBE" w14:paraId="421761F6" w14:textId="77777777" w:rsidTr="00124C1C">
        <w:trPr>
          <w:trHeight w:val="255"/>
        </w:trPr>
        <w:tc>
          <w:tcPr>
            <w:tcW w:w="1701"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58061B85"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Place of residence</w:t>
            </w:r>
          </w:p>
        </w:tc>
        <w:tc>
          <w:tcPr>
            <w:tcW w:w="2962" w:type="dxa"/>
            <w:tcBorders>
              <w:top w:val="nil"/>
              <w:left w:val="nil"/>
              <w:bottom w:val="single" w:sz="12" w:space="0" w:color="FF9E3C"/>
              <w:right w:val="single" w:sz="12" w:space="0" w:color="FF9E3C"/>
            </w:tcBorders>
            <w:shd w:val="clear" w:color="auto" w:fill="auto"/>
            <w:vAlign w:val="center"/>
            <w:hideMark/>
          </w:tcPr>
          <w:p w14:paraId="7D5AAFCE"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Urban</w:t>
            </w:r>
          </w:p>
        </w:tc>
        <w:tc>
          <w:tcPr>
            <w:tcW w:w="992" w:type="dxa"/>
            <w:tcBorders>
              <w:top w:val="nil"/>
              <w:left w:val="nil"/>
              <w:bottom w:val="single" w:sz="12" w:space="0" w:color="FF9E3C"/>
              <w:right w:val="single" w:sz="12" w:space="0" w:color="FF9E3C"/>
            </w:tcBorders>
            <w:shd w:val="clear" w:color="auto" w:fill="auto"/>
            <w:vAlign w:val="center"/>
            <w:hideMark/>
          </w:tcPr>
          <w:p w14:paraId="1B1760A8"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746</w:t>
            </w:r>
          </w:p>
        </w:tc>
        <w:tc>
          <w:tcPr>
            <w:tcW w:w="1074" w:type="dxa"/>
            <w:tcBorders>
              <w:top w:val="nil"/>
              <w:left w:val="nil"/>
              <w:bottom w:val="single" w:sz="12" w:space="0" w:color="FF9E3C"/>
              <w:right w:val="single" w:sz="12" w:space="0" w:color="FF9E3C"/>
            </w:tcBorders>
            <w:shd w:val="clear" w:color="auto" w:fill="auto"/>
            <w:vAlign w:val="center"/>
            <w:hideMark/>
          </w:tcPr>
          <w:p w14:paraId="6AE3D962"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48.4</w:t>
            </w:r>
          </w:p>
        </w:tc>
      </w:tr>
      <w:tr w:rsidR="006F6929" w:rsidRPr="00DD0DBE" w14:paraId="702F56F5"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161600CC"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65295132"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Regional town or city</w:t>
            </w:r>
          </w:p>
        </w:tc>
        <w:tc>
          <w:tcPr>
            <w:tcW w:w="992" w:type="dxa"/>
            <w:tcBorders>
              <w:top w:val="nil"/>
              <w:left w:val="nil"/>
              <w:bottom w:val="single" w:sz="12" w:space="0" w:color="FF9E3C"/>
              <w:right w:val="single" w:sz="12" w:space="0" w:color="FF9E3C"/>
            </w:tcBorders>
            <w:shd w:val="clear" w:color="auto" w:fill="auto"/>
            <w:vAlign w:val="center"/>
            <w:hideMark/>
          </w:tcPr>
          <w:p w14:paraId="7D1CE91D"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620</w:t>
            </w:r>
          </w:p>
        </w:tc>
        <w:tc>
          <w:tcPr>
            <w:tcW w:w="1074" w:type="dxa"/>
            <w:tcBorders>
              <w:top w:val="nil"/>
              <w:left w:val="nil"/>
              <w:bottom w:val="single" w:sz="12" w:space="0" w:color="FF9E3C"/>
              <w:right w:val="single" w:sz="12" w:space="0" w:color="FF9E3C"/>
            </w:tcBorders>
            <w:shd w:val="clear" w:color="auto" w:fill="auto"/>
            <w:vAlign w:val="center"/>
            <w:hideMark/>
          </w:tcPr>
          <w:p w14:paraId="59280AB3"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40.2</w:t>
            </w:r>
          </w:p>
        </w:tc>
      </w:tr>
      <w:tr w:rsidR="006F6929" w:rsidRPr="00DD0DBE" w14:paraId="01B3DAD5"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6327DE5A"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0B8A0B86"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Rural</w:t>
            </w:r>
          </w:p>
        </w:tc>
        <w:tc>
          <w:tcPr>
            <w:tcW w:w="992" w:type="dxa"/>
            <w:tcBorders>
              <w:top w:val="nil"/>
              <w:left w:val="nil"/>
              <w:bottom w:val="single" w:sz="12" w:space="0" w:color="FF9E3C"/>
              <w:right w:val="single" w:sz="12" w:space="0" w:color="FF9E3C"/>
            </w:tcBorders>
            <w:shd w:val="clear" w:color="auto" w:fill="auto"/>
            <w:vAlign w:val="center"/>
            <w:hideMark/>
          </w:tcPr>
          <w:p w14:paraId="49E8CB93"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176</w:t>
            </w:r>
          </w:p>
        </w:tc>
        <w:tc>
          <w:tcPr>
            <w:tcW w:w="1074" w:type="dxa"/>
            <w:tcBorders>
              <w:top w:val="nil"/>
              <w:left w:val="nil"/>
              <w:bottom w:val="single" w:sz="12" w:space="0" w:color="FF9E3C"/>
              <w:right w:val="single" w:sz="12" w:space="0" w:color="FF9E3C"/>
            </w:tcBorders>
            <w:shd w:val="clear" w:color="auto" w:fill="auto"/>
            <w:vAlign w:val="center"/>
            <w:hideMark/>
          </w:tcPr>
          <w:p w14:paraId="02D6B394"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11.4</w:t>
            </w:r>
          </w:p>
        </w:tc>
      </w:tr>
      <w:tr w:rsidR="006F6929" w:rsidRPr="00DD0DBE" w14:paraId="6E035592" w14:textId="77777777" w:rsidTr="00124C1C">
        <w:trPr>
          <w:trHeight w:val="255"/>
        </w:trPr>
        <w:tc>
          <w:tcPr>
            <w:tcW w:w="1701"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6BDEDB58"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Main employment status</w:t>
            </w:r>
          </w:p>
        </w:tc>
        <w:tc>
          <w:tcPr>
            <w:tcW w:w="2962" w:type="dxa"/>
            <w:tcBorders>
              <w:top w:val="nil"/>
              <w:left w:val="nil"/>
              <w:bottom w:val="single" w:sz="12" w:space="0" w:color="FF9E3C"/>
              <w:right w:val="single" w:sz="12" w:space="0" w:color="FF9E3C"/>
            </w:tcBorders>
            <w:shd w:val="clear" w:color="auto" w:fill="auto"/>
            <w:vAlign w:val="center"/>
            <w:hideMark/>
          </w:tcPr>
          <w:p w14:paraId="5F91B81F"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Full-time</w:t>
            </w:r>
          </w:p>
        </w:tc>
        <w:tc>
          <w:tcPr>
            <w:tcW w:w="992" w:type="dxa"/>
            <w:tcBorders>
              <w:top w:val="nil"/>
              <w:left w:val="nil"/>
              <w:bottom w:val="single" w:sz="12" w:space="0" w:color="FF9E3C"/>
              <w:right w:val="single" w:sz="12" w:space="0" w:color="FF9E3C"/>
            </w:tcBorders>
            <w:shd w:val="clear" w:color="auto" w:fill="auto"/>
            <w:vAlign w:val="center"/>
            <w:hideMark/>
          </w:tcPr>
          <w:p w14:paraId="74516AE1"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540</w:t>
            </w:r>
          </w:p>
        </w:tc>
        <w:tc>
          <w:tcPr>
            <w:tcW w:w="1074" w:type="dxa"/>
            <w:tcBorders>
              <w:top w:val="nil"/>
              <w:left w:val="nil"/>
              <w:bottom w:val="single" w:sz="12" w:space="0" w:color="FF9E3C"/>
              <w:right w:val="single" w:sz="12" w:space="0" w:color="FF9E3C"/>
            </w:tcBorders>
            <w:shd w:val="clear" w:color="auto" w:fill="auto"/>
            <w:vAlign w:val="center"/>
            <w:hideMark/>
          </w:tcPr>
          <w:p w14:paraId="727E2FF9" w14:textId="6FCB44DD"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35</w:t>
            </w:r>
            <w:r w:rsidR="00124C1C">
              <w:rPr>
                <w:rFonts w:cs="Arial"/>
                <w:color w:val="1C3158"/>
                <w:sz w:val="18"/>
                <w:lang w:eastAsia="ja-JP"/>
              </w:rPr>
              <w:t>.0</w:t>
            </w:r>
          </w:p>
        </w:tc>
      </w:tr>
      <w:tr w:rsidR="006F6929" w:rsidRPr="00DD0DBE" w14:paraId="386159A0"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10F6B475"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6375AE10"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Part-time</w:t>
            </w:r>
          </w:p>
        </w:tc>
        <w:tc>
          <w:tcPr>
            <w:tcW w:w="992" w:type="dxa"/>
            <w:tcBorders>
              <w:top w:val="nil"/>
              <w:left w:val="nil"/>
              <w:bottom w:val="single" w:sz="12" w:space="0" w:color="FF9E3C"/>
              <w:right w:val="single" w:sz="12" w:space="0" w:color="FF9E3C"/>
            </w:tcBorders>
            <w:shd w:val="clear" w:color="auto" w:fill="auto"/>
            <w:vAlign w:val="center"/>
            <w:hideMark/>
          </w:tcPr>
          <w:p w14:paraId="34A3998B"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209</w:t>
            </w:r>
          </w:p>
        </w:tc>
        <w:tc>
          <w:tcPr>
            <w:tcW w:w="1074" w:type="dxa"/>
            <w:tcBorders>
              <w:top w:val="nil"/>
              <w:left w:val="nil"/>
              <w:bottom w:val="single" w:sz="12" w:space="0" w:color="FF9E3C"/>
              <w:right w:val="single" w:sz="12" w:space="0" w:color="FF9E3C"/>
            </w:tcBorders>
            <w:shd w:val="clear" w:color="auto" w:fill="auto"/>
            <w:vAlign w:val="center"/>
            <w:hideMark/>
          </w:tcPr>
          <w:p w14:paraId="03463B66"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13.6</w:t>
            </w:r>
          </w:p>
        </w:tc>
      </w:tr>
      <w:tr w:rsidR="006F6929" w:rsidRPr="00DD0DBE" w14:paraId="16001999"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09B810FE"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75709DC9"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Casual</w:t>
            </w:r>
          </w:p>
        </w:tc>
        <w:tc>
          <w:tcPr>
            <w:tcW w:w="992" w:type="dxa"/>
            <w:tcBorders>
              <w:top w:val="nil"/>
              <w:left w:val="nil"/>
              <w:bottom w:val="single" w:sz="12" w:space="0" w:color="FF9E3C"/>
              <w:right w:val="single" w:sz="12" w:space="0" w:color="FF9E3C"/>
            </w:tcBorders>
            <w:shd w:val="clear" w:color="auto" w:fill="auto"/>
            <w:vAlign w:val="center"/>
            <w:hideMark/>
          </w:tcPr>
          <w:p w14:paraId="7C622D1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36</w:t>
            </w:r>
          </w:p>
        </w:tc>
        <w:tc>
          <w:tcPr>
            <w:tcW w:w="1074" w:type="dxa"/>
            <w:tcBorders>
              <w:top w:val="nil"/>
              <w:left w:val="nil"/>
              <w:bottom w:val="single" w:sz="12" w:space="0" w:color="FF9E3C"/>
              <w:right w:val="single" w:sz="12" w:space="0" w:color="FF9E3C"/>
            </w:tcBorders>
            <w:shd w:val="clear" w:color="auto" w:fill="auto"/>
            <w:vAlign w:val="center"/>
            <w:hideMark/>
          </w:tcPr>
          <w:p w14:paraId="5D68BBF9"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2.3</w:t>
            </w:r>
          </w:p>
        </w:tc>
      </w:tr>
      <w:tr w:rsidR="006F6929" w:rsidRPr="00DD0DBE" w14:paraId="6D483BFD"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1CE2C9C4"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43632D1C"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Self-employed (FT)</w:t>
            </w:r>
          </w:p>
        </w:tc>
        <w:tc>
          <w:tcPr>
            <w:tcW w:w="992" w:type="dxa"/>
            <w:tcBorders>
              <w:top w:val="nil"/>
              <w:left w:val="nil"/>
              <w:bottom w:val="single" w:sz="12" w:space="0" w:color="FF9E3C"/>
              <w:right w:val="single" w:sz="12" w:space="0" w:color="FF9E3C"/>
            </w:tcBorders>
            <w:shd w:val="clear" w:color="auto" w:fill="auto"/>
            <w:vAlign w:val="center"/>
            <w:hideMark/>
          </w:tcPr>
          <w:p w14:paraId="4EC65AE5"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69</w:t>
            </w:r>
          </w:p>
        </w:tc>
        <w:tc>
          <w:tcPr>
            <w:tcW w:w="1074" w:type="dxa"/>
            <w:tcBorders>
              <w:top w:val="nil"/>
              <w:left w:val="nil"/>
              <w:bottom w:val="single" w:sz="12" w:space="0" w:color="FF9E3C"/>
              <w:right w:val="single" w:sz="12" w:space="0" w:color="FF9E3C"/>
            </w:tcBorders>
            <w:shd w:val="clear" w:color="auto" w:fill="auto"/>
            <w:vAlign w:val="center"/>
            <w:hideMark/>
          </w:tcPr>
          <w:p w14:paraId="2A99E739"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4.5</w:t>
            </w:r>
          </w:p>
        </w:tc>
      </w:tr>
      <w:tr w:rsidR="006F6929" w:rsidRPr="00DD0DBE" w14:paraId="73EA833C"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0732414A"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2DFF6869"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Self-employed (PT)</w:t>
            </w:r>
          </w:p>
        </w:tc>
        <w:tc>
          <w:tcPr>
            <w:tcW w:w="992" w:type="dxa"/>
            <w:tcBorders>
              <w:top w:val="nil"/>
              <w:left w:val="nil"/>
              <w:bottom w:val="single" w:sz="12" w:space="0" w:color="FF9E3C"/>
              <w:right w:val="single" w:sz="12" w:space="0" w:color="FF9E3C"/>
            </w:tcBorders>
            <w:shd w:val="clear" w:color="auto" w:fill="auto"/>
            <w:vAlign w:val="center"/>
            <w:hideMark/>
          </w:tcPr>
          <w:p w14:paraId="3A554449"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45</w:t>
            </w:r>
          </w:p>
        </w:tc>
        <w:tc>
          <w:tcPr>
            <w:tcW w:w="1074" w:type="dxa"/>
            <w:tcBorders>
              <w:top w:val="nil"/>
              <w:left w:val="nil"/>
              <w:bottom w:val="single" w:sz="12" w:space="0" w:color="FF9E3C"/>
              <w:right w:val="single" w:sz="12" w:space="0" w:color="FF9E3C"/>
            </w:tcBorders>
            <w:shd w:val="clear" w:color="auto" w:fill="auto"/>
            <w:vAlign w:val="center"/>
            <w:hideMark/>
          </w:tcPr>
          <w:p w14:paraId="74296A93"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2.9</w:t>
            </w:r>
          </w:p>
        </w:tc>
      </w:tr>
      <w:tr w:rsidR="006F6929" w:rsidRPr="00DD0DBE" w14:paraId="537EF565"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06B97C20"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14DB9DB0"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Self-employed (Casual)</w:t>
            </w:r>
          </w:p>
        </w:tc>
        <w:tc>
          <w:tcPr>
            <w:tcW w:w="992" w:type="dxa"/>
            <w:tcBorders>
              <w:top w:val="nil"/>
              <w:left w:val="nil"/>
              <w:bottom w:val="single" w:sz="12" w:space="0" w:color="FF9E3C"/>
              <w:right w:val="single" w:sz="12" w:space="0" w:color="FF9E3C"/>
            </w:tcBorders>
            <w:shd w:val="clear" w:color="auto" w:fill="auto"/>
            <w:vAlign w:val="center"/>
            <w:hideMark/>
          </w:tcPr>
          <w:p w14:paraId="483D160B"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14</w:t>
            </w:r>
          </w:p>
        </w:tc>
        <w:tc>
          <w:tcPr>
            <w:tcW w:w="1074" w:type="dxa"/>
            <w:tcBorders>
              <w:top w:val="nil"/>
              <w:left w:val="nil"/>
              <w:bottom w:val="single" w:sz="12" w:space="0" w:color="FF9E3C"/>
              <w:right w:val="single" w:sz="12" w:space="0" w:color="FF9E3C"/>
            </w:tcBorders>
            <w:shd w:val="clear" w:color="auto" w:fill="auto"/>
            <w:vAlign w:val="center"/>
            <w:hideMark/>
          </w:tcPr>
          <w:p w14:paraId="6A838B2C"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0.9</w:t>
            </w:r>
          </w:p>
        </w:tc>
      </w:tr>
      <w:tr w:rsidR="006F6929" w:rsidRPr="00DD0DBE" w14:paraId="6583CDA3"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4898F86F"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2F7FA4E0"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Unemployed</w:t>
            </w:r>
          </w:p>
        </w:tc>
        <w:tc>
          <w:tcPr>
            <w:tcW w:w="992" w:type="dxa"/>
            <w:tcBorders>
              <w:top w:val="nil"/>
              <w:left w:val="nil"/>
              <w:bottom w:val="single" w:sz="12" w:space="0" w:color="FF9E3C"/>
              <w:right w:val="single" w:sz="12" w:space="0" w:color="FF9E3C"/>
            </w:tcBorders>
            <w:shd w:val="clear" w:color="auto" w:fill="auto"/>
            <w:vAlign w:val="center"/>
            <w:hideMark/>
          </w:tcPr>
          <w:p w14:paraId="4EE4E41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149</w:t>
            </w:r>
          </w:p>
        </w:tc>
        <w:tc>
          <w:tcPr>
            <w:tcW w:w="1074" w:type="dxa"/>
            <w:tcBorders>
              <w:top w:val="nil"/>
              <w:left w:val="nil"/>
              <w:bottom w:val="single" w:sz="12" w:space="0" w:color="FF9E3C"/>
              <w:right w:val="single" w:sz="12" w:space="0" w:color="FF9E3C"/>
            </w:tcBorders>
            <w:shd w:val="clear" w:color="auto" w:fill="auto"/>
            <w:vAlign w:val="center"/>
            <w:hideMark/>
          </w:tcPr>
          <w:p w14:paraId="3E0F2178"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9.7</w:t>
            </w:r>
          </w:p>
        </w:tc>
      </w:tr>
      <w:tr w:rsidR="006F6929" w:rsidRPr="00DD0DBE" w14:paraId="43D08FC1"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0C74C647"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76E74005"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Home duties</w:t>
            </w:r>
          </w:p>
        </w:tc>
        <w:tc>
          <w:tcPr>
            <w:tcW w:w="992" w:type="dxa"/>
            <w:tcBorders>
              <w:top w:val="nil"/>
              <w:left w:val="nil"/>
              <w:bottom w:val="single" w:sz="12" w:space="0" w:color="FF9E3C"/>
              <w:right w:val="single" w:sz="12" w:space="0" w:color="FF9E3C"/>
            </w:tcBorders>
            <w:shd w:val="clear" w:color="auto" w:fill="auto"/>
            <w:vAlign w:val="center"/>
            <w:hideMark/>
          </w:tcPr>
          <w:p w14:paraId="209002CB"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131</w:t>
            </w:r>
          </w:p>
        </w:tc>
        <w:tc>
          <w:tcPr>
            <w:tcW w:w="1074" w:type="dxa"/>
            <w:tcBorders>
              <w:top w:val="nil"/>
              <w:left w:val="nil"/>
              <w:bottom w:val="single" w:sz="12" w:space="0" w:color="FF9E3C"/>
              <w:right w:val="single" w:sz="12" w:space="0" w:color="FF9E3C"/>
            </w:tcBorders>
            <w:shd w:val="clear" w:color="auto" w:fill="auto"/>
            <w:vAlign w:val="center"/>
            <w:hideMark/>
          </w:tcPr>
          <w:p w14:paraId="4FC7ECB4"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8.5</w:t>
            </w:r>
          </w:p>
        </w:tc>
      </w:tr>
      <w:tr w:rsidR="006F6929" w:rsidRPr="00DD0DBE" w14:paraId="1E85B6FA"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3327BB34"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16457670"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Student</w:t>
            </w:r>
          </w:p>
        </w:tc>
        <w:tc>
          <w:tcPr>
            <w:tcW w:w="992" w:type="dxa"/>
            <w:tcBorders>
              <w:top w:val="nil"/>
              <w:left w:val="nil"/>
              <w:bottom w:val="single" w:sz="12" w:space="0" w:color="FF9E3C"/>
              <w:right w:val="single" w:sz="12" w:space="0" w:color="FF9E3C"/>
            </w:tcBorders>
            <w:shd w:val="clear" w:color="auto" w:fill="auto"/>
            <w:vAlign w:val="center"/>
            <w:hideMark/>
          </w:tcPr>
          <w:p w14:paraId="01DD512D"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100</w:t>
            </w:r>
          </w:p>
        </w:tc>
        <w:tc>
          <w:tcPr>
            <w:tcW w:w="1074" w:type="dxa"/>
            <w:tcBorders>
              <w:top w:val="nil"/>
              <w:left w:val="nil"/>
              <w:bottom w:val="single" w:sz="12" w:space="0" w:color="FF9E3C"/>
              <w:right w:val="single" w:sz="12" w:space="0" w:color="FF9E3C"/>
            </w:tcBorders>
            <w:shd w:val="clear" w:color="auto" w:fill="auto"/>
            <w:vAlign w:val="center"/>
            <w:hideMark/>
          </w:tcPr>
          <w:p w14:paraId="227FDE73"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6.5</w:t>
            </w:r>
          </w:p>
        </w:tc>
      </w:tr>
      <w:tr w:rsidR="006F6929" w:rsidRPr="00DD0DBE" w14:paraId="6274C05C"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0AC94D18"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679F5501"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Retired</w:t>
            </w:r>
          </w:p>
        </w:tc>
        <w:tc>
          <w:tcPr>
            <w:tcW w:w="992" w:type="dxa"/>
            <w:tcBorders>
              <w:top w:val="nil"/>
              <w:left w:val="nil"/>
              <w:bottom w:val="single" w:sz="12" w:space="0" w:color="FF9E3C"/>
              <w:right w:val="single" w:sz="12" w:space="0" w:color="FF9E3C"/>
            </w:tcBorders>
            <w:shd w:val="clear" w:color="auto" w:fill="auto"/>
            <w:vAlign w:val="center"/>
            <w:hideMark/>
          </w:tcPr>
          <w:p w14:paraId="668CE58C"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162</w:t>
            </w:r>
          </w:p>
        </w:tc>
        <w:tc>
          <w:tcPr>
            <w:tcW w:w="1074" w:type="dxa"/>
            <w:tcBorders>
              <w:top w:val="nil"/>
              <w:left w:val="nil"/>
              <w:bottom w:val="single" w:sz="12" w:space="0" w:color="FF9E3C"/>
              <w:right w:val="single" w:sz="12" w:space="0" w:color="FF9E3C"/>
            </w:tcBorders>
            <w:shd w:val="clear" w:color="auto" w:fill="auto"/>
            <w:vAlign w:val="center"/>
            <w:hideMark/>
          </w:tcPr>
          <w:p w14:paraId="464F1210"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10.5</w:t>
            </w:r>
          </w:p>
        </w:tc>
      </w:tr>
      <w:tr w:rsidR="006F6929" w:rsidRPr="00DD0DBE" w14:paraId="2C8AE04A"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34046D61"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28E4E18E"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Pensioner</w:t>
            </w:r>
          </w:p>
        </w:tc>
        <w:tc>
          <w:tcPr>
            <w:tcW w:w="992" w:type="dxa"/>
            <w:tcBorders>
              <w:top w:val="nil"/>
              <w:left w:val="nil"/>
              <w:bottom w:val="single" w:sz="12" w:space="0" w:color="FF9E3C"/>
              <w:right w:val="single" w:sz="12" w:space="0" w:color="FF9E3C"/>
            </w:tcBorders>
            <w:shd w:val="clear" w:color="auto" w:fill="auto"/>
            <w:vAlign w:val="center"/>
            <w:hideMark/>
          </w:tcPr>
          <w:p w14:paraId="6FADCAB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33</w:t>
            </w:r>
          </w:p>
        </w:tc>
        <w:tc>
          <w:tcPr>
            <w:tcW w:w="1074" w:type="dxa"/>
            <w:tcBorders>
              <w:top w:val="nil"/>
              <w:left w:val="nil"/>
              <w:bottom w:val="single" w:sz="12" w:space="0" w:color="FF9E3C"/>
              <w:right w:val="single" w:sz="12" w:space="0" w:color="FF9E3C"/>
            </w:tcBorders>
            <w:shd w:val="clear" w:color="auto" w:fill="auto"/>
            <w:vAlign w:val="center"/>
            <w:hideMark/>
          </w:tcPr>
          <w:p w14:paraId="7946CF4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2.1</w:t>
            </w:r>
          </w:p>
        </w:tc>
      </w:tr>
      <w:tr w:rsidR="006F6929" w:rsidRPr="00DD0DBE" w14:paraId="084382DA"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66CB3658"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1CF0C867"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Other</w:t>
            </w:r>
          </w:p>
        </w:tc>
        <w:tc>
          <w:tcPr>
            <w:tcW w:w="992" w:type="dxa"/>
            <w:tcBorders>
              <w:top w:val="nil"/>
              <w:left w:val="nil"/>
              <w:bottom w:val="single" w:sz="12" w:space="0" w:color="FF9E3C"/>
              <w:right w:val="single" w:sz="12" w:space="0" w:color="FF9E3C"/>
            </w:tcBorders>
            <w:shd w:val="clear" w:color="auto" w:fill="auto"/>
            <w:vAlign w:val="center"/>
            <w:hideMark/>
          </w:tcPr>
          <w:p w14:paraId="5C44E99D"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54</w:t>
            </w:r>
          </w:p>
        </w:tc>
        <w:tc>
          <w:tcPr>
            <w:tcW w:w="1074" w:type="dxa"/>
            <w:tcBorders>
              <w:top w:val="nil"/>
              <w:left w:val="nil"/>
              <w:bottom w:val="single" w:sz="12" w:space="0" w:color="FF9E3C"/>
              <w:right w:val="single" w:sz="12" w:space="0" w:color="FF9E3C"/>
            </w:tcBorders>
            <w:shd w:val="clear" w:color="auto" w:fill="auto"/>
            <w:vAlign w:val="center"/>
            <w:hideMark/>
          </w:tcPr>
          <w:p w14:paraId="5AC30FD7"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3.5</w:t>
            </w:r>
          </w:p>
        </w:tc>
      </w:tr>
      <w:tr w:rsidR="006F6929" w:rsidRPr="00DD0DBE" w14:paraId="7CCC6FA9" w14:textId="77777777" w:rsidTr="00124C1C">
        <w:trPr>
          <w:trHeight w:val="255"/>
        </w:trPr>
        <w:tc>
          <w:tcPr>
            <w:tcW w:w="1701"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20FF8D36"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Highest level of education</w:t>
            </w:r>
          </w:p>
        </w:tc>
        <w:tc>
          <w:tcPr>
            <w:tcW w:w="2962" w:type="dxa"/>
            <w:tcBorders>
              <w:top w:val="nil"/>
              <w:left w:val="nil"/>
              <w:bottom w:val="single" w:sz="12" w:space="0" w:color="FF9E3C"/>
              <w:right w:val="single" w:sz="12" w:space="0" w:color="FF9E3C"/>
            </w:tcBorders>
            <w:shd w:val="clear" w:color="auto" w:fill="auto"/>
            <w:vAlign w:val="center"/>
            <w:hideMark/>
          </w:tcPr>
          <w:p w14:paraId="06D903F2"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No formal school qualifications</w:t>
            </w:r>
          </w:p>
        </w:tc>
        <w:tc>
          <w:tcPr>
            <w:tcW w:w="992" w:type="dxa"/>
            <w:tcBorders>
              <w:top w:val="nil"/>
              <w:left w:val="nil"/>
              <w:bottom w:val="single" w:sz="12" w:space="0" w:color="FF9E3C"/>
              <w:right w:val="single" w:sz="12" w:space="0" w:color="FF9E3C"/>
            </w:tcBorders>
            <w:shd w:val="clear" w:color="auto" w:fill="auto"/>
            <w:vAlign w:val="center"/>
            <w:hideMark/>
          </w:tcPr>
          <w:p w14:paraId="4E791EA6"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203</w:t>
            </w:r>
          </w:p>
        </w:tc>
        <w:tc>
          <w:tcPr>
            <w:tcW w:w="1074" w:type="dxa"/>
            <w:tcBorders>
              <w:top w:val="nil"/>
              <w:left w:val="nil"/>
              <w:bottom w:val="single" w:sz="12" w:space="0" w:color="FF9E3C"/>
              <w:right w:val="single" w:sz="12" w:space="0" w:color="FF9E3C"/>
            </w:tcBorders>
            <w:shd w:val="clear" w:color="auto" w:fill="auto"/>
            <w:vAlign w:val="center"/>
            <w:hideMark/>
          </w:tcPr>
          <w:p w14:paraId="1799A7F0"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13.2</w:t>
            </w:r>
          </w:p>
        </w:tc>
      </w:tr>
      <w:tr w:rsidR="006F6929" w:rsidRPr="00DD0DBE" w14:paraId="7EE51C32"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49E49F8E"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62C9D97C"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 xml:space="preserve">School level qualifications </w:t>
            </w:r>
          </w:p>
        </w:tc>
        <w:tc>
          <w:tcPr>
            <w:tcW w:w="992" w:type="dxa"/>
            <w:tcBorders>
              <w:top w:val="nil"/>
              <w:left w:val="nil"/>
              <w:bottom w:val="single" w:sz="12" w:space="0" w:color="FF9E3C"/>
              <w:right w:val="single" w:sz="12" w:space="0" w:color="FF9E3C"/>
            </w:tcBorders>
            <w:shd w:val="clear" w:color="auto" w:fill="auto"/>
            <w:vAlign w:val="center"/>
            <w:hideMark/>
          </w:tcPr>
          <w:p w14:paraId="74A94E26"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515</w:t>
            </w:r>
          </w:p>
        </w:tc>
        <w:tc>
          <w:tcPr>
            <w:tcW w:w="1074" w:type="dxa"/>
            <w:tcBorders>
              <w:top w:val="nil"/>
              <w:left w:val="nil"/>
              <w:bottom w:val="single" w:sz="12" w:space="0" w:color="FF9E3C"/>
              <w:right w:val="single" w:sz="12" w:space="0" w:color="FF9E3C"/>
            </w:tcBorders>
            <w:shd w:val="clear" w:color="auto" w:fill="auto"/>
            <w:vAlign w:val="center"/>
            <w:hideMark/>
          </w:tcPr>
          <w:p w14:paraId="1E27FB6C"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33.4</w:t>
            </w:r>
          </w:p>
        </w:tc>
      </w:tr>
      <w:tr w:rsidR="006F6929" w:rsidRPr="00DD0DBE" w14:paraId="6EA839CD"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3677B2AF"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290EBB9E"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 xml:space="preserve">Trade or technical certificate </w:t>
            </w:r>
          </w:p>
        </w:tc>
        <w:tc>
          <w:tcPr>
            <w:tcW w:w="992" w:type="dxa"/>
            <w:tcBorders>
              <w:top w:val="nil"/>
              <w:left w:val="nil"/>
              <w:bottom w:val="single" w:sz="12" w:space="0" w:color="FF9E3C"/>
              <w:right w:val="single" w:sz="12" w:space="0" w:color="FF9E3C"/>
            </w:tcBorders>
            <w:shd w:val="clear" w:color="auto" w:fill="auto"/>
            <w:vAlign w:val="center"/>
            <w:hideMark/>
          </w:tcPr>
          <w:p w14:paraId="35406049"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272</w:t>
            </w:r>
          </w:p>
        </w:tc>
        <w:tc>
          <w:tcPr>
            <w:tcW w:w="1074" w:type="dxa"/>
            <w:tcBorders>
              <w:top w:val="nil"/>
              <w:left w:val="nil"/>
              <w:bottom w:val="single" w:sz="12" w:space="0" w:color="FF9E3C"/>
              <w:right w:val="single" w:sz="12" w:space="0" w:color="FF9E3C"/>
            </w:tcBorders>
            <w:shd w:val="clear" w:color="auto" w:fill="auto"/>
            <w:vAlign w:val="center"/>
            <w:hideMark/>
          </w:tcPr>
          <w:p w14:paraId="01BA99BB"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17.6</w:t>
            </w:r>
          </w:p>
        </w:tc>
      </w:tr>
      <w:tr w:rsidR="006F6929" w:rsidRPr="00DD0DBE" w14:paraId="0BC9F732"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46BE6762"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1190F964"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Professional qualifications</w:t>
            </w:r>
          </w:p>
        </w:tc>
        <w:tc>
          <w:tcPr>
            <w:tcW w:w="992" w:type="dxa"/>
            <w:tcBorders>
              <w:top w:val="nil"/>
              <w:left w:val="nil"/>
              <w:bottom w:val="single" w:sz="12" w:space="0" w:color="FF9E3C"/>
              <w:right w:val="single" w:sz="12" w:space="0" w:color="FF9E3C"/>
            </w:tcBorders>
            <w:shd w:val="clear" w:color="auto" w:fill="auto"/>
            <w:vAlign w:val="center"/>
            <w:hideMark/>
          </w:tcPr>
          <w:p w14:paraId="01BC1C31"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128</w:t>
            </w:r>
          </w:p>
        </w:tc>
        <w:tc>
          <w:tcPr>
            <w:tcW w:w="1074" w:type="dxa"/>
            <w:tcBorders>
              <w:top w:val="nil"/>
              <w:left w:val="nil"/>
              <w:bottom w:val="single" w:sz="12" w:space="0" w:color="FF9E3C"/>
              <w:right w:val="single" w:sz="12" w:space="0" w:color="FF9E3C"/>
            </w:tcBorders>
            <w:shd w:val="clear" w:color="auto" w:fill="auto"/>
            <w:vAlign w:val="center"/>
            <w:hideMark/>
          </w:tcPr>
          <w:p w14:paraId="28923362"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8.3</w:t>
            </w:r>
          </w:p>
        </w:tc>
      </w:tr>
      <w:tr w:rsidR="006F6929" w:rsidRPr="00DD0DBE" w14:paraId="2D925C6E"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5E1CF34F"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17AEF5BE"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Degree level qualifications</w:t>
            </w:r>
          </w:p>
        </w:tc>
        <w:tc>
          <w:tcPr>
            <w:tcW w:w="992" w:type="dxa"/>
            <w:tcBorders>
              <w:top w:val="nil"/>
              <w:left w:val="nil"/>
              <w:bottom w:val="single" w:sz="12" w:space="0" w:color="FF9E3C"/>
              <w:right w:val="single" w:sz="12" w:space="0" w:color="FF9E3C"/>
            </w:tcBorders>
            <w:shd w:val="clear" w:color="auto" w:fill="auto"/>
            <w:vAlign w:val="center"/>
            <w:hideMark/>
          </w:tcPr>
          <w:p w14:paraId="2E163DE9"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379</w:t>
            </w:r>
          </w:p>
        </w:tc>
        <w:tc>
          <w:tcPr>
            <w:tcW w:w="1074" w:type="dxa"/>
            <w:tcBorders>
              <w:top w:val="nil"/>
              <w:left w:val="nil"/>
              <w:bottom w:val="single" w:sz="12" w:space="0" w:color="FF9E3C"/>
              <w:right w:val="single" w:sz="12" w:space="0" w:color="FF9E3C"/>
            </w:tcBorders>
            <w:shd w:val="clear" w:color="auto" w:fill="auto"/>
            <w:vAlign w:val="center"/>
            <w:hideMark/>
          </w:tcPr>
          <w:p w14:paraId="2651DCDA"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24.6</w:t>
            </w:r>
          </w:p>
        </w:tc>
      </w:tr>
      <w:tr w:rsidR="006F6929" w:rsidRPr="00DD0DBE" w14:paraId="70355710" w14:textId="77777777" w:rsidTr="00124C1C">
        <w:trPr>
          <w:trHeight w:val="255"/>
        </w:trPr>
        <w:tc>
          <w:tcPr>
            <w:tcW w:w="1701" w:type="dxa"/>
            <w:vMerge/>
            <w:tcBorders>
              <w:top w:val="nil"/>
              <w:left w:val="single" w:sz="12" w:space="0" w:color="FF9E3C"/>
              <w:bottom w:val="single" w:sz="12" w:space="0" w:color="FF9E3C"/>
              <w:right w:val="single" w:sz="12" w:space="0" w:color="FF9E3C"/>
            </w:tcBorders>
            <w:vAlign w:val="center"/>
            <w:hideMark/>
          </w:tcPr>
          <w:p w14:paraId="62F0BB81" w14:textId="77777777" w:rsidR="006F6929" w:rsidRPr="00DD0DBE" w:rsidRDefault="006F6929" w:rsidP="00406FB4">
            <w:pPr>
              <w:tabs>
                <w:tab w:val="clear" w:pos="426"/>
              </w:tabs>
              <w:spacing w:before="0" w:after="0" w:line="240" w:lineRule="auto"/>
              <w:ind w:left="0" w:right="0"/>
              <w:rPr>
                <w:rFonts w:cs="Arial"/>
                <w:color w:val="1C3158"/>
                <w:sz w:val="18"/>
                <w:lang w:eastAsia="ja-JP"/>
              </w:rPr>
            </w:pPr>
          </w:p>
        </w:tc>
        <w:tc>
          <w:tcPr>
            <w:tcW w:w="2962" w:type="dxa"/>
            <w:tcBorders>
              <w:top w:val="nil"/>
              <w:left w:val="nil"/>
              <w:bottom w:val="single" w:sz="12" w:space="0" w:color="FF9E3C"/>
              <w:right w:val="single" w:sz="12" w:space="0" w:color="FF9E3C"/>
            </w:tcBorders>
            <w:shd w:val="clear" w:color="auto" w:fill="auto"/>
            <w:vAlign w:val="center"/>
            <w:hideMark/>
          </w:tcPr>
          <w:p w14:paraId="48563202" w14:textId="77777777" w:rsidR="006F6929" w:rsidRPr="00DD0DBE" w:rsidRDefault="006F6929" w:rsidP="00406FB4">
            <w:pPr>
              <w:tabs>
                <w:tab w:val="clear" w:pos="426"/>
              </w:tabs>
              <w:spacing w:before="0" w:after="0" w:line="240" w:lineRule="auto"/>
              <w:ind w:left="0" w:right="0"/>
              <w:rPr>
                <w:rFonts w:cs="Arial"/>
                <w:color w:val="1C3158"/>
                <w:sz w:val="18"/>
                <w:lang w:eastAsia="ja-JP"/>
              </w:rPr>
            </w:pPr>
            <w:r w:rsidRPr="00DD0DBE">
              <w:rPr>
                <w:rFonts w:cs="Arial"/>
                <w:color w:val="1C3158"/>
                <w:sz w:val="18"/>
                <w:lang w:eastAsia="ja-JP"/>
              </w:rPr>
              <w:t>Other</w:t>
            </w:r>
          </w:p>
        </w:tc>
        <w:tc>
          <w:tcPr>
            <w:tcW w:w="992" w:type="dxa"/>
            <w:tcBorders>
              <w:top w:val="nil"/>
              <w:left w:val="nil"/>
              <w:bottom w:val="single" w:sz="12" w:space="0" w:color="FF9E3C"/>
              <w:right w:val="single" w:sz="12" w:space="0" w:color="FF9E3C"/>
            </w:tcBorders>
            <w:shd w:val="clear" w:color="auto" w:fill="auto"/>
            <w:vAlign w:val="center"/>
            <w:hideMark/>
          </w:tcPr>
          <w:p w14:paraId="2DC95104"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45</w:t>
            </w:r>
          </w:p>
        </w:tc>
        <w:tc>
          <w:tcPr>
            <w:tcW w:w="1074" w:type="dxa"/>
            <w:tcBorders>
              <w:top w:val="nil"/>
              <w:left w:val="nil"/>
              <w:bottom w:val="single" w:sz="12" w:space="0" w:color="FF9E3C"/>
              <w:right w:val="single" w:sz="12" w:space="0" w:color="FF9E3C"/>
            </w:tcBorders>
            <w:shd w:val="clear" w:color="auto" w:fill="auto"/>
            <w:vAlign w:val="center"/>
            <w:hideMark/>
          </w:tcPr>
          <w:p w14:paraId="1F35DB93" w14:textId="77777777" w:rsidR="006F6929" w:rsidRPr="00DD0DBE" w:rsidRDefault="006F6929" w:rsidP="00AE22C6">
            <w:pPr>
              <w:tabs>
                <w:tab w:val="clear" w:pos="426"/>
              </w:tabs>
              <w:spacing w:before="0" w:after="0" w:line="240" w:lineRule="auto"/>
              <w:ind w:left="0" w:right="0"/>
              <w:jc w:val="right"/>
              <w:rPr>
                <w:rFonts w:cs="Arial"/>
                <w:color w:val="1C3158"/>
                <w:sz w:val="18"/>
                <w:lang w:eastAsia="ja-JP"/>
              </w:rPr>
            </w:pPr>
            <w:r w:rsidRPr="00DD0DBE">
              <w:rPr>
                <w:rFonts w:cs="Arial"/>
                <w:color w:val="1C3158"/>
                <w:sz w:val="18"/>
                <w:lang w:eastAsia="ja-JP"/>
              </w:rPr>
              <w:t>2.9</w:t>
            </w:r>
          </w:p>
        </w:tc>
      </w:tr>
    </w:tbl>
    <w:p w14:paraId="6C7CF1E8" w14:textId="7F6F59EB" w:rsidR="00406FB4" w:rsidRPr="00372B24" w:rsidRDefault="002E05E5" w:rsidP="00C3643F">
      <w:pPr>
        <w:tabs>
          <w:tab w:val="clear" w:pos="426"/>
        </w:tabs>
        <w:spacing w:after="60" w:line="240" w:lineRule="auto"/>
        <w:ind w:left="0" w:right="0"/>
        <w:rPr>
          <w:rFonts w:cs="Arial"/>
          <w:color w:val="1C3158"/>
          <w:sz w:val="16"/>
          <w:szCs w:val="16"/>
          <w:lang w:eastAsia="ja-JP"/>
        </w:rPr>
      </w:pPr>
      <w:r w:rsidRPr="002E05E5">
        <w:rPr>
          <w:rFonts w:cs="Arial"/>
          <w:color w:val="1C3158"/>
          <w:sz w:val="16"/>
          <w:szCs w:val="16"/>
          <w:vertAlign w:val="superscript"/>
          <w:lang w:eastAsia="ja-JP"/>
        </w:rPr>
        <w:t>a</w:t>
      </w:r>
      <w:r>
        <w:rPr>
          <w:rFonts w:cs="Arial"/>
          <w:color w:val="1C3158"/>
          <w:sz w:val="16"/>
          <w:szCs w:val="16"/>
          <w:lang w:eastAsia="ja-JP"/>
        </w:rPr>
        <w:t xml:space="preserve"> </w:t>
      </w:r>
      <w:r w:rsidR="00406FB4" w:rsidRPr="00372B24">
        <w:rPr>
          <w:rFonts w:cs="Arial"/>
          <w:color w:val="1C3158"/>
          <w:sz w:val="16"/>
          <w:szCs w:val="16"/>
          <w:lang w:eastAsia="ja-JP"/>
        </w:rPr>
        <w:t>N for all variables = 1</w:t>
      </w:r>
      <w:r w:rsidR="009B0044">
        <w:rPr>
          <w:rFonts w:cs="Arial"/>
          <w:color w:val="1C3158"/>
          <w:sz w:val="16"/>
          <w:szCs w:val="16"/>
          <w:lang w:eastAsia="ja-JP"/>
        </w:rPr>
        <w:t>,</w:t>
      </w:r>
      <w:r w:rsidR="00406FB4" w:rsidRPr="00372B24">
        <w:rPr>
          <w:rFonts w:cs="Arial"/>
          <w:color w:val="1C3158"/>
          <w:sz w:val="16"/>
          <w:szCs w:val="16"/>
          <w:lang w:eastAsia="ja-JP"/>
        </w:rPr>
        <w:t>542, with the exception of age (N = 1</w:t>
      </w:r>
      <w:r w:rsidR="009B0044">
        <w:rPr>
          <w:rFonts w:cs="Arial"/>
          <w:color w:val="1C3158"/>
          <w:sz w:val="16"/>
          <w:szCs w:val="16"/>
          <w:lang w:eastAsia="ja-JP"/>
        </w:rPr>
        <w:t>,</w:t>
      </w:r>
      <w:r w:rsidR="00406FB4" w:rsidRPr="00372B24">
        <w:rPr>
          <w:rFonts w:cs="Arial"/>
          <w:color w:val="1C3158"/>
          <w:sz w:val="16"/>
          <w:szCs w:val="16"/>
          <w:lang w:eastAsia="ja-JP"/>
        </w:rPr>
        <w:t xml:space="preserve">534). </w:t>
      </w:r>
    </w:p>
    <w:p w14:paraId="10593564" w14:textId="4399F8FA" w:rsidR="00406FB4" w:rsidRPr="00372B24" w:rsidRDefault="002E05E5" w:rsidP="00372B24">
      <w:pPr>
        <w:tabs>
          <w:tab w:val="clear" w:pos="426"/>
        </w:tabs>
        <w:spacing w:before="0" w:after="0" w:line="240" w:lineRule="auto"/>
        <w:ind w:left="0" w:right="0"/>
        <w:rPr>
          <w:rFonts w:cs="Arial"/>
          <w:color w:val="1C3158"/>
          <w:sz w:val="16"/>
          <w:szCs w:val="16"/>
          <w:lang w:eastAsia="ja-JP"/>
        </w:rPr>
      </w:pPr>
      <w:r w:rsidRPr="002E05E5">
        <w:rPr>
          <w:rFonts w:cs="Arial"/>
          <w:color w:val="1C3158"/>
          <w:sz w:val="16"/>
          <w:szCs w:val="16"/>
          <w:vertAlign w:val="superscript"/>
          <w:lang w:eastAsia="ja-JP"/>
        </w:rPr>
        <w:t>b</w:t>
      </w:r>
      <w:r>
        <w:rPr>
          <w:rFonts w:cs="Arial"/>
          <w:color w:val="1C3158"/>
          <w:sz w:val="16"/>
          <w:szCs w:val="16"/>
          <w:lang w:eastAsia="ja-JP"/>
        </w:rPr>
        <w:t xml:space="preserve"> </w:t>
      </w:r>
      <w:r w:rsidR="00406FB4" w:rsidRPr="00372B24">
        <w:rPr>
          <w:rFonts w:cs="Arial"/>
          <w:color w:val="1C3158"/>
          <w:sz w:val="16"/>
          <w:szCs w:val="16"/>
          <w:lang w:eastAsia="ja-JP"/>
        </w:rPr>
        <w:t>As respondents could selected multiple ethnicities N for ethnic groups &gt; 100% (N = 1</w:t>
      </w:r>
      <w:r w:rsidR="009B0044">
        <w:rPr>
          <w:rFonts w:cs="Arial"/>
          <w:color w:val="1C3158"/>
          <w:sz w:val="16"/>
          <w:szCs w:val="16"/>
          <w:lang w:eastAsia="ja-JP"/>
        </w:rPr>
        <w:t>,</w:t>
      </w:r>
      <w:r w:rsidR="00406FB4" w:rsidRPr="00372B24">
        <w:rPr>
          <w:rFonts w:cs="Arial"/>
          <w:color w:val="1C3158"/>
          <w:sz w:val="16"/>
          <w:szCs w:val="16"/>
          <w:lang w:eastAsia="ja-JP"/>
        </w:rPr>
        <w:t>691)</w:t>
      </w:r>
      <w:r>
        <w:rPr>
          <w:rFonts w:cs="Arial"/>
          <w:color w:val="1C3158"/>
          <w:sz w:val="16"/>
          <w:szCs w:val="16"/>
          <w:lang w:eastAsia="ja-JP"/>
        </w:rPr>
        <w:t>.</w:t>
      </w:r>
      <w:r w:rsidR="00406FB4" w:rsidRPr="00372B24">
        <w:rPr>
          <w:rFonts w:cs="Arial"/>
          <w:color w:val="1C3158"/>
          <w:sz w:val="16"/>
          <w:szCs w:val="16"/>
          <w:lang w:eastAsia="ja-JP"/>
        </w:rPr>
        <w:t xml:space="preserve"> </w:t>
      </w:r>
    </w:p>
    <w:p w14:paraId="3D6F2F96" w14:textId="5405266B" w:rsidR="0018584B" w:rsidRDefault="007948B5" w:rsidP="0018584B">
      <w:pPr>
        <w:pStyle w:val="VRGFBodycontent"/>
      </w:pPr>
      <w:r>
        <w:lastRenderedPageBreak/>
        <w:t>Nine hundred and fifty-one</w:t>
      </w:r>
      <w:r w:rsidRPr="007948B5">
        <w:t xml:space="preserve"> </w:t>
      </w:r>
      <w:r w:rsidR="0018584B" w:rsidRPr="007948B5">
        <w:t>complete responses were obtained from participants reporting on harms arising from their own</w:t>
      </w:r>
      <w:r w:rsidR="0018584B" w:rsidRPr="00A90F05">
        <w:t xml:space="preserve"> gambling (hereafter </w:t>
      </w:r>
      <w:r w:rsidR="0018584B" w:rsidRPr="00A90F05">
        <w:rPr>
          <w:i/>
        </w:rPr>
        <w:t>gamblers</w:t>
      </w:r>
      <w:r w:rsidR="0018584B" w:rsidRPr="00A90F05">
        <w:t>)</w:t>
      </w:r>
      <w:r w:rsidR="0018584B">
        <w:t xml:space="preserve"> and</w:t>
      </w:r>
      <w:r w:rsidR="0018584B" w:rsidRPr="00A90F05">
        <w:t xml:space="preserve"> </w:t>
      </w:r>
      <w:r w:rsidR="0018584B">
        <w:t>591</w:t>
      </w:r>
      <w:r w:rsidR="0018584B" w:rsidRPr="00A90F05">
        <w:t xml:space="preserve"> responses were obtained from </w:t>
      </w:r>
      <w:r w:rsidR="0018584B">
        <w:t>affected others</w:t>
      </w:r>
      <w:r w:rsidR="00E03CA8">
        <w:t>.</w:t>
      </w:r>
      <w:r w:rsidR="008610D3">
        <w:t xml:space="preserve"> </w:t>
      </w:r>
      <w:r w:rsidR="0018584B" w:rsidRPr="00A90F05">
        <w:t xml:space="preserve">The age distribution in these two participant groups was very similar, with mean ages of </w:t>
      </w:r>
      <w:r w:rsidR="0018584B">
        <w:t>45</w:t>
      </w:r>
      <w:r w:rsidR="0018584B" w:rsidRPr="00A90F05">
        <w:t xml:space="preserve"> and 4</w:t>
      </w:r>
      <w:r w:rsidR="0018584B">
        <w:t>4</w:t>
      </w:r>
      <w:r w:rsidR="0018584B" w:rsidRPr="00A90F05">
        <w:t>.</w:t>
      </w:r>
      <w:r w:rsidR="0018584B">
        <w:t>5</w:t>
      </w:r>
      <w:r>
        <w:t xml:space="preserve"> years</w:t>
      </w:r>
      <w:r w:rsidR="00E03CA8">
        <w:t>.</w:t>
      </w:r>
      <w:r w:rsidR="008610D3">
        <w:t xml:space="preserve"> </w:t>
      </w:r>
      <w:r w:rsidR="0018584B" w:rsidRPr="00A90F05">
        <w:t>Participants in the affected others group reported their relationship to the person whose gambling had affected them</w:t>
      </w:r>
      <w:r w:rsidR="00E03CA8">
        <w:t>.</w:t>
      </w:r>
      <w:r w:rsidR="008610D3">
        <w:t xml:space="preserve"> </w:t>
      </w:r>
      <w:r w:rsidR="00FD0F49">
        <w:t>T</w:t>
      </w:r>
      <w:r w:rsidR="0018584B" w:rsidRPr="00A90F05">
        <w:t xml:space="preserve">he prevalence of the relationship categories </w:t>
      </w:r>
      <w:r w:rsidR="00FD0F49">
        <w:t>reported</w:t>
      </w:r>
      <w:r w:rsidR="00FD0F49" w:rsidRPr="00A90F05">
        <w:t xml:space="preserve"> </w:t>
      </w:r>
      <w:r w:rsidR="0018584B" w:rsidRPr="00A90F05">
        <w:t>in this survey is given in</w:t>
      </w:r>
      <w:r w:rsidR="005C708B">
        <w:t xml:space="preserve"> </w:t>
      </w:r>
      <w:r w:rsidR="005C708B">
        <w:fldChar w:fldCharType="begin"/>
      </w:r>
      <w:r w:rsidR="005C708B">
        <w:instrText xml:space="preserve"> REF _Ref444981094 \h </w:instrText>
      </w:r>
      <w:r w:rsidR="005C708B">
        <w:fldChar w:fldCharType="separate"/>
      </w:r>
      <w:r w:rsidR="0006479A">
        <w:t xml:space="preserve">Table </w:t>
      </w:r>
      <w:r w:rsidR="0006479A">
        <w:rPr>
          <w:noProof/>
        </w:rPr>
        <w:t>6</w:t>
      </w:r>
      <w:r w:rsidR="005C708B">
        <w:fldChar w:fldCharType="end"/>
      </w:r>
      <w:r w:rsidR="0018584B" w:rsidRPr="00A90F05">
        <w:t>.</w:t>
      </w:r>
      <w:r w:rsidR="0018584B">
        <w:t xml:space="preserve"> </w:t>
      </w:r>
    </w:p>
    <w:p w14:paraId="58FD6377" w14:textId="5C53D2E9" w:rsidR="00406FB4" w:rsidRPr="00406FB4" w:rsidRDefault="005C708B" w:rsidP="005C708B">
      <w:pPr>
        <w:pStyle w:val="Caption"/>
        <w:rPr>
          <w:b w:val="0"/>
          <w:iCs w:val="0"/>
          <w:color w:val="1C3158"/>
        </w:rPr>
      </w:pPr>
      <w:bookmarkStart w:id="192" w:name="_Ref444981094"/>
      <w:bookmarkStart w:id="193" w:name="_Toc462738109"/>
      <w:r>
        <w:t xml:space="preserve">Table </w:t>
      </w:r>
      <w:fldSimple w:instr=" SEQ Table \* ARABIC ">
        <w:r w:rsidR="0006479A">
          <w:rPr>
            <w:noProof/>
          </w:rPr>
          <w:t>6</w:t>
        </w:r>
      </w:fldSimple>
      <w:bookmarkEnd w:id="192"/>
      <w:r w:rsidR="00E03CA8">
        <w:t>.</w:t>
      </w:r>
      <w:r w:rsidR="008610D3">
        <w:t xml:space="preserve"> </w:t>
      </w:r>
      <w:r>
        <w:t>Relationship of participants (affected others) to gamblers</w:t>
      </w:r>
      <w:bookmarkEnd w:id="193"/>
      <w:r>
        <w:t xml:space="preserve"> </w:t>
      </w:r>
    </w:p>
    <w:tbl>
      <w:tblPr>
        <w:tblW w:w="5528" w:type="dxa"/>
        <w:tblLook w:val="04A0" w:firstRow="1" w:lastRow="0" w:firstColumn="1" w:lastColumn="0" w:noHBand="0" w:noVBand="1"/>
      </w:tblPr>
      <w:tblGrid>
        <w:gridCol w:w="3260"/>
        <w:gridCol w:w="1134"/>
        <w:gridCol w:w="1134"/>
      </w:tblGrid>
      <w:tr w:rsidR="006F6929" w:rsidRPr="00BB216B" w14:paraId="7C99C67A" w14:textId="77777777" w:rsidTr="00B57D32">
        <w:trPr>
          <w:trHeight w:val="330"/>
        </w:trPr>
        <w:tc>
          <w:tcPr>
            <w:tcW w:w="3260" w:type="dxa"/>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0FC9784B" w14:textId="77777777" w:rsidR="006F6929" w:rsidRPr="00BB216B" w:rsidRDefault="006F6929" w:rsidP="00406FB4">
            <w:pPr>
              <w:tabs>
                <w:tab w:val="clear" w:pos="426"/>
              </w:tabs>
              <w:spacing w:before="0" w:after="0" w:line="240" w:lineRule="auto"/>
              <w:ind w:left="0" w:right="0"/>
              <w:rPr>
                <w:rFonts w:cs="Arial"/>
                <w:b/>
                <w:bCs/>
                <w:color w:val="1C3158"/>
                <w:sz w:val="18"/>
                <w:lang w:eastAsia="ja-JP"/>
              </w:rPr>
            </w:pPr>
            <w:r w:rsidRPr="00BB216B">
              <w:rPr>
                <w:rFonts w:cs="Arial"/>
                <w:b/>
                <w:bCs/>
                <w:color w:val="1C3158"/>
                <w:sz w:val="18"/>
                <w:lang w:eastAsia="ja-JP"/>
              </w:rPr>
              <w:t>Relationship to gamblers</w:t>
            </w:r>
          </w:p>
        </w:tc>
        <w:tc>
          <w:tcPr>
            <w:tcW w:w="1134" w:type="dxa"/>
            <w:tcBorders>
              <w:top w:val="single" w:sz="12" w:space="0" w:color="FF9E3C"/>
              <w:left w:val="nil"/>
              <w:bottom w:val="single" w:sz="12" w:space="0" w:color="FF9E3C"/>
              <w:right w:val="single" w:sz="12" w:space="0" w:color="FF9E3C"/>
            </w:tcBorders>
            <w:shd w:val="clear" w:color="000000" w:fill="FFBC64"/>
            <w:vAlign w:val="center"/>
            <w:hideMark/>
          </w:tcPr>
          <w:p w14:paraId="3F187CF6" w14:textId="113BECD7" w:rsidR="006F6929" w:rsidRPr="00BB216B" w:rsidRDefault="00124C1C" w:rsidP="00AE22C6">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n</w:t>
            </w:r>
          </w:p>
        </w:tc>
        <w:tc>
          <w:tcPr>
            <w:tcW w:w="1134" w:type="dxa"/>
            <w:tcBorders>
              <w:top w:val="single" w:sz="12" w:space="0" w:color="FF9E3C"/>
              <w:left w:val="nil"/>
              <w:bottom w:val="single" w:sz="12" w:space="0" w:color="FF9E3C"/>
              <w:right w:val="single" w:sz="12" w:space="0" w:color="FF9E3C"/>
            </w:tcBorders>
            <w:shd w:val="clear" w:color="000000" w:fill="FFBC64"/>
            <w:vAlign w:val="center"/>
            <w:hideMark/>
          </w:tcPr>
          <w:p w14:paraId="297EB2B0" w14:textId="77777777" w:rsidR="006F6929" w:rsidRPr="00BB216B" w:rsidRDefault="006F6929" w:rsidP="00AE22C6">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w:t>
            </w:r>
          </w:p>
        </w:tc>
      </w:tr>
      <w:tr w:rsidR="006F6929" w:rsidRPr="00BB216B" w14:paraId="1799CDC7" w14:textId="77777777" w:rsidTr="00B57D32">
        <w:trPr>
          <w:trHeight w:val="330"/>
        </w:trPr>
        <w:tc>
          <w:tcPr>
            <w:tcW w:w="3260" w:type="dxa"/>
            <w:tcBorders>
              <w:top w:val="nil"/>
              <w:left w:val="single" w:sz="12" w:space="0" w:color="FF9E3C"/>
              <w:bottom w:val="single" w:sz="12" w:space="0" w:color="FF9E3C"/>
              <w:right w:val="single" w:sz="12" w:space="0" w:color="FF9E3C"/>
            </w:tcBorders>
            <w:shd w:val="clear" w:color="auto" w:fill="auto"/>
            <w:vAlign w:val="center"/>
            <w:hideMark/>
          </w:tcPr>
          <w:p w14:paraId="32602D88"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Spouse / de facto / romantic partner</w:t>
            </w:r>
          </w:p>
        </w:tc>
        <w:tc>
          <w:tcPr>
            <w:tcW w:w="1134" w:type="dxa"/>
            <w:tcBorders>
              <w:top w:val="nil"/>
              <w:left w:val="nil"/>
              <w:bottom w:val="single" w:sz="12" w:space="0" w:color="FF9E3C"/>
              <w:right w:val="single" w:sz="12" w:space="0" w:color="FF9E3C"/>
            </w:tcBorders>
            <w:shd w:val="clear" w:color="auto" w:fill="auto"/>
            <w:vAlign w:val="center"/>
            <w:hideMark/>
          </w:tcPr>
          <w:p w14:paraId="2EBF93F2"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200</w:t>
            </w:r>
          </w:p>
        </w:tc>
        <w:tc>
          <w:tcPr>
            <w:tcW w:w="1134" w:type="dxa"/>
            <w:tcBorders>
              <w:top w:val="nil"/>
              <w:left w:val="nil"/>
              <w:bottom w:val="single" w:sz="12" w:space="0" w:color="FF9E3C"/>
              <w:right w:val="single" w:sz="12" w:space="0" w:color="FF9E3C"/>
            </w:tcBorders>
            <w:shd w:val="clear" w:color="auto" w:fill="auto"/>
            <w:vAlign w:val="center"/>
            <w:hideMark/>
          </w:tcPr>
          <w:p w14:paraId="069B8714"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33.8</w:t>
            </w:r>
          </w:p>
        </w:tc>
      </w:tr>
      <w:tr w:rsidR="006F6929" w:rsidRPr="00BB216B" w14:paraId="3163C8C9" w14:textId="77777777" w:rsidTr="00B57D32">
        <w:trPr>
          <w:trHeight w:val="330"/>
        </w:trPr>
        <w:tc>
          <w:tcPr>
            <w:tcW w:w="3260" w:type="dxa"/>
            <w:tcBorders>
              <w:top w:val="nil"/>
              <w:left w:val="single" w:sz="12" w:space="0" w:color="FF9E3C"/>
              <w:bottom w:val="single" w:sz="12" w:space="0" w:color="FF9E3C"/>
              <w:right w:val="single" w:sz="12" w:space="0" w:color="FF9E3C"/>
            </w:tcBorders>
            <w:shd w:val="clear" w:color="auto" w:fill="auto"/>
            <w:vAlign w:val="center"/>
            <w:hideMark/>
          </w:tcPr>
          <w:p w14:paraId="02781806"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 xml:space="preserve">Parent </w:t>
            </w:r>
          </w:p>
        </w:tc>
        <w:tc>
          <w:tcPr>
            <w:tcW w:w="1134" w:type="dxa"/>
            <w:tcBorders>
              <w:top w:val="nil"/>
              <w:left w:val="nil"/>
              <w:bottom w:val="single" w:sz="12" w:space="0" w:color="FF9E3C"/>
              <w:right w:val="single" w:sz="12" w:space="0" w:color="FF9E3C"/>
            </w:tcBorders>
            <w:shd w:val="clear" w:color="auto" w:fill="auto"/>
            <w:vAlign w:val="center"/>
            <w:hideMark/>
          </w:tcPr>
          <w:p w14:paraId="543E51A8"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114</w:t>
            </w:r>
          </w:p>
        </w:tc>
        <w:tc>
          <w:tcPr>
            <w:tcW w:w="1134" w:type="dxa"/>
            <w:tcBorders>
              <w:top w:val="nil"/>
              <w:left w:val="nil"/>
              <w:bottom w:val="single" w:sz="12" w:space="0" w:color="FF9E3C"/>
              <w:right w:val="single" w:sz="12" w:space="0" w:color="FF9E3C"/>
            </w:tcBorders>
            <w:shd w:val="clear" w:color="auto" w:fill="auto"/>
            <w:vAlign w:val="center"/>
            <w:hideMark/>
          </w:tcPr>
          <w:p w14:paraId="75CF6BB4"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19.3</w:t>
            </w:r>
          </w:p>
        </w:tc>
      </w:tr>
      <w:tr w:rsidR="006F6929" w:rsidRPr="00BB216B" w14:paraId="476BC7EF" w14:textId="77777777" w:rsidTr="00B57D32">
        <w:trPr>
          <w:trHeight w:val="330"/>
        </w:trPr>
        <w:tc>
          <w:tcPr>
            <w:tcW w:w="3260" w:type="dxa"/>
            <w:tcBorders>
              <w:top w:val="nil"/>
              <w:left w:val="single" w:sz="12" w:space="0" w:color="FF9E3C"/>
              <w:bottom w:val="single" w:sz="12" w:space="0" w:color="FF9E3C"/>
              <w:right w:val="single" w:sz="12" w:space="0" w:color="FF9E3C"/>
            </w:tcBorders>
            <w:shd w:val="clear" w:color="auto" w:fill="auto"/>
            <w:vAlign w:val="center"/>
            <w:hideMark/>
          </w:tcPr>
          <w:p w14:paraId="5C1A8C2D" w14:textId="4F2DABD3"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 xml:space="preserve">Other close family member / </w:t>
            </w:r>
            <w:r w:rsidR="00B12BDA">
              <w:rPr>
                <w:rFonts w:cs="Arial"/>
                <w:color w:val="1C3158"/>
                <w:sz w:val="18"/>
                <w:lang w:eastAsia="ja-JP"/>
              </w:rPr>
              <w:t>whānau</w:t>
            </w:r>
            <w:r w:rsidRPr="00BB216B">
              <w:rPr>
                <w:rFonts w:cs="Arial"/>
                <w:color w:val="1C3158"/>
                <w:sz w:val="18"/>
                <w:lang w:eastAsia="ja-JP"/>
              </w:rPr>
              <w:t xml:space="preserve"> </w:t>
            </w:r>
          </w:p>
        </w:tc>
        <w:tc>
          <w:tcPr>
            <w:tcW w:w="1134" w:type="dxa"/>
            <w:tcBorders>
              <w:top w:val="nil"/>
              <w:left w:val="nil"/>
              <w:bottom w:val="single" w:sz="12" w:space="0" w:color="FF9E3C"/>
              <w:right w:val="single" w:sz="12" w:space="0" w:color="FF9E3C"/>
            </w:tcBorders>
            <w:shd w:val="clear" w:color="auto" w:fill="auto"/>
            <w:vAlign w:val="center"/>
            <w:hideMark/>
          </w:tcPr>
          <w:p w14:paraId="01808D4B"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99</w:t>
            </w:r>
          </w:p>
        </w:tc>
        <w:tc>
          <w:tcPr>
            <w:tcW w:w="1134" w:type="dxa"/>
            <w:tcBorders>
              <w:top w:val="nil"/>
              <w:left w:val="nil"/>
              <w:bottom w:val="single" w:sz="12" w:space="0" w:color="FF9E3C"/>
              <w:right w:val="single" w:sz="12" w:space="0" w:color="FF9E3C"/>
            </w:tcBorders>
            <w:shd w:val="clear" w:color="auto" w:fill="auto"/>
            <w:vAlign w:val="center"/>
            <w:hideMark/>
          </w:tcPr>
          <w:p w14:paraId="3BB91BC9"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16.8</w:t>
            </w:r>
          </w:p>
        </w:tc>
      </w:tr>
      <w:tr w:rsidR="006F6929" w:rsidRPr="00BB216B" w14:paraId="5578C3B3" w14:textId="77777777" w:rsidTr="00B57D32">
        <w:trPr>
          <w:trHeight w:val="330"/>
        </w:trPr>
        <w:tc>
          <w:tcPr>
            <w:tcW w:w="3260" w:type="dxa"/>
            <w:tcBorders>
              <w:top w:val="nil"/>
              <w:left w:val="single" w:sz="12" w:space="0" w:color="FF9E3C"/>
              <w:bottom w:val="single" w:sz="12" w:space="0" w:color="FF9E3C"/>
              <w:right w:val="single" w:sz="12" w:space="0" w:color="FF9E3C"/>
            </w:tcBorders>
            <w:shd w:val="clear" w:color="auto" w:fill="auto"/>
            <w:vAlign w:val="center"/>
            <w:hideMark/>
          </w:tcPr>
          <w:p w14:paraId="0CE1FFEF"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 xml:space="preserve">Close friend </w:t>
            </w:r>
          </w:p>
        </w:tc>
        <w:tc>
          <w:tcPr>
            <w:tcW w:w="1134" w:type="dxa"/>
            <w:tcBorders>
              <w:top w:val="nil"/>
              <w:left w:val="nil"/>
              <w:bottom w:val="single" w:sz="12" w:space="0" w:color="FF9E3C"/>
              <w:right w:val="single" w:sz="12" w:space="0" w:color="FF9E3C"/>
            </w:tcBorders>
            <w:shd w:val="clear" w:color="auto" w:fill="auto"/>
            <w:vAlign w:val="center"/>
            <w:hideMark/>
          </w:tcPr>
          <w:p w14:paraId="55241AB6"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80</w:t>
            </w:r>
          </w:p>
        </w:tc>
        <w:tc>
          <w:tcPr>
            <w:tcW w:w="1134" w:type="dxa"/>
            <w:tcBorders>
              <w:top w:val="nil"/>
              <w:left w:val="nil"/>
              <w:bottom w:val="single" w:sz="12" w:space="0" w:color="FF9E3C"/>
              <w:right w:val="single" w:sz="12" w:space="0" w:color="FF9E3C"/>
            </w:tcBorders>
            <w:shd w:val="clear" w:color="auto" w:fill="auto"/>
            <w:vAlign w:val="center"/>
            <w:hideMark/>
          </w:tcPr>
          <w:p w14:paraId="65219C5F"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13.5</w:t>
            </w:r>
          </w:p>
        </w:tc>
      </w:tr>
      <w:tr w:rsidR="006F6929" w:rsidRPr="00BB216B" w14:paraId="5DAC54D1" w14:textId="77777777" w:rsidTr="00B57D32">
        <w:trPr>
          <w:trHeight w:val="330"/>
        </w:trPr>
        <w:tc>
          <w:tcPr>
            <w:tcW w:w="3260" w:type="dxa"/>
            <w:tcBorders>
              <w:top w:val="nil"/>
              <w:left w:val="single" w:sz="12" w:space="0" w:color="FF9E3C"/>
              <w:bottom w:val="single" w:sz="12" w:space="0" w:color="FF9E3C"/>
              <w:right w:val="single" w:sz="12" w:space="0" w:color="FF9E3C"/>
            </w:tcBorders>
            <w:shd w:val="clear" w:color="auto" w:fill="auto"/>
            <w:vAlign w:val="center"/>
            <w:hideMark/>
          </w:tcPr>
          <w:p w14:paraId="14F8860B"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 xml:space="preserve">Sibling </w:t>
            </w:r>
          </w:p>
        </w:tc>
        <w:tc>
          <w:tcPr>
            <w:tcW w:w="1134" w:type="dxa"/>
            <w:tcBorders>
              <w:top w:val="nil"/>
              <w:left w:val="nil"/>
              <w:bottom w:val="single" w:sz="12" w:space="0" w:color="FF9E3C"/>
              <w:right w:val="single" w:sz="12" w:space="0" w:color="FF9E3C"/>
            </w:tcBorders>
            <w:shd w:val="clear" w:color="auto" w:fill="auto"/>
            <w:vAlign w:val="center"/>
            <w:hideMark/>
          </w:tcPr>
          <w:p w14:paraId="1D3B0993"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38</w:t>
            </w:r>
          </w:p>
        </w:tc>
        <w:tc>
          <w:tcPr>
            <w:tcW w:w="1134" w:type="dxa"/>
            <w:tcBorders>
              <w:top w:val="nil"/>
              <w:left w:val="nil"/>
              <w:bottom w:val="single" w:sz="12" w:space="0" w:color="FF9E3C"/>
              <w:right w:val="single" w:sz="12" w:space="0" w:color="FF9E3C"/>
            </w:tcBorders>
            <w:shd w:val="clear" w:color="auto" w:fill="auto"/>
            <w:vAlign w:val="center"/>
            <w:hideMark/>
          </w:tcPr>
          <w:p w14:paraId="7CEAFB01"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6.4</w:t>
            </w:r>
          </w:p>
        </w:tc>
      </w:tr>
      <w:tr w:rsidR="006F6929" w:rsidRPr="00BB216B" w14:paraId="441767AA" w14:textId="77777777" w:rsidTr="00B57D32">
        <w:trPr>
          <w:trHeight w:val="330"/>
        </w:trPr>
        <w:tc>
          <w:tcPr>
            <w:tcW w:w="3260" w:type="dxa"/>
            <w:tcBorders>
              <w:top w:val="nil"/>
              <w:left w:val="single" w:sz="12" w:space="0" w:color="FF9E3C"/>
              <w:bottom w:val="single" w:sz="12" w:space="0" w:color="FF9E3C"/>
              <w:right w:val="single" w:sz="12" w:space="0" w:color="FF9E3C"/>
            </w:tcBorders>
            <w:shd w:val="clear" w:color="auto" w:fill="auto"/>
            <w:vAlign w:val="center"/>
            <w:hideMark/>
          </w:tcPr>
          <w:p w14:paraId="373EAEB7"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 xml:space="preserve">Child </w:t>
            </w:r>
          </w:p>
        </w:tc>
        <w:tc>
          <w:tcPr>
            <w:tcW w:w="1134" w:type="dxa"/>
            <w:tcBorders>
              <w:top w:val="nil"/>
              <w:left w:val="nil"/>
              <w:bottom w:val="single" w:sz="12" w:space="0" w:color="FF9E3C"/>
              <w:right w:val="single" w:sz="12" w:space="0" w:color="FF9E3C"/>
            </w:tcBorders>
            <w:shd w:val="clear" w:color="auto" w:fill="auto"/>
            <w:vAlign w:val="center"/>
            <w:hideMark/>
          </w:tcPr>
          <w:p w14:paraId="7AC185AF"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24</w:t>
            </w:r>
          </w:p>
        </w:tc>
        <w:tc>
          <w:tcPr>
            <w:tcW w:w="1134" w:type="dxa"/>
            <w:tcBorders>
              <w:top w:val="nil"/>
              <w:left w:val="nil"/>
              <w:bottom w:val="single" w:sz="12" w:space="0" w:color="FF9E3C"/>
              <w:right w:val="single" w:sz="12" w:space="0" w:color="FF9E3C"/>
            </w:tcBorders>
            <w:shd w:val="clear" w:color="auto" w:fill="auto"/>
            <w:vAlign w:val="center"/>
            <w:hideMark/>
          </w:tcPr>
          <w:p w14:paraId="6D32774B"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4.1</w:t>
            </w:r>
          </w:p>
        </w:tc>
      </w:tr>
      <w:tr w:rsidR="006F6929" w:rsidRPr="00BB216B" w14:paraId="6F63C721" w14:textId="77777777" w:rsidTr="00B57D32">
        <w:trPr>
          <w:trHeight w:val="330"/>
        </w:trPr>
        <w:tc>
          <w:tcPr>
            <w:tcW w:w="3260" w:type="dxa"/>
            <w:tcBorders>
              <w:top w:val="nil"/>
              <w:left w:val="single" w:sz="12" w:space="0" w:color="FF9E3C"/>
              <w:bottom w:val="single" w:sz="12" w:space="0" w:color="FF9E3C"/>
              <w:right w:val="single" w:sz="12" w:space="0" w:color="FF9E3C"/>
            </w:tcBorders>
            <w:shd w:val="clear" w:color="auto" w:fill="auto"/>
            <w:vAlign w:val="center"/>
            <w:hideMark/>
          </w:tcPr>
          <w:p w14:paraId="50F0C27E"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Close co-worker/colleague</w:t>
            </w:r>
          </w:p>
        </w:tc>
        <w:tc>
          <w:tcPr>
            <w:tcW w:w="1134" w:type="dxa"/>
            <w:tcBorders>
              <w:top w:val="nil"/>
              <w:left w:val="nil"/>
              <w:bottom w:val="single" w:sz="12" w:space="0" w:color="FF9E3C"/>
              <w:right w:val="single" w:sz="12" w:space="0" w:color="FF9E3C"/>
            </w:tcBorders>
            <w:shd w:val="clear" w:color="auto" w:fill="auto"/>
            <w:vAlign w:val="center"/>
            <w:hideMark/>
          </w:tcPr>
          <w:p w14:paraId="3F623E87"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18</w:t>
            </w:r>
          </w:p>
        </w:tc>
        <w:tc>
          <w:tcPr>
            <w:tcW w:w="1134" w:type="dxa"/>
            <w:tcBorders>
              <w:top w:val="nil"/>
              <w:left w:val="nil"/>
              <w:bottom w:val="single" w:sz="12" w:space="0" w:color="FF9E3C"/>
              <w:right w:val="single" w:sz="12" w:space="0" w:color="FF9E3C"/>
            </w:tcBorders>
            <w:shd w:val="clear" w:color="auto" w:fill="auto"/>
            <w:vAlign w:val="center"/>
            <w:hideMark/>
          </w:tcPr>
          <w:p w14:paraId="3705AA51" w14:textId="5A4D7765"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3</w:t>
            </w:r>
            <w:r w:rsidR="00124C1C">
              <w:rPr>
                <w:rFonts w:cs="Arial"/>
                <w:color w:val="1C3158"/>
                <w:sz w:val="18"/>
                <w:lang w:eastAsia="ja-JP"/>
              </w:rPr>
              <w:t>.0</w:t>
            </w:r>
          </w:p>
        </w:tc>
      </w:tr>
      <w:tr w:rsidR="006F6929" w:rsidRPr="00BB216B" w14:paraId="437690D9" w14:textId="77777777" w:rsidTr="00B57D32">
        <w:trPr>
          <w:trHeight w:val="330"/>
        </w:trPr>
        <w:tc>
          <w:tcPr>
            <w:tcW w:w="3260" w:type="dxa"/>
            <w:tcBorders>
              <w:top w:val="nil"/>
              <w:left w:val="single" w:sz="12" w:space="0" w:color="FF9E3C"/>
              <w:bottom w:val="single" w:sz="12" w:space="0" w:color="FF9E3C"/>
              <w:right w:val="single" w:sz="12" w:space="0" w:color="FF9E3C"/>
            </w:tcBorders>
            <w:shd w:val="clear" w:color="auto" w:fill="auto"/>
            <w:vAlign w:val="center"/>
            <w:hideMark/>
          </w:tcPr>
          <w:p w14:paraId="61DB37CB"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Other</w:t>
            </w:r>
          </w:p>
        </w:tc>
        <w:tc>
          <w:tcPr>
            <w:tcW w:w="1134" w:type="dxa"/>
            <w:tcBorders>
              <w:top w:val="nil"/>
              <w:left w:val="nil"/>
              <w:bottom w:val="single" w:sz="12" w:space="0" w:color="FF9E3C"/>
              <w:right w:val="single" w:sz="12" w:space="0" w:color="FF9E3C"/>
            </w:tcBorders>
            <w:shd w:val="clear" w:color="auto" w:fill="auto"/>
            <w:vAlign w:val="center"/>
            <w:hideMark/>
          </w:tcPr>
          <w:p w14:paraId="31F85BDC" w14:textId="77777777"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18</w:t>
            </w:r>
          </w:p>
        </w:tc>
        <w:tc>
          <w:tcPr>
            <w:tcW w:w="1134" w:type="dxa"/>
            <w:tcBorders>
              <w:top w:val="nil"/>
              <w:left w:val="nil"/>
              <w:bottom w:val="single" w:sz="12" w:space="0" w:color="FF9E3C"/>
              <w:right w:val="single" w:sz="12" w:space="0" w:color="FF9E3C"/>
            </w:tcBorders>
            <w:shd w:val="clear" w:color="auto" w:fill="auto"/>
            <w:vAlign w:val="center"/>
            <w:hideMark/>
          </w:tcPr>
          <w:p w14:paraId="1FE8DD17" w14:textId="68EA4D55" w:rsidR="006F6929" w:rsidRPr="00BB216B" w:rsidRDefault="006F6929" w:rsidP="00AE22C6">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3</w:t>
            </w:r>
            <w:r w:rsidR="00124C1C">
              <w:rPr>
                <w:rFonts w:cs="Arial"/>
                <w:color w:val="1C3158"/>
                <w:sz w:val="18"/>
                <w:lang w:eastAsia="ja-JP"/>
              </w:rPr>
              <w:t>.0</w:t>
            </w:r>
          </w:p>
        </w:tc>
      </w:tr>
    </w:tbl>
    <w:p w14:paraId="2FCDEEF1" w14:textId="77777777" w:rsidR="002F0AAB" w:rsidRDefault="002F0AAB" w:rsidP="0018584B">
      <w:pPr>
        <w:pStyle w:val="VRGFBodycontent"/>
        <w:tabs>
          <w:tab w:val="left" w:pos="1624"/>
        </w:tabs>
      </w:pPr>
    </w:p>
    <w:p w14:paraId="6EF3DE00" w14:textId="77777777" w:rsidR="00C767A9" w:rsidRDefault="00C767A9" w:rsidP="00C3643F">
      <w:pPr>
        <w:pStyle w:val="VRGFHead3"/>
      </w:pPr>
      <w:bookmarkStart w:id="194" w:name="_Toc430172939"/>
      <w:bookmarkStart w:id="195" w:name="_Toc462738034"/>
      <w:r>
        <w:t xml:space="preserve">Data </w:t>
      </w:r>
      <w:r w:rsidRPr="00C3643F">
        <w:t>analyses</w:t>
      </w:r>
      <w:bookmarkEnd w:id="194"/>
      <w:bookmarkEnd w:id="195"/>
    </w:p>
    <w:p w14:paraId="3EB4876F" w14:textId="6567594D" w:rsidR="00C04880" w:rsidRDefault="0061777D" w:rsidP="0061777D">
      <w:pPr>
        <w:pStyle w:val="VRGFBodycontent"/>
      </w:pPr>
      <w:r w:rsidRPr="009539EC">
        <w:t>All analyses were conducted in the R statistical programming environment, using</w:t>
      </w:r>
      <w:r w:rsidRPr="00A90F05">
        <w:t xml:space="preserve"> the </w:t>
      </w:r>
      <w:r w:rsidRPr="00A90F05">
        <w:rPr>
          <w:i/>
        </w:rPr>
        <w:t>lavaan</w:t>
      </w:r>
      <w:r w:rsidRPr="00A90F05">
        <w:t xml:space="preserve"> package (Rosseel</w:t>
      </w:r>
      <w:r>
        <w:t>,</w:t>
      </w:r>
      <w:r w:rsidRPr="00A90F05">
        <w:t xml:space="preserve"> 2012) for testing of measurement invariance of the PGSI</w:t>
      </w:r>
      <w:r w:rsidR="00E03CA8">
        <w:t>.</w:t>
      </w:r>
      <w:r w:rsidR="008610D3">
        <w:t xml:space="preserve"> </w:t>
      </w:r>
      <w:r w:rsidR="00C04880">
        <w:t xml:space="preserve">Our </w:t>
      </w:r>
      <w:r w:rsidR="00EE2B2D">
        <w:t>choice of analysis was</w:t>
      </w:r>
      <w:r w:rsidR="00C04880">
        <w:t xml:space="preserve"> guided by several considerations</w:t>
      </w:r>
      <w:r w:rsidR="00E03CA8">
        <w:t>.</w:t>
      </w:r>
      <w:r w:rsidR="008610D3">
        <w:t xml:space="preserve"> </w:t>
      </w:r>
      <w:r w:rsidR="00C04880">
        <w:t xml:space="preserve">Firstly, our premise is that individuals vary in the degree of aggregate harm that they experience, and that this aggregate harm is not directly measurable but rather may be inferred by </w:t>
      </w:r>
      <w:r w:rsidR="00C40BA0">
        <w:t>existence of ‘symptoms’</w:t>
      </w:r>
      <w:r w:rsidR="007948B5">
        <w:t>,</w:t>
      </w:r>
      <w:r w:rsidR="00C40BA0">
        <w:t xml:space="preserve"> being our harms checklist representing a large set</w:t>
      </w:r>
      <w:r w:rsidR="00C04880">
        <w:t xml:space="preserve"> </w:t>
      </w:r>
      <w:r w:rsidR="007948B5">
        <w:t xml:space="preserve">of </w:t>
      </w:r>
      <w:r w:rsidR="00C04880">
        <w:t>specific indicators or probes</w:t>
      </w:r>
      <w:r w:rsidR="00E03CA8">
        <w:t>.</w:t>
      </w:r>
      <w:r w:rsidR="008610D3">
        <w:t xml:space="preserve"> </w:t>
      </w:r>
      <w:r w:rsidR="00C04880">
        <w:t xml:space="preserve">This </w:t>
      </w:r>
      <w:r w:rsidR="007948B5">
        <w:t xml:space="preserve">means </w:t>
      </w:r>
      <w:r w:rsidR="00C04880">
        <w:t>that a confirmatory factor analysis</w:t>
      </w:r>
      <w:r w:rsidR="00EE2B2D">
        <w:t xml:space="preserve"> (CFA)</w:t>
      </w:r>
      <w:r w:rsidR="00C04880">
        <w:t xml:space="preserve"> is </w:t>
      </w:r>
      <w:r w:rsidR="00C40BA0">
        <w:t>a</w:t>
      </w:r>
      <w:r w:rsidR="00C04880">
        <w:t xml:space="preserve"> reasonable methodology to apply</w:t>
      </w:r>
      <w:r w:rsidR="00E03CA8">
        <w:t>.</w:t>
      </w:r>
      <w:r w:rsidR="008610D3">
        <w:t xml:space="preserve"> </w:t>
      </w:r>
      <w:r w:rsidR="00C04880">
        <w:t>Secondly, the indicators themselves are not continuous, but rather binary – implying that logistic links to items from the latent factor are required</w:t>
      </w:r>
      <w:r w:rsidR="007948B5">
        <w:t>;</w:t>
      </w:r>
      <w:r w:rsidR="00C04880">
        <w:t xml:space="preserve"> </w:t>
      </w:r>
      <w:r w:rsidR="007948B5">
        <w:t>this</w:t>
      </w:r>
      <w:r w:rsidR="00C04880">
        <w:t xml:space="preserve"> is broadly equivalent to an item-response theoretic </w:t>
      </w:r>
      <w:r w:rsidR="00903C32">
        <w:t xml:space="preserve">(IRT) </w:t>
      </w:r>
      <w:r w:rsidR="00C04880">
        <w:t>approach</w:t>
      </w:r>
      <w:r w:rsidR="00E03CA8">
        <w:t>.</w:t>
      </w:r>
      <w:r w:rsidR="008610D3">
        <w:t xml:space="preserve"> </w:t>
      </w:r>
      <w:r w:rsidR="00903C32">
        <w:t>From this perspective, specific symptoms may vary in the degree to which they reliably indicate generalised gambling harm and</w:t>
      </w:r>
      <w:r w:rsidR="007948B5">
        <w:t>,</w:t>
      </w:r>
      <w:r w:rsidR="00903C32">
        <w:t xml:space="preserve"> furthermore, may provide information at different points along the spectrum of harm – from mild to severe</w:t>
      </w:r>
      <w:r w:rsidR="00E03CA8">
        <w:t>.</w:t>
      </w:r>
      <w:r w:rsidR="008610D3">
        <w:t xml:space="preserve"> </w:t>
      </w:r>
      <w:r w:rsidR="003A6B25">
        <w:t>These two item characteristics, item discrimination and item severity respectively, may be determined by the application of IRT methods</w:t>
      </w:r>
      <w:r w:rsidR="00E03CA8">
        <w:t>.</w:t>
      </w:r>
      <w:r w:rsidR="008610D3">
        <w:t xml:space="preserve"> </w:t>
      </w:r>
      <w:r w:rsidR="004159CB">
        <w:t xml:space="preserve">Finally, we are interested in whether </w:t>
      </w:r>
      <w:r w:rsidR="003A6B25">
        <w:t>our measure of gambling problems – using the PGSI in retrospective and 2</w:t>
      </w:r>
      <w:r w:rsidR="003A6B25" w:rsidRPr="00F715D9">
        <w:rPr>
          <w:vertAlign w:val="superscript"/>
        </w:rPr>
        <w:t>nd</w:t>
      </w:r>
      <w:r w:rsidR="003A6B25">
        <w:t xml:space="preserve"> person reported forms, is</w:t>
      </w:r>
      <w:r w:rsidR="004159CB">
        <w:t xml:space="preserve"> </w:t>
      </w:r>
      <w:r w:rsidR="004D63E9">
        <w:t xml:space="preserve">generalisable </w:t>
      </w:r>
      <w:r w:rsidR="004159CB">
        <w:t>between the different groups considered</w:t>
      </w:r>
      <w:r w:rsidR="003A6B25">
        <w:t>:</w:t>
      </w:r>
      <w:r w:rsidR="004159CB">
        <w:t xml:space="preserve"> gamblers </w:t>
      </w:r>
      <w:r w:rsidR="003A6B25">
        <w:t xml:space="preserve">versus </w:t>
      </w:r>
      <w:r w:rsidR="004159CB">
        <w:t>affected others, current versus retrospective respondents</w:t>
      </w:r>
      <w:r w:rsidR="00E03CA8">
        <w:t>.</w:t>
      </w:r>
      <w:r w:rsidR="008610D3">
        <w:t xml:space="preserve"> </w:t>
      </w:r>
      <w:r w:rsidR="004159CB">
        <w:t xml:space="preserve">This </w:t>
      </w:r>
      <w:r w:rsidR="007948B5">
        <w:t xml:space="preserve">meant </w:t>
      </w:r>
      <w:r w:rsidR="004159CB">
        <w:t xml:space="preserve">that assessment of equivalent item functioning </w:t>
      </w:r>
      <w:r w:rsidR="003A6B25">
        <w:t xml:space="preserve">of the PGSI </w:t>
      </w:r>
      <w:r w:rsidR="004159CB">
        <w:t>between groups was necessary</w:t>
      </w:r>
      <w:r w:rsidR="00E03CA8">
        <w:t>.</w:t>
      </w:r>
      <w:r w:rsidR="008610D3">
        <w:t xml:space="preserve"> </w:t>
      </w:r>
      <w:r w:rsidR="00EE2B2D">
        <w:t>Our sampling priority was to ensure coverage of the full diversity of harm profiles in the population, and across different levels of gambling problem severity</w:t>
      </w:r>
      <w:r w:rsidR="00E03CA8">
        <w:t>.</w:t>
      </w:r>
      <w:r w:rsidR="008610D3">
        <w:t xml:space="preserve"> </w:t>
      </w:r>
      <w:r w:rsidR="00EE2B2D">
        <w:t xml:space="preserve">As </w:t>
      </w:r>
      <w:r w:rsidR="00CE4EDB">
        <w:t xml:space="preserve">the main goal of </w:t>
      </w:r>
      <w:r w:rsidR="00EE2B2D">
        <w:t>analysis was</w:t>
      </w:r>
      <w:r w:rsidR="00CE4EDB">
        <w:t xml:space="preserve"> to capture population </w:t>
      </w:r>
      <w:r w:rsidR="00BF7D7A">
        <w:t>heterogeneity</w:t>
      </w:r>
      <w:r w:rsidR="00CE4EDB">
        <w:t>, and</w:t>
      </w:r>
      <w:r w:rsidR="00EE2B2D">
        <w:t xml:space="preserve"> </w:t>
      </w:r>
      <w:r w:rsidR="007948B5">
        <w:t xml:space="preserve">was </w:t>
      </w:r>
      <w:r w:rsidR="00EE2B2D">
        <w:t xml:space="preserve">not hypothesis driven, no power calculation method is available to decide on appropriate sample size. </w:t>
      </w:r>
    </w:p>
    <w:p w14:paraId="1C989C8A" w14:textId="14E566AC" w:rsidR="0061777D" w:rsidRDefault="000718FD" w:rsidP="0061777D">
      <w:pPr>
        <w:pStyle w:val="VRGFBodycontent"/>
        <w:rPr>
          <w:rFonts w:cs="Arial"/>
          <w:szCs w:val="20"/>
          <w:lang w:eastAsia="en-AU"/>
        </w:rPr>
      </w:pPr>
      <w:r>
        <w:t>T</w:t>
      </w:r>
      <w:r w:rsidR="0061777D" w:rsidRPr="00A90F05">
        <w:t xml:space="preserve">he </w:t>
      </w:r>
      <w:r w:rsidR="0061777D" w:rsidRPr="00A90F05">
        <w:rPr>
          <w:i/>
        </w:rPr>
        <w:t>ltm</w:t>
      </w:r>
      <w:r w:rsidR="0061777D" w:rsidRPr="00A90F05">
        <w:t xml:space="preserve"> package (Rizopoulos</w:t>
      </w:r>
      <w:r w:rsidR="0061777D">
        <w:t>,</w:t>
      </w:r>
      <w:r w:rsidR="0061777D" w:rsidRPr="00A90F05">
        <w:t xml:space="preserve"> 2006)</w:t>
      </w:r>
      <w:r>
        <w:t xml:space="preserve"> was used</w:t>
      </w:r>
      <w:r w:rsidR="0061777D" w:rsidRPr="00A90F05">
        <w:t xml:space="preserve"> for estimating IRT parameters of the harm items</w:t>
      </w:r>
      <w:r w:rsidR="0061777D">
        <w:t>, and</w:t>
      </w:r>
      <w:r>
        <w:t xml:space="preserve"> </w:t>
      </w:r>
      <w:r w:rsidR="0061777D">
        <w:t>general purpose functions</w:t>
      </w:r>
      <w:r>
        <w:t xml:space="preserve"> were utilised</w:t>
      </w:r>
      <w:r w:rsidR="0061777D">
        <w:t xml:space="preserve"> for calculating key item indicators such as percentages, confidence intervals, and correlations</w:t>
      </w:r>
      <w:r w:rsidR="00E03CA8">
        <w:t>.</w:t>
      </w:r>
      <w:r w:rsidR="008610D3">
        <w:t xml:space="preserve"> </w:t>
      </w:r>
      <w:r w:rsidR="0061777D" w:rsidRPr="00A90F05">
        <w:t>Our sample included a reasonably large proportion of individuals</w:t>
      </w:r>
      <w:r w:rsidR="004A4818">
        <w:t xml:space="preserve"> (33</w:t>
      </w:r>
      <w:r w:rsidR="00124C1C">
        <w:t>.0</w:t>
      </w:r>
      <w:r w:rsidR="004A4818">
        <w:t>% of gamblers</w:t>
      </w:r>
      <w:r w:rsidR="00676A23">
        <w:t>; 20.6% of affected others</w:t>
      </w:r>
      <w:r w:rsidR="004A4818">
        <w:t>)</w:t>
      </w:r>
      <w:r w:rsidR="0061777D" w:rsidRPr="00A90F05">
        <w:t xml:space="preserve"> who reported </w:t>
      </w:r>
      <w:r w:rsidR="00167C61">
        <w:t xml:space="preserve">having experienced </w:t>
      </w:r>
      <w:r w:rsidR="0061777D" w:rsidRPr="00A90F05">
        <w:lastRenderedPageBreak/>
        <w:t>gambling problems and harms in the last 12 months</w:t>
      </w:r>
      <w:r w:rsidR="00E03CA8">
        <w:t>.</w:t>
      </w:r>
      <w:r w:rsidR="008610D3">
        <w:t xml:space="preserve"> </w:t>
      </w:r>
      <w:r w:rsidR="0061777D" w:rsidRPr="00A90F05">
        <w:t>This allowed scope to check for the validity of retrospective reporting by testing for measurement invariance of the PGSI between individuals reporting current problems, and those who were reflecting on a historical 12-month period</w:t>
      </w:r>
      <w:r w:rsidR="00E03CA8">
        <w:t>.</w:t>
      </w:r>
      <w:r w:rsidR="008610D3">
        <w:t xml:space="preserve"> </w:t>
      </w:r>
      <w:r w:rsidR="0061777D" w:rsidRPr="00A90F05">
        <w:t xml:space="preserve">We also made comparisons in PGSI </w:t>
      </w:r>
      <w:r w:rsidR="007948B5">
        <w:t>responses</w:t>
      </w:r>
      <w:r w:rsidR="007948B5" w:rsidRPr="00A90F05">
        <w:t xml:space="preserve"> </w:t>
      </w:r>
      <w:r w:rsidR="0061777D" w:rsidRPr="00A90F05">
        <w:t>between those reporting on their own problems, versus those reporting on the problems of a significant other</w:t>
      </w:r>
      <w:r w:rsidR="00E03CA8">
        <w:t>.</w:t>
      </w:r>
      <w:r w:rsidR="008610D3">
        <w:t xml:space="preserve"> </w:t>
      </w:r>
      <w:r w:rsidR="0061777D" w:rsidRPr="00A90F05">
        <w:t>We conducted measurement</w:t>
      </w:r>
      <w:r w:rsidR="00152424">
        <w:t xml:space="preserve"> invariance</w:t>
      </w:r>
      <w:r w:rsidR="0061777D" w:rsidRPr="00A90F05">
        <w:t xml:space="preserve"> tests (Vandenberg </w:t>
      </w:r>
      <w:r w:rsidR="0061777D">
        <w:t>&amp;</w:t>
      </w:r>
      <w:r w:rsidR="0061777D" w:rsidRPr="00A90F05">
        <w:t xml:space="preserve"> Lance</w:t>
      </w:r>
      <w:r w:rsidR="0061777D">
        <w:t>,</w:t>
      </w:r>
      <w:r w:rsidR="0061777D" w:rsidRPr="00A90F05">
        <w:t xml:space="preserve"> 2000) comparing group-variant and group-invariant CFA models using the comparative fit index (CFI) and the root mean square error of approximation (RMSEA)</w:t>
      </w:r>
      <w:r w:rsidR="00E03CA8">
        <w:t>.</w:t>
      </w:r>
      <w:r w:rsidR="008610D3">
        <w:t xml:space="preserve"> </w:t>
      </w:r>
      <w:r w:rsidR="0061777D" w:rsidRPr="00A90F05">
        <w:t>Both measures incorporate penalty terms for degrees of freedom and</w:t>
      </w:r>
      <w:r w:rsidR="007948B5">
        <w:t>,</w:t>
      </w:r>
      <w:r w:rsidR="0061777D" w:rsidRPr="00A90F05">
        <w:t xml:space="preserve"> therefore</w:t>
      </w:r>
      <w:r w:rsidR="007948B5">
        <w:t>,</w:t>
      </w:r>
      <w:r w:rsidR="0061777D" w:rsidRPr="00A90F05">
        <w:t xml:space="preserve"> improved fit measures are possible for more highly constrained models</w:t>
      </w:r>
      <w:r w:rsidR="0061777D">
        <w:t>, when the extra degrees of freedom are not supported by data fit</w:t>
      </w:r>
      <w:r w:rsidR="00E03CA8">
        <w:t>.</w:t>
      </w:r>
      <w:r w:rsidR="008610D3">
        <w:t xml:space="preserve"> </w:t>
      </w:r>
      <w:r w:rsidR="0061777D">
        <w:t>Additionally, t</w:t>
      </w:r>
      <w:r w:rsidR="0061777D" w:rsidRPr="00A90F05">
        <w:t>-tests were employed to compare means between categories of participants</w:t>
      </w:r>
      <w:r w:rsidR="00E03CA8">
        <w:t>.</w:t>
      </w:r>
      <w:r w:rsidR="008610D3">
        <w:t xml:space="preserve"> </w:t>
      </w:r>
      <w:r w:rsidR="0061777D" w:rsidRPr="00A90F05">
        <w:t>For each domain of gambling harm considered, a separate IRT model was applied</w:t>
      </w:r>
      <w:r w:rsidR="00E03CA8">
        <w:t>.</w:t>
      </w:r>
      <w:r w:rsidR="008610D3">
        <w:t xml:space="preserve"> </w:t>
      </w:r>
      <w:r w:rsidR="0061777D" w:rsidRPr="00A90F05">
        <w:t>IRT modelling assumes the existence of a latent dimensional construct (e.g</w:t>
      </w:r>
      <w:r w:rsidR="00E03CA8">
        <w:t xml:space="preserve">. </w:t>
      </w:r>
      <w:r w:rsidR="0061777D" w:rsidRPr="00A90F05">
        <w:t>financial harm), higher scores of which are manifested by a greater probability of observing positive scores on a set of measurable indicators (i.e. the specific harms on our checklists)</w:t>
      </w:r>
      <w:r w:rsidR="00E03CA8">
        <w:t>.</w:t>
      </w:r>
      <w:r w:rsidR="008610D3">
        <w:t xml:space="preserve"> </w:t>
      </w:r>
      <w:r w:rsidR="0061777D" w:rsidRPr="00A90F05">
        <w:t xml:space="preserve">In a two-parameter model, items can differ in terms of their ‘difficulty’ (hereafter </w:t>
      </w:r>
      <w:r w:rsidR="0061777D" w:rsidRPr="00A90F05">
        <w:rPr>
          <w:i/>
        </w:rPr>
        <w:t>severity</w:t>
      </w:r>
      <w:r w:rsidR="0061777D" w:rsidRPr="00A90F05">
        <w:t>) and discrimination parameters</w:t>
      </w:r>
      <w:r w:rsidR="00E03CA8">
        <w:t>.</w:t>
      </w:r>
      <w:r w:rsidR="008610D3">
        <w:t xml:space="preserve"> </w:t>
      </w:r>
      <w:r w:rsidR="0061777D" w:rsidRPr="00A90F05">
        <w:t xml:space="preserve">A higher item severity parameter means that the indicator tends to be positive </w:t>
      </w:r>
      <w:r w:rsidR="0061777D">
        <w:t>only when</w:t>
      </w:r>
      <w:r w:rsidR="0061777D" w:rsidRPr="00A90F05">
        <w:t xml:space="preserve"> latent scores are relatively high</w:t>
      </w:r>
      <w:r w:rsidR="00E03CA8">
        <w:t>.</w:t>
      </w:r>
      <w:r w:rsidR="008610D3">
        <w:t xml:space="preserve"> </w:t>
      </w:r>
      <w:r w:rsidR="0061777D">
        <w:t>That is, sensitive for discriminating between high degrees of gambling harm</w:t>
      </w:r>
      <w:r w:rsidR="00E03CA8">
        <w:t>.</w:t>
      </w:r>
      <w:r w:rsidR="008610D3">
        <w:t xml:space="preserve"> </w:t>
      </w:r>
      <w:r w:rsidR="0061777D">
        <w:t>Conversely, a lower severity parameter indicates that the item is sensitive for discriminating between lower levels of harm</w:t>
      </w:r>
      <w:r w:rsidR="00E03CA8">
        <w:t>.</w:t>
      </w:r>
      <w:r w:rsidR="008610D3">
        <w:t xml:space="preserve"> </w:t>
      </w:r>
      <w:r w:rsidR="0061777D" w:rsidRPr="00A90F05">
        <w:t xml:space="preserve">The discrimination parameter describes how reliably the indicator discriminates </w:t>
      </w:r>
      <w:r w:rsidR="0061777D">
        <w:t xml:space="preserve">individuals overall with respect to </w:t>
      </w:r>
      <w:r w:rsidR="0061777D" w:rsidRPr="00A90F05">
        <w:t>the latent construct</w:t>
      </w:r>
      <w:r w:rsidR="00E03CA8">
        <w:t>.</w:t>
      </w:r>
      <w:r w:rsidR="008610D3">
        <w:t xml:space="preserve"> </w:t>
      </w:r>
      <w:r w:rsidR="0061777D">
        <w:t>Because IRT does not make use of information outside the items being considered, it is related to item reliability rather than validity</w:t>
      </w:r>
      <w:r w:rsidR="00E03CA8">
        <w:t>.</w:t>
      </w:r>
      <w:r w:rsidR="008610D3">
        <w:t xml:space="preserve"> </w:t>
      </w:r>
      <w:r w:rsidR="00152424">
        <w:t>In order to infer validity</w:t>
      </w:r>
      <w:r w:rsidR="0061777D">
        <w:t xml:space="preserve">, correlations and cross-tabulations with the PGSI </w:t>
      </w:r>
      <w:r w:rsidR="00437A92">
        <w:t xml:space="preserve">were calculated - </w:t>
      </w:r>
      <w:r w:rsidR="0061777D">
        <w:t>provid</w:t>
      </w:r>
      <w:r w:rsidR="00437A92">
        <w:t>ing</w:t>
      </w:r>
      <w:r w:rsidR="0061777D">
        <w:t xml:space="preserve"> </w:t>
      </w:r>
      <w:r w:rsidR="00437A92">
        <w:t xml:space="preserve">further </w:t>
      </w:r>
      <w:r w:rsidR="0061777D">
        <w:t>measure</w:t>
      </w:r>
      <w:r w:rsidR="00437A92">
        <w:t>s</w:t>
      </w:r>
      <w:r w:rsidR="0061777D">
        <w:t xml:space="preserve"> of item functioning</w:t>
      </w:r>
      <w:r w:rsidR="00E03CA8">
        <w:t>.</w:t>
      </w:r>
      <w:r w:rsidR="008610D3">
        <w:t xml:space="preserve"> </w:t>
      </w:r>
      <w:r w:rsidR="0061777D">
        <w:t>Prevalence and 95% confidence intervals were calculated for all four PGSI categories</w:t>
      </w:r>
      <w:r w:rsidR="00E03CA8">
        <w:t>.</w:t>
      </w:r>
      <w:r w:rsidR="008610D3">
        <w:t xml:space="preserve"> </w:t>
      </w:r>
      <w:r w:rsidR="0061777D">
        <w:t>The item</w:t>
      </w:r>
      <w:r w:rsidR="00C04880">
        <w:t>’</w:t>
      </w:r>
      <w:r w:rsidR="0061777D">
        <w:rPr>
          <w:rFonts w:cs="Arial"/>
          <w:szCs w:val="20"/>
          <w:lang w:eastAsia="en-AU"/>
        </w:rPr>
        <w:t xml:space="preserve">s </w:t>
      </w:r>
      <w:r w:rsidR="0061777D" w:rsidRPr="0092610F">
        <w:rPr>
          <w:rFonts w:cs="Arial"/>
          <w:szCs w:val="20"/>
          <w:lang w:eastAsia="en-AU"/>
        </w:rPr>
        <w:t>point-biserial correlation coeffi</w:t>
      </w:r>
      <w:r w:rsidR="0061777D">
        <w:rPr>
          <w:rFonts w:cs="Arial"/>
          <w:szCs w:val="20"/>
          <w:lang w:eastAsia="en-AU"/>
        </w:rPr>
        <w:t>cient was calculated with respect to</w:t>
      </w:r>
      <w:r w:rsidR="00267BF2">
        <w:rPr>
          <w:rFonts w:cs="Arial"/>
          <w:szCs w:val="20"/>
          <w:lang w:eastAsia="en-AU"/>
        </w:rPr>
        <w:t>:</w:t>
      </w:r>
      <w:r w:rsidR="0061777D">
        <w:rPr>
          <w:rFonts w:cs="Arial"/>
          <w:szCs w:val="20"/>
          <w:lang w:eastAsia="en-AU"/>
        </w:rPr>
        <w:t xml:space="preserve"> (a) the PGSI, (b) </w:t>
      </w:r>
      <w:r w:rsidR="0061777D" w:rsidRPr="0092610F">
        <w:rPr>
          <w:rFonts w:cs="Arial"/>
          <w:szCs w:val="20"/>
          <w:lang w:eastAsia="en-AU"/>
        </w:rPr>
        <w:t>the general domain Likert item</w:t>
      </w:r>
      <w:r w:rsidR="0061777D">
        <w:rPr>
          <w:rFonts w:cs="Arial"/>
          <w:szCs w:val="20"/>
          <w:lang w:eastAsia="en-AU"/>
        </w:rPr>
        <w:t xml:space="preserve"> measuring ‘overall harm’, and (c) the sum of positive answers in corresponding</w:t>
      </w:r>
      <w:r w:rsidR="0061777D" w:rsidRPr="0092610F">
        <w:rPr>
          <w:rFonts w:cs="Arial"/>
          <w:szCs w:val="20"/>
          <w:lang w:eastAsia="en-AU"/>
        </w:rPr>
        <w:t xml:space="preserve"> harm domain (</w:t>
      </w:r>
      <w:r w:rsidR="0061777D">
        <w:rPr>
          <w:rFonts w:cs="Arial"/>
          <w:szCs w:val="20"/>
          <w:lang w:eastAsia="en-AU"/>
        </w:rPr>
        <w:t xml:space="preserve">item-total correlation, </w:t>
      </w:r>
      <w:r w:rsidR="0061777D" w:rsidRPr="0092610F">
        <w:rPr>
          <w:rFonts w:cs="Arial"/>
          <w:szCs w:val="20"/>
          <w:lang w:eastAsia="en-AU"/>
        </w:rPr>
        <w:t>excluding the current item)</w:t>
      </w:r>
      <w:r w:rsidR="00E03CA8">
        <w:rPr>
          <w:rFonts w:cs="Arial"/>
          <w:szCs w:val="20"/>
          <w:lang w:eastAsia="en-AU"/>
        </w:rPr>
        <w:t>.</w:t>
      </w:r>
      <w:r w:rsidR="008610D3">
        <w:rPr>
          <w:rFonts w:cs="Arial"/>
          <w:szCs w:val="20"/>
          <w:lang w:eastAsia="en-AU"/>
        </w:rPr>
        <w:t xml:space="preserve"> </w:t>
      </w:r>
      <w:r w:rsidR="0061777D" w:rsidRPr="00E17C03">
        <w:rPr>
          <w:rFonts w:cs="Arial"/>
          <w:szCs w:val="20"/>
          <w:lang w:eastAsia="en-AU"/>
        </w:rPr>
        <w:t>Lastly,</w:t>
      </w:r>
      <w:r w:rsidR="0061777D">
        <w:rPr>
          <w:rFonts w:cs="Arial"/>
          <w:szCs w:val="20"/>
          <w:lang w:eastAsia="en-AU"/>
        </w:rPr>
        <w:t xml:space="preserve"> we summarised the overall relationship between number of harms reported</w:t>
      </w:r>
      <w:r w:rsidR="009C14A2">
        <w:rPr>
          <w:rFonts w:cs="Arial"/>
          <w:szCs w:val="20"/>
          <w:lang w:eastAsia="en-AU"/>
        </w:rPr>
        <w:t>, socio-demographic factors,</w:t>
      </w:r>
      <w:r w:rsidR="0061777D">
        <w:rPr>
          <w:rFonts w:cs="Arial"/>
          <w:szCs w:val="20"/>
          <w:lang w:eastAsia="en-AU"/>
        </w:rPr>
        <w:t xml:space="preserve"> and the PGSI</w:t>
      </w:r>
      <w:r w:rsidR="00E03CA8">
        <w:rPr>
          <w:rFonts w:cs="Arial"/>
          <w:szCs w:val="20"/>
          <w:lang w:eastAsia="en-AU"/>
        </w:rPr>
        <w:t>.</w:t>
      </w:r>
      <w:r w:rsidR="008610D3">
        <w:rPr>
          <w:rFonts w:cs="Arial"/>
          <w:szCs w:val="20"/>
          <w:lang w:eastAsia="en-AU"/>
        </w:rPr>
        <w:t xml:space="preserve"> </w:t>
      </w:r>
      <w:r w:rsidR="0061777D">
        <w:rPr>
          <w:rFonts w:cs="Arial"/>
          <w:szCs w:val="20"/>
          <w:lang w:eastAsia="en-AU"/>
        </w:rPr>
        <w:t>A series of regressions were</w:t>
      </w:r>
      <w:r w:rsidR="009C14A2">
        <w:rPr>
          <w:rFonts w:cs="Arial"/>
          <w:szCs w:val="20"/>
          <w:lang w:eastAsia="en-AU"/>
        </w:rPr>
        <w:t xml:space="preserve"> </w:t>
      </w:r>
      <w:r w:rsidR="0061777D">
        <w:rPr>
          <w:rFonts w:cs="Arial"/>
          <w:szCs w:val="20"/>
          <w:lang w:eastAsia="en-AU"/>
        </w:rPr>
        <w:t>run for gamblers and affected others separately</w:t>
      </w:r>
      <w:r w:rsidR="00E03CA8">
        <w:rPr>
          <w:rFonts w:cs="Arial"/>
          <w:szCs w:val="20"/>
          <w:lang w:eastAsia="en-AU"/>
        </w:rPr>
        <w:t>.</w:t>
      </w:r>
      <w:r w:rsidR="008610D3">
        <w:rPr>
          <w:rFonts w:cs="Arial"/>
          <w:szCs w:val="20"/>
          <w:lang w:eastAsia="en-AU"/>
        </w:rPr>
        <w:t xml:space="preserve"> </w:t>
      </w:r>
      <w:r w:rsidR="00C15184">
        <w:rPr>
          <w:rFonts w:cs="Arial"/>
          <w:szCs w:val="20"/>
          <w:lang w:eastAsia="en-AU"/>
        </w:rPr>
        <w:t xml:space="preserve">A criterion </w:t>
      </w:r>
      <w:r w:rsidR="00C15184" w:rsidRPr="00F715D9">
        <w:rPr>
          <w:rFonts w:cs="Arial"/>
          <w:i/>
          <w:szCs w:val="20"/>
          <w:lang w:eastAsia="en-AU"/>
        </w:rPr>
        <w:t>p</w:t>
      </w:r>
      <w:r w:rsidR="00C15184">
        <w:rPr>
          <w:rFonts w:cs="Arial"/>
          <w:szCs w:val="20"/>
          <w:lang w:eastAsia="en-AU"/>
        </w:rPr>
        <w:t xml:space="preserve"> </w:t>
      </w:r>
      <w:r w:rsidR="000A4355">
        <w:rPr>
          <w:rFonts w:cs="Arial"/>
          <w:szCs w:val="20"/>
          <w:lang w:eastAsia="en-AU"/>
        </w:rPr>
        <w:t xml:space="preserve">for </w:t>
      </w:r>
      <w:r w:rsidR="006B0B0C">
        <w:rPr>
          <w:rFonts w:cs="Arial"/>
          <w:szCs w:val="20"/>
          <w:lang w:eastAsia="en-AU"/>
        </w:rPr>
        <w:t xml:space="preserve">null </w:t>
      </w:r>
      <w:r w:rsidR="000A4355">
        <w:rPr>
          <w:rFonts w:cs="Arial"/>
          <w:szCs w:val="20"/>
          <w:lang w:eastAsia="en-AU"/>
        </w:rPr>
        <w:t xml:space="preserve">hypothesis rejection </w:t>
      </w:r>
      <w:r w:rsidR="00C15184">
        <w:rPr>
          <w:rFonts w:cs="Arial"/>
          <w:szCs w:val="20"/>
          <w:lang w:eastAsia="en-AU"/>
        </w:rPr>
        <w:t>of 0.01 was applied uniformly.</w:t>
      </w:r>
    </w:p>
    <w:p w14:paraId="0CA1C10B" w14:textId="77777777" w:rsidR="00F715D9" w:rsidRDefault="00F715D9" w:rsidP="0061777D">
      <w:pPr>
        <w:pStyle w:val="VRGFBodycontent"/>
      </w:pPr>
    </w:p>
    <w:p w14:paraId="6FB9D38C" w14:textId="77777777" w:rsidR="00C767A9" w:rsidRDefault="00C767A9" w:rsidP="00C3643F">
      <w:pPr>
        <w:pStyle w:val="VRGFHead2"/>
      </w:pPr>
      <w:bookmarkStart w:id="196" w:name="_Toc430172940"/>
      <w:bookmarkStart w:id="197" w:name="_Toc462738035"/>
      <w:r w:rsidRPr="00C3643F">
        <w:t>Results</w:t>
      </w:r>
      <w:bookmarkEnd w:id="196"/>
      <w:bookmarkEnd w:id="197"/>
      <w:r>
        <w:t xml:space="preserve"> </w:t>
      </w:r>
    </w:p>
    <w:p w14:paraId="587709E9" w14:textId="77777777" w:rsidR="00C767A9" w:rsidRDefault="00C767A9" w:rsidP="00C3643F">
      <w:pPr>
        <w:pStyle w:val="VRGFHead3"/>
      </w:pPr>
      <w:bookmarkStart w:id="198" w:name="_Toc430172941"/>
      <w:bookmarkStart w:id="199" w:name="_Toc462738036"/>
      <w:r>
        <w:t xml:space="preserve">PGSI functioning across </w:t>
      </w:r>
      <w:r w:rsidRPr="00C3643F">
        <w:t>measurement</w:t>
      </w:r>
      <w:r>
        <w:t xml:space="preserve"> groups</w:t>
      </w:r>
      <w:bookmarkEnd w:id="198"/>
      <w:bookmarkEnd w:id="199"/>
    </w:p>
    <w:p w14:paraId="2CA78D5A" w14:textId="2647AFA0" w:rsidR="005B604B" w:rsidRPr="005B604B" w:rsidRDefault="00DE16EE" w:rsidP="001747F6">
      <w:pPr>
        <w:pStyle w:val="VRGFBodycontent"/>
        <w:rPr>
          <w:color w:val="FF0000"/>
        </w:rPr>
      </w:pPr>
      <w:r w:rsidRPr="00DE16EE">
        <w:t>In the current sample, a strong assumption can be made that the gamblers who responded to our survey (reporting first-hand themselves), and the gamblers causing harms to affected others (reported second-hand by affected individuals), have similar demographic characteristics, being either online panel participants or the people close to them.</w:t>
      </w:r>
      <w:r>
        <w:t xml:space="preserve"> </w:t>
      </w:r>
      <w:r w:rsidR="00937FBB">
        <w:t>If our modified PGSI is functioning correctly, w</w:t>
      </w:r>
      <w:r w:rsidR="005B604B" w:rsidRPr="005B604B">
        <w:t xml:space="preserve">e would expect that the observed PGSI means and variances for the second-hand PGSI reporting </w:t>
      </w:r>
      <w:r w:rsidR="00267BF2">
        <w:t>of</w:t>
      </w:r>
      <w:r w:rsidR="005B604B" w:rsidRPr="005B604B">
        <w:t xml:space="preserve"> the affected others ought to be similar to the first-hand reporting </w:t>
      </w:r>
      <w:r w:rsidR="00267BF2">
        <w:t>of</w:t>
      </w:r>
      <w:r w:rsidR="005B604B" w:rsidRPr="005B604B">
        <w:t xml:space="preserve"> gamblers themselves</w:t>
      </w:r>
      <w:r w:rsidR="00E03CA8">
        <w:t>.</w:t>
      </w:r>
      <w:r w:rsidR="008610D3">
        <w:t xml:space="preserve"> </w:t>
      </w:r>
      <w:r w:rsidR="005B604B" w:rsidRPr="005B604B">
        <w:t xml:space="preserve">Similarly, if the </w:t>
      </w:r>
      <w:r w:rsidR="00485C2E">
        <w:t xml:space="preserve">retrospective </w:t>
      </w:r>
      <w:r w:rsidR="005B604B" w:rsidRPr="005B604B">
        <w:t>measurement is functioning equivalently, we would expect not to observe large differences between current and retrospective reporting</w:t>
      </w:r>
      <w:r w:rsidR="00937FBB">
        <w:t xml:space="preserve"> – by either gamblers or affected others</w:t>
      </w:r>
      <w:r w:rsidR="00E03CA8">
        <w:t>.</w:t>
      </w:r>
      <w:r w:rsidR="008610D3">
        <w:t xml:space="preserve"> </w:t>
      </w:r>
      <w:r w:rsidR="00267BF2">
        <w:t>Three hundred and fourteen</w:t>
      </w:r>
      <w:r w:rsidR="00267BF2" w:rsidRPr="005B604B">
        <w:t xml:space="preserve"> </w:t>
      </w:r>
      <w:r w:rsidR="005B604B" w:rsidRPr="005B604B">
        <w:t xml:space="preserve">(33.0%) gamblers reported gambling problems and harms experienced </w:t>
      </w:r>
      <w:r w:rsidR="005B604B" w:rsidRPr="005B604B">
        <w:rPr>
          <w:i/>
        </w:rPr>
        <w:t>currently</w:t>
      </w:r>
      <w:r w:rsidR="005B604B" w:rsidRPr="005B604B">
        <w:t xml:space="preserve"> (i.e. in the last 12 months), while the remainder reported </w:t>
      </w:r>
      <w:r w:rsidR="005B604B" w:rsidRPr="005B604B">
        <w:rPr>
          <w:i/>
        </w:rPr>
        <w:t>retrospectively</w:t>
      </w:r>
      <w:r w:rsidR="005B604B" w:rsidRPr="005B604B">
        <w:t xml:space="preserve"> on a period earlier in their lives</w:t>
      </w:r>
      <w:r w:rsidR="00E03CA8">
        <w:t>.</w:t>
      </w:r>
      <w:r w:rsidR="008610D3">
        <w:t xml:space="preserve"> </w:t>
      </w:r>
      <w:r w:rsidR="005B604B" w:rsidRPr="005B604B">
        <w:t xml:space="preserve">No significant differences were observed between the means of the current (7.65) and retrospective (7.36) PGSI reporting </w:t>
      </w:r>
      <w:r w:rsidR="00267BF2">
        <w:t>of</w:t>
      </w:r>
      <w:r w:rsidR="005B604B" w:rsidRPr="005B604B">
        <w:t xml:space="preserve"> gamblers (</w:t>
      </w:r>
      <w:r w:rsidR="005B604B" w:rsidRPr="005B604B">
        <w:rPr>
          <w:i/>
        </w:rPr>
        <w:t xml:space="preserve">t </w:t>
      </w:r>
      <w:r w:rsidR="005B604B" w:rsidRPr="005B604B">
        <w:t xml:space="preserve">(562.56) = 0.70, </w:t>
      </w:r>
      <w:r w:rsidR="005B604B" w:rsidRPr="005B604B">
        <w:rPr>
          <w:i/>
        </w:rPr>
        <w:t>p</w:t>
      </w:r>
      <w:r w:rsidR="005B604B" w:rsidRPr="005B604B">
        <w:t xml:space="preserve"> = .50)</w:t>
      </w:r>
      <w:r w:rsidR="00E03CA8">
        <w:t>.</w:t>
      </w:r>
      <w:r w:rsidR="008610D3">
        <w:t xml:space="preserve"> </w:t>
      </w:r>
      <w:r w:rsidR="005B604B" w:rsidRPr="005B604B">
        <w:t>The variance of PGSI scores also did not differ significantly (</w:t>
      </w:r>
      <w:r w:rsidR="005B604B" w:rsidRPr="005B604B">
        <w:rPr>
          <w:i/>
        </w:rPr>
        <w:t xml:space="preserve">F </w:t>
      </w:r>
      <w:r w:rsidR="005B604B" w:rsidRPr="005B604B">
        <w:t xml:space="preserve">(313, 636) = 1.26, </w:t>
      </w:r>
      <w:r w:rsidR="005B604B" w:rsidRPr="005B604B">
        <w:rPr>
          <w:i/>
        </w:rPr>
        <w:t>p</w:t>
      </w:r>
      <w:r w:rsidR="005B604B" w:rsidRPr="005B604B">
        <w:t xml:space="preserve"> = .014)</w:t>
      </w:r>
      <w:r w:rsidR="00E03CA8">
        <w:t>.</w:t>
      </w:r>
      <w:r w:rsidR="008610D3">
        <w:t xml:space="preserve"> </w:t>
      </w:r>
      <w:r w:rsidR="00267BF2">
        <w:t xml:space="preserve">One hundred </w:t>
      </w:r>
      <w:r w:rsidR="00267BF2">
        <w:lastRenderedPageBreak/>
        <w:t>and twenty-two</w:t>
      </w:r>
      <w:r w:rsidR="00267BF2" w:rsidRPr="005B604B">
        <w:t xml:space="preserve"> </w:t>
      </w:r>
      <w:r w:rsidR="005B604B" w:rsidRPr="005B604B">
        <w:t>(20.6%) participants in the affected others group reported on currently experienced harms</w:t>
      </w:r>
      <w:r w:rsidR="00E03CA8">
        <w:t>.</w:t>
      </w:r>
      <w:r w:rsidR="008610D3">
        <w:t xml:space="preserve"> </w:t>
      </w:r>
      <w:r w:rsidR="005B604B" w:rsidRPr="005B604B">
        <w:t>The variance of PGSI scores of affected others versus own gambling also did not differ significantly (</w:t>
      </w:r>
      <w:r w:rsidR="005B604B" w:rsidRPr="005B604B">
        <w:rPr>
          <w:i/>
        </w:rPr>
        <w:t xml:space="preserve">F </w:t>
      </w:r>
      <w:r w:rsidR="005B604B" w:rsidRPr="005B604B">
        <w:t xml:space="preserve">(121, 468) = 1.23, </w:t>
      </w:r>
      <w:r w:rsidR="005B604B" w:rsidRPr="005B604B">
        <w:rPr>
          <w:i/>
        </w:rPr>
        <w:t>p</w:t>
      </w:r>
      <w:r w:rsidR="005B604B" w:rsidRPr="005B604B">
        <w:t xml:space="preserve"> = 0.13)</w:t>
      </w:r>
      <w:r w:rsidR="00E03CA8">
        <w:t>.</w:t>
      </w:r>
      <w:r w:rsidR="008610D3">
        <w:t xml:space="preserve"> </w:t>
      </w:r>
      <w:r w:rsidR="005B604B" w:rsidRPr="005B604B">
        <w:t xml:space="preserve">No significant difference was observed between the means of current (10.45) and retrospective (10.65) PGSI reporting </w:t>
      </w:r>
      <w:r w:rsidR="00267BF2">
        <w:t>of</w:t>
      </w:r>
      <w:r w:rsidR="005B604B" w:rsidRPr="005B604B">
        <w:t xml:space="preserve"> affected others (</w:t>
      </w:r>
      <w:r w:rsidR="005B604B" w:rsidRPr="005B604B">
        <w:rPr>
          <w:i/>
        </w:rPr>
        <w:t xml:space="preserve">t </w:t>
      </w:r>
      <w:r w:rsidR="005B604B" w:rsidRPr="005B604B">
        <w:t xml:space="preserve">(175.6) = -0.33, </w:t>
      </w:r>
      <w:r w:rsidR="005B604B" w:rsidRPr="005B604B">
        <w:rPr>
          <w:i/>
        </w:rPr>
        <w:t>p</w:t>
      </w:r>
      <w:r w:rsidR="005B604B" w:rsidRPr="005B604B">
        <w:t xml:space="preserve"> = .74)</w:t>
      </w:r>
      <w:r w:rsidR="00E03CA8">
        <w:t>.</w:t>
      </w:r>
      <w:r w:rsidR="008610D3">
        <w:t xml:space="preserve"> </w:t>
      </w:r>
      <w:r w:rsidR="005B604B" w:rsidRPr="005B604B">
        <w:t>The variances of PGSI scores of the two groups also did not differ significantly (</w:t>
      </w:r>
      <w:r w:rsidR="005B604B" w:rsidRPr="005B604B">
        <w:rPr>
          <w:i/>
        </w:rPr>
        <w:t xml:space="preserve">F </w:t>
      </w:r>
      <w:r w:rsidR="005B604B" w:rsidRPr="005B604B">
        <w:t xml:space="preserve">(950, 590) = 0.97, </w:t>
      </w:r>
      <w:r w:rsidR="005B604B" w:rsidRPr="005B604B">
        <w:rPr>
          <w:i/>
        </w:rPr>
        <w:t>p</w:t>
      </w:r>
      <w:r w:rsidR="005B604B" w:rsidRPr="005B604B">
        <w:t xml:space="preserve"> = 0.70)</w:t>
      </w:r>
      <w:r w:rsidR="00E03CA8">
        <w:t>.</w:t>
      </w:r>
      <w:r w:rsidR="008610D3">
        <w:t xml:space="preserve"> </w:t>
      </w:r>
      <w:r w:rsidR="005B604B" w:rsidRPr="005B604B">
        <w:t>The mean PGSI score reported first-hand by gamblers (7.46) was 3.15 points lower than that reported second-hand by affected others (10.61), though the effect of first-hand versus second-hand reporting only accounted for 6.</w:t>
      </w:r>
      <w:r w:rsidR="005B604B" w:rsidRPr="005B604B">
        <w:rPr>
          <w:color w:val="000000" w:themeColor="text1"/>
        </w:rPr>
        <w:t>45%</w:t>
      </w:r>
      <w:r w:rsidR="005B604B" w:rsidRPr="005B604B">
        <w:t xml:space="preserve"> of variance in PGSI scores. </w:t>
      </w:r>
    </w:p>
    <w:p w14:paraId="7583AA04" w14:textId="2D7A8F7C" w:rsidR="005B604B" w:rsidRDefault="005C708B" w:rsidP="001747F6">
      <w:pPr>
        <w:pStyle w:val="VRGFBodycontent"/>
        <w:rPr>
          <w:color w:val="000000" w:themeColor="text1"/>
        </w:rPr>
      </w:pPr>
      <w:r>
        <w:fldChar w:fldCharType="begin"/>
      </w:r>
      <w:r>
        <w:instrText xml:space="preserve"> REF _Ref444981158 \h </w:instrText>
      </w:r>
      <w:r>
        <w:fldChar w:fldCharType="separate"/>
      </w:r>
      <w:r w:rsidR="0006479A">
        <w:t xml:space="preserve">Table </w:t>
      </w:r>
      <w:r w:rsidR="0006479A">
        <w:rPr>
          <w:noProof/>
        </w:rPr>
        <w:t>7</w:t>
      </w:r>
      <w:r>
        <w:fldChar w:fldCharType="end"/>
      </w:r>
      <w:r>
        <w:t xml:space="preserve"> </w:t>
      </w:r>
      <w:r w:rsidR="005B604B" w:rsidRPr="00406FB4">
        <w:t>shows</w:t>
      </w:r>
      <w:r w:rsidR="005B604B" w:rsidRPr="005B604B">
        <w:t xml:space="preserve"> CFI and RMSEA fit indices for a sequence </w:t>
      </w:r>
      <w:r w:rsidR="005B604B" w:rsidRPr="005B604B">
        <w:rPr>
          <w:color w:val="000000" w:themeColor="text1"/>
        </w:rPr>
        <w:t xml:space="preserve">of four </w:t>
      </w:r>
      <w:r w:rsidR="005B604B" w:rsidRPr="005B604B">
        <w:t>CFA models, testing for measurement invariance on the PGSI for four contrasts between the four groups of participants</w:t>
      </w:r>
      <w:r w:rsidR="00B40FF8">
        <w:t>.</w:t>
      </w:r>
      <w:r w:rsidR="008610D3">
        <w:t xml:space="preserve"> </w:t>
      </w:r>
      <w:r w:rsidR="005B604B" w:rsidRPr="005B604B">
        <w:t>PGSI items were treated as ordinal indicators</w:t>
      </w:r>
      <w:r w:rsidR="00B40FF8">
        <w:t>.</w:t>
      </w:r>
      <w:r w:rsidR="008610D3">
        <w:t xml:space="preserve"> </w:t>
      </w:r>
      <w:r w:rsidR="005B604B" w:rsidRPr="005B604B">
        <w:rPr>
          <w:color w:val="000000" w:themeColor="text1"/>
        </w:rPr>
        <w:t>As detailed in</w:t>
      </w:r>
      <w:r>
        <w:rPr>
          <w:color w:val="000000" w:themeColor="text1"/>
        </w:rPr>
        <w:t xml:space="preserve"> </w:t>
      </w:r>
      <w:r>
        <w:rPr>
          <w:color w:val="000000" w:themeColor="text1"/>
        </w:rPr>
        <w:fldChar w:fldCharType="begin"/>
      </w:r>
      <w:r>
        <w:rPr>
          <w:color w:val="000000" w:themeColor="text1"/>
        </w:rPr>
        <w:instrText xml:space="preserve"> REF _Ref444981158 \h </w:instrText>
      </w:r>
      <w:r>
        <w:rPr>
          <w:color w:val="000000" w:themeColor="text1"/>
        </w:rPr>
      </w:r>
      <w:r>
        <w:rPr>
          <w:color w:val="000000" w:themeColor="text1"/>
        </w:rPr>
        <w:fldChar w:fldCharType="separate"/>
      </w:r>
      <w:r w:rsidR="0006479A">
        <w:t xml:space="preserve">Table </w:t>
      </w:r>
      <w:r w:rsidR="0006479A">
        <w:rPr>
          <w:noProof/>
        </w:rPr>
        <w:t>7</w:t>
      </w:r>
      <w:r>
        <w:rPr>
          <w:color w:val="000000" w:themeColor="text1"/>
        </w:rPr>
        <w:fldChar w:fldCharType="end"/>
      </w:r>
      <w:r w:rsidR="005B604B" w:rsidRPr="005B604B">
        <w:rPr>
          <w:color w:val="000000" w:themeColor="text1"/>
        </w:rPr>
        <w:t xml:space="preserve">, each successive row of the table corresponds to a model with progressively stronger assumptions regarding the item-level measurement invariance of the PGSI across groups. </w:t>
      </w:r>
    </w:p>
    <w:p w14:paraId="252AC723" w14:textId="7DA7A214" w:rsidR="00164C84" w:rsidRPr="005F4A77" w:rsidRDefault="005C708B" w:rsidP="005C708B">
      <w:pPr>
        <w:pStyle w:val="Caption"/>
        <w:rPr>
          <w:b w:val="0"/>
          <w:iCs w:val="0"/>
          <w:color w:val="1C3158"/>
        </w:rPr>
      </w:pPr>
      <w:bookmarkStart w:id="200" w:name="_Ref444981158"/>
      <w:bookmarkStart w:id="201" w:name="_Toc462738110"/>
      <w:r>
        <w:t xml:space="preserve">Table </w:t>
      </w:r>
      <w:fldSimple w:instr=" SEQ Table \* ARABIC ">
        <w:r w:rsidR="0006479A">
          <w:rPr>
            <w:noProof/>
          </w:rPr>
          <w:t>7</w:t>
        </w:r>
      </w:fldSimple>
      <w:bookmarkStart w:id="202" w:name="_Toc440900330"/>
      <w:bookmarkEnd w:id="200"/>
      <w:r w:rsidR="00B40FF8">
        <w:rPr>
          <w:color w:val="1C3158"/>
        </w:rPr>
        <w:t>.</w:t>
      </w:r>
      <w:r w:rsidR="008610D3">
        <w:rPr>
          <w:color w:val="1C3158"/>
        </w:rPr>
        <w:t xml:space="preserve"> </w:t>
      </w:r>
      <w:r w:rsidR="00164C84" w:rsidRPr="005C708B">
        <w:rPr>
          <w:iCs w:val="0"/>
          <w:color w:val="1C3158"/>
        </w:rPr>
        <w:t>Model comparisons testing for equivalent item functioning for PGSI reporting across groups</w:t>
      </w:r>
      <w:bookmarkEnd w:id="201"/>
      <w:bookmarkEnd w:id="202"/>
    </w:p>
    <w:tbl>
      <w:tblPr>
        <w:tblW w:w="7905" w:type="dxa"/>
        <w:tblLook w:val="04A0" w:firstRow="1" w:lastRow="0" w:firstColumn="1" w:lastColumn="0" w:noHBand="0" w:noVBand="1"/>
      </w:tblPr>
      <w:tblGrid>
        <w:gridCol w:w="1417"/>
        <w:gridCol w:w="1123"/>
        <w:gridCol w:w="1134"/>
        <w:gridCol w:w="1145"/>
        <w:gridCol w:w="1134"/>
        <w:gridCol w:w="992"/>
        <w:gridCol w:w="960"/>
      </w:tblGrid>
      <w:tr w:rsidR="006F6929" w:rsidRPr="00BB216B" w14:paraId="36CE87C7" w14:textId="77777777" w:rsidTr="00B57D32">
        <w:trPr>
          <w:trHeight w:val="315"/>
        </w:trPr>
        <w:tc>
          <w:tcPr>
            <w:tcW w:w="1417"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0B52C6D8" w14:textId="77777777" w:rsidR="006F6929" w:rsidRPr="00BB216B" w:rsidRDefault="006F6929" w:rsidP="00406FB4">
            <w:pPr>
              <w:tabs>
                <w:tab w:val="clear" w:pos="426"/>
              </w:tabs>
              <w:spacing w:before="0" w:after="0" w:line="240" w:lineRule="auto"/>
              <w:ind w:left="0" w:right="0"/>
              <w:rPr>
                <w:rFonts w:cs="Arial"/>
                <w:b/>
                <w:bCs/>
                <w:color w:val="1C3158"/>
                <w:sz w:val="18"/>
                <w:lang w:eastAsia="ja-JP"/>
              </w:rPr>
            </w:pPr>
            <w:r w:rsidRPr="00BB216B">
              <w:rPr>
                <w:rFonts w:cs="Arial"/>
                <w:b/>
                <w:bCs/>
                <w:color w:val="1C3158"/>
                <w:sz w:val="18"/>
                <w:lang w:eastAsia="ja-JP"/>
              </w:rPr>
              <w:t>Group contrast</w:t>
            </w:r>
            <w:r w:rsidRPr="00BB216B">
              <w:rPr>
                <w:rFonts w:cs="Arial"/>
                <w:b/>
                <w:bCs/>
                <w:color w:val="1C3158"/>
                <w:sz w:val="18"/>
                <w:lang w:eastAsia="ja-JP"/>
              </w:rPr>
              <w:br/>
              <w:t>Subset (df)</w:t>
            </w:r>
          </w:p>
        </w:tc>
        <w:tc>
          <w:tcPr>
            <w:tcW w:w="4536" w:type="dxa"/>
            <w:gridSpan w:val="4"/>
            <w:tcBorders>
              <w:top w:val="single" w:sz="12" w:space="0" w:color="FF9E3C"/>
              <w:left w:val="nil"/>
              <w:bottom w:val="single" w:sz="12" w:space="0" w:color="FF9E3C"/>
              <w:right w:val="single" w:sz="12" w:space="0" w:color="FF9E3C"/>
            </w:tcBorders>
            <w:shd w:val="clear" w:color="000000" w:fill="FFBC64"/>
            <w:vAlign w:val="center"/>
            <w:hideMark/>
          </w:tcPr>
          <w:p w14:paraId="01A3099D"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Current vs. retrospective</w:t>
            </w:r>
          </w:p>
        </w:tc>
        <w:tc>
          <w:tcPr>
            <w:tcW w:w="1952" w:type="dxa"/>
            <w:gridSpan w:val="2"/>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66B487E7"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Gamblers vs affected others</w:t>
            </w:r>
          </w:p>
        </w:tc>
      </w:tr>
      <w:tr w:rsidR="006F6929" w:rsidRPr="00BB216B" w14:paraId="4D51B4CB" w14:textId="77777777" w:rsidTr="00B57D32">
        <w:trPr>
          <w:trHeight w:val="330"/>
        </w:trPr>
        <w:tc>
          <w:tcPr>
            <w:tcW w:w="1417" w:type="dxa"/>
            <w:vMerge/>
            <w:tcBorders>
              <w:top w:val="single" w:sz="12" w:space="0" w:color="FF9E3C"/>
              <w:left w:val="single" w:sz="12" w:space="0" w:color="FF9E3C"/>
              <w:bottom w:val="single" w:sz="12" w:space="0" w:color="FF9E3C"/>
              <w:right w:val="single" w:sz="12" w:space="0" w:color="FF9E3C"/>
            </w:tcBorders>
            <w:vAlign w:val="center"/>
            <w:hideMark/>
          </w:tcPr>
          <w:p w14:paraId="2C3BC0F3" w14:textId="77777777" w:rsidR="006F6929" w:rsidRPr="00BB216B" w:rsidRDefault="006F6929" w:rsidP="00406FB4">
            <w:pPr>
              <w:tabs>
                <w:tab w:val="clear" w:pos="426"/>
              </w:tabs>
              <w:spacing w:before="0" w:after="0" w:line="240" w:lineRule="auto"/>
              <w:ind w:left="0" w:right="0"/>
              <w:rPr>
                <w:rFonts w:cs="Arial"/>
                <w:b/>
                <w:bCs/>
                <w:color w:val="1C3158"/>
                <w:sz w:val="18"/>
                <w:lang w:eastAsia="ja-JP"/>
              </w:rPr>
            </w:pPr>
          </w:p>
        </w:tc>
        <w:tc>
          <w:tcPr>
            <w:tcW w:w="2257"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0B65F416"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Gamblers</w:t>
            </w:r>
          </w:p>
        </w:tc>
        <w:tc>
          <w:tcPr>
            <w:tcW w:w="2279"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6151A03F"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Affected others</w:t>
            </w:r>
          </w:p>
        </w:tc>
        <w:tc>
          <w:tcPr>
            <w:tcW w:w="1952" w:type="dxa"/>
            <w:gridSpan w:val="2"/>
            <w:vMerge/>
            <w:tcBorders>
              <w:top w:val="single" w:sz="12" w:space="0" w:color="FF9E3C"/>
              <w:left w:val="single" w:sz="12" w:space="0" w:color="FF9E3C"/>
              <w:bottom w:val="single" w:sz="12" w:space="0" w:color="FF9E3C"/>
              <w:right w:val="single" w:sz="12" w:space="0" w:color="FF9E3C"/>
            </w:tcBorders>
            <w:vAlign w:val="center"/>
            <w:hideMark/>
          </w:tcPr>
          <w:p w14:paraId="137D69D4"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p>
        </w:tc>
      </w:tr>
      <w:tr w:rsidR="006F6929" w:rsidRPr="00BB216B" w14:paraId="06EA4BCC" w14:textId="77777777" w:rsidTr="00B57D32">
        <w:trPr>
          <w:trHeight w:val="330"/>
        </w:trPr>
        <w:tc>
          <w:tcPr>
            <w:tcW w:w="1417" w:type="dxa"/>
            <w:vMerge/>
            <w:tcBorders>
              <w:top w:val="single" w:sz="12" w:space="0" w:color="FF9E3C"/>
              <w:left w:val="single" w:sz="12" w:space="0" w:color="FF9E3C"/>
              <w:bottom w:val="single" w:sz="12" w:space="0" w:color="FF9E3C"/>
              <w:right w:val="single" w:sz="12" w:space="0" w:color="FF9E3C"/>
            </w:tcBorders>
            <w:vAlign w:val="center"/>
            <w:hideMark/>
          </w:tcPr>
          <w:p w14:paraId="5291B439" w14:textId="77777777" w:rsidR="006F6929" w:rsidRPr="00BB216B" w:rsidRDefault="006F6929" w:rsidP="00406FB4">
            <w:pPr>
              <w:tabs>
                <w:tab w:val="clear" w:pos="426"/>
              </w:tabs>
              <w:spacing w:before="0" w:after="0" w:line="240" w:lineRule="auto"/>
              <w:ind w:left="0" w:right="0"/>
              <w:rPr>
                <w:rFonts w:cs="Arial"/>
                <w:b/>
                <w:bCs/>
                <w:color w:val="1C3158"/>
                <w:sz w:val="18"/>
                <w:lang w:eastAsia="ja-JP"/>
              </w:rPr>
            </w:pPr>
          </w:p>
        </w:tc>
        <w:tc>
          <w:tcPr>
            <w:tcW w:w="1123" w:type="dxa"/>
            <w:tcBorders>
              <w:top w:val="nil"/>
              <w:left w:val="nil"/>
              <w:bottom w:val="single" w:sz="12" w:space="0" w:color="FF9E3C"/>
              <w:right w:val="single" w:sz="12" w:space="0" w:color="FF9E3C"/>
            </w:tcBorders>
            <w:shd w:val="clear" w:color="000000" w:fill="FFBC64"/>
            <w:vAlign w:val="center"/>
            <w:hideMark/>
          </w:tcPr>
          <w:p w14:paraId="3ABBDECD"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CFI</w:t>
            </w:r>
          </w:p>
        </w:tc>
        <w:tc>
          <w:tcPr>
            <w:tcW w:w="1134" w:type="dxa"/>
            <w:tcBorders>
              <w:top w:val="nil"/>
              <w:left w:val="nil"/>
              <w:bottom w:val="single" w:sz="12" w:space="0" w:color="FF9E3C"/>
              <w:right w:val="single" w:sz="12" w:space="0" w:color="FF9E3C"/>
            </w:tcBorders>
            <w:shd w:val="clear" w:color="000000" w:fill="FFBC64"/>
            <w:vAlign w:val="center"/>
            <w:hideMark/>
          </w:tcPr>
          <w:p w14:paraId="545F2E1F"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RMSEA</w:t>
            </w:r>
          </w:p>
        </w:tc>
        <w:tc>
          <w:tcPr>
            <w:tcW w:w="1145" w:type="dxa"/>
            <w:tcBorders>
              <w:top w:val="nil"/>
              <w:left w:val="nil"/>
              <w:bottom w:val="single" w:sz="12" w:space="0" w:color="FF9E3C"/>
              <w:right w:val="single" w:sz="12" w:space="0" w:color="FF9E3C"/>
            </w:tcBorders>
            <w:shd w:val="clear" w:color="000000" w:fill="FFBC64"/>
            <w:vAlign w:val="center"/>
            <w:hideMark/>
          </w:tcPr>
          <w:p w14:paraId="62793852"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CFI</w:t>
            </w:r>
          </w:p>
        </w:tc>
        <w:tc>
          <w:tcPr>
            <w:tcW w:w="1134" w:type="dxa"/>
            <w:tcBorders>
              <w:top w:val="nil"/>
              <w:left w:val="nil"/>
              <w:bottom w:val="single" w:sz="12" w:space="0" w:color="FF9E3C"/>
              <w:right w:val="single" w:sz="12" w:space="0" w:color="FF9E3C"/>
            </w:tcBorders>
            <w:shd w:val="clear" w:color="000000" w:fill="FFBC64"/>
            <w:vAlign w:val="center"/>
            <w:hideMark/>
          </w:tcPr>
          <w:p w14:paraId="5F72928E"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RMSEA</w:t>
            </w:r>
          </w:p>
        </w:tc>
        <w:tc>
          <w:tcPr>
            <w:tcW w:w="992" w:type="dxa"/>
            <w:tcBorders>
              <w:top w:val="nil"/>
              <w:left w:val="nil"/>
              <w:bottom w:val="single" w:sz="12" w:space="0" w:color="FF9E3C"/>
              <w:right w:val="single" w:sz="12" w:space="0" w:color="FF9E3C"/>
            </w:tcBorders>
            <w:shd w:val="clear" w:color="000000" w:fill="FFBC64"/>
            <w:vAlign w:val="center"/>
            <w:hideMark/>
          </w:tcPr>
          <w:p w14:paraId="496D3996"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CFI</w:t>
            </w:r>
          </w:p>
        </w:tc>
        <w:tc>
          <w:tcPr>
            <w:tcW w:w="960" w:type="dxa"/>
            <w:tcBorders>
              <w:top w:val="nil"/>
              <w:left w:val="nil"/>
              <w:bottom w:val="single" w:sz="12" w:space="0" w:color="FF9E3C"/>
              <w:right w:val="single" w:sz="12" w:space="0" w:color="FF9E3C"/>
            </w:tcBorders>
            <w:shd w:val="clear" w:color="000000" w:fill="FFBC64"/>
            <w:vAlign w:val="center"/>
            <w:hideMark/>
          </w:tcPr>
          <w:p w14:paraId="7E470DD3" w14:textId="77777777" w:rsidR="006F6929" w:rsidRPr="00BB216B" w:rsidRDefault="006F6929" w:rsidP="00406FB4">
            <w:pPr>
              <w:tabs>
                <w:tab w:val="clear" w:pos="426"/>
              </w:tabs>
              <w:spacing w:before="0" w:after="0" w:line="240" w:lineRule="auto"/>
              <w:ind w:left="0" w:right="0"/>
              <w:jc w:val="center"/>
              <w:rPr>
                <w:rFonts w:cs="Arial"/>
                <w:b/>
                <w:bCs/>
                <w:color w:val="1C3158"/>
                <w:sz w:val="18"/>
                <w:lang w:eastAsia="ja-JP"/>
              </w:rPr>
            </w:pPr>
            <w:r w:rsidRPr="00BB216B">
              <w:rPr>
                <w:rFonts w:cs="Arial"/>
                <w:b/>
                <w:bCs/>
                <w:color w:val="1C3158"/>
                <w:sz w:val="18"/>
                <w:lang w:eastAsia="ja-JP"/>
              </w:rPr>
              <w:t>RMSEA</w:t>
            </w:r>
          </w:p>
        </w:tc>
      </w:tr>
      <w:tr w:rsidR="006F6929" w:rsidRPr="00BB216B" w14:paraId="5562A18D" w14:textId="77777777" w:rsidTr="00B57D32">
        <w:trPr>
          <w:trHeight w:val="330"/>
        </w:trPr>
        <w:tc>
          <w:tcPr>
            <w:tcW w:w="1417" w:type="dxa"/>
            <w:tcBorders>
              <w:top w:val="nil"/>
              <w:left w:val="single" w:sz="12" w:space="0" w:color="FF9E3C"/>
              <w:bottom w:val="single" w:sz="12" w:space="0" w:color="FF9E3C"/>
              <w:right w:val="single" w:sz="12" w:space="0" w:color="FF9E3C"/>
            </w:tcBorders>
            <w:shd w:val="clear" w:color="auto" w:fill="auto"/>
            <w:vAlign w:val="center"/>
            <w:hideMark/>
          </w:tcPr>
          <w:p w14:paraId="656A7333"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Model 1 (54)</w:t>
            </w:r>
          </w:p>
        </w:tc>
        <w:tc>
          <w:tcPr>
            <w:tcW w:w="1123" w:type="dxa"/>
            <w:tcBorders>
              <w:top w:val="nil"/>
              <w:left w:val="nil"/>
              <w:bottom w:val="single" w:sz="12" w:space="0" w:color="FF9E3C"/>
              <w:right w:val="single" w:sz="12" w:space="0" w:color="FF9E3C"/>
            </w:tcBorders>
            <w:shd w:val="clear" w:color="auto" w:fill="auto"/>
            <w:vAlign w:val="center"/>
            <w:hideMark/>
          </w:tcPr>
          <w:p w14:paraId="3FD25E2B"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.964</w:t>
            </w:r>
          </w:p>
        </w:tc>
        <w:tc>
          <w:tcPr>
            <w:tcW w:w="1134" w:type="dxa"/>
            <w:tcBorders>
              <w:top w:val="nil"/>
              <w:left w:val="nil"/>
              <w:bottom w:val="single" w:sz="12" w:space="0" w:color="FF9E3C"/>
              <w:right w:val="single" w:sz="12" w:space="0" w:color="FF9E3C"/>
            </w:tcBorders>
            <w:shd w:val="clear" w:color="auto" w:fill="auto"/>
            <w:vAlign w:val="center"/>
            <w:hideMark/>
          </w:tcPr>
          <w:p w14:paraId="04736E04"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.12</w:t>
            </w:r>
            <w:r>
              <w:rPr>
                <w:rFonts w:cs="Arial"/>
                <w:color w:val="1C3158"/>
                <w:sz w:val="18"/>
                <w:lang w:eastAsia="ja-JP"/>
              </w:rPr>
              <w:t>0</w:t>
            </w:r>
          </w:p>
        </w:tc>
        <w:tc>
          <w:tcPr>
            <w:tcW w:w="1145" w:type="dxa"/>
            <w:tcBorders>
              <w:top w:val="nil"/>
              <w:left w:val="nil"/>
              <w:bottom w:val="single" w:sz="12" w:space="0" w:color="FF9E3C"/>
              <w:right w:val="single" w:sz="12" w:space="0" w:color="FF9E3C"/>
            </w:tcBorders>
            <w:shd w:val="clear" w:color="auto" w:fill="auto"/>
            <w:vAlign w:val="center"/>
            <w:hideMark/>
          </w:tcPr>
          <w:p w14:paraId="5B50537D"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.888</w:t>
            </w:r>
          </w:p>
        </w:tc>
        <w:tc>
          <w:tcPr>
            <w:tcW w:w="1134" w:type="dxa"/>
            <w:tcBorders>
              <w:top w:val="nil"/>
              <w:left w:val="nil"/>
              <w:bottom w:val="single" w:sz="12" w:space="0" w:color="FF9E3C"/>
              <w:right w:val="single" w:sz="12" w:space="0" w:color="FF9E3C"/>
            </w:tcBorders>
            <w:shd w:val="clear" w:color="auto" w:fill="auto"/>
            <w:vAlign w:val="center"/>
            <w:hideMark/>
          </w:tcPr>
          <w:p w14:paraId="339FB98E"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.16</w:t>
            </w:r>
            <w:r>
              <w:rPr>
                <w:rFonts w:cs="Arial"/>
                <w:color w:val="1C3158"/>
                <w:sz w:val="18"/>
                <w:lang w:eastAsia="ja-JP"/>
              </w:rPr>
              <w:t>0</w:t>
            </w:r>
          </w:p>
        </w:tc>
        <w:tc>
          <w:tcPr>
            <w:tcW w:w="992" w:type="dxa"/>
            <w:tcBorders>
              <w:top w:val="nil"/>
              <w:left w:val="nil"/>
              <w:bottom w:val="single" w:sz="12" w:space="0" w:color="FF9E3C"/>
              <w:right w:val="single" w:sz="12" w:space="0" w:color="FF9E3C"/>
            </w:tcBorders>
            <w:shd w:val="clear" w:color="auto" w:fill="auto"/>
            <w:vAlign w:val="center"/>
            <w:hideMark/>
          </w:tcPr>
          <w:p w14:paraId="119E3995"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.929</w:t>
            </w:r>
          </w:p>
        </w:tc>
        <w:tc>
          <w:tcPr>
            <w:tcW w:w="960" w:type="dxa"/>
            <w:tcBorders>
              <w:top w:val="nil"/>
              <w:left w:val="nil"/>
              <w:bottom w:val="single" w:sz="12" w:space="0" w:color="FF9E3C"/>
              <w:right w:val="single" w:sz="12" w:space="0" w:color="FF9E3C"/>
            </w:tcBorders>
            <w:shd w:val="clear" w:color="auto" w:fill="auto"/>
            <w:vAlign w:val="center"/>
            <w:hideMark/>
          </w:tcPr>
          <w:p w14:paraId="7E13B70E"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.148</w:t>
            </w:r>
          </w:p>
        </w:tc>
      </w:tr>
      <w:tr w:rsidR="006F6929" w:rsidRPr="00BB216B" w14:paraId="340A80C0" w14:textId="77777777" w:rsidTr="00B57D32">
        <w:trPr>
          <w:trHeight w:val="330"/>
        </w:trPr>
        <w:tc>
          <w:tcPr>
            <w:tcW w:w="1417" w:type="dxa"/>
            <w:tcBorders>
              <w:top w:val="nil"/>
              <w:left w:val="single" w:sz="12" w:space="0" w:color="FF9E3C"/>
              <w:bottom w:val="single" w:sz="12" w:space="0" w:color="FF9E3C"/>
              <w:right w:val="single" w:sz="12" w:space="0" w:color="FF9E3C"/>
            </w:tcBorders>
            <w:shd w:val="clear" w:color="auto" w:fill="auto"/>
            <w:vAlign w:val="center"/>
            <w:hideMark/>
          </w:tcPr>
          <w:p w14:paraId="43DC75AA"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Model 2 (62)</w:t>
            </w:r>
          </w:p>
        </w:tc>
        <w:tc>
          <w:tcPr>
            <w:tcW w:w="1123" w:type="dxa"/>
            <w:tcBorders>
              <w:top w:val="nil"/>
              <w:left w:val="nil"/>
              <w:bottom w:val="single" w:sz="12" w:space="0" w:color="FF9E3C"/>
              <w:right w:val="single" w:sz="12" w:space="0" w:color="FF9E3C"/>
            </w:tcBorders>
            <w:shd w:val="clear" w:color="auto" w:fill="auto"/>
            <w:vAlign w:val="center"/>
            <w:hideMark/>
          </w:tcPr>
          <w:p w14:paraId="7B9AD39F"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.969</w:t>
            </w:r>
          </w:p>
        </w:tc>
        <w:tc>
          <w:tcPr>
            <w:tcW w:w="1134" w:type="dxa"/>
            <w:tcBorders>
              <w:top w:val="nil"/>
              <w:left w:val="nil"/>
              <w:bottom w:val="single" w:sz="12" w:space="0" w:color="FF9E3C"/>
              <w:right w:val="single" w:sz="12" w:space="0" w:color="FF9E3C"/>
            </w:tcBorders>
            <w:shd w:val="clear" w:color="auto" w:fill="auto"/>
            <w:vAlign w:val="center"/>
            <w:hideMark/>
          </w:tcPr>
          <w:p w14:paraId="7DB564EF"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.104</w:t>
            </w:r>
          </w:p>
        </w:tc>
        <w:tc>
          <w:tcPr>
            <w:tcW w:w="1145" w:type="dxa"/>
            <w:tcBorders>
              <w:top w:val="nil"/>
              <w:left w:val="nil"/>
              <w:bottom w:val="single" w:sz="12" w:space="0" w:color="FF9E3C"/>
              <w:right w:val="single" w:sz="12" w:space="0" w:color="FF9E3C"/>
            </w:tcBorders>
            <w:shd w:val="clear" w:color="auto" w:fill="auto"/>
            <w:vAlign w:val="center"/>
            <w:hideMark/>
          </w:tcPr>
          <w:p w14:paraId="32EE0D80"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.911</w:t>
            </w:r>
          </w:p>
        </w:tc>
        <w:tc>
          <w:tcPr>
            <w:tcW w:w="1134" w:type="dxa"/>
            <w:tcBorders>
              <w:top w:val="nil"/>
              <w:left w:val="nil"/>
              <w:bottom w:val="single" w:sz="12" w:space="0" w:color="FF9E3C"/>
              <w:right w:val="single" w:sz="12" w:space="0" w:color="FF9E3C"/>
            </w:tcBorders>
            <w:shd w:val="clear" w:color="auto" w:fill="auto"/>
            <w:vAlign w:val="center"/>
            <w:hideMark/>
          </w:tcPr>
          <w:p w14:paraId="7188B7E5"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.133</w:t>
            </w:r>
          </w:p>
        </w:tc>
        <w:tc>
          <w:tcPr>
            <w:tcW w:w="992" w:type="dxa"/>
            <w:tcBorders>
              <w:top w:val="nil"/>
              <w:left w:val="nil"/>
              <w:bottom w:val="single" w:sz="12" w:space="0" w:color="FF9E3C"/>
              <w:right w:val="single" w:sz="12" w:space="0" w:color="FF9E3C"/>
            </w:tcBorders>
            <w:shd w:val="clear" w:color="auto" w:fill="auto"/>
            <w:vAlign w:val="center"/>
            <w:hideMark/>
          </w:tcPr>
          <w:p w14:paraId="2503C893"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.933</w:t>
            </w:r>
          </w:p>
        </w:tc>
        <w:tc>
          <w:tcPr>
            <w:tcW w:w="960" w:type="dxa"/>
            <w:tcBorders>
              <w:top w:val="nil"/>
              <w:left w:val="nil"/>
              <w:bottom w:val="single" w:sz="12" w:space="0" w:color="FF9E3C"/>
              <w:right w:val="single" w:sz="12" w:space="0" w:color="FF9E3C"/>
            </w:tcBorders>
            <w:shd w:val="clear" w:color="auto" w:fill="auto"/>
            <w:vAlign w:val="center"/>
            <w:hideMark/>
          </w:tcPr>
          <w:p w14:paraId="1D3276F6"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.134</w:t>
            </w:r>
          </w:p>
        </w:tc>
      </w:tr>
      <w:tr w:rsidR="006F6929" w:rsidRPr="00BB216B" w14:paraId="65F343F2" w14:textId="77777777" w:rsidTr="00B57D32">
        <w:trPr>
          <w:trHeight w:val="330"/>
        </w:trPr>
        <w:tc>
          <w:tcPr>
            <w:tcW w:w="1417" w:type="dxa"/>
            <w:tcBorders>
              <w:top w:val="nil"/>
              <w:left w:val="single" w:sz="12" w:space="0" w:color="FF9E3C"/>
              <w:bottom w:val="single" w:sz="12" w:space="0" w:color="FF9E3C"/>
              <w:right w:val="single" w:sz="12" w:space="0" w:color="FF9E3C"/>
            </w:tcBorders>
            <w:shd w:val="clear" w:color="auto" w:fill="auto"/>
            <w:vAlign w:val="center"/>
            <w:hideMark/>
          </w:tcPr>
          <w:p w14:paraId="11FA273C"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Model 3 (79)</w:t>
            </w:r>
          </w:p>
        </w:tc>
        <w:tc>
          <w:tcPr>
            <w:tcW w:w="1123" w:type="dxa"/>
            <w:tcBorders>
              <w:top w:val="nil"/>
              <w:left w:val="nil"/>
              <w:bottom w:val="single" w:sz="12" w:space="0" w:color="FF9E3C"/>
              <w:right w:val="single" w:sz="12" w:space="0" w:color="FF9E3C"/>
            </w:tcBorders>
            <w:shd w:val="clear" w:color="auto" w:fill="auto"/>
            <w:vAlign w:val="center"/>
            <w:hideMark/>
          </w:tcPr>
          <w:p w14:paraId="44BFE856"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.963</w:t>
            </w:r>
          </w:p>
        </w:tc>
        <w:tc>
          <w:tcPr>
            <w:tcW w:w="1134" w:type="dxa"/>
            <w:tcBorders>
              <w:top w:val="nil"/>
              <w:left w:val="nil"/>
              <w:bottom w:val="single" w:sz="12" w:space="0" w:color="FF9E3C"/>
              <w:right w:val="single" w:sz="12" w:space="0" w:color="FF9E3C"/>
            </w:tcBorders>
            <w:shd w:val="clear" w:color="auto" w:fill="auto"/>
            <w:vAlign w:val="center"/>
            <w:hideMark/>
          </w:tcPr>
          <w:p w14:paraId="11410649"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w:t>
            </w:r>
            <w:r>
              <w:rPr>
                <w:rFonts w:cs="Arial"/>
                <w:color w:val="1C3158"/>
                <w:sz w:val="18"/>
                <w:lang w:eastAsia="ja-JP"/>
              </w:rPr>
              <w:t>00</w:t>
            </w:r>
          </w:p>
        </w:tc>
        <w:tc>
          <w:tcPr>
            <w:tcW w:w="1145" w:type="dxa"/>
            <w:tcBorders>
              <w:top w:val="nil"/>
              <w:left w:val="nil"/>
              <w:bottom w:val="single" w:sz="12" w:space="0" w:color="FF9E3C"/>
              <w:right w:val="single" w:sz="12" w:space="0" w:color="FF9E3C"/>
            </w:tcBorders>
            <w:shd w:val="clear" w:color="auto" w:fill="auto"/>
            <w:vAlign w:val="center"/>
            <w:hideMark/>
          </w:tcPr>
          <w:p w14:paraId="069AC63C"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.889</w:t>
            </w:r>
          </w:p>
        </w:tc>
        <w:tc>
          <w:tcPr>
            <w:tcW w:w="1134" w:type="dxa"/>
            <w:tcBorders>
              <w:top w:val="nil"/>
              <w:left w:val="nil"/>
              <w:bottom w:val="single" w:sz="12" w:space="0" w:color="FF9E3C"/>
              <w:right w:val="single" w:sz="12" w:space="0" w:color="FF9E3C"/>
            </w:tcBorders>
            <w:shd w:val="clear" w:color="auto" w:fill="auto"/>
            <w:vAlign w:val="center"/>
            <w:hideMark/>
          </w:tcPr>
          <w:p w14:paraId="7AB3A99C"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.131</w:t>
            </w:r>
          </w:p>
        </w:tc>
        <w:tc>
          <w:tcPr>
            <w:tcW w:w="992" w:type="dxa"/>
            <w:tcBorders>
              <w:top w:val="nil"/>
              <w:left w:val="nil"/>
              <w:bottom w:val="single" w:sz="12" w:space="0" w:color="FF9E3C"/>
              <w:right w:val="single" w:sz="12" w:space="0" w:color="FF9E3C"/>
            </w:tcBorders>
            <w:shd w:val="clear" w:color="auto" w:fill="auto"/>
            <w:vAlign w:val="center"/>
            <w:hideMark/>
          </w:tcPr>
          <w:p w14:paraId="597EC041"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.757</w:t>
            </w:r>
          </w:p>
        </w:tc>
        <w:tc>
          <w:tcPr>
            <w:tcW w:w="960" w:type="dxa"/>
            <w:tcBorders>
              <w:top w:val="nil"/>
              <w:left w:val="nil"/>
              <w:bottom w:val="single" w:sz="12" w:space="0" w:color="FF9E3C"/>
              <w:right w:val="single" w:sz="12" w:space="0" w:color="FF9E3C"/>
            </w:tcBorders>
            <w:shd w:val="clear" w:color="auto" w:fill="auto"/>
            <w:vAlign w:val="center"/>
            <w:hideMark/>
          </w:tcPr>
          <w:p w14:paraId="6EA25DBE"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.225</w:t>
            </w:r>
          </w:p>
        </w:tc>
      </w:tr>
      <w:tr w:rsidR="006F6929" w:rsidRPr="00BB216B" w14:paraId="252B319E" w14:textId="77777777" w:rsidTr="00B57D32">
        <w:trPr>
          <w:trHeight w:val="330"/>
        </w:trPr>
        <w:tc>
          <w:tcPr>
            <w:tcW w:w="1417" w:type="dxa"/>
            <w:tcBorders>
              <w:top w:val="nil"/>
              <w:left w:val="single" w:sz="12" w:space="0" w:color="FF9E3C"/>
              <w:bottom w:val="single" w:sz="12" w:space="0" w:color="FF9E3C"/>
              <w:right w:val="single" w:sz="12" w:space="0" w:color="FF9E3C"/>
            </w:tcBorders>
            <w:shd w:val="clear" w:color="auto" w:fill="auto"/>
            <w:vAlign w:val="center"/>
            <w:hideMark/>
          </w:tcPr>
          <w:p w14:paraId="408299EB" w14:textId="77777777" w:rsidR="006F6929" w:rsidRPr="00BB216B" w:rsidRDefault="006F6929" w:rsidP="00406FB4">
            <w:pPr>
              <w:tabs>
                <w:tab w:val="clear" w:pos="426"/>
              </w:tabs>
              <w:spacing w:before="0" w:after="0" w:line="240" w:lineRule="auto"/>
              <w:ind w:left="0" w:right="0"/>
              <w:rPr>
                <w:rFonts w:cs="Arial"/>
                <w:color w:val="1C3158"/>
                <w:sz w:val="18"/>
                <w:lang w:eastAsia="ja-JP"/>
              </w:rPr>
            </w:pPr>
            <w:r w:rsidRPr="00BB216B">
              <w:rPr>
                <w:rFonts w:cs="Arial"/>
                <w:color w:val="1C3158"/>
                <w:sz w:val="18"/>
                <w:lang w:eastAsia="ja-JP"/>
              </w:rPr>
              <w:t>Model 4 (80)</w:t>
            </w:r>
          </w:p>
        </w:tc>
        <w:tc>
          <w:tcPr>
            <w:tcW w:w="1123" w:type="dxa"/>
            <w:tcBorders>
              <w:top w:val="nil"/>
              <w:left w:val="nil"/>
              <w:bottom w:val="single" w:sz="12" w:space="0" w:color="FF9E3C"/>
              <w:right w:val="single" w:sz="12" w:space="0" w:color="FF9E3C"/>
            </w:tcBorders>
            <w:shd w:val="clear" w:color="auto" w:fill="auto"/>
            <w:vAlign w:val="center"/>
            <w:hideMark/>
          </w:tcPr>
          <w:p w14:paraId="6D57A1A3"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.972</w:t>
            </w:r>
          </w:p>
        </w:tc>
        <w:tc>
          <w:tcPr>
            <w:tcW w:w="1134" w:type="dxa"/>
            <w:tcBorders>
              <w:top w:val="nil"/>
              <w:left w:val="nil"/>
              <w:bottom w:val="single" w:sz="12" w:space="0" w:color="FF9E3C"/>
              <w:right w:val="single" w:sz="12" w:space="0" w:color="FF9E3C"/>
            </w:tcBorders>
            <w:shd w:val="clear" w:color="auto" w:fill="auto"/>
            <w:vAlign w:val="center"/>
            <w:hideMark/>
          </w:tcPr>
          <w:p w14:paraId="55E0DF2D"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.086</w:t>
            </w:r>
          </w:p>
        </w:tc>
        <w:tc>
          <w:tcPr>
            <w:tcW w:w="1145" w:type="dxa"/>
            <w:tcBorders>
              <w:top w:val="nil"/>
              <w:left w:val="nil"/>
              <w:bottom w:val="single" w:sz="12" w:space="0" w:color="FF9E3C"/>
              <w:right w:val="single" w:sz="12" w:space="0" w:color="FF9E3C"/>
            </w:tcBorders>
            <w:shd w:val="clear" w:color="auto" w:fill="auto"/>
            <w:vAlign w:val="center"/>
            <w:hideMark/>
          </w:tcPr>
          <w:p w14:paraId="2EDEB005"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.914</w:t>
            </w:r>
          </w:p>
        </w:tc>
        <w:tc>
          <w:tcPr>
            <w:tcW w:w="1134" w:type="dxa"/>
            <w:tcBorders>
              <w:top w:val="nil"/>
              <w:left w:val="nil"/>
              <w:bottom w:val="single" w:sz="12" w:space="0" w:color="FF9E3C"/>
              <w:right w:val="single" w:sz="12" w:space="0" w:color="FF9E3C"/>
            </w:tcBorders>
            <w:shd w:val="clear" w:color="auto" w:fill="auto"/>
            <w:vAlign w:val="center"/>
            <w:hideMark/>
          </w:tcPr>
          <w:p w14:paraId="30136E28"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.115</w:t>
            </w:r>
          </w:p>
        </w:tc>
        <w:tc>
          <w:tcPr>
            <w:tcW w:w="992" w:type="dxa"/>
            <w:tcBorders>
              <w:top w:val="nil"/>
              <w:left w:val="nil"/>
              <w:bottom w:val="single" w:sz="12" w:space="0" w:color="FF9E3C"/>
              <w:right w:val="single" w:sz="12" w:space="0" w:color="FF9E3C"/>
            </w:tcBorders>
            <w:shd w:val="clear" w:color="auto" w:fill="auto"/>
            <w:vAlign w:val="center"/>
            <w:hideMark/>
          </w:tcPr>
          <w:p w14:paraId="7475D32A"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.749</w:t>
            </w:r>
          </w:p>
        </w:tc>
        <w:tc>
          <w:tcPr>
            <w:tcW w:w="960" w:type="dxa"/>
            <w:tcBorders>
              <w:top w:val="nil"/>
              <w:left w:val="nil"/>
              <w:bottom w:val="single" w:sz="12" w:space="0" w:color="FF9E3C"/>
              <w:right w:val="single" w:sz="12" w:space="0" w:color="FF9E3C"/>
            </w:tcBorders>
            <w:shd w:val="clear" w:color="auto" w:fill="auto"/>
            <w:vAlign w:val="center"/>
            <w:hideMark/>
          </w:tcPr>
          <w:p w14:paraId="6732DBE8" w14:textId="77777777" w:rsidR="006F6929" w:rsidRPr="00BB216B" w:rsidRDefault="006F6929" w:rsidP="00406FB4">
            <w:pPr>
              <w:tabs>
                <w:tab w:val="clear" w:pos="426"/>
              </w:tabs>
              <w:spacing w:before="0" w:after="0" w:line="240" w:lineRule="auto"/>
              <w:ind w:left="0" w:right="0"/>
              <w:jc w:val="center"/>
              <w:rPr>
                <w:rFonts w:cs="Arial"/>
                <w:color w:val="1C3158"/>
                <w:sz w:val="18"/>
                <w:lang w:eastAsia="ja-JP"/>
              </w:rPr>
            </w:pPr>
            <w:r w:rsidRPr="00BB216B">
              <w:rPr>
                <w:rFonts w:cs="Arial"/>
                <w:color w:val="1C3158"/>
                <w:sz w:val="18"/>
                <w:lang w:eastAsia="ja-JP"/>
              </w:rPr>
              <w:t>.228</w:t>
            </w:r>
          </w:p>
        </w:tc>
      </w:tr>
    </w:tbl>
    <w:p w14:paraId="7D214BBC" w14:textId="126E4CD4" w:rsidR="00164C84" w:rsidRPr="00FB660E" w:rsidRDefault="00164C84" w:rsidP="00C3643F">
      <w:pPr>
        <w:tabs>
          <w:tab w:val="clear" w:pos="426"/>
        </w:tabs>
        <w:spacing w:after="60" w:line="240" w:lineRule="auto"/>
        <w:ind w:left="0" w:right="0"/>
        <w:rPr>
          <w:rFonts w:cs="Arial"/>
          <w:color w:val="1C3158"/>
          <w:sz w:val="16"/>
          <w:szCs w:val="16"/>
          <w:lang w:eastAsia="ja-JP"/>
        </w:rPr>
      </w:pPr>
      <w:r w:rsidRPr="00FB660E">
        <w:rPr>
          <w:rFonts w:cs="Arial"/>
          <w:color w:val="1C3158"/>
          <w:sz w:val="16"/>
          <w:szCs w:val="16"/>
          <w:lang w:eastAsia="ja-JP"/>
        </w:rPr>
        <w:t>Model 1: Configural invariance</w:t>
      </w:r>
      <w:r w:rsidR="00B40FF8">
        <w:rPr>
          <w:rFonts w:cs="Arial"/>
          <w:color w:val="1C3158"/>
          <w:sz w:val="16"/>
          <w:szCs w:val="16"/>
          <w:lang w:eastAsia="ja-JP"/>
        </w:rPr>
        <w:t>.</w:t>
      </w:r>
      <w:r w:rsidR="008610D3">
        <w:rPr>
          <w:rFonts w:cs="Arial"/>
          <w:color w:val="1C3158"/>
          <w:sz w:val="16"/>
          <w:szCs w:val="16"/>
          <w:lang w:eastAsia="ja-JP"/>
        </w:rPr>
        <w:t xml:space="preserve"> </w:t>
      </w:r>
      <w:r w:rsidRPr="00FB660E">
        <w:rPr>
          <w:rFonts w:cs="Arial"/>
          <w:color w:val="1C3158"/>
          <w:sz w:val="16"/>
          <w:szCs w:val="16"/>
          <w:lang w:eastAsia="ja-JP"/>
        </w:rPr>
        <w:t>The same factor structure is imposed on all groups.</w:t>
      </w:r>
    </w:p>
    <w:p w14:paraId="0163606A" w14:textId="2FA76D9E" w:rsidR="00164C84" w:rsidRPr="00FB660E" w:rsidRDefault="00164C84" w:rsidP="00C3643F">
      <w:pPr>
        <w:tabs>
          <w:tab w:val="clear" w:pos="426"/>
        </w:tabs>
        <w:spacing w:before="0" w:after="60" w:line="240" w:lineRule="auto"/>
        <w:ind w:left="0" w:right="0"/>
        <w:rPr>
          <w:rFonts w:cs="Arial"/>
          <w:color w:val="1C3158"/>
          <w:sz w:val="16"/>
          <w:szCs w:val="16"/>
          <w:lang w:eastAsia="ja-JP"/>
        </w:rPr>
      </w:pPr>
      <w:r w:rsidRPr="00FB660E">
        <w:rPr>
          <w:rFonts w:cs="Arial"/>
          <w:color w:val="1C3158"/>
          <w:sz w:val="16"/>
          <w:szCs w:val="16"/>
          <w:lang w:eastAsia="ja-JP"/>
        </w:rPr>
        <w:t>Model 2: Weak invariance</w:t>
      </w:r>
      <w:r w:rsidR="00B40FF8">
        <w:rPr>
          <w:rFonts w:cs="Arial"/>
          <w:color w:val="1C3158"/>
          <w:sz w:val="16"/>
          <w:szCs w:val="16"/>
          <w:lang w:eastAsia="ja-JP"/>
        </w:rPr>
        <w:t>.</w:t>
      </w:r>
      <w:r w:rsidR="008610D3">
        <w:rPr>
          <w:rFonts w:cs="Arial"/>
          <w:color w:val="1C3158"/>
          <w:sz w:val="16"/>
          <w:szCs w:val="16"/>
          <w:lang w:eastAsia="ja-JP"/>
        </w:rPr>
        <w:t xml:space="preserve"> </w:t>
      </w:r>
      <w:r w:rsidRPr="00FB660E">
        <w:rPr>
          <w:rFonts w:cs="Arial"/>
          <w:color w:val="1C3158"/>
          <w:sz w:val="16"/>
          <w:szCs w:val="16"/>
          <w:lang w:eastAsia="ja-JP"/>
        </w:rPr>
        <w:t>The factor loadings are constrained to be equal across groups</w:t>
      </w:r>
    </w:p>
    <w:p w14:paraId="5C767263" w14:textId="3B4FE179" w:rsidR="00164C84" w:rsidRPr="00FB660E" w:rsidRDefault="00164C84" w:rsidP="00C3643F">
      <w:pPr>
        <w:tabs>
          <w:tab w:val="clear" w:pos="426"/>
        </w:tabs>
        <w:spacing w:before="0" w:after="60" w:line="240" w:lineRule="auto"/>
        <w:ind w:left="0" w:right="0"/>
        <w:rPr>
          <w:rFonts w:cs="Arial"/>
          <w:color w:val="1C3158"/>
          <w:sz w:val="16"/>
          <w:szCs w:val="16"/>
          <w:lang w:eastAsia="ja-JP"/>
        </w:rPr>
      </w:pPr>
      <w:r w:rsidRPr="00FB660E">
        <w:rPr>
          <w:rFonts w:cs="Arial"/>
          <w:color w:val="1C3158"/>
          <w:sz w:val="16"/>
          <w:szCs w:val="16"/>
          <w:lang w:eastAsia="ja-JP"/>
        </w:rPr>
        <w:t>Model 3: Strong invariance</w:t>
      </w:r>
      <w:r w:rsidR="00B40FF8">
        <w:rPr>
          <w:rFonts w:cs="Arial"/>
          <w:color w:val="1C3158"/>
          <w:sz w:val="16"/>
          <w:szCs w:val="16"/>
          <w:lang w:eastAsia="ja-JP"/>
        </w:rPr>
        <w:t>.</w:t>
      </w:r>
      <w:r w:rsidR="008610D3">
        <w:rPr>
          <w:rFonts w:cs="Arial"/>
          <w:color w:val="1C3158"/>
          <w:sz w:val="16"/>
          <w:szCs w:val="16"/>
          <w:lang w:eastAsia="ja-JP"/>
        </w:rPr>
        <w:t xml:space="preserve"> </w:t>
      </w:r>
      <w:r w:rsidRPr="00FB660E">
        <w:rPr>
          <w:rFonts w:cs="Arial"/>
          <w:color w:val="1C3158"/>
          <w:sz w:val="16"/>
          <w:szCs w:val="16"/>
          <w:lang w:eastAsia="ja-JP"/>
        </w:rPr>
        <w:t>The factor loadings and intercepts are constrained to be equal across groups</w:t>
      </w:r>
    </w:p>
    <w:p w14:paraId="470F1C6D" w14:textId="77777777" w:rsidR="00164C84" w:rsidRPr="00FB660E" w:rsidRDefault="00164C84" w:rsidP="006F47AB">
      <w:pPr>
        <w:tabs>
          <w:tab w:val="clear" w:pos="426"/>
        </w:tabs>
        <w:spacing w:before="0" w:line="240" w:lineRule="auto"/>
        <w:ind w:left="0" w:right="0"/>
        <w:rPr>
          <w:rFonts w:cs="Arial"/>
          <w:color w:val="1C3158"/>
          <w:sz w:val="16"/>
          <w:szCs w:val="16"/>
          <w:lang w:eastAsia="ja-JP"/>
        </w:rPr>
      </w:pPr>
      <w:r w:rsidRPr="00FB660E">
        <w:rPr>
          <w:rFonts w:cs="Arial"/>
          <w:color w:val="1C3158"/>
          <w:sz w:val="16"/>
          <w:szCs w:val="16"/>
          <w:lang w:eastAsia="ja-JP"/>
        </w:rPr>
        <w:t xml:space="preserve">Model 4: The factor loadings, intercepts and means are constrained to be equal across groups </w:t>
      </w:r>
    </w:p>
    <w:p w14:paraId="746C91C7" w14:textId="198C4A44" w:rsidR="00373794" w:rsidRPr="00475C31" w:rsidRDefault="00373794" w:rsidP="001747F6">
      <w:pPr>
        <w:pStyle w:val="VRGFBodycontent"/>
      </w:pPr>
      <w:r w:rsidRPr="00475C31">
        <w:t>For self</w:t>
      </w:r>
      <w:r w:rsidR="00267BF2">
        <w:t>-</w:t>
      </w:r>
      <w:r w:rsidRPr="00475C31">
        <w:t>reporting gamblers, PGSI item functioning was remarkably consistent between current and retrospective reporting, with the best fitting model being Model 4</w:t>
      </w:r>
      <w:r w:rsidR="00267BF2">
        <w:t>,</w:t>
      </w:r>
      <w:r w:rsidRPr="00475C31">
        <w:t xml:space="preserve"> which applied the most </w:t>
      </w:r>
      <w:r w:rsidR="0092416D" w:rsidRPr="00475C31">
        <w:t>strict</w:t>
      </w:r>
      <w:r w:rsidRPr="00475C31">
        <w:t xml:space="preserve"> equivalence constraints between the two groups</w:t>
      </w:r>
      <w:r w:rsidR="00B40FF8">
        <w:t>.</w:t>
      </w:r>
      <w:r w:rsidR="008610D3">
        <w:t xml:space="preserve"> </w:t>
      </w:r>
      <w:r w:rsidR="00F57D7E" w:rsidRPr="00475C31">
        <w:t>This was also true in comparing current and retrospective reporting</w:t>
      </w:r>
      <w:r w:rsidR="000E7CEE" w:rsidRPr="00475C31">
        <w:t xml:space="preserve"> for affected others</w:t>
      </w:r>
      <w:r w:rsidR="00B40FF8">
        <w:t>.</w:t>
      </w:r>
      <w:r w:rsidR="008610D3">
        <w:t xml:space="preserve"> </w:t>
      </w:r>
      <w:r w:rsidR="00570376" w:rsidRPr="00475C31">
        <w:t>This finding supports the validity of applying the retrospective version of the PGSI to measure gambling problems</w:t>
      </w:r>
      <w:r w:rsidR="00B40FF8">
        <w:t>.</w:t>
      </w:r>
      <w:r w:rsidR="008610D3">
        <w:t xml:space="preserve"> </w:t>
      </w:r>
      <w:r w:rsidR="005079B6">
        <w:t>In c</w:t>
      </w:r>
      <w:r w:rsidR="00570376" w:rsidRPr="00475C31">
        <w:t xml:space="preserve">omparing self-reports of gamblers to </w:t>
      </w:r>
      <w:r w:rsidR="009F028C" w:rsidRPr="005B604B">
        <w:t>second-hand</w:t>
      </w:r>
      <w:r w:rsidR="009F028C" w:rsidRPr="00475C31" w:rsidDel="009F028C">
        <w:t xml:space="preserve"> </w:t>
      </w:r>
      <w:r w:rsidR="00570376" w:rsidRPr="00475C31">
        <w:t>reports by affected othe</w:t>
      </w:r>
      <w:r w:rsidR="005079B6">
        <w:t>rs, M</w:t>
      </w:r>
      <w:r w:rsidR="00570376" w:rsidRPr="00475C31">
        <w:t>odel 2 was best supported</w:t>
      </w:r>
      <w:r w:rsidR="00B40FF8">
        <w:t>.</w:t>
      </w:r>
      <w:r w:rsidR="008610D3">
        <w:t xml:space="preserve"> </w:t>
      </w:r>
      <w:r w:rsidR="00570376" w:rsidRPr="00475C31">
        <w:t>This suggests that whilst the factor loadings of the PGSI items are equivalent between these two groups, item and factor means tended to vary</w:t>
      </w:r>
      <w:r w:rsidR="00B40FF8">
        <w:t>.</w:t>
      </w:r>
      <w:r w:rsidR="008610D3">
        <w:t xml:space="preserve"> </w:t>
      </w:r>
      <w:r w:rsidR="00570376" w:rsidRPr="00475C31">
        <w:t xml:space="preserve">Considering the lower mean obtained by self-reports, this probably reflects the tendency of self-reporters to </w:t>
      </w:r>
      <w:r w:rsidR="00E218E0" w:rsidRPr="00475C31">
        <w:t>under-estimate</w:t>
      </w:r>
      <w:r w:rsidR="00570376" w:rsidRPr="00475C31">
        <w:t xml:space="preserve"> the degree of their gambling problems. </w:t>
      </w:r>
    </w:p>
    <w:p w14:paraId="2F84D9FF" w14:textId="77777777" w:rsidR="002F0AAB" w:rsidRDefault="002F0AAB" w:rsidP="00CC331E">
      <w:pPr>
        <w:pStyle w:val="VRGFBodycontent"/>
      </w:pPr>
    </w:p>
    <w:p w14:paraId="538B8E86" w14:textId="77777777" w:rsidR="00CC331E" w:rsidRDefault="00CC331E" w:rsidP="00CC331E">
      <w:pPr>
        <w:pStyle w:val="VRGFBodycontent"/>
      </w:pPr>
      <w:bookmarkStart w:id="203" w:name="_Toc440900283"/>
    </w:p>
    <w:p w14:paraId="2BFC948A" w14:textId="77777777" w:rsidR="00B35B78" w:rsidRDefault="00B35B78" w:rsidP="00CC331E">
      <w:pPr>
        <w:pStyle w:val="VRGFBodycontent"/>
      </w:pPr>
    </w:p>
    <w:p w14:paraId="7809F951" w14:textId="77777777" w:rsidR="00B35B78" w:rsidRDefault="00B35B78" w:rsidP="00CC331E">
      <w:pPr>
        <w:pStyle w:val="VRGFBodycontent"/>
      </w:pPr>
    </w:p>
    <w:p w14:paraId="2BE790E2" w14:textId="77777777" w:rsidR="00CC331E" w:rsidRDefault="00CC331E" w:rsidP="00CC331E">
      <w:pPr>
        <w:pStyle w:val="VRGFBodycontent"/>
      </w:pPr>
    </w:p>
    <w:p w14:paraId="1B6A06A4" w14:textId="77777777" w:rsidR="005B604B" w:rsidRPr="005B604B" w:rsidRDefault="005B604B" w:rsidP="00C3643F">
      <w:pPr>
        <w:pStyle w:val="VRGFHead3"/>
      </w:pPr>
      <w:bookmarkStart w:id="204" w:name="_Toc462738037"/>
      <w:r w:rsidRPr="005B604B">
        <w:lastRenderedPageBreak/>
        <w:t>Socio-demographic factors and PGSI</w:t>
      </w:r>
      <w:bookmarkEnd w:id="204"/>
    </w:p>
    <w:p w14:paraId="4D8D94AC" w14:textId="49557BD2" w:rsidR="005B604B" w:rsidRDefault="005B604B" w:rsidP="00C3643F">
      <w:pPr>
        <w:pStyle w:val="VRGFBodycontent"/>
      </w:pPr>
      <w:r w:rsidRPr="005B604B">
        <w:t>Socio-demographic factors were regressed against the PGSI separately for gamblers and affected others (see</w:t>
      </w:r>
      <w:r w:rsidR="00D60D18">
        <w:t xml:space="preserve"> </w:t>
      </w:r>
      <w:r w:rsidR="00D60D18">
        <w:fldChar w:fldCharType="begin"/>
      </w:r>
      <w:r w:rsidR="00D60D18">
        <w:instrText xml:space="preserve"> REF _Ref444981270 \h </w:instrText>
      </w:r>
      <w:r w:rsidR="00D60D18">
        <w:fldChar w:fldCharType="separate"/>
      </w:r>
      <w:r w:rsidR="0006479A" w:rsidRPr="00D60D18">
        <w:t xml:space="preserve">Table </w:t>
      </w:r>
      <w:r w:rsidR="0006479A">
        <w:rPr>
          <w:noProof/>
        </w:rPr>
        <w:t>8</w:t>
      </w:r>
      <w:r w:rsidR="00D60D18">
        <w:fldChar w:fldCharType="end"/>
      </w:r>
      <w:r w:rsidR="00D60D18">
        <w:t xml:space="preserve"> </w:t>
      </w:r>
      <w:r w:rsidRPr="005B604B">
        <w:t>below for the beta coefficients (standard error)</w:t>
      </w:r>
      <w:r w:rsidR="00D77268">
        <w:t>)</w:t>
      </w:r>
      <w:r w:rsidRPr="005B604B">
        <w:t xml:space="preserve">. </w:t>
      </w:r>
      <w:r w:rsidR="003111A9">
        <w:t>In general population samples, the PGSI generally has many zeroes and high positive skew, necessitating transformation or other means to handle non-normal residuals. In the present targeted sample, PGSI scores were close enough to being normally distributed to enable application of standard ordinary least squares regression.</w:t>
      </w:r>
    </w:p>
    <w:p w14:paraId="4B8D752F" w14:textId="7C056CB5" w:rsidR="005B604B" w:rsidRPr="00D60D18" w:rsidRDefault="00D60D18" w:rsidP="00D60D18">
      <w:pPr>
        <w:pStyle w:val="Caption"/>
        <w:rPr>
          <w:iCs w:val="0"/>
          <w:color w:val="1C3158"/>
        </w:rPr>
      </w:pPr>
      <w:bookmarkStart w:id="205" w:name="_Ref444981270"/>
      <w:bookmarkStart w:id="206" w:name="_Toc462738111"/>
      <w:r w:rsidRPr="00D60D18">
        <w:t xml:space="preserve">Table </w:t>
      </w:r>
      <w:fldSimple w:instr=" SEQ Table \* ARABIC ">
        <w:r w:rsidR="0006479A">
          <w:rPr>
            <w:noProof/>
          </w:rPr>
          <w:t>8</w:t>
        </w:r>
      </w:fldSimple>
      <w:bookmarkEnd w:id="205"/>
      <w:r w:rsidR="00B40FF8">
        <w:t>.</w:t>
      </w:r>
      <w:r w:rsidR="008610D3">
        <w:t xml:space="preserve"> </w:t>
      </w:r>
      <w:r w:rsidR="005F4A77" w:rsidRPr="00D60D18">
        <w:rPr>
          <w:iCs w:val="0"/>
          <w:color w:val="1C3158"/>
        </w:rPr>
        <w:t>Influence of socio-demographic factors on the PGSI</w:t>
      </w:r>
      <w:bookmarkEnd w:id="206"/>
    </w:p>
    <w:tbl>
      <w:tblPr>
        <w:tblW w:w="5417" w:type="dxa"/>
        <w:tblLook w:val="04A0" w:firstRow="1" w:lastRow="0" w:firstColumn="1" w:lastColumn="0" w:noHBand="0" w:noVBand="1"/>
      </w:tblPr>
      <w:tblGrid>
        <w:gridCol w:w="2126"/>
        <w:gridCol w:w="1560"/>
        <w:gridCol w:w="1731"/>
      </w:tblGrid>
      <w:tr w:rsidR="006F6929" w:rsidRPr="008442F0" w14:paraId="5286588F" w14:textId="77777777" w:rsidTr="00B57D32">
        <w:trPr>
          <w:trHeight w:val="225"/>
        </w:trPr>
        <w:tc>
          <w:tcPr>
            <w:tcW w:w="2126"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145CA84A" w14:textId="77777777" w:rsidR="006F6929" w:rsidRPr="008442F0" w:rsidRDefault="006F6929" w:rsidP="00406FB4">
            <w:pPr>
              <w:tabs>
                <w:tab w:val="clear" w:pos="426"/>
              </w:tabs>
              <w:spacing w:before="0" w:after="0" w:line="240" w:lineRule="auto"/>
              <w:ind w:left="0" w:right="0"/>
              <w:rPr>
                <w:rFonts w:cs="Arial"/>
                <w:b/>
                <w:bCs/>
                <w:color w:val="1C3158"/>
                <w:sz w:val="18"/>
                <w:lang w:eastAsia="ja-JP"/>
              </w:rPr>
            </w:pPr>
            <w:r w:rsidRPr="008442F0">
              <w:rPr>
                <w:rFonts w:cs="Arial"/>
                <w:b/>
                <w:bCs/>
                <w:color w:val="1C3158"/>
                <w:sz w:val="18"/>
                <w:lang w:eastAsia="ja-JP"/>
              </w:rPr>
              <w:t>Predictors</w:t>
            </w:r>
          </w:p>
        </w:tc>
        <w:tc>
          <w:tcPr>
            <w:tcW w:w="1560"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41B0EA09"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Arial"/>
                <w:b/>
                <w:bCs/>
                <w:color w:val="1C3158"/>
                <w:sz w:val="18"/>
                <w:lang w:eastAsia="ja-JP"/>
              </w:rPr>
              <w:t>Gamblers</w:t>
            </w:r>
            <w:r w:rsidRPr="008442F0">
              <w:rPr>
                <w:rFonts w:cs="Arial"/>
                <w:b/>
                <w:bCs/>
                <w:color w:val="1C3158"/>
                <w:sz w:val="18"/>
                <w:lang w:eastAsia="ja-JP"/>
              </w:rPr>
              <w:br/>
              <w:t>(N = 951)</w:t>
            </w:r>
          </w:p>
        </w:tc>
        <w:tc>
          <w:tcPr>
            <w:tcW w:w="1731"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3B0F3C3A"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Arial"/>
                <w:b/>
                <w:bCs/>
                <w:color w:val="1C3158"/>
                <w:sz w:val="18"/>
                <w:lang w:eastAsia="ja-JP"/>
              </w:rPr>
              <w:t>Affected Others</w:t>
            </w:r>
            <w:r w:rsidRPr="008442F0">
              <w:rPr>
                <w:rFonts w:cs="Arial"/>
                <w:b/>
                <w:bCs/>
                <w:color w:val="1C3158"/>
                <w:sz w:val="18"/>
                <w:lang w:eastAsia="ja-JP"/>
              </w:rPr>
              <w:br/>
              <w:t>(N = 591)</w:t>
            </w:r>
          </w:p>
        </w:tc>
      </w:tr>
      <w:tr w:rsidR="006F6929" w:rsidRPr="008442F0" w14:paraId="486B840A" w14:textId="77777777" w:rsidTr="00B57D32">
        <w:trPr>
          <w:trHeight w:val="330"/>
        </w:trPr>
        <w:tc>
          <w:tcPr>
            <w:tcW w:w="2126" w:type="dxa"/>
            <w:vMerge/>
            <w:tcBorders>
              <w:top w:val="single" w:sz="12" w:space="0" w:color="FF9E3C"/>
              <w:left w:val="single" w:sz="12" w:space="0" w:color="FF9E3C"/>
              <w:bottom w:val="single" w:sz="12" w:space="0" w:color="FF9E3C"/>
              <w:right w:val="single" w:sz="12" w:space="0" w:color="FF9E3C"/>
            </w:tcBorders>
            <w:vAlign w:val="center"/>
            <w:hideMark/>
          </w:tcPr>
          <w:p w14:paraId="0700377A" w14:textId="77777777" w:rsidR="006F6929" w:rsidRPr="008442F0" w:rsidRDefault="006F6929" w:rsidP="00406FB4">
            <w:pPr>
              <w:tabs>
                <w:tab w:val="clear" w:pos="426"/>
              </w:tabs>
              <w:spacing w:before="0" w:after="0" w:line="240" w:lineRule="auto"/>
              <w:ind w:left="0" w:right="0"/>
              <w:rPr>
                <w:rFonts w:cs="Arial"/>
                <w:b/>
                <w:bCs/>
                <w:color w:val="1C3158"/>
                <w:sz w:val="18"/>
                <w:lang w:eastAsia="ja-JP"/>
              </w:rPr>
            </w:pPr>
          </w:p>
        </w:tc>
        <w:tc>
          <w:tcPr>
            <w:tcW w:w="1560" w:type="dxa"/>
            <w:vMerge/>
            <w:tcBorders>
              <w:top w:val="single" w:sz="12" w:space="0" w:color="FF9E3C"/>
              <w:left w:val="single" w:sz="12" w:space="0" w:color="FF9E3C"/>
              <w:bottom w:val="single" w:sz="12" w:space="0" w:color="FF9E3C"/>
              <w:right w:val="single" w:sz="12" w:space="0" w:color="FF9E3C"/>
            </w:tcBorders>
            <w:vAlign w:val="center"/>
            <w:hideMark/>
          </w:tcPr>
          <w:p w14:paraId="2E5CE869" w14:textId="77777777" w:rsidR="006F6929" w:rsidRPr="008442F0" w:rsidRDefault="006F6929" w:rsidP="00406FB4">
            <w:pPr>
              <w:tabs>
                <w:tab w:val="clear" w:pos="426"/>
              </w:tabs>
              <w:spacing w:before="0" w:after="0" w:line="240" w:lineRule="auto"/>
              <w:ind w:left="0" w:right="0"/>
              <w:rPr>
                <w:rFonts w:cs="Arial"/>
                <w:b/>
                <w:bCs/>
                <w:color w:val="1C3158"/>
                <w:sz w:val="18"/>
                <w:lang w:eastAsia="ja-JP"/>
              </w:rPr>
            </w:pPr>
          </w:p>
        </w:tc>
        <w:tc>
          <w:tcPr>
            <w:tcW w:w="1731" w:type="dxa"/>
            <w:vMerge/>
            <w:tcBorders>
              <w:top w:val="single" w:sz="12" w:space="0" w:color="FF9E3C"/>
              <w:left w:val="single" w:sz="12" w:space="0" w:color="FF9E3C"/>
              <w:bottom w:val="single" w:sz="12" w:space="0" w:color="FF9E3C"/>
              <w:right w:val="single" w:sz="12" w:space="0" w:color="FF9E3C"/>
            </w:tcBorders>
            <w:vAlign w:val="center"/>
            <w:hideMark/>
          </w:tcPr>
          <w:p w14:paraId="3D4CDA9D" w14:textId="77777777" w:rsidR="006F6929" w:rsidRPr="008442F0" w:rsidRDefault="006F6929" w:rsidP="00406FB4">
            <w:pPr>
              <w:tabs>
                <w:tab w:val="clear" w:pos="426"/>
              </w:tabs>
              <w:spacing w:before="0" w:after="0" w:line="240" w:lineRule="auto"/>
              <w:ind w:left="0" w:right="0"/>
              <w:rPr>
                <w:rFonts w:cs="Arial"/>
                <w:b/>
                <w:bCs/>
                <w:color w:val="1C3158"/>
                <w:sz w:val="18"/>
                <w:lang w:eastAsia="ja-JP"/>
              </w:rPr>
            </w:pPr>
          </w:p>
        </w:tc>
      </w:tr>
      <w:tr w:rsidR="006F6929" w:rsidRPr="008442F0" w14:paraId="33D8C483" w14:textId="77777777" w:rsidTr="00B57D32">
        <w:trPr>
          <w:trHeight w:val="225"/>
        </w:trPr>
        <w:tc>
          <w:tcPr>
            <w:tcW w:w="2126"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5FB546A7"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(Intercept)</w:t>
            </w:r>
          </w:p>
        </w:tc>
        <w:tc>
          <w:tcPr>
            <w:tcW w:w="1560" w:type="dxa"/>
            <w:tcBorders>
              <w:top w:val="nil"/>
              <w:left w:val="nil"/>
              <w:bottom w:val="nil"/>
              <w:right w:val="single" w:sz="12" w:space="0" w:color="FF9E3C"/>
            </w:tcBorders>
            <w:shd w:val="clear" w:color="000000" w:fill="FFFFFF"/>
            <w:vAlign w:val="center"/>
            <w:hideMark/>
          </w:tcPr>
          <w:p w14:paraId="4864586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8.89</w:t>
            </w:r>
            <w:r w:rsidRPr="008442F0">
              <w:rPr>
                <w:rFonts w:cs="Arial"/>
                <w:color w:val="000000"/>
                <w:sz w:val="18"/>
                <w:vertAlign w:val="superscript"/>
                <w:lang w:eastAsia="en-AU"/>
              </w:rPr>
              <w:t>***</w:t>
            </w:r>
          </w:p>
        </w:tc>
        <w:tc>
          <w:tcPr>
            <w:tcW w:w="1731" w:type="dxa"/>
            <w:tcBorders>
              <w:top w:val="nil"/>
              <w:left w:val="nil"/>
              <w:bottom w:val="nil"/>
              <w:right w:val="single" w:sz="12" w:space="0" w:color="FF9E3C"/>
            </w:tcBorders>
            <w:shd w:val="clear" w:color="000000" w:fill="FFFFFF"/>
            <w:vAlign w:val="center"/>
            <w:hideMark/>
          </w:tcPr>
          <w:p w14:paraId="4CA011D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10.78</w:t>
            </w:r>
            <w:r w:rsidRPr="008442F0">
              <w:rPr>
                <w:rFonts w:cs="Arial"/>
                <w:color w:val="000000"/>
                <w:sz w:val="18"/>
                <w:vertAlign w:val="superscript"/>
                <w:lang w:eastAsia="en-AU"/>
              </w:rPr>
              <w:t>***</w:t>
            </w:r>
          </w:p>
        </w:tc>
      </w:tr>
      <w:tr w:rsidR="006F6929" w:rsidRPr="008442F0" w14:paraId="15A56755" w14:textId="77777777" w:rsidTr="00B57D32">
        <w:trPr>
          <w:trHeight w:val="225"/>
        </w:trPr>
        <w:tc>
          <w:tcPr>
            <w:tcW w:w="2126" w:type="dxa"/>
            <w:vMerge/>
            <w:tcBorders>
              <w:top w:val="nil"/>
              <w:left w:val="single" w:sz="12" w:space="0" w:color="FF9E3C"/>
              <w:bottom w:val="single" w:sz="12" w:space="0" w:color="FF9E3C"/>
              <w:right w:val="single" w:sz="12" w:space="0" w:color="FF9E3C"/>
            </w:tcBorders>
            <w:vAlign w:val="center"/>
            <w:hideMark/>
          </w:tcPr>
          <w:p w14:paraId="1DF7AEE8"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1560" w:type="dxa"/>
            <w:tcBorders>
              <w:top w:val="nil"/>
              <w:left w:val="nil"/>
              <w:bottom w:val="single" w:sz="12" w:space="0" w:color="FF9E3C"/>
              <w:right w:val="single" w:sz="12" w:space="0" w:color="FF9E3C"/>
            </w:tcBorders>
            <w:shd w:val="clear" w:color="000000" w:fill="FFFFFF"/>
            <w:vAlign w:val="center"/>
            <w:hideMark/>
          </w:tcPr>
          <w:p w14:paraId="41FDC18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1.01</w:t>
            </w:r>
            <w:r>
              <w:rPr>
                <w:rFonts w:cs="Arial"/>
                <w:color w:val="1C3158"/>
                <w:sz w:val="18"/>
                <w:lang w:eastAsia="en-AU"/>
              </w:rPr>
              <w:t>)</w:t>
            </w:r>
          </w:p>
        </w:tc>
        <w:tc>
          <w:tcPr>
            <w:tcW w:w="1731" w:type="dxa"/>
            <w:tcBorders>
              <w:top w:val="nil"/>
              <w:left w:val="nil"/>
              <w:bottom w:val="single" w:sz="12" w:space="0" w:color="FF9E3C"/>
              <w:right w:val="single" w:sz="12" w:space="0" w:color="FF9E3C"/>
            </w:tcBorders>
            <w:shd w:val="clear" w:color="000000" w:fill="FFFFFF"/>
            <w:vAlign w:val="center"/>
            <w:hideMark/>
          </w:tcPr>
          <w:p w14:paraId="3EF69B0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1.33</w:t>
            </w:r>
            <w:r>
              <w:rPr>
                <w:rFonts w:cs="Arial"/>
                <w:color w:val="1C3158"/>
                <w:sz w:val="18"/>
                <w:lang w:eastAsia="en-AU"/>
              </w:rPr>
              <w:t>)</w:t>
            </w:r>
          </w:p>
        </w:tc>
      </w:tr>
      <w:tr w:rsidR="006F6929" w:rsidRPr="008442F0" w14:paraId="05F6C8F9" w14:textId="77777777" w:rsidTr="00B57D32">
        <w:trPr>
          <w:trHeight w:val="225"/>
        </w:trPr>
        <w:tc>
          <w:tcPr>
            <w:tcW w:w="2126"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0579E5EC"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Gender (Female)</w:t>
            </w:r>
          </w:p>
        </w:tc>
        <w:tc>
          <w:tcPr>
            <w:tcW w:w="1560" w:type="dxa"/>
            <w:tcBorders>
              <w:top w:val="nil"/>
              <w:left w:val="nil"/>
              <w:bottom w:val="nil"/>
              <w:right w:val="single" w:sz="12" w:space="0" w:color="FF9E3C"/>
            </w:tcBorders>
            <w:shd w:val="clear" w:color="000000" w:fill="FFFFFF"/>
            <w:vAlign w:val="center"/>
            <w:hideMark/>
          </w:tcPr>
          <w:p w14:paraId="3076517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0.19</w:t>
            </w:r>
          </w:p>
        </w:tc>
        <w:tc>
          <w:tcPr>
            <w:tcW w:w="1731" w:type="dxa"/>
            <w:tcBorders>
              <w:top w:val="nil"/>
              <w:left w:val="nil"/>
              <w:bottom w:val="nil"/>
              <w:right w:val="single" w:sz="12" w:space="0" w:color="FF9E3C"/>
            </w:tcBorders>
            <w:shd w:val="clear" w:color="000000" w:fill="FFFFFF"/>
            <w:vAlign w:val="center"/>
            <w:hideMark/>
          </w:tcPr>
          <w:p w14:paraId="462148E8"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1.25</w:t>
            </w:r>
            <w:r w:rsidRPr="008442F0">
              <w:rPr>
                <w:rFonts w:cs="Arial"/>
                <w:color w:val="000000"/>
                <w:sz w:val="18"/>
                <w:vertAlign w:val="superscript"/>
                <w:lang w:eastAsia="en-AU"/>
              </w:rPr>
              <w:t>*</w:t>
            </w:r>
          </w:p>
        </w:tc>
      </w:tr>
      <w:tr w:rsidR="006F6929" w:rsidRPr="008442F0" w14:paraId="7FC27F2D" w14:textId="77777777" w:rsidTr="00B57D32">
        <w:trPr>
          <w:trHeight w:val="225"/>
        </w:trPr>
        <w:tc>
          <w:tcPr>
            <w:tcW w:w="2126" w:type="dxa"/>
            <w:vMerge/>
            <w:tcBorders>
              <w:top w:val="nil"/>
              <w:left w:val="single" w:sz="12" w:space="0" w:color="FF9E3C"/>
              <w:bottom w:val="single" w:sz="12" w:space="0" w:color="FF9E3C"/>
              <w:right w:val="single" w:sz="12" w:space="0" w:color="FF9E3C"/>
            </w:tcBorders>
            <w:vAlign w:val="center"/>
            <w:hideMark/>
          </w:tcPr>
          <w:p w14:paraId="6788A004"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1560" w:type="dxa"/>
            <w:tcBorders>
              <w:top w:val="nil"/>
              <w:left w:val="nil"/>
              <w:bottom w:val="single" w:sz="12" w:space="0" w:color="FF9E3C"/>
              <w:right w:val="single" w:sz="12" w:space="0" w:color="FF9E3C"/>
            </w:tcBorders>
            <w:shd w:val="clear" w:color="000000" w:fill="FFFFFF"/>
            <w:vAlign w:val="center"/>
            <w:hideMark/>
          </w:tcPr>
          <w:p w14:paraId="7F6FB60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0.38</w:t>
            </w:r>
            <w:r>
              <w:rPr>
                <w:rFonts w:cs="Arial"/>
                <w:color w:val="1C3158"/>
                <w:sz w:val="18"/>
                <w:lang w:eastAsia="en-AU"/>
              </w:rPr>
              <w:t>)</w:t>
            </w:r>
          </w:p>
        </w:tc>
        <w:tc>
          <w:tcPr>
            <w:tcW w:w="1731" w:type="dxa"/>
            <w:tcBorders>
              <w:top w:val="nil"/>
              <w:left w:val="nil"/>
              <w:bottom w:val="single" w:sz="12" w:space="0" w:color="FF9E3C"/>
              <w:right w:val="single" w:sz="12" w:space="0" w:color="FF9E3C"/>
            </w:tcBorders>
            <w:shd w:val="clear" w:color="000000" w:fill="FFFFFF"/>
            <w:vAlign w:val="center"/>
            <w:hideMark/>
          </w:tcPr>
          <w:p w14:paraId="7BA839E8"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0.54</w:t>
            </w:r>
            <w:r>
              <w:rPr>
                <w:rFonts w:cs="Arial"/>
                <w:color w:val="1C3158"/>
                <w:sz w:val="18"/>
                <w:lang w:eastAsia="en-AU"/>
              </w:rPr>
              <w:t>)</w:t>
            </w:r>
          </w:p>
        </w:tc>
      </w:tr>
      <w:tr w:rsidR="006F6929" w:rsidRPr="008442F0" w14:paraId="23CD0B12" w14:textId="77777777" w:rsidTr="00B57D32">
        <w:trPr>
          <w:trHeight w:val="225"/>
        </w:trPr>
        <w:tc>
          <w:tcPr>
            <w:tcW w:w="2126"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6395D1F7"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Age</w:t>
            </w:r>
          </w:p>
        </w:tc>
        <w:tc>
          <w:tcPr>
            <w:tcW w:w="1560" w:type="dxa"/>
            <w:tcBorders>
              <w:top w:val="nil"/>
              <w:left w:val="nil"/>
              <w:bottom w:val="nil"/>
              <w:right w:val="single" w:sz="12" w:space="0" w:color="FF9E3C"/>
            </w:tcBorders>
            <w:shd w:val="clear" w:color="000000" w:fill="FFFFFF"/>
            <w:vAlign w:val="center"/>
            <w:hideMark/>
          </w:tcPr>
          <w:p w14:paraId="05A4CAE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-0.03</w:t>
            </w:r>
            <w:r w:rsidRPr="008442F0">
              <w:rPr>
                <w:rFonts w:cs="Arial"/>
                <w:color w:val="000000"/>
                <w:sz w:val="18"/>
                <w:vertAlign w:val="superscript"/>
                <w:lang w:eastAsia="en-AU"/>
              </w:rPr>
              <w:t>**</w:t>
            </w:r>
          </w:p>
        </w:tc>
        <w:tc>
          <w:tcPr>
            <w:tcW w:w="1731" w:type="dxa"/>
            <w:tcBorders>
              <w:top w:val="nil"/>
              <w:left w:val="nil"/>
              <w:bottom w:val="nil"/>
              <w:right w:val="single" w:sz="12" w:space="0" w:color="FF9E3C"/>
            </w:tcBorders>
            <w:shd w:val="clear" w:color="000000" w:fill="FFFFFF"/>
            <w:vAlign w:val="center"/>
            <w:hideMark/>
          </w:tcPr>
          <w:p w14:paraId="1E07943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-0.02</w:t>
            </w:r>
          </w:p>
        </w:tc>
      </w:tr>
      <w:tr w:rsidR="006F6929" w:rsidRPr="008442F0" w14:paraId="1FAE7146" w14:textId="77777777" w:rsidTr="00B57D32">
        <w:trPr>
          <w:trHeight w:val="225"/>
        </w:trPr>
        <w:tc>
          <w:tcPr>
            <w:tcW w:w="2126" w:type="dxa"/>
            <w:vMerge/>
            <w:tcBorders>
              <w:top w:val="nil"/>
              <w:left w:val="single" w:sz="12" w:space="0" w:color="FF9E3C"/>
              <w:bottom w:val="single" w:sz="12" w:space="0" w:color="FF9E3C"/>
              <w:right w:val="single" w:sz="12" w:space="0" w:color="FF9E3C"/>
            </w:tcBorders>
            <w:vAlign w:val="center"/>
            <w:hideMark/>
          </w:tcPr>
          <w:p w14:paraId="0C2E8144"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1560" w:type="dxa"/>
            <w:tcBorders>
              <w:top w:val="nil"/>
              <w:left w:val="nil"/>
              <w:bottom w:val="single" w:sz="12" w:space="0" w:color="FF9E3C"/>
              <w:right w:val="single" w:sz="12" w:space="0" w:color="FF9E3C"/>
            </w:tcBorders>
            <w:shd w:val="clear" w:color="000000" w:fill="FFFFFF"/>
            <w:vAlign w:val="center"/>
            <w:hideMark/>
          </w:tcPr>
          <w:p w14:paraId="6F21CB5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1731" w:type="dxa"/>
            <w:tcBorders>
              <w:top w:val="nil"/>
              <w:left w:val="nil"/>
              <w:bottom w:val="single" w:sz="12" w:space="0" w:color="FF9E3C"/>
              <w:right w:val="single" w:sz="12" w:space="0" w:color="FF9E3C"/>
            </w:tcBorders>
            <w:shd w:val="clear" w:color="000000" w:fill="FFFFFF"/>
            <w:vAlign w:val="center"/>
            <w:hideMark/>
          </w:tcPr>
          <w:p w14:paraId="7E83C1C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0.02</w:t>
            </w:r>
            <w:r>
              <w:rPr>
                <w:rFonts w:cs="Arial"/>
                <w:color w:val="1C3158"/>
                <w:sz w:val="18"/>
                <w:lang w:eastAsia="en-AU"/>
              </w:rPr>
              <w:t>)</w:t>
            </w:r>
          </w:p>
        </w:tc>
      </w:tr>
      <w:tr w:rsidR="006F6929" w:rsidRPr="008442F0" w14:paraId="6B8E70AF" w14:textId="77777777" w:rsidTr="00B57D32">
        <w:trPr>
          <w:trHeight w:val="225"/>
        </w:trPr>
        <w:tc>
          <w:tcPr>
            <w:tcW w:w="2126"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023C4CE5"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European</w:t>
            </w:r>
          </w:p>
        </w:tc>
        <w:tc>
          <w:tcPr>
            <w:tcW w:w="1560" w:type="dxa"/>
            <w:tcBorders>
              <w:top w:val="nil"/>
              <w:left w:val="nil"/>
              <w:bottom w:val="nil"/>
              <w:right w:val="single" w:sz="12" w:space="0" w:color="FF9E3C"/>
            </w:tcBorders>
            <w:shd w:val="clear" w:color="000000" w:fill="FFFFFF"/>
            <w:vAlign w:val="center"/>
            <w:hideMark/>
          </w:tcPr>
          <w:p w14:paraId="5E5EA51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-0.25</w:t>
            </w:r>
          </w:p>
        </w:tc>
        <w:tc>
          <w:tcPr>
            <w:tcW w:w="1731" w:type="dxa"/>
            <w:tcBorders>
              <w:top w:val="nil"/>
              <w:left w:val="nil"/>
              <w:bottom w:val="nil"/>
              <w:right w:val="single" w:sz="12" w:space="0" w:color="FF9E3C"/>
            </w:tcBorders>
            <w:shd w:val="clear" w:color="000000" w:fill="FFFFFF"/>
            <w:vAlign w:val="center"/>
            <w:hideMark/>
          </w:tcPr>
          <w:p w14:paraId="6FF02A2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-0.32</w:t>
            </w:r>
          </w:p>
        </w:tc>
      </w:tr>
      <w:tr w:rsidR="006F6929" w:rsidRPr="008442F0" w14:paraId="44AFF295" w14:textId="77777777" w:rsidTr="00B57D32">
        <w:trPr>
          <w:trHeight w:val="225"/>
        </w:trPr>
        <w:tc>
          <w:tcPr>
            <w:tcW w:w="2126" w:type="dxa"/>
            <w:vMerge/>
            <w:tcBorders>
              <w:top w:val="nil"/>
              <w:left w:val="single" w:sz="12" w:space="0" w:color="FF9E3C"/>
              <w:bottom w:val="single" w:sz="12" w:space="0" w:color="FF9E3C"/>
              <w:right w:val="single" w:sz="12" w:space="0" w:color="FF9E3C"/>
            </w:tcBorders>
            <w:vAlign w:val="center"/>
            <w:hideMark/>
          </w:tcPr>
          <w:p w14:paraId="5285EB46"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1560" w:type="dxa"/>
            <w:tcBorders>
              <w:top w:val="nil"/>
              <w:left w:val="nil"/>
              <w:bottom w:val="single" w:sz="12" w:space="0" w:color="FF9E3C"/>
              <w:right w:val="single" w:sz="12" w:space="0" w:color="FF9E3C"/>
            </w:tcBorders>
            <w:shd w:val="clear" w:color="000000" w:fill="FFFFFF"/>
            <w:vAlign w:val="center"/>
            <w:hideMark/>
          </w:tcPr>
          <w:p w14:paraId="769FC673"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0.74</w:t>
            </w:r>
            <w:r>
              <w:rPr>
                <w:rFonts w:cs="Arial"/>
                <w:color w:val="1C3158"/>
                <w:sz w:val="18"/>
                <w:lang w:eastAsia="en-AU"/>
              </w:rPr>
              <w:t>)</w:t>
            </w:r>
          </w:p>
        </w:tc>
        <w:tc>
          <w:tcPr>
            <w:tcW w:w="1731" w:type="dxa"/>
            <w:tcBorders>
              <w:top w:val="nil"/>
              <w:left w:val="nil"/>
              <w:bottom w:val="single" w:sz="12" w:space="0" w:color="FF9E3C"/>
              <w:right w:val="single" w:sz="12" w:space="0" w:color="FF9E3C"/>
            </w:tcBorders>
            <w:shd w:val="clear" w:color="000000" w:fill="FFFFFF"/>
            <w:vAlign w:val="center"/>
            <w:hideMark/>
          </w:tcPr>
          <w:p w14:paraId="6A8D2AC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1</w:t>
            </w:r>
            <w:r>
              <w:rPr>
                <w:rFonts w:cs="Arial"/>
                <w:color w:val="1C3158"/>
                <w:sz w:val="18"/>
                <w:lang w:eastAsia="en-AU"/>
              </w:rPr>
              <w:t>.00)</w:t>
            </w:r>
          </w:p>
        </w:tc>
      </w:tr>
      <w:tr w:rsidR="006F6929" w:rsidRPr="008442F0" w14:paraId="1A20B516" w14:textId="77777777" w:rsidTr="00B57D32">
        <w:trPr>
          <w:trHeight w:val="225"/>
        </w:trPr>
        <w:tc>
          <w:tcPr>
            <w:tcW w:w="2126"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2CFA1E7D" w14:textId="325399B2" w:rsidR="006F6929" w:rsidRPr="008442F0" w:rsidRDefault="00B12BDA" w:rsidP="00406FB4">
            <w:pPr>
              <w:tabs>
                <w:tab w:val="clear" w:pos="426"/>
              </w:tabs>
              <w:spacing w:before="0" w:after="0" w:line="240" w:lineRule="auto"/>
              <w:ind w:left="0" w:right="0"/>
              <w:rPr>
                <w:rFonts w:cs="Arial"/>
                <w:color w:val="1C3158"/>
                <w:sz w:val="18"/>
                <w:lang w:eastAsia="ja-JP"/>
              </w:rPr>
            </w:pPr>
            <w:r>
              <w:rPr>
                <w:rFonts w:cs="Arial"/>
                <w:color w:val="1C3158"/>
                <w:sz w:val="18"/>
                <w:lang w:eastAsia="en-AU"/>
              </w:rPr>
              <w:t>Māori</w:t>
            </w:r>
          </w:p>
        </w:tc>
        <w:tc>
          <w:tcPr>
            <w:tcW w:w="1560" w:type="dxa"/>
            <w:tcBorders>
              <w:top w:val="nil"/>
              <w:left w:val="nil"/>
              <w:bottom w:val="nil"/>
              <w:right w:val="single" w:sz="12" w:space="0" w:color="FF9E3C"/>
            </w:tcBorders>
            <w:shd w:val="clear" w:color="000000" w:fill="FFFFFF"/>
            <w:vAlign w:val="center"/>
            <w:hideMark/>
          </w:tcPr>
          <w:p w14:paraId="12706B8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2.81</w:t>
            </w:r>
            <w:r w:rsidRPr="008442F0">
              <w:rPr>
                <w:rFonts w:cs="Arial"/>
                <w:color w:val="000000"/>
                <w:sz w:val="18"/>
                <w:vertAlign w:val="superscript"/>
                <w:lang w:eastAsia="en-AU"/>
              </w:rPr>
              <w:t>***</w:t>
            </w:r>
          </w:p>
        </w:tc>
        <w:tc>
          <w:tcPr>
            <w:tcW w:w="1731" w:type="dxa"/>
            <w:tcBorders>
              <w:top w:val="nil"/>
              <w:left w:val="nil"/>
              <w:bottom w:val="nil"/>
              <w:right w:val="single" w:sz="12" w:space="0" w:color="FF9E3C"/>
            </w:tcBorders>
            <w:shd w:val="clear" w:color="000000" w:fill="FFFFFF"/>
            <w:vAlign w:val="center"/>
            <w:hideMark/>
          </w:tcPr>
          <w:p w14:paraId="7DD9731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1.91</w:t>
            </w:r>
            <w:r w:rsidRPr="008442F0">
              <w:rPr>
                <w:rFonts w:cs="Arial"/>
                <w:color w:val="000000"/>
                <w:sz w:val="18"/>
                <w:vertAlign w:val="superscript"/>
                <w:lang w:eastAsia="en-AU"/>
              </w:rPr>
              <w:t>*</w:t>
            </w:r>
          </w:p>
        </w:tc>
      </w:tr>
      <w:tr w:rsidR="006F6929" w:rsidRPr="008442F0" w14:paraId="717F8100" w14:textId="77777777" w:rsidTr="00B57D32">
        <w:trPr>
          <w:trHeight w:val="225"/>
        </w:trPr>
        <w:tc>
          <w:tcPr>
            <w:tcW w:w="2126" w:type="dxa"/>
            <w:vMerge/>
            <w:tcBorders>
              <w:top w:val="nil"/>
              <w:left w:val="single" w:sz="12" w:space="0" w:color="FF9E3C"/>
              <w:bottom w:val="single" w:sz="12" w:space="0" w:color="FF9E3C"/>
              <w:right w:val="single" w:sz="12" w:space="0" w:color="FF9E3C"/>
            </w:tcBorders>
            <w:vAlign w:val="center"/>
            <w:hideMark/>
          </w:tcPr>
          <w:p w14:paraId="73CFD957"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1560" w:type="dxa"/>
            <w:tcBorders>
              <w:top w:val="nil"/>
              <w:left w:val="nil"/>
              <w:bottom w:val="single" w:sz="12" w:space="0" w:color="FF9E3C"/>
              <w:right w:val="single" w:sz="12" w:space="0" w:color="FF9E3C"/>
            </w:tcBorders>
            <w:shd w:val="clear" w:color="000000" w:fill="FFFFFF"/>
            <w:vAlign w:val="center"/>
            <w:hideMark/>
          </w:tcPr>
          <w:p w14:paraId="07D1E25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0.66</w:t>
            </w:r>
            <w:r>
              <w:rPr>
                <w:rFonts w:cs="Arial"/>
                <w:color w:val="1C3158"/>
                <w:sz w:val="18"/>
                <w:lang w:eastAsia="en-AU"/>
              </w:rPr>
              <w:t>)</w:t>
            </w:r>
          </w:p>
        </w:tc>
        <w:tc>
          <w:tcPr>
            <w:tcW w:w="1731" w:type="dxa"/>
            <w:tcBorders>
              <w:top w:val="nil"/>
              <w:left w:val="nil"/>
              <w:bottom w:val="single" w:sz="12" w:space="0" w:color="FF9E3C"/>
              <w:right w:val="single" w:sz="12" w:space="0" w:color="FF9E3C"/>
            </w:tcBorders>
            <w:shd w:val="clear" w:color="000000" w:fill="FFFFFF"/>
            <w:vAlign w:val="center"/>
            <w:hideMark/>
          </w:tcPr>
          <w:p w14:paraId="19E496F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0.8</w:t>
            </w:r>
            <w:r>
              <w:rPr>
                <w:rFonts w:cs="Arial"/>
                <w:color w:val="1C3158"/>
                <w:sz w:val="18"/>
                <w:lang w:eastAsia="en-AU"/>
              </w:rPr>
              <w:t>0)</w:t>
            </w:r>
          </w:p>
        </w:tc>
      </w:tr>
      <w:tr w:rsidR="006F6929" w:rsidRPr="008442F0" w14:paraId="41C7316C" w14:textId="77777777" w:rsidTr="00B57D32">
        <w:trPr>
          <w:trHeight w:val="225"/>
        </w:trPr>
        <w:tc>
          <w:tcPr>
            <w:tcW w:w="2126"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4384DAF4"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Pacific</w:t>
            </w:r>
          </w:p>
        </w:tc>
        <w:tc>
          <w:tcPr>
            <w:tcW w:w="1560" w:type="dxa"/>
            <w:tcBorders>
              <w:top w:val="nil"/>
              <w:left w:val="nil"/>
              <w:bottom w:val="nil"/>
              <w:right w:val="single" w:sz="12" w:space="0" w:color="FF9E3C"/>
            </w:tcBorders>
            <w:shd w:val="clear" w:color="000000" w:fill="FFFFFF"/>
            <w:vAlign w:val="center"/>
            <w:hideMark/>
          </w:tcPr>
          <w:p w14:paraId="5AD0A98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0.58</w:t>
            </w:r>
          </w:p>
        </w:tc>
        <w:tc>
          <w:tcPr>
            <w:tcW w:w="1731" w:type="dxa"/>
            <w:tcBorders>
              <w:top w:val="nil"/>
              <w:left w:val="nil"/>
              <w:bottom w:val="nil"/>
              <w:right w:val="single" w:sz="12" w:space="0" w:color="FF9E3C"/>
            </w:tcBorders>
            <w:shd w:val="clear" w:color="000000" w:fill="FFFFFF"/>
            <w:vAlign w:val="center"/>
            <w:hideMark/>
          </w:tcPr>
          <w:p w14:paraId="120415D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1.08</w:t>
            </w:r>
          </w:p>
        </w:tc>
      </w:tr>
      <w:tr w:rsidR="006F6929" w:rsidRPr="008442F0" w14:paraId="0157DB23" w14:textId="77777777" w:rsidTr="00B57D32">
        <w:trPr>
          <w:trHeight w:val="225"/>
        </w:trPr>
        <w:tc>
          <w:tcPr>
            <w:tcW w:w="2126" w:type="dxa"/>
            <w:vMerge/>
            <w:tcBorders>
              <w:top w:val="nil"/>
              <w:left w:val="single" w:sz="12" w:space="0" w:color="FF9E3C"/>
              <w:bottom w:val="single" w:sz="12" w:space="0" w:color="FF9E3C"/>
              <w:right w:val="single" w:sz="12" w:space="0" w:color="FF9E3C"/>
            </w:tcBorders>
            <w:vAlign w:val="center"/>
            <w:hideMark/>
          </w:tcPr>
          <w:p w14:paraId="11BFE549"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1560" w:type="dxa"/>
            <w:tcBorders>
              <w:top w:val="nil"/>
              <w:left w:val="nil"/>
              <w:bottom w:val="single" w:sz="12" w:space="0" w:color="FF9E3C"/>
              <w:right w:val="single" w:sz="12" w:space="0" w:color="FF9E3C"/>
            </w:tcBorders>
            <w:shd w:val="clear" w:color="000000" w:fill="FFFFFF"/>
            <w:vAlign w:val="center"/>
            <w:hideMark/>
          </w:tcPr>
          <w:p w14:paraId="09CBEE53"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0.98</w:t>
            </w:r>
            <w:r>
              <w:rPr>
                <w:rFonts w:cs="Arial"/>
                <w:color w:val="1C3158"/>
                <w:sz w:val="18"/>
                <w:lang w:eastAsia="en-AU"/>
              </w:rPr>
              <w:t>)</w:t>
            </w:r>
          </w:p>
        </w:tc>
        <w:tc>
          <w:tcPr>
            <w:tcW w:w="1731" w:type="dxa"/>
            <w:tcBorders>
              <w:top w:val="nil"/>
              <w:left w:val="nil"/>
              <w:bottom w:val="single" w:sz="12" w:space="0" w:color="FF9E3C"/>
              <w:right w:val="single" w:sz="12" w:space="0" w:color="FF9E3C"/>
            </w:tcBorders>
            <w:shd w:val="clear" w:color="000000" w:fill="FFFFFF"/>
            <w:vAlign w:val="center"/>
            <w:hideMark/>
          </w:tcPr>
          <w:p w14:paraId="6F82A098"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1.33</w:t>
            </w:r>
            <w:r>
              <w:rPr>
                <w:rFonts w:cs="Arial"/>
                <w:color w:val="1C3158"/>
                <w:sz w:val="18"/>
                <w:lang w:eastAsia="en-AU"/>
              </w:rPr>
              <w:t>)</w:t>
            </w:r>
          </w:p>
        </w:tc>
      </w:tr>
      <w:tr w:rsidR="006F6929" w:rsidRPr="008442F0" w14:paraId="20B045BF" w14:textId="77777777" w:rsidTr="00B57D32">
        <w:trPr>
          <w:trHeight w:val="225"/>
        </w:trPr>
        <w:tc>
          <w:tcPr>
            <w:tcW w:w="2126"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227E8131"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Asian</w:t>
            </w:r>
          </w:p>
        </w:tc>
        <w:tc>
          <w:tcPr>
            <w:tcW w:w="1560" w:type="dxa"/>
            <w:tcBorders>
              <w:top w:val="nil"/>
              <w:left w:val="nil"/>
              <w:bottom w:val="nil"/>
              <w:right w:val="single" w:sz="12" w:space="0" w:color="FF9E3C"/>
            </w:tcBorders>
            <w:shd w:val="clear" w:color="000000" w:fill="FFFFFF"/>
            <w:vAlign w:val="center"/>
            <w:hideMark/>
          </w:tcPr>
          <w:p w14:paraId="6A2F067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-1.63</w:t>
            </w:r>
          </w:p>
        </w:tc>
        <w:tc>
          <w:tcPr>
            <w:tcW w:w="1731" w:type="dxa"/>
            <w:tcBorders>
              <w:top w:val="nil"/>
              <w:left w:val="nil"/>
              <w:bottom w:val="nil"/>
              <w:right w:val="single" w:sz="12" w:space="0" w:color="FF9E3C"/>
            </w:tcBorders>
            <w:shd w:val="clear" w:color="000000" w:fill="FFFFFF"/>
            <w:vAlign w:val="center"/>
            <w:hideMark/>
          </w:tcPr>
          <w:p w14:paraId="291834D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-1.67</w:t>
            </w:r>
          </w:p>
        </w:tc>
      </w:tr>
      <w:tr w:rsidR="006F6929" w:rsidRPr="008442F0" w14:paraId="16506F40" w14:textId="77777777" w:rsidTr="00B57D32">
        <w:trPr>
          <w:trHeight w:val="225"/>
        </w:trPr>
        <w:tc>
          <w:tcPr>
            <w:tcW w:w="2126" w:type="dxa"/>
            <w:vMerge/>
            <w:tcBorders>
              <w:top w:val="nil"/>
              <w:left w:val="single" w:sz="12" w:space="0" w:color="FF9E3C"/>
              <w:bottom w:val="single" w:sz="12" w:space="0" w:color="FF9E3C"/>
              <w:right w:val="single" w:sz="12" w:space="0" w:color="FF9E3C"/>
            </w:tcBorders>
            <w:vAlign w:val="center"/>
            <w:hideMark/>
          </w:tcPr>
          <w:p w14:paraId="25706CDB"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1560" w:type="dxa"/>
            <w:tcBorders>
              <w:top w:val="nil"/>
              <w:left w:val="nil"/>
              <w:bottom w:val="single" w:sz="12" w:space="0" w:color="FF9E3C"/>
              <w:right w:val="single" w:sz="12" w:space="0" w:color="FF9E3C"/>
            </w:tcBorders>
            <w:shd w:val="clear" w:color="000000" w:fill="FFFFFF"/>
            <w:vAlign w:val="center"/>
            <w:hideMark/>
          </w:tcPr>
          <w:p w14:paraId="650CD77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0.96</w:t>
            </w:r>
            <w:r>
              <w:rPr>
                <w:rFonts w:cs="Arial"/>
                <w:color w:val="1C3158"/>
                <w:sz w:val="18"/>
                <w:lang w:eastAsia="en-AU"/>
              </w:rPr>
              <w:t>)</w:t>
            </w:r>
          </w:p>
        </w:tc>
        <w:tc>
          <w:tcPr>
            <w:tcW w:w="1731" w:type="dxa"/>
            <w:tcBorders>
              <w:top w:val="nil"/>
              <w:left w:val="nil"/>
              <w:bottom w:val="single" w:sz="12" w:space="0" w:color="FF9E3C"/>
              <w:right w:val="single" w:sz="12" w:space="0" w:color="FF9E3C"/>
            </w:tcBorders>
            <w:shd w:val="clear" w:color="000000" w:fill="FFFFFF"/>
            <w:vAlign w:val="center"/>
            <w:hideMark/>
          </w:tcPr>
          <w:p w14:paraId="38B1C14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1.31</w:t>
            </w:r>
            <w:r>
              <w:rPr>
                <w:rFonts w:cs="Arial"/>
                <w:color w:val="1C3158"/>
                <w:sz w:val="18"/>
                <w:lang w:eastAsia="en-AU"/>
              </w:rPr>
              <w:t>)</w:t>
            </w:r>
          </w:p>
        </w:tc>
      </w:tr>
      <w:tr w:rsidR="006F6929" w:rsidRPr="008442F0" w14:paraId="1DD2A062" w14:textId="77777777" w:rsidTr="00B57D32">
        <w:trPr>
          <w:trHeight w:val="225"/>
        </w:trPr>
        <w:tc>
          <w:tcPr>
            <w:tcW w:w="2126"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26C8B568"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Other</w:t>
            </w:r>
          </w:p>
        </w:tc>
        <w:tc>
          <w:tcPr>
            <w:tcW w:w="1560" w:type="dxa"/>
            <w:tcBorders>
              <w:top w:val="nil"/>
              <w:left w:val="nil"/>
              <w:bottom w:val="nil"/>
              <w:right w:val="single" w:sz="12" w:space="0" w:color="FF9E3C"/>
            </w:tcBorders>
            <w:shd w:val="clear" w:color="000000" w:fill="FFFFFF"/>
            <w:vAlign w:val="center"/>
            <w:hideMark/>
          </w:tcPr>
          <w:p w14:paraId="7CE4115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-0.78</w:t>
            </w:r>
          </w:p>
        </w:tc>
        <w:tc>
          <w:tcPr>
            <w:tcW w:w="1731" w:type="dxa"/>
            <w:tcBorders>
              <w:top w:val="nil"/>
              <w:left w:val="nil"/>
              <w:bottom w:val="nil"/>
              <w:right w:val="single" w:sz="12" w:space="0" w:color="FF9E3C"/>
            </w:tcBorders>
            <w:shd w:val="clear" w:color="000000" w:fill="FFFFFF"/>
            <w:vAlign w:val="center"/>
            <w:hideMark/>
          </w:tcPr>
          <w:p w14:paraId="547B6B5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-0.58</w:t>
            </w:r>
          </w:p>
        </w:tc>
      </w:tr>
      <w:tr w:rsidR="006F6929" w:rsidRPr="008442F0" w14:paraId="460BCEBC" w14:textId="77777777" w:rsidTr="00B57D32">
        <w:trPr>
          <w:trHeight w:val="225"/>
        </w:trPr>
        <w:tc>
          <w:tcPr>
            <w:tcW w:w="2126" w:type="dxa"/>
            <w:vMerge/>
            <w:tcBorders>
              <w:top w:val="nil"/>
              <w:left w:val="single" w:sz="12" w:space="0" w:color="FF9E3C"/>
              <w:bottom w:val="single" w:sz="12" w:space="0" w:color="FF9E3C"/>
              <w:right w:val="single" w:sz="12" w:space="0" w:color="FF9E3C"/>
            </w:tcBorders>
            <w:vAlign w:val="center"/>
            <w:hideMark/>
          </w:tcPr>
          <w:p w14:paraId="345FA206"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1560" w:type="dxa"/>
            <w:tcBorders>
              <w:top w:val="nil"/>
              <w:left w:val="nil"/>
              <w:bottom w:val="single" w:sz="12" w:space="0" w:color="FF9E3C"/>
              <w:right w:val="single" w:sz="12" w:space="0" w:color="FF9E3C"/>
            </w:tcBorders>
            <w:shd w:val="clear" w:color="000000" w:fill="FFFFFF"/>
            <w:vAlign w:val="center"/>
            <w:hideMark/>
          </w:tcPr>
          <w:p w14:paraId="53D7928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0.88</w:t>
            </w:r>
            <w:r>
              <w:rPr>
                <w:rFonts w:cs="Arial"/>
                <w:color w:val="1C3158"/>
                <w:sz w:val="18"/>
                <w:lang w:eastAsia="en-AU"/>
              </w:rPr>
              <w:t>)</w:t>
            </w:r>
          </w:p>
        </w:tc>
        <w:tc>
          <w:tcPr>
            <w:tcW w:w="1731" w:type="dxa"/>
            <w:tcBorders>
              <w:top w:val="nil"/>
              <w:left w:val="nil"/>
              <w:bottom w:val="single" w:sz="12" w:space="0" w:color="FF9E3C"/>
              <w:right w:val="single" w:sz="12" w:space="0" w:color="FF9E3C"/>
            </w:tcBorders>
            <w:shd w:val="clear" w:color="000000" w:fill="FFFFFF"/>
            <w:vAlign w:val="center"/>
            <w:hideMark/>
          </w:tcPr>
          <w:p w14:paraId="101D106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1.14</w:t>
            </w:r>
            <w:r>
              <w:rPr>
                <w:rFonts w:cs="Arial"/>
                <w:color w:val="1C3158"/>
                <w:sz w:val="18"/>
                <w:lang w:eastAsia="en-AU"/>
              </w:rPr>
              <w:t>)</w:t>
            </w:r>
          </w:p>
        </w:tc>
      </w:tr>
    </w:tbl>
    <w:p w14:paraId="54E9844B" w14:textId="77777777" w:rsidR="005B604B" w:rsidRDefault="005B604B" w:rsidP="00CC331E">
      <w:pPr>
        <w:tabs>
          <w:tab w:val="clear" w:pos="426"/>
        </w:tabs>
        <w:spacing w:after="60" w:line="240" w:lineRule="auto"/>
        <w:ind w:left="0" w:right="0"/>
        <w:rPr>
          <w:rFonts w:cs="Arial"/>
          <w:color w:val="1C3158"/>
          <w:sz w:val="16"/>
          <w:szCs w:val="16"/>
          <w:lang w:eastAsia="ja-JP"/>
        </w:rPr>
      </w:pPr>
      <w:r w:rsidRPr="00EE21EF">
        <w:rPr>
          <w:rFonts w:cs="Arial"/>
          <w:color w:val="1C3158"/>
          <w:sz w:val="16"/>
          <w:szCs w:val="16"/>
          <w:lang w:eastAsia="ja-JP"/>
        </w:rPr>
        <w:t xml:space="preserve">***p &lt; 0.001, **p &lt; 0.01, *p &lt; 0.05 </w:t>
      </w:r>
    </w:p>
    <w:p w14:paraId="65402AA0" w14:textId="7871FA65" w:rsidR="00CC331E" w:rsidRPr="00EE21EF" w:rsidRDefault="00CC331E" w:rsidP="006F47AB">
      <w:pPr>
        <w:tabs>
          <w:tab w:val="clear" w:pos="426"/>
        </w:tabs>
        <w:spacing w:before="0" w:line="240" w:lineRule="auto"/>
        <w:ind w:left="0" w:right="0"/>
        <w:rPr>
          <w:rFonts w:cs="Arial"/>
          <w:color w:val="1C3158"/>
          <w:sz w:val="16"/>
          <w:szCs w:val="16"/>
          <w:lang w:eastAsia="ja-JP"/>
        </w:rPr>
      </w:pPr>
      <w:r>
        <w:rPr>
          <w:rFonts w:cs="Arial"/>
          <w:color w:val="1C3158"/>
          <w:sz w:val="16"/>
          <w:szCs w:val="16"/>
          <w:lang w:eastAsia="ja-JP"/>
        </w:rPr>
        <w:t>Note. T</w:t>
      </w:r>
      <w:r w:rsidRPr="00CC331E">
        <w:rPr>
          <w:rFonts w:cs="Arial"/>
          <w:color w:val="1C3158"/>
          <w:sz w:val="16"/>
          <w:szCs w:val="16"/>
          <w:lang w:eastAsia="ja-JP"/>
        </w:rPr>
        <w:t xml:space="preserve">he IRT severity parameter places the specific harm on a continuum of harmfulness (the intercept) </w:t>
      </w:r>
    </w:p>
    <w:p w14:paraId="535649B0" w14:textId="61C9FE45" w:rsidR="0039439B" w:rsidRDefault="00793C0B" w:rsidP="00C3643F">
      <w:pPr>
        <w:pStyle w:val="VRGFBodycontent"/>
      </w:pPr>
      <w:r>
        <w:t>For</w:t>
      </w:r>
      <w:r w:rsidRPr="00C3643F">
        <w:t xml:space="preserve"> </w:t>
      </w:r>
      <w:r w:rsidR="005B604B" w:rsidRPr="00C3643F">
        <w:t xml:space="preserve">both groups, </w:t>
      </w:r>
      <w:r w:rsidR="00B12BDA">
        <w:t>Māori</w:t>
      </w:r>
      <w:r w:rsidR="005B604B" w:rsidRPr="00C3643F">
        <w:t xml:space="preserve"> respondents tended to </w:t>
      </w:r>
      <w:r w:rsidR="00B97117" w:rsidRPr="00C3643F">
        <w:t xml:space="preserve">report </w:t>
      </w:r>
      <w:r w:rsidR="005B604B" w:rsidRPr="00C3643F">
        <w:t>higher PGSI scores compared to other ethnic categories</w:t>
      </w:r>
      <w:r w:rsidR="00B40FF8">
        <w:t>.</w:t>
      </w:r>
      <w:r w:rsidR="008610D3">
        <w:t xml:space="preserve"> </w:t>
      </w:r>
      <w:r w:rsidR="005B604B" w:rsidRPr="00C3643F">
        <w:t>Higher PGSI scores were also found for female affected others, and older gamblers.</w:t>
      </w:r>
    </w:p>
    <w:p w14:paraId="4DF7E9D9" w14:textId="77777777" w:rsidR="00676552" w:rsidRDefault="00676552" w:rsidP="00C3643F">
      <w:pPr>
        <w:pStyle w:val="VRGFBodycontent"/>
      </w:pPr>
    </w:p>
    <w:p w14:paraId="79BD0418" w14:textId="1C4D43DA" w:rsidR="00676552" w:rsidRPr="005B604B" w:rsidRDefault="00676552" w:rsidP="00676552">
      <w:pPr>
        <w:pStyle w:val="VRGFHead3"/>
        <w:ind w:left="0"/>
      </w:pPr>
      <w:bookmarkStart w:id="207" w:name="_Toc462738038"/>
      <w:r w:rsidRPr="005B604B">
        <w:t>Ethnic differences across harm domains</w:t>
      </w:r>
      <w:bookmarkEnd w:id="207"/>
      <w:r w:rsidRPr="005B604B">
        <w:t xml:space="preserve"> </w:t>
      </w:r>
    </w:p>
    <w:p w14:paraId="6352F564" w14:textId="508C54EA" w:rsidR="00676552" w:rsidRPr="005B604B" w:rsidRDefault="00676552" w:rsidP="00676552">
      <w:pPr>
        <w:pStyle w:val="VRGFBodycontent"/>
      </w:pPr>
      <w:r w:rsidRPr="005B604B">
        <w:t xml:space="preserve">To determine cultural differences </w:t>
      </w:r>
      <w:r w:rsidR="0041152B">
        <w:t>for</w:t>
      </w:r>
      <w:r w:rsidR="0041152B" w:rsidRPr="005B604B">
        <w:t xml:space="preserve"> </w:t>
      </w:r>
      <w:r w:rsidR="002A2602">
        <w:t>gambling-related</w:t>
      </w:r>
      <w:r w:rsidRPr="005B604B">
        <w:t xml:space="preserve"> harm, ethnicity and PGSI scores were regressed against each of the six harm domains separately and also for overall harm</w:t>
      </w:r>
      <w:r w:rsidR="00B40FF8">
        <w:t>.</w:t>
      </w:r>
      <w:r w:rsidR="008610D3">
        <w:t xml:space="preserve"> </w:t>
      </w:r>
      <w:r w:rsidRPr="005B604B">
        <w:t>Beta coefficients (standard error) were calculated separately for gamblers (G) and affected others (AO) and are presented in</w:t>
      </w:r>
      <w:r w:rsidR="00D60D18">
        <w:t xml:space="preserve"> </w:t>
      </w:r>
      <w:r w:rsidR="00D60D18">
        <w:fldChar w:fldCharType="begin"/>
      </w:r>
      <w:r w:rsidR="00D60D18">
        <w:instrText xml:space="preserve"> REF _Ref444981298 \h </w:instrText>
      </w:r>
      <w:r w:rsidR="00D60D18">
        <w:fldChar w:fldCharType="separate"/>
      </w:r>
      <w:r w:rsidR="0006479A">
        <w:t xml:space="preserve">Table </w:t>
      </w:r>
      <w:r w:rsidR="0006479A">
        <w:rPr>
          <w:noProof/>
        </w:rPr>
        <w:t>9</w:t>
      </w:r>
      <w:r w:rsidR="00D60D18">
        <w:fldChar w:fldCharType="end"/>
      </w:r>
      <w:r w:rsidRPr="005B604B">
        <w:t>.</w:t>
      </w:r>
      <w:r w:rsidR="00BE3642">
        <w:t xml:space="preserve"> </w:t>
      </w:r>
    </w:p>
    <w:p w14:paraId="3AD31A26" w14:textId="77777777" w:rsidR="00676552" w:rsidRPr="00676552" w:rsidRDefault="00676552" w:rsidP="00C3643F">
      <w:pPr>
        <w:pStyle w:val="VRGFBodycontent"/>
      </w:pPr>
    </w:p>
    <w:p w14:paraId="15770C1D" w14:textId="45E1309D" w:rsidR="005B604B" w:rsidRPr="005B604B" w:rsidRDefault="005B604B" w:rsidP="00676552">
      <w:pPr>
        <w:pStyle w:val="VRGFBulletedlist"/>
        <w:numPr>
          <w:ilvl w:val="0"/>
          <w:numId w:val="0"/>
        </w:numPr>
        <w:ind w:left="1440" w:hanging="360"/>
        <w:sectPr w:rsidR="005B604B" w:rsidRPr="005B604B" w:rsidSect="00044A20">
          <w:pgSz w:w="11906" w:h="16838"/>
          <w:pgMar w:top="1440" w:right="1440" w:bottom="1440" w:left="1440" w:header="708" w:footer="708" w:gutter="0"/>
          <w:cols w:space="708"/>
          <w:docGrid w:linePitch="360"/>
        </w:sectPr>
      </w:pPr>
    </w:p>
    <w:p w14:paraId="0F93E4E5" w14:textId="1DB3FECC" w:rsidR="005B604B" w:rsidRPr="005F4A77" w:rsidRDefault="00D60D18" w:rsidP="00D60D18">
      <w:pPr>
        <w:pStyle w:val="Caption"/>
        <w:rPr>
          <w:b w:val="0"/>
          <w:iCs w:val="0"/>
          <w:color w:val="1C3158"/>
        </w:rPr>
      </w:pPr>
      <w:bookmarkStart w:id="208" w:name="_Ref444981298"/>
      <w:bookmarkStart w:id="209" w:name="_Toc462738112"/>
      <w:r>
        <w:lastRenderedPageBreak/>
        <w:t xml:space="preserve">Table </w:t>
      </w:r>
      <w:fldSimple w:instr=" SEQ Table \* ARABIC ">
        <w:r w:rsidR="0006479A">
          <w:rPr>
            <w:noProof/>
          </w:rPr>
          <w:t>9</w:t>
        </w:r>
      </w:fldSimple>
      <w:bookmarkEnd w:id="208"/>
      <w:r w:rsidR="00B40FF8">
        <w:t>.</w:t>
      </w:r>
      <w:r w:rsidR="008610D3">
        <w:t xml:space="preserve"> </w:t>
      </w:r>
      <w:r w:rsidR="005F4A77" w:rsidRPr="00D60D18">
        <w:rPr>
          <w:iCs w:val="0"/>
          <w:color w:val="1C3158"/>
        </w:rPr>
        <w:t>Influence of ethnicity on harm domains</w:t>
      </w:r>
      <w:bookmarkEnd w:id="209"/>
      <w:r w:rsidR="00BE3642">
        <w:rPr>
          <w:b w:val="0"/>
          <w:iCs w:val="0"/>
          <w:color w:val="1C3158"/>
        </w:rPr>
        <w:t xml:space="preserve"> </w:t>
      </w:r>
    </w:p>
    <w:tbl>
      <w:tblPr>
        <w:tblW w:w="13335" w:type="dxa"/>
        <w:tblInd w:w="-15" w:type="dxa"/>
        <w:tblLayout w:type="fixed"/>
        <w:tblLook w:val="04A0" w:firstRow="1" w:lastRow="0" w:firstColumn="1" w:lastColumn="0" w:noHBand="0" w:noVBand="1"/>
      </w:tblPr>
      <w:tblGrid>
        <w:gridCol w:w="1418"/>
        <w:gridCol w:w="851"/>
        <w:gridCol w:w="850"/>
        <w:gridCol w:w="846"/>
        <w:gridCol w:w="855"/>
        <w:gridCol w:w="850"/>
        <w:gridCol w:w="851"/>
        <w:gridCol w:w="850"/>
        <w:gridCol w:w="856"/>
        <w:gridCol w:w="855"/>
        <w:gridCol w:w="846"/>
        <w:gridCol w:w="851"/>
        <w:gridCol w:w="847"/>
        <w:gridCol w:w="854"/>
        <w:gridCol w:w="855"/>
      </w:tblGrid>
      <w:tr w:rsidR="006F6929" w:rsidRPr="008442F0" w14:paraId="241C5E2A" w14:textId="77777777" w:rsidTr="00406FB4">
        <w:trPr>
          <w:trHeight w:val="330"/>
        </w:trPr>
        <w:tc>
          <w:tcPr>
            <w:tcW w:w="1418" w:type="dxa"/>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32676DEF"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theme="minorBidi"/>
                <w:b/>
                <w:bCs/>
                <w:color w:val="1C3158"/>
                <w:sz w:val="18"/>
                <w:lang w:eastAsia="ja-JP"/>
              </w:rPr>
              <w:t> </w:t>
            </w:r>
          </w:p>
        </w:tc>
        <w:tc>
          <w:tcPr>
            <w:tcW w:w="1701"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44F138F3"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Arial"/>
                <w:b/>
                <w:bCs/>
                <w:color w:val="1C3158"/>
                <w:sz w:val="18"/>
                <w:lang w:eastAsia="en-AU"/>
              </w:rPr>
              <w:t>Financial</w:t>
            </w:r>
          </w:p>
        </w:tc>
        <w:tc>
          <w:tcPr>
            <w:tcW w:w="1701"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752294EC"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Arial"/>
                <w:b/>
                <w:bCs/>
                <w:color w:val="1C3158"/>
                <w:sz w:val="18"/>
                <w:lang w:eastAsia="en-AU"/>
              </w:rPr>
              <w:t>Relationships</w:t>
            </w:r>
          </w:p>
        </w:tc>
        <w:tc>
          <w:tcPr>
            <w:tcW w:w="1701"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4AB808FC"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Arial"/>
                <w:b/>
                <w:bCs/>
                <w:color w:val="1C3158"/>
                <w:sz w:val="18"/>
                <w:lang w:eastAsia="en-AU"/>
              </w:rPr>
              <w:t>Emo/Psy</w:t>
            </w:r>
          </w:p>
        </w:tc>
        <w:tc>
          <w:tcPr>
            <w:tcW w:w="1706"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113D9114"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Arial"/>
                <w:b/>
                <w:bCs/>
                <w:color w:val="1C3158"/>
                <w:sz w:val="18"/>
                <w:lang w:eastAsia="en-AU"/>
              </w:rPr>
              <w:t>Health</w:t>
            </w:r>
          </w:p>
        </w:tc>
        <w:tc>
          <w:tcPr>
            <w:tcW w:w="1701"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01F36477"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Arial"/>
                <w:b/>
                <w:bCs/>
                <w:color w:val="1C3158"/>
                <w:sz w:val="18"/>
                <w:lang w:eastAsia="en-AU"/>
              </w:rPr>
              <w:t>Work/Study</w:t>
            </w:r>
          </w:p>
        </w:tc>
        <w:tc>
          <w:tcPr>
            <w:tcW w:w="1698"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7161E58C"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Arial"/>
                <w:b/>
                <w:bCs/>
                <w:color w:val="1C3158"/>
                <w:sz w:val="18"/>
                <w:lang w:eastAsia="en-AU"/>
              </w:rPr>
              <w:t>Other</w:t>
            </w:r>
          </w:p>
        </w:tc>
        <w:tc>
          <w:tcPr>
            <w:tcW w:w="1709"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53B00E2B" w14:textId="77777777" w:rsidR="006F6929" w:rsidRPr="008442F0" w:rsidRDefault="006F6929" w:rsidP="00406FB4">
            <w:pPr>
              <w:tabs>
                <w:tab w:val="clear" w:pos="426"/>
              </w:tabs>
              <w:spacing w:before="0" w:after="0" w:line="240" w:lineRule="auto"/>
              <w:ind w:left="0" w:right="0"/>
              <w:jc w:val="center"/>
              <w:rPr>
                <w:rFonts w:cs="Arial"/>
                <w:b/>
                <w:bCs/>
                <w:color w:val="1C3158"/>
                <w:sz w:val="18"/>
                <w:lang w:eastAsia="ja-JP"/>
              </w:rPr>
            </w:pPr>
            <w:r w:rsidRPr="008442F0">
              <w:rPr>
                <w:rFonts w:cs="Arial"/>
                <w:b/>
                <w:bCs/>
                <w:color w:val="1C3158"/>
                <w:sz w:val="18"/>
                <w:lang w:eastAsia="en-AU"/>
              </w:rPr>
              <w:t>Overall harm</w:t>
            </w:r>
          </w:p>
        </w:tc>
      </w:tr>
      <w:tr w:rsidR="006F6929" w:rsidRPr="008442F0" w14:paraId="2FB0B31C" w14:textId="77777777" w:rsidTr="00406FB4">
        <w:trPr>
          <w:trHeight w:val="330"/>
        </w:trPr>
        <w:tc>
          <w:tcPr>
            <w:tcW w:w="1418" w:type="dxa"/>
            <w:tcBorders>
              <w:top w:val="nil"/>
              <w:left w:val="single" w:sz="12" w:space="0" w:color="FF9E3C"/>
              <w:bottom w:val="single" w:sz="12" w:space="0" w:color="FF9E3C"/>
              <w:right w:val="single" w:sz="12" w:space="0" w:color="FF9E3C"/>
            </w:tcBorders>
            <w:shd w:val="clear" w:color="auto" w:fill="auto"/>
            <w:vAlign w:val="center"/>
            <w:hideMark/>
          </w:tcPr>
          <w:p w14:paraId="6F55433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ja-JP"/>
              </w:rPr>
              <w:t> </w:t>
            </w:r>
          </w:p>
        </w:tc>
        <w:tc>
          <w:tcPr>
            <w:tcW w:w="851" w:type="dxa"/>
            <w:tcBorders>
              <w:top w:val="nil"/>
              <w:left w:val="nil"/>
              <w:bottom w:val="single" w:sz="12" w:space="0" w:color="FF9E3C"/>
              <w:right w:val="single" w:sz="12" w:space="0" w:color="FF9E3C"/>
            </w:tcBorders>
            <w:shd w:val="clear" w:color="auto" w:fill="auto"/>
            <w:vAlign w:val="center"/>
            <w:hideMark/>
          </w:tcPr>
          <w:p w14:paraId="3500FD5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G</w:t>
            </w:r>
          </w:p>
        </w:tc>
        <w:tc>
          <w:tcPr>
            <w:tcW w:w="850" w:type="dxa"/>
            <w:tcBorders>
              <w:top w:val="nil"/>
              <w:left w:val="nil"/>
              <w:bottom w:val="single" w:sz="12" w:space="0" w:color="FF9E3C"/>
              <w:right w:val="single" w:sz="12" w:space="0" w:color="FF9E3C"/>
            </w:tcBorders>
            <w:shd w:val="clear" w:color="auto" w:fill="auto"/>
            <w:vAlign w:val="center"/>
            <w:hideMark/>
          </w:tcPr>
          <w:p w14:paraId="02038A1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AO</w:t>
            </w:r>
          </w:p>
        </w:tc>
        <w:tc>
          <w:tcPr>
            <w:tcW w:w="846" w:type="dxa"/>
            <w:tcBorders>
              <w:top w:val="nil"/>
              <w:left w:val="nil"/>
              <w:bottom w:val="single" w:sz="12" w:space="0" w:color="FF9E3C"/>
              <w:right w:val="single" w:sz="12" w:space="0" w:color="FF9E3C"/>
            </w:tcBorders>
            <w:shd w:val="clear" w:color="auto" w:fill="auto"/>
            <w:vAlign w:val="center"/>
            <w:hideMark/>
          </w:tcPr>
          <w:p w14:paraId="5CD435A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G</w:t>
            </w:r>
          </w:p>
        </w:tc>
        <w:tc>
          <w:tcPr>
            <w:tcW w:w="855" w:type="dxa"/>
            <w:tcBorders>
              <w:top w:val="nil"/>
              <w:left w:val="nil"/>
              <w:bottom w:val="single" w:sz="12" w:space="0" w:color="FF9E3C"/>
              <w:right w:val="single" w:sz="12" w:space="0" w:color="FF9E3C"/>
            </w:tcBorders>
            <w:shd w:val="clear" w:color="auto" w:fill="auto"/>
            <w:vAlign w:val="center"/>
            <w:hideMark/>
          </w:tcPr>
          <w:p w14:paraId="541BC14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AO</w:t>
            </w:r>
          </w:p>
        </w:tc>
        <w:tc>
          <w:tcPr>
            <w:tcW w:w="850" w:type="dxa"/>
            <w:tcBorders>
              <w:top w:val="nil"/>
              <w:left w:val="nil"/>
              <w:bottom w:val="single" w:sz="12" w:space="0" w:color="FF9E3C"/>
              <w:right w:val="single" w:sz="12" w:space="0" w:color="FF9E3C"/>
            </w:tcBorders>
            <w:shd w:val="clear" w:color="auto" w:fill="auto"/>
            <w:vAlign w:val="center"/>
            <w:hideMark/>
          </w:tcPr>
          <w:p w14:paraId="47D1CD2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G</w:t>
            </w:r>
          </w:p>
        </w:tc>
        <w:tc>
          <w:tcPr>
            <w:tcW w:w="851" w:type="dxa"/>
            <w:tcBorders>
              <w:top w:val="nil"/>
              <w:left w:val="nil"/>
              <w:bottom w:val="single" w:sz="12" w:space="0" w:color="FF9E3C"/>
              <w:right w:val="single" w:sz="12" w:space="0" w:color="FF9E3C"/>
            </w:tcBorders>
            <w:shd w:val="clear" w:color="auto" w:fill="auto"/>
            <w:vAlign w:val="center"/>
            <w:hideMark/>
          </w:tcPr>
          <w:p w14:paraId="56B92D2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AO</w:t>
            </w:r>
          </w:p>
        </w:tc>
        <w:tc>
          <w:tcPr>
            <w:tcW w:w="850" w:type="dxa"/>
            <w:tcBorders>
              <w:top w:val="nil"/>
              <w:left w:val="nil"/>
              <w:bottom w:val="single" w:sz="12" w:space="0" w:color="FF9E3C"/>
              <w:right w:val="single" w:sz="12" w:space="0" w:color="FF9E3C"/>
            </w:tcBorders>
            <w:shd w:val="clear" w:color="auto" w:fill="auto"/>
            <w:vAlign w:val="center"/>
            <w:hideMark/>
          </w:tcPr>
          <w:p w14:paraId="19055FE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G</w:t>
            </w:r>
          </w:p>
        </w:tc>
        <w:tc>
          <w:tcPr>
            <w:tcW w:w="856" w:type="dxa"/>
            <w:tcBorders>
              <w:top w:val="nil"/>
              <w:left w:val="nil"/>
              <w:bottom w:val="single" w:sz="12" w:space="0" w:color="FF9E3C"/>
              <w:right w:val="single" w:sz="12" w:space="0" w:color="FF9E3C"/>
            </w:tcBorders>
            <w:shd w:val="clear" w:color="auto" w:fill="auto"/>
            <w:vAlign w:val="center"/>
            <w:hideMark/>
          </w:tcPr>
          <w:p w14:paraId="7E3BC4C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AO</w:t>
            </w:r>
          </w:p>
        </w:tc>
        <w:tc>
          <w:tcPr>
            <w:tcW w:w="855" w:type="dxa"/>
            <w:tcBorders>
              <w:top w:val="nil"/>
              <w:left w:val="nil"/>
              <w:bottom w:val="single" w:sz="12" w:space="0" w:color="FF9E3C"/>
              <w:right w:val="single" w:sz="12" w:space="0" w:color="FF9E3C"/>
            </w:tcBorders>
            <w:shd w:val="clear" w:color="auto" w:fill="auto"/>
            <w:vAlign w:val="center"/>
            <w:hideMark/>
          </w:tcPr>
          <w:p w14:paraId="55F8ED2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G</w:t>
            </w:r>
          </w:p>
        </w:tc>
        <w:tc>
          <w:tcPr>
            <w:tcW w:w="846" w:type="dxa"/>
            <w:tcBorders>
              <w:top w:val="nil"/>
              <w:left w:val="nil"/>
              <w:bottom w:val="single" w:sz="12" w:space="0" w:color="FF9E3C"/>
              <w:right w:val="single" w:sz="12" w:space="0" w:color="FF9E3C"/>
            </w:tcBorders>
            <w:shd w:val="clear" w:color="auto" w:fill="auto"/>
            <w:vAlign w:val="center"/>
            <w:hideMark/>
          </w:tcPr>
          <w:p w14:paraId="49AF7398"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AO</w:t>
            </w:r>
          </w:p>
        </w:tc>
        <w:tc>
          <w:tcPr>
            <w:tcW w:w="851" w:type="dxa"/>
            <w:tcBorders>
              <w:top w:val="nil"/>
              <w:left w:val="nil"/>
              <w:bottom w:val="single" w:sz="12" w:space="0" w:color="FF9E3C"/>
              <w:right w:val="single" w:sz="12" w:space="0" w:color="FF9E3C"/>
            </w:tcBorders>
            <w:shd w:val="clear" w:color="auto" w:fill="auto"/>
            <w:vAlign w:val="center"/>
            <w:hideMark/>
          </w:tcPr>
          <w:p w14:paraId="6AF27A6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G</w:t>
            </w:r>
          </w:p>
        </w:tc>
        <w:tc>
          <w:tcPr>
            <w:tcW w:w="847" w:type="dxa"/>
            <w:tcBorders>
              <w:top w:val="nil"/>
              <w:left w:val="nil"/>
              <w:bottom w:val="single" w:sz="12" w:space="0" w:color="FF9E3C"/>
              <w:right w:val="single" w:sz="12" w:space="0" w:color="FF9E3C"/>
            </w:tcBorders>
            <w:shd w:val="clear" w:color="auto" w:fill="auto"/>
            <w:vAlign w:val="center"/>
            <w:hideMark/>
          </w:tcPr>
          <w:p w14:paraId="734F196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AO</w:t>
            </w:r>
          </w:p>
        </w:tc>
        <w:tc>
          <w:tcPr>
            <w:tcW w:w="854" w:type="dxa"/>
            <w:tcBorders>
              <w:top w:val="nil"/>
              <w:left w:val="nil"/>
              <w:bottom w:val="single" w:sz="12" w:space="0" w:color="FF9E3C"/>
              <w:right w:val="single" w:sz="12" w:space="0" w:color="FF9E3C"/>
            </w:tcBorders>
            <w:shd w:val="clear" w:color="auto" w:fill="auto"/>
            <w:vAlign w:val="center"/>
            <w:hideMark/>
          </w:tcPr>
          <w:p w14:paraId="3C8FAAF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G</w:t>
            </w:r>
          </w:p>
        </w:tc>
        <w:tc>
          <w:tcPr>
            <w:tcW w:w="855" w:type="dxa"/>
            <w:tcBorders>
              <w:top w:val="nil"/>
              <w:left w:val="nil"/>
              <w:bottom w:val="single" w:sz="12" w:space="0" w:color="FF9E3C"/>
              <w:right w:val="single" w:sz="12" w:space="0" w:color="FF9E3C"/>
            </w:tcBorders>
            <w:shd w:val="clear" w:color="auto" w:fill="auto"/>
            <w:vAlign w:val="center"/>
            <w:hideMark/>
          </w:tcPr>
          <w:p w14:paraId="6E9D9D8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theme="minorBidi"/>
                <w:color w:val="1C3158"/>
                <w:sz w:val="18"/>
                <w:lang w:eastAsia="ja-JP"/>
              </w:rPr>
              <w:t>AO</w:t>
            </w:r>
          </w:p>
        </w:tc>
      </w:tr>
      <w:tr w:rsidR="006F6929" w:rsidRPr="008442F0" w14:paraId="6D7C1261" w14:textId="77777777" w:rsidTr="00406FB4">
        <w:trPr>
          <w:trHeight w:val="315"/>
        </w:trPr>
        <w:tc>
          <w:tcPr>
            <w:tcW w:w="1418"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28D41137" w14:textId="71DBCB33"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(Intercept)</w:t>
            </w:r>
            <w:r w:rsidR="006F47AB" w:rsidRPr="006F47AB">
              <w:rPr>
                <w:rFonts w:cs="Arial"/>
                <w:color w:val="1C3158"/>
                <w:sz w:val="18"/>
                <w:vertAlign w:val="superscript"/>
                <w:lang w:eastAsia="en-AU"/>
              </w:rPr>
              <w:t>a</w:t>
            </w:r>
          </w:p>
        </w:tc>
        <w:tc>
          <w:tcPr>
            <w:tcW w:w="851" w:type="dxa"/>
            <w:tcBorders>
              <w:top w:val="nil"/>
              <w:left w:val="nil"/>
              <w:bottom w:val="nil"/>
              <w:right w:val="single" w:sz="12" w:space="0" w:color="FF9E3C"/>
            </w:tcBorders>
            <w:shd w:val="clear" w:color="000000" w:fill="FFFFFF"/>
            <w:vAlign w:val="center"/>
            <w:hideMark/>
          </w:tcPr>
          <w:p w14:paraId="6AA52EDD" w14:textId="76F0E31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w:t>
            </w:r>
            <w:r w:rsidR="001D0510">
              <w:rPr>
                <w:rFonts w:cs="Arial"/>
                <w:color w:val="1C3158"/>
                <w:sz w:val="18"/>
                <w:lang w:eastAsia="en-AU"/>
              </w:rPr>
              <w:t>0</w:t>
            </w:r>
          </w:p>
        </w:tc>
        <w:tc>
          <w:tcPr>
            <w:tcW w:w="850" w:type="dxa"/>
            <w:tcBorders>
              <w:top w:val="nil"/>
              <w:left w:val="nil"/>
              <w:bottom w:val="nil"/>
              <w:right w:val="single" w:sz="12" w:space="0" w:color="FF9E3C"/>
            </w:tcBorders>
            <w:shd w:val="clear" w:color="000000" w:fill="FFFFFF"/>
            <w:vAlign w:val="center"/>
            <w:hideMark/>
          </w:tcPr>
          <w:p w14:paraId="5E03C3D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0.98</w:t>
            </w:r>
          </w:p>
        </w:tc>
        <w:tc>
          <w:tcPr>
            <w:tcW w:w="846" w:type="dxa"/>
            <w:tcBorders>
              <w:top w:val="nil"/>
              <w:left w:val="nil"/>
              <w:bottom w:val="nil"/>
              <w:right w:val="single" w:sz="12" w:space="0" w:color="FF9E3C"/>
            </w:tcBorders>
            <w:shd w:val="clear" w:color="000000" w:fill="FFFFFF"/>
            <w:vAlign w:val="center"/>
            <w:hideMark/>
          </w:tcPr>
          <w:p w14:paraId="517D6DC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-0.29</w:t>
            </w:r>
          </w:p>
        </w:tc>
        <w:tc>
          <w:tcPr>
            <w:tcW w:w="855" w:type="dxa"/>
            <w:tcBorders>
              <w:top w:val="nil"/>
              <w:left w:val="nil"/>
              <w:bottom w:val="nil"/>
              <w:right w:val="single" w:sz="12" w:space="0" w:color="FF9E3C"/>
            </w:tcBorders>
            <w:shd w:val="clear" w:color="000000" w:fill="FFFFFF"/>
            <w:vAlign w:val="center"/>
            <w:hideMark/>
          </w:tcPr>
          <w:p w14:paraId="53E9D84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1.16</w:t>
            </w:r>
            <w:r w:rsidRPr="008442F0">
              <w:rPr>
                <w:rFonts w:cs="Arial"/>
                <w:color w:val="000000"/>
                <w:sz w:val="18"/>
                <w:vertAlign w:val="superscript"/>
                <w:lang w:eastAsia="en-AU"/>
              </w:rPr>
              <w:t>*</w:t>
            </w:r>
          </w:p>
        </w:tc>
        <w:tc>
          <w:tcPr>
            <w:tcW w:w="850" w:type="dxa"/>
            <w:tcBorders>
              <w:top w:val="nil"/>
              <w:left w:val="nil"/>
              <w:bottom w:val="nil"/>
              <w:right w:val="single" w:sz="12" w:space="0" w:color="FF9E3C"/>
            </w:tcBorders>
            <w:shd w:val="clear" w:color="000000" w:fill="FFFFFF"/>
            <w:vAlign w:val="center"/>
            <w:hideMark/>
          </w:tcPr>
          <w:p w14:paraId="4D1B7D07"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-0.03</w:t>
            </w:r>
          </w:p>
        </w:tc>
        <w:tc>
          <w:tcPr>
            <w:tcW w:w="851" w:type="dxa"/>
            <w:tcBorders>
              <w:top w:val="nil"/>
              <w:left w:val="nil"/>
              <w:bottom w:val="nil"/>
              <w:right w:val="single" w:sz="12" w:space="0" w:color="FF9E3C"/>
            </w:tcBorders>
            <w:shd w:val="clear" w:color="000000" w:fill="FFFFFF"/>
            <w:vAlign w:val="center"/>
            <w:hideMark/>
          </w:tcPr>
          <w:p w14:paraId="32984FD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0.56</w:t>
            </w:r>
          </w:p>
        </w:tc>
        <w:tc>
          <w:tcPr>
            <w:tcW w:w="850" w:type="dxa"/>
            <w:tcBorders>
              <w:top w:val="nil"/>
              <w:left w:val="nil"/>
              <w:bottom w:val="nil"/>
              <w:right w:val="single" w:sz="12" w:space="0" w:color="FF9E3C"/>
            </w:tcBorders>
            <w:shd w:val="clear" w:color="000000" w:fill="FFFFFF"/>
            <w:vAlign w:val="center"/>
            <w:hideMark/>
          </w:tcPr>
          <w:p w14:paraId="183B738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-0.29</w:t>
            </w:r>
          </w:p>
        </w:tc>
        <w:tc>
          <w:tcPr>
            <w:tcW w:w="856" w:type="dxa"/>
            <w:tcBorders>
              <w:top w:val="nil"/>
              <w:left w:val="nil"/>
              <w:bottom w:val="nil"/>
              <w:right w:val="single" w:sz="12" w:space="0" w:color="FF9E3C"/>
            </w:tcBorders>
            <w:shd w:val="clear" w:color="000000" w:fill="FFFFFF"/>
            <w:vAlign w:val="center"/>
            <w:hideMark/>
          </w:tcPr>
          <w:p w14:paraId="3BCAB62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0.43</w:t>
            </w:r>
          </w:p>
        </w:tc>
        <w:tc>
          <w:tcPr>
            <w:tcW w:w="855" w:type="dxa"/>
            <w:tcBorders>
              <w:top w:val="nil"/>
              <w:left w:val="nil"/>
              <w:bottom w:val="nil"/>
              <w:right w:val="single" w:sz="12" w:space="0" w:color="FF9E3C"/>
            </w:tcBorders>
            <w:shd w:val="clear" w:color="000000" w:fill="FFFFFF"/>
            <w:vAlign w:val="center"/>
            <w:hideMark/>
          </w:tcPr>
          <w:p w14:paraId="6ABB39B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-0.45</w:t>
            </w:r>
            <w:r w:rsidRPr="008442F0">
              <w:rPr>
                <w:rFonts w:cs="Arial"/>
                <w:color w:val="000000"/>
                <w:sz w:val="18"/>
                <w:vertAlign w:val="superscript"/>
                <w:lang w:eastAsia="en-AU"/>
              </w:rPr>
              <w:t>*</w:t>
            </w:r>
          </w:p>
        </w:tc>
        <w:tc>
          <w:tcPr>
            <w:tcW w:w="846" w:type="dxa"/>
            <w:tcBorders>
              <w:top w:val="nil"/>
              <w:left w:val="nil"/>
              <w:bottom w:val="nil"/>
              <w:right w:val="single" w:sz="12" w:space="0" w:color="FF9E3C"/>
            </w:tcBorders>
            <w:shd w:val="clear" w:color="000000" w:fill="FFFFFF"/>
            <w:vAlign w:val="center"/>
            <w:hideMark/>
          </w:tcPr>
          <w:p w14:paraId="2BA297E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-0.19</w:t>
            </w:r>
          </w:p>
        </w:tc>
        <w:tc>
          <w:tcPr>
            <w:tcW w:w="851" w:type="dxa"/>
            <w:tcBorders>
              <w:top w:val="nil"/>
              <w:left w:val="nil"/>
              <w:bottom w:val="nil"/>
              <w:right w:val="single" w:sz="12" w:space="0" w:color="FF9E3C"/>
            </w:tcBorders>
            <w:shd w:val="clear" w:color="000000" w:fill="FFFFFF"/>
            <w:vAlign w:val="center"/>
            <w:hideMark/>
          </w:tcPr>
          <w:p w14:paraId="17AAFC2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-0.81</w:t>
            </w:r>
            <w:r w:rsidRPr="008442F0">
              <w:rPr>
                <w:rFonts w:cs="Arial"/>
                <w:color w:val="000000"/>
                <w:sz w:val="18"/>
                <w:vertAlign w:val="superscript"/>
                <w:lang w:eastAsia="en-AU"/>
              </w:rPr>
              <w:t>***</w:t>
            </w:r>
          </w:p>
        </w:tc>
        <w:tc>
          <w:tcPr>
            <w:tcW w:w="847" w:type="dxa"/>
            <w:tcBorders>
              <w:top w:val="nil"/>
              <w:left w:val="nil"/>
              <w:bottom w:val="nil"/>
              <w:right w:val="single" w:sz="12" w:space="0" w:color="FF9E3C"/>
            </w:tcBorders>
            <w:shd w:val="clear" w:color="000000" w:fill="FFFFFF"/>
            <w:vAlign w:val="center"/>
            <w:hideMark/>
          </w:tcPr>
          <w:p w14:paraId="1598E9B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0.45</w:t>
            </w:r>
          </w:p>
        </w:tc>
        <w:tc>
          <w:tcPr>
            <w:tcW w:w="854" w:type="dxa"/>
            <w:tcBorders>
              <w:top w:val="nil"/>
              <w:left w:val="nil"/>
              <w:bottom w:val="nil"/>
              <w:right w:val="single" w:sz="12" w:space="0" w:color="FF9E3C"/>
            </w:tcBorders>
            <w:shd w:val="clear" w:color="000000" w:fill="FFFFFF"/>
            <w:vAlign w:val="center"/>
            <w:hideMark/>
          </w:tcPr>
          <w:p w14:paraId="264BFBF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-1.08</w:t>
            </w:r>
            <w:r w:rsidRPr="008442F0">
              <w:rPr>
                <w:rFonts w:cs="Arial"/>
                <w:color w:val="000000"/>
                <w:sz w:val="18"/>
                <w:vertAlign w:val="superscript"/>
                <w:lang w:eastAsia="en-AU"/>
              </w:rPr>
              <w:t>***</w:t>
            </w:r>
          </w:p>
        </w:tc>
        <w:tc>
          <w:tcPr>
            <w:tcW w:w="855" w:type="dxa"/>
            <w:tcBorders>
              <w:top w:val="nil"/>
              <w:left w:val="nil"/>
              <w:bottom w:val="nil"/>
              <w:right w:val="single" w:sz="12" w:space="0" w:color="FF9E3C"/>
            </w:tcBorders>
            <w:shd w:val="clear" w:color="000000" w:fill="FFFFFF"/>
            <w:vAlign w:val="center"/>
            <w:hideMark/>
          </w:tcPr>
          <w:p w14:paraId="4C0EC3D8"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-0.56</w:t>
            </w:r>
            <w:r w:rsidRPr="008442F0">
              <w:rPr>
                <w:rFonts w:cs="Arial"/>
                <w:color w:val="000000"/>
                <w:sz w:val="18"/>
                <w:vertAlign w:val="superscript"/>
                <w:lang w:eastAsia="en-AU"/>
              </w:rPr>
              <w:t>**</w:t>
            </w:r>
          </w:p>
        </w:tc>
      </w:tr>
      <w:tr w:rsidR="006F6929" w:rsidRPr="008442F0" w14:paraId="2F1B2921" w14:textId="77777777" w:rsidTr="00406FB4">
        <w:trPr>
          <w:trHeight w:val="315"/>
        </w:trPr>
        <w:tc>
          <w:tcPr>
            <w:tcW w:w="1418" w:type="dxa"/>
            <w:vMerge/>
            <w:tcBorders>
              <w:top w:val="nil"/>
              <w:left w:val="single" w:sz="12" w:space="0" w:color="FF9E3C"/>
              <w:bottom w:val="single" w:sz="12" w:space="0" w:color="FF9E3C"/>
              <w:right w:val="single" w:sz="12" w:space="0" w:color="FF9E3C"/>
            </w:tcBorders>
            <w:vAlign w:val="center"/>
            <w:hideMark/>
          </w:tcPr>
          <w:p w14:paraId="4BD9F611"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851" w:type="dxa"/>
            <w:tcBorders>
              <w:top w:val="nil"/>
              <w:left w:val="nil"/>
              <w:bottom w:val="single" w:sz="12" w:space="0" w:color="FF9E3C"/>
              <w:right w:val="single" w:sz="12" w:space="0" w:color="FF9E3C"/>
            </w:tcBorders>
            <w:shd w:val="clear" w:color="000000" w:fill="FFFFFF"/>
            <w:vAlign w:val="center"/>
            <w:hideMark/>
          </w:tcPr>
          <w:p w14:paraId="03C1DA7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w:t>
            </w:r>
            <w:r>
              <w:rPr>
                <w:rFonts w:cs="Arial"/>
                <w:color w:val="1C3158"/>
                <w:sz w:val="18"/>
                <w:lang w:eastAsia="en-AU"/>
              </w:rPr>
              <w:t>0)</w:t>
            </w:r>
          </w:p>
        </w:tc>
        <w:tc>
          <w:tcPr>
            <w:tcW w:w="850" w:type="dxa"/>
            <w:tcBorders>
              <w:top w:val="nil"/>
              <w:left w:val="nil"/>
              <w:bottom w:val="single" w:sz="12" w:space="0" w:color="FF9E3C"/>
              <w:right w:val="single" w:sz="12" w:space="0" w:color="FF9E3C"/>
            </w:tcBorders>
            <w:shd w:val="clear" w:color="000000" w:fill="FFFFFF"/>
            <w:vAlign w:val="center"/>
            <w:hideMark/>
          </w:tcPr>
          <w:p w14:paraId="3EE7F85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0.52</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642E7F3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w:t>
            </w:r>
            <w:r>
              <w:rPr>
                <w:rFonts w:cs="Arial"/>
                <w:color w:val="1C3158"/>
                <w:sz w:val="18"/>
                <w:lang w:eastAsia="en-AU"/>
              </w:rPr>
              <w:t>0)</w:t>
            </w:r>
          </w:p>
        </w:tc>
        <w:tc>
          <w:tcPr>
            <w:tcW w:w="855" w:type="dxa"/>
            <w:tcBorders>
              <w:top w:val="nil"/>
              <w:left w:val="nil"/>
              <w:bottom w:val="single" w:sz="12" w:space="0" w:color="FF9E3C"/>
              <w:right w:val="single" w:sz="12" w:space="0" w:color="FF9E3C"/>
            </w:tcBorders>
            <w:shd w:val="clear" w:color="000000" w:fill="FFFFFF"/>
            <w:vAlign w:val="center"/>
            <w:hideMark/>
          </w:tcPr>
          <w:p w14:paraId="66D32C8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0.53</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4E5F54A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w:t>
            </w:r>
            <w:r>
              <w:rPr>
                <w:rFonts w:cs="Arial"/>
                <w:color w:val="1C3158"/>
                <w:sz w:val="18"/>
                <w:lang w:eastAsia="en-AU"/>
              </w:rPr>
              <w:t>0)</w:t>
            </w:r>
          </w:p>
        </w:tc>
        <w:tc>
          <w:tcPr>
            <w:tcW w:w="851" w:type="dxa"/>
            <w:tcBorders>
              <w:top w:val="nil"/>
              <w:left w:val="nil"/>
              <w:bottom w:val="single" w:sz="12" w:space="0" w:color="FF9E3C"/>
              <w:right w:val="single" w:sz="12" w:space="0" w:color="FF9E3C"/>
            </w:tcBorders>
            <w:shd w:val="clear" w:color="000000" w:fill="FFFFFF"/>
            <w:vAlign w:val="center"/>
            <w:hideMark/>
          </w:tcPr>
          <w:p w14:paraId="3A3FC4A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0.42</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3B679AF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0.28</w:t>
            </w:r>
            <w:r>
              <w:rPr>
                <w:rFonts w:cs="Arial"/>
                <w:color w:val="1C3158"/>
                <w:sz w:val="18"/>
                <w:lang w:eastAsia="en-AU"/>
              </w:rPr>
              <w:t>)</w:t>
            </w:r>
          </w:p>
        </w:tc>
        <w:tc>
          <w:tcPr>
            <w:tcW w:w="856" w:type="dxa"/>
            <w:tcBorders>
              <w:top w:val="nil"/>
              <w:left w:val="nil"/>
              <w:bottom w:val="single" w:sz="12" w:space="0" w:color="FF9E3C"/>
              <w:right w:val="single" w:sz="12" w:space="0" w:color="FF9E3C"/>
            </w:tcBorders>
            <w:shd w:val="clear" w:color="000000" w:fill="FFFFFF"/>
            <w:vAlign w:val="center"/>
            <w:hideMark/>
          </w:tcPr>
          <w:p w14:paraId="10B122A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0.4</w:t>
            </w:r>
            <w:r>
              <w:rPr>
                <w:rFonts w:cs="Arial"/>
                <w:color w:val="1C3158"/>
                <w:sz w:val="18"/>
                <w:lang w:eastAsia="en-AU"/>
              </w:rPr>
              <w:t>0)</w:t>
            </w:r>
          </w:p>
        </w:tc>
        <w:tc>
          <w:tcPr>
            <w:tcW w:w="855" w:type="dxa"/>
            <w:tcBorders>
              <w:top w:val="nil"/>
              <w:left w:val="nil"/>
              <w:bottom w:val="single" w:sz="12" w:space="0" w:color="FF9E3C"/>
              <w:right w:val="single" w:sz="12" w:space="0" w:color="FF9E3C"/>
            </w:tcBorders>
            <w:shd w:val="clear" w:color="000000" w:fill="FFFFFF"/>
            <w:vAlign w:val="center"/>
            <w:hideMark/>
          </w:tcPr>
          <w:p w14:paraId="768BB64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0.21</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68DD094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0.27</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02B8CA7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0.22</w:t>
            </w:r>
            <w:r>
              <w:rPr>
                <w:rFonts w:cs="Arial"/>
                <w:color w:val="1C3158"/>
                <w:sz w:val="18"/>
                <w:lang w:eastAsia="en-AU"/>
              </w:rPr>
              <w:t>)</w:t>
            </w:r>
          </w:p>
        </w:tc>
        <w:tc>
          <w:tcPr>
            <w:tcW w:w="847" w:type="dxa"/>
            <w:tcBorders>
              <w:top w:val="nil"/>
              <w:left w:val="nil"/>
              <w:bottom w:val="single" w:sz="12" w:space="0" w:color="FF9E3C"/>
              <w:right w:val="single" w:sz="12" w:space="0" w:color="FF9E3C"/>
            </w:tcBorders>
            <w:shd w:val="clear" w:color="000000" w:fill="FFFFFF"/>
            <w:vAlign w:val="center"/>
            <w:hideMark/>
          </w:tcPr>
          <w:p w14:paraId="063C3ED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0.26</w:t>
            </w:r>
            <w:r>
              <w:rPr>
                <w:rFonts w:cs="Arial"/>
                <w:color w:val="1C3158"/>
                <w:sz w:val="18"/>
                <w:lang w:eastAsia="en-AU"/>
              </w:rPr>
              <w:t>)</w:t>
            </w:r>
          </w:p>
        </w:tc>
        <w:tc>
          <w:tcPr>
            <w:tcW w:w="854" w:type="dxa"/>
            <w:tcBorders>
              <w:top w:val="nil"/>
              <w:left w:val="nil"/>
              <w:bottom w:val="single" w:sz="12" w:space="0" w:color="FF9E3C"/>
              <w:right w:val="single" w:sz="12" w:space="0" w:color="FF9E3C"/>
            </w:tcBorders>
            <w:shd w:val="clear" w:color="000000" w:fill="FFFFFF"/>
            <w:vAlign w:val="center"/>
            <w:hideMark/>
          </w:tcPr>
          <w:p w14:paraId="5044023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0.09</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5C15103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0.18</w:t>
            </w:r>
            <w:r>
              <w:rPr>
                <w:rFonts w:cs="Arial"/>
                <w:color w:val="1C3158"/>
                <w:sz w:val="18"/>
                <w:lang w:eastAsia="en-AU"/>
              </w:rPr>
              <w:t>)</w:t>
            </w:r>
          </w:p>
        </w:tc>
      </w:tr>
      <w:tr w:rsidR="006F6929" w:rsidRPr="008442F0" w14:paraId="200DA047" w14:textId="77777777" w:rsidTr="00406FB4">
        <w:trPr>
          <w:trHeight w:val="315"/>
        </w:trPr>
        <w:tc>
          <w:tcPr>
            <w:tcW w:w="1418"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40059E18"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PGSI</w:t>
            </w:r>
          </w:p>
        </w:tc>
        <w:tc>
          <w:tcPr>
            <w:tcW w:w="851" w:type="dxa"/>
            <w:tcBorders>
              <w:top w:val="nil"/>
              <w:left w:val="nil"/>
              <w:bottom w:val="nil"/>
              <w:right w:val="single" w:sz="12" w:space="0" w:color="FF9E3C"/>
            </w:tcBorders>
            <w:shd w:val="clear" w:color="000000" w:fill="FFFFFF"/>
            <w:vAlign w:val="center"/>
            <w:hideMark/>
          </w:tcPr>
          <w:p w14:paraId="328EE70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0.31</w:t>
            </w:r>
            <w:r w:rsidRPr="008442F0">
              <w:rPr>
                <w:rFonts w:cs="Arial"/>
                <w:color w:val="000000"/>
                <w:sz w:val="18"/>
                <w:vertAlign w:val="superscript"/>
                <w:lang w:eastAsia="en-AU"/>
              </w:rPr>
              <w:t>***</w:t>
            </w:r>
          </w:p>
        </w:tc>
        <w:tc>
          <w:tcPr>
            <w:tcW w:w="850" w:type="dxa"/>
            <w:tcBorders>
              <w:top w:val="nil"/>
              <w:left w:val="nil"/>
              <w:bottom w:val="nil"/>
              <w:right w:val="single" w:sz="12" w:space="0" w:color="FF9E3C"/>
            </w:tcBorders>
            <w:shd w:val="clear" w:color="000000" w:fill="FFFFFF"/>
            <w:vAlign w:val="center"/>
            <w:hideMark/>
          </w:tcPr>
          <w:p w14:paraId="2F417EA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0.14</w:t>
            </w:r>
            <w:r w:rsidRPr="008442F0">
              <w:rPr>
                <w:rFonts w:cs="Arial"/>
                <w:color w:val="000000"/>
                <w:sz w:val="18"/>
                <w:vertAlign w:val="superscript"/>
                <w:lang w:eastAsia="en-AU"/>
              </w:rPr>
              <w:t>***</w:t>
            </w:r>
          </w:p>
        </w:tc>
        <w:tc>
          <w:tcPr>
            <w:tcW w:w="846" w:type="dxa"/>
            <w:tcBorders>
              <w:top w:val="nil"/>
              <w:left w:val="nil"/>
              <w:bottom w:val="nil"/>
              <w:right w:val="single" w:sz="12" w:space="0" w:color="FF9E3C"/>
            </w:tcBorders>
            <w:shd w:val="clear" w:color="000000" w:fill="FFFFFF"/>
            <w:vAlign w:val="center"/>
            <w:hideMark/>
          </w:tcPr>
          <w:p w14:paraId="7EA4FD0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0.30</w:t>
            </w:r>
            <w:r w:rsidRPr="008442F0">
              <w:rPr>
                <w:rFonts w:cs="Arial"/>
                <w:color w:val="000000"/>
                <w:sz w:val="18"/>
                <w:vertAlign w:val="superscript"/>
                <w:lang w:eastAsia="en-AU"/>
              </w:rPr>
              <w:t>***</w:t>
            </w:r>
          </w:p>
        </w:tc>
        <w:tc>
          <w:tcPr>
            <w:tcW w:w="855" w:type="dxa"/>
            <w:tcBorders>
              <w:top w:val="nil"/>
              <w:left w:val="nil"/>
              <w:bottom w:val="nil"/>
              <w:right w:val="single" w:sz="12" w:space="0" w:color="FF9E3C"/>
            </w:tcBorders>
            <w:shd w:val="clear" w:color="000000" w:fill="FFFFFF"/>
            <w:vAlign w:val="center"/>
            <w:hideMark/>
          </w:tcPr>
          <w:p w14:paraId="1A8CA588"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0.12</w:t>
            </w:r>
            <w:r w:rsidRPr="008442F0">
              <w:rPr>
                <w:rFonts w:cs="Arial"/>
                <w:color w:val="000000"/>
                <w:sz w:val="18"/>
                <w:vertAlign w:val="superscript"/>
                <w:lang w:eastAsia="en-AU"/>
              </w:rPr>
              <w:t>***</w:t>
            </w:r>
          </w:p>
        </w:tc>
        <w:tc>
          <w:tcPr>
            <w:tcW w:w="850" w:type="dxa"/>
            <w:tcBorders>
              <w:top w:val="nil"/>
              <w:left w:val="nil"/>
              <w:bottom w:val="nil"/>
              <w:right w:val="single" w:sz="12" w:space="0" w:color="FF9E3C"/>
            </w:tcBorders>
            <w:shd w:val="clear" w:color="000000" w:fill="FFFFFF"/>
            <w:vAlign w:val="center"/>
            <w:hideMark/>
          </w:tcPr>
          <w:p w14:paraId="20B702B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0.36</w:t>
            </w:r>
            <w:r w:rsidRPr="008442F0">
              <w:rPr>
                <w:rFonts w:cs="Arial"/>
                <w:color w:val="000000"/>
                <w:sz w:val="18"/>
                <w:vertAlign w:val="superscript"/>
                <w:lang w:eastAsia="en-AU"/>
              </w:rPr>
              <w:t>***</w:t>
            </w:r>
          </w:p>
        </w:tc>
        <w:tc>
          <w:tcPr>
            <w:tcW w:w="851" w:type="dxa"/>
            <w:tcBorders>
              <w:top w:val="nil"/>
              <w:left w:val="nil"/>
              <w:bottom w:val="nil"/>
              <w:right w:val="single" w:sz="12" w:space="0" w:color="FF9E3C"/>
            </w:tcBorders>
            <w:shd w:val="clear" w:color="000000" w:fill="FFFFFF"/>
            <w:vAlign w:val="center"/>
            <w:hideMark/>
          </w:tcPr>
          <w:p w14:paraId="27F0C63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0.15</w:t>
            </w:r>
            <w:r w:rsidRPr="008442F0">
              <w:rPr>
                <w:rFonts w:cs="Arial"/>
                <w:color w:val="000000"/>
                <w:sz w:val="18"/>
                <w:vertAlign w:val="superscript"/>
                <w:lang w:eastAsia="en-AU"/>
              </w:rPr>
              <w:t>***</w:t>
            </w:r>
          </w:p>
        </w:tc>
        <w:tc>
          <w:tcPr>
            <w:tcW w:w="850" w:type="dxa"/>
            <w:tcBorders>
              <w:top w:val="nil"/>
              <w:left w:val="nil"/>
              <w:bottom w:val="nil"/>
              <w:right w:val="single" w:sz="12" w:space="0" w:color="FF9E3C"/>
            </w:tcBorders>
            <w:shd w:val="clear" w:color="000000" w:fill="FFFFFF"/>
            <w:vAlign w:val="center"/>
            <w:hideMark/>
          </w:tcPr>
          <w:p w14:paraId="5AF0A5E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0.29</w:t>
            </w:r>
            <w:r w:rsidRPr="008442F0">
              <w:rPr>
                <w:rFonts w:cs="Arial"/>
                <w:color w:val="000000"/>
                <w:sz w:val="18"/>
                <w:vertAlign w:val="superscript"/>
                <w:lang w:eastAsia="en-AU"/>
              </w:rPr>
              <w:t>***</w:t>
            </w:r>
          </w:p>
        </w:tc>
        <w:tc>
          <w:tcPr>
            <w:tcW w:w="856" w:type="dxa"/>
            <w:tcBorders>
              <w:top w:val="nil"/>
              <w:left w:val="nil"/>
              <w:bottom w:val="nil"/>
              <w:right w:val="single" w:sz="12" w:space="0" w:color="FF9E3C"/>
            </w:tcBorders>
            <w:shd w:val="clear" w:color="000000" w:fill="FFFFFF"/>
            <w:vAlign w:val="center"/>
            <w:hideMark/>
          </w:tcPr>
          <w:p w14:paraId="5D19C07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0.10</w:t>
            </w:r>
            <w:r w:rsidRPr="008442F0">
              <w:rPr>
                <w:rFonts w:cs="Arial"/>
                <w:color w:val="000000"/>
                <w:sz w:val="18"/>
                <w:vertAlign w:val="superscript"/>
                <w:lang w:eastAsia="en-AU"/>
              </w:rPr>
              <w:t>***</w:t>
            </w:r>
          </w:p>
        </w:tc>
        <w:tc>
          <w:tcPr>
            <w:tcW w:w="855" w:type="dxa"/>
            <w:tcBorders>
              <w:top w:val="nil"/>
              <w:left w:val="nil"/>
              <w:bottom w:val="nil"/>
              <w:right w:val="single" w:sz="12" w:space="0" w:color="FF9E3C"/>
            </w:tcBorders>
            <w:shd w:val="clear" w:color="000000" w:fill="FFFFFF"/>
            <w:vAlign w:val="center"/>
            <w:hideMark/>
          </w:tcPr>
          <w:p w14:paraId="3FFAB4B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0.15</w:t>
            </w:r>
            <w:r w:rsidRPr="008442F0">
              <w:rPr>
                <w:rFonts w:cs="Arial"/>
                <w:color w:val="000000"/>
                <w:sz w:val="18"/>
                <w:vertAlign w:val="superscript"/>
                <w:lang w:eastAsia="en-AU"/>
              </w:rPr>
              <w:t>***</w:t>
            </w:r>
          </w:p>
        </w:tc>
        <w:tc>
          <w:tcPr>
            <w:tcW w:w="846" w:type="dxa"/>
            <w:tcBorders>
              <w:top w:val="nil"/>
              <w:left w:val="nil"/>
              <w:bottom w:val="nil"/>
              <w:right w:val="single" w:sz="12" w:space="0" w:color="FF9E3C"/>
            </w:tcBorders>
            <w:shd w:val="clear" w:color="000000" w:fill="FFFFFF"/>
            <w:vAlign w:val="center"/>
            <w:hideMark/>
          </w:tcPr>
          <w:p w14:paraId="0FF3652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0.07</w:t>
            </w:r>
            <w:r w:rsidRPr="008442F0">
              <w:rPr>
                <w:rFonts w:cs="Arial"/>
                <w:color w:val="000000"/>
                <w:sz w:val="18"/>
                <w:vertAlign w:val="superscript"/>
                <w:lang w:eastAsia="en-AU"/>
              </w:rPr>
              <w:t>***</w:t>
            </w:r>
          </w:p>
        </w:tc>
        <w:tc>
          <w:tcPr>
            <w:tcW w:w="851" w:type="dxa"/>
            <w:tcBorders>
              <w:top w:val="nil"/>
              <w:left w:val="nil"/>
              <w:bottom w:val="nil"/>
              <w:right w:val="single" w:sz="12" w:space="0" w:color="FF9E3C"/>
            </w:tcBorders>
            <w:shd w:val="clear" w:color="000000" w:fill="FFFFFF"/>
            <w:vAlign w:val="center"/>
            <w:hideMark/>
          </w:tcPr>
          <w:p w14:paraId="077CB4D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0.15</w:t>
            </w:r>
            <w:r w:rsidRPr="008442F0">
              <w:rPr>
                <w:rFonts w:cs="Arial"/>
                <w:color w:val="000000"/>
                <w:sz w:val="18"/>
                <w:vertAlign w:val="superscript"/>
                <w:lang w:eastAsia="en-AU"/>
              </w:rPr>
              <w:t>***</w:t>
            </w:r>
          </w:p>
        </w:tc>
        <w:tc>
          <w:tcPr>
            <w:tcW w:w="847" w:type="dxa"/>
            <w:tcBorders>
              <w:top w:val="nil"/>
              <w:left w:val="nil"/>
              <w:bottom w:val="nil"/>
              <w:right w:val="single" w:sz="12" w:space="0" w:color="FF9E3C"/>
            </w:tcBorders>
            <w:shd w:val="clear" w:color="000000" w:fill="FFFFFF"/>
            <w:vAlign w:val="center"/>
            <w:hideMark/>
          </w:tcPr>
          <w:p w14:paraId="5632082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0.04</w:t>
            </w:r>
            <w:r w:rsidRPr="008442F0">
              <w:rPr>
                <w:rFonts w:cs="Arial"/>
                <w:color w:val="000000"/>
                <w:sz w:val="18"/>
                <w:vertAlign w:val="superscript"/>
                <w:lang w:eastAsia="en-AU"/>
              </w:rPr>
              <w:t>***</w:t>
            </w:r>
          </w:p>
        </w:tc>
        <w:tc>
          <w:tcPr>
            <w:tcW w:w="854" w:type="dxa"/>
            <w:tcBorders>
              <w:top w:val="nil"/>
              <w:left w:val="nil"/>
              <w:bottom w:val="nil"/>
              <w:right w:val="single" w:sz="12" w:space="0" w:color="FF9E3C"/>
            </w:tcBorders>
            <w:shd w:val="clear" w:color="000000" w:fill="FFFFFF"/>
            <w:vAlign w:val="center"/>
            <w:hideMark/>
          </w:tcPr>
          <w:p w14:paraId="5870740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0.13</w:t>
            </w:r>
            <w:r w:rsidRPr="008442F0">
              <w:rPr>
                <w:rFonts w:cs="Arial"/>
                <w:color w:val="000000"/>
                <w:sz w:val="18"/>
                <w:vertAlign w:val="superscript"/>
                <w:lang w:eastAsia="en-AU"/>
              </w:rPr>
              <w:t>***</w:t>
            </w:r>
          </w:p>
        </w:tc>
        <w:tc>
          <w:tcPr>
            <w:tcW w:w="855" w:type="dxa"/>
            <w:tcBorders>
              <w:top w:val="nil"/>
              <w:left w:val="nil"/>
              <w:bottom w:val="nil"/>
              <w:right w:val="single" w:sz="12" w:space="0" w:color="FF9E3C"/>
            </w:tcBorders>
            <w:shd w:val="clear" w:color="000000" w:fill="FFFFFF"/>
            <w:vAlign w:val="center"/>
            <w:hideMark/>
          </w:tcPr>
          <w:p w14:paraId="6D20D80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0.06</w:t>
            </w:r>
            <w:r w:rsidRPr="008442F0">
              <w:rPr>
                <w:rFonts w:cs="Arial"/>
                <w:color w:val="000000"/>
                <w:sz w:val="18"/>
                <w:vertAlign w:val="superscript"/>
                <w:lang w:eastAsia="en-AU"/>
              </w:rPr>
              <w:t>***</w:t>
            </w:r>
          </w:p>
        </w:tc>
      </w:tr>
      <w:tr w:rsidR="006F6929" w:rsidRPr="008442F0" w14:paraId="47599388" w14:textId="77777777" w:rsidTr="00406FB4">
        <w:trPr>
          <w:trHeight w:val="315"/>
        </w:trPr>
        <w:tc>
          <w:tcPr>
            <w:tcW w:w="1418" w:type="dxa"/>
            <w:vMerge/>
            <w:tcBorders>
              <w:top w:val="nil"/>
              <w:left w:val="single" w:sz="12" w:space="0" w:color="FF9E3C"/>
              <w:bottom w:val="single" w:sz="12" w:space="0" w:color="FF9E3C"/>
              <w:right w:val="single" w:sz="12" w:space="0" w:color="FF9E3C"/>
            </w:tcBorders>
            <w:vAlign w:val="center"/>
            <w:hideMark/>
          </w:tcPr>
          <w:p w14:paraId="45CA7BC4"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851" w:type="dxa"/>
            <w:tcBorders>
              <w:top w:val="nil"/>
              <w:left w:val="nil"/>
              <w:bottom w:val="single" w:sz="12" w:space="0" w:color="FF9E3C"/>
              <w:right w:val="single" w:sz="12" w:space="0" w:color="FF9E3C"/>
            </w:tcBorders>
            <w:shd w:val="clear" w:color="000000" w:fill="FFFFFF"/>
            <w:vAlign w:val="center"/>
            <w:hideMark/>
          </w:tcPr>
          <w:p w14:paraId="03FADBF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49D5F47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0.02</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3011441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216EEB2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0.02</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3740BA4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4936C74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0.02</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5586C87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856" w:type="dxa"/>
            <w:tcBorders>
              <w:top w:val="nil"/>
              <w:left w:val="nil"/>
              <w:bottom w:val="single" w:sz="12" w:space="0" w:color="FF9E3C"/>
              <w:right w:val="single" w:sz="12" w:space="0" w:color="FF9E3C"/>
            </w:tcBorders>
            <w:shd w:val="clear" w:color="000000" w:fill="FFFFFF"/>
            <w:vAlign w:val="center"/>
            <w:hideMark/>
          </w:tcPr>
          <w:p w14:paraId="2EC4DAB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510675E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7FE5918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250BEE5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847" w:type="dxa"/>
            <w:tcBorders>
              <w:top w:val="nil"/>
              <w:left w:val="nil"/>
              <w:bottom w:val="single" w:sz="12" w:space="0" w:color="FF9E3C"/>
              <w:right w:val="single" w:sz="12" w:space="0" w:color="FF9E3C"/>
            </w:tcBorders>
            <w:shd w:val="clear" w:color="000000" w:fill="FFFFFF"/>
            <w:vAlign w:val="center"/>
            <w:hideMark/>
          </w:tcPr>
          <w:p w14:paraId="55C419D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c>
          <w:tcPr>
            <w:tcW w:w="854" w:type="dxa"/>
            <w:tcBorders>
              <w:top w:val="nil"/>
              <w:left w:val="nil"/>
              <w:bottom w:val="single" w:sz="12" w:space="0" w:color="FF9E3C"/>
              <w:right w:val="single" w:sz="12" w:space="0" w:color="FF9E3C"/>
            </w:tcBorders>
            <w:shd w:val="clear" w:color="000000" w:fill="FFFFFF"/>
            <w:vAlign w:val="center"/>
            <w:hideMark/>
          </w:tcPr>
          <w:p w14:paraId="5F20EFF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w:t>
            </w:r>
            <w:r>
              <w:rPr>
                <w:rFonts w:cs="Arial"/>
                <w:color w:val="1C3158"/>
                <w:sz w:val="18"/>
                <w:lang w:eastAsia="en-AU"/>
              </w:rPr>
              <w:t>.08)</w:t>
            </w:r>
          </w:p>
        </w:tc>
        <w:tc>
          <w:tcPr>
            <w:tcW w:w="855" w:type="dxa"/>
            <w:tcBorders>
              <w:top w:val="nil"/>
              <w:left w:val="nil"/>
              <w:bottom w:val="single" w:sz="12" w:space="0" w:color="FF9E3C"/>
              <w:right w:val="single" w:sz="12" w:space="0" w:color="FF9E3C"/>
            </w:tcBorders>
            <w:shd w:val="clear" w:color="000000" w:fill="FFFFFF"/>
            <w:vAlign w:val="center"/>
            <w:hideMark/>
          </w:tcPr>
          <w:p w14:paraId="0DA3289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0.01</w:t>
            </w:r>
            <w:r>
              <w:rPr>
                <w:rFonts w:cs="Arial"/>
                <w:color w:val="1C3158"/>
                <w:sz w:val="18"/>
                <w:lang w:eastAsia="en-AU"/>
              </w:rPr>
              <w:t>)</w:t>
            </w:r>
          </w:p>
        </w:tc>
      </w:tr>
      <w:tr w:rsidR="006F6929" w:rsidRPr="008442F0" w14:paraId="74BF3541" w14:textId="77777777" w:rsidTr="00406FB4">
        <w:trPr>
          <w:trHeight w:val="315"/>
        </w:trPr>
        <w:tc>
          <w:tcPr>
            <w:tcW w:w="1418"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5B09C879" w14:textId="215CA97E" w:rsidR="008A2198" w:rsidRDefault="008A2198" w:rsidP="008A2198">
            <w:pPr>
              <w:tabs>
                <w:tab w:val="clear" w:pos="426"/>
              </w:tabs>
              <w:spacing w:before="0" w:after="0" w:line="240" w:lineRule="auto"/>
              <w:ind w:left="0" w:right="0"/>
              <w:rPr>
                <w:rFonts w:cs="Arial"/>
                <w:color w:val="1C3158"/>
                <w:sz w:val="18"/>
                <w:lang w:eastAsia="en-AU"/>
              </w:rPr>
            </w:pPr>
            <w:r>
              <w:rPr>
                <w:rFonts w:cs="Arial"/>
                <w:color w:val="1C3158"/>
                <w:sz w:val="18"/>
                <w:lang w:eastAsia="en-AU"/>
              </w:rPr>
              <w:t>European</w:t>
            </w:r>
          </w:p>
          <w:p w14:paraId="527D9E59" w14:textId="7ADF10F3" w:rsidR="006F6929" w:rsidRPr="008442F0" w:rsidRDefault="006F6929" w:rsidP="008A2198">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(n = 1125)</w:t>
            </w:r>
          </w:p>
        </w:tc>
        <w:tc>
          <w:tcPr>
            <w:tcW w:w="851" w:type="dxa"/>
            <w:tcBorders>
              <w:top w:val="nil"/>
              <w:left w:val="nil"/>
              <w:bottom w:val="nil"/>
              <w:right w:val="single" w:sz="12" w:space="0" w:color="FF9E3C"/>
            </w:tcBorders>
            <w:shd w:val="clear" w:color="000000" w:fill="FFFFFF"/>
            <w:vAlign w:val="center"/>
            <w:hideMark/>
          </w:tcPr>
          <w:p w14:paraId="3830A34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0.42</w:t>
            </w:r>
          </w:p>
        </w:tc>
        <w:tc>
          <w:tcPr>
            <w:tcW w:w="850" w:type="dxa"/>
            <w:tcBorders>
              <w:top w:val="nil"/>
              <w:left w:val="nil"/>
              <w:bottom w:val="nil"/>
              <w:right w:val="single" w:sz="12" w:space="0" w:color="FF9E3C"/>
            </w:tcBorders>
            <w:shd w:val="clear" w:color="000000" w:fill="FFFFFF"/>
            <w:vAlign w:val="center"/>
            <w:hideMark/>
          </w:tcPr>
          <w:p w14:paraId="3CF4F10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-0.32</w:t>
            </w:r>
          </w:p>
        </w:tc>
        <w:tc>
          <w:tcPr>
            <w:tcW w:w="846" w:type="dxa"/>
            <w:tcBorders>
              <w:top w:val="nil"/>
              <w:left w:val="nil"/>
              <w:bottom w:val="nil"/>
              <w:right w:val="single" w:sz="12" w:space="0" w:color="FF9E3C"/>
            </w:tcBorders>
            <w:shd w:val="clear" w:color="000000" w:fill="FFFFFF"/>
            <w:vAlign w:val="center"/>
            <w:hideMark/>
          </w:tcPr>
          <w:p w14:paraId="1BCF544A" w14:textId="7CDA583B"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w:t>
            </w:r>
            <w:r w:rsidR="00AE22C6">
              <w:rPr>
                <w:rFonts w:cs="Arial"/>
                <w:color w:val="1C3158"/>
                <w:sz w:val="18"/>
                <w:lang w:eastAsia="en-AU"/>
              </w:rPr>
              <w:t>0</w:t>
            </w:r>
          </w:p>
        </w:tc>
        <w:tc>
          <w:tcPr>
            <w:tcW w:w="855" w:type="dxa"/>
            <w:tcBorders>
              <w:top w:val="nil"/>
              <w:left w:val="nil"/>
              <w:bottom w:val="nil"/>
              <w:right w:val="single" w:sz="12" w:space="0" w:color="FF9E3C"/>
            </w:tcBorders>
            <w:shd w:val="clear" w:color="000000" w:fill="FFFFFF"/>
            <w:vAlign w:val="center"/>
            <w:hideMark/>
          </w:tcPr>
          <w:p w14:paraId="7BE15DF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0.03</w:t>
            </w:r>
          </w:p>
        </w:tc>
        <w:tc>
          <w:tcPr>
            <w:tcW w:w="850" w:type="dxa"/>
            <w:tcBorders>
              <w:top w:val="nil"/>
              <w:left w:val="nil"/>
              <w:bottom w:val="nil"/>
              <w:right w:val="single" w:sz="12" w:space="0" w:color="FF9E3C"/>
            </w:tcBorders>
            <w:shd w:val="clear" w:color="000000" w:fill="FFFFFF"/>
            <w:vAlign w:val="center"/>
            <w:hideMark/>
          </w:tcPr>
          <w:p w14:paraId="0FDDD63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0.12</w:t>
            </w:r>
          </w:p>
        </w:tc>
        <w:tc>
          <w:tcPr>
            <w:tcW w:w="851" w:type="dxa"/>
            <w:tcBorders>
              <w:top w:val="nil"/>
              <w:left w:val="nil"/>
              <w:bottom w:val="nil"/>
              <w:right w:val="single" w:sz="12" w:space="0" w:color="FF9E3C"/>
            </w:tcBorders>
            <w:shd w:val="clear" w:color="000000" w:fill="FFFFFF"/>
            <w:vAlign w:val="center"/>
            <w:hideMark/>
          </w:tcPr>
          <w:p w14:paraId="4C6F088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0.47</w:t>
            </w:r>
          </w:p>
        </w:tc>
        <w:tc>
          <w:tcPr>
            <w:tcW w:w="850" w:type="dxa"/>
            <w:tcBorders>
              <w:top w:val="nil"/>
              <w:left w:val="nil"/>
              <w:bottom w:val="nil"/>
              <w:right w:val="single" w:sz="12" w:space="0" w:color="FF9E3C"/>
            </w:tcBorders>
            <w:shd w:val="clear" w:color="000000" w:fill="FFFFFF"/>
            <w:vAlign w:val="center"/>
            <w:hideMark/>
          </w:tcPr>
          <w:p w14:paraId="5AA68D5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0.26</w:t>
            </w:r>
          </w:p>
        </w:tc>
        <w:tc>
          <w:tcPr>
            <w:tcW w:w="856" w:type="dxa"/>
            <w:tcBorders>
              <w:top w:val="nil"/>
              <w:left w:val="nil"/>
              <w:bottom w:val="nil"/>
              <w:right w:val="single" w:sz="12" w:space="0" w:color="FF9E3C"/>
            </w:tcBorders>
            <w:shd w:val="clear" w:color="000000" w:fill="FFFFFF"/>
            <w:vAlign w:val="center"/>
            <w:hideMark/>
          </w:tcPr>
          <w:p w14:paraId="42881C57"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0.02</w:t>
            </w:r>
          </w:p>
        </w:tc>
        <w:tc>
          <w:tcPr>
            <w:tcW w:w="855" w:type="dxa"/>
            <w:tcBorders>
              <w:top w:val="nil"/>
              <w:left w:val="nil"/>
              <w:bottom w:val="nil"/>
              <w:right w:val="single" w:sz="12" w:space="0" w:color="FF9E3C"/>
            </w:tcBorders>
            <w:shd w:val="clear" w:color="000000" w:fill="FFFFFF"/>
            <w:vAlign w:val="center"/>
            <w:hideMark/>
          </w:tcPr>
          <w:p w14:paraId="7AB40D1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0.21</w:t>
            </w:r>
          </w:p>
        </w:tc>
        <w:tc>
          <w:tcPr>
            <w:tcW w:w="846" w:type="dxa"/>
            <w:tcBorders>
              <w:top w:val="nil"/>
              <w:left w:val="nil"/>
              <w:bottom w:val="nil"/>
              <w:right w:val="single" w:sz="12" w:space="0" w:color="FF9E3C"/>
            </w:tcBorders>
            <w:shd w:val="clear" w:color="000000" w:fill="FFFFFF"/>
            <w:vAlign w:val="center"/>
            <w:hideMark/>
          </w:tcPr>
          <w:p w14:paraId="68683E18" w14:textId="42060AD5"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w:t>
            </w:r>
            <w:r w:rsidR="00AE22C6">
              <w:rPr>
                <w:rFonts w:cs="Arial"/>
                <w:color w:val="1C3158"/>
                <w:sz w:val="18"/>
                <w:lang w:eastAsia="en-AU"/>
              </w:rPr>
              <w:t>0</w:t>
            </w:r>
          </w:p>
        </w:tc>
        <w:tc>
          <w:tcPr>
            <w:tcW w:w="851" w:type="dxa"/>
            <w:tcBorders>
              <w:top w:val="nil"/>
              <w:left w:val="nil"/>
              <w:bottom w:val="nil"/>
              <w:right w:val="single" w:sz="12" w:space="0" w:color="FF9E3C"/>
            </w:tcBorders>
            <w:shd w:val="clear" w:color="000000" w:fill="FFFFFF"/>
            <w:vAlign w:val="center"/>
            <w:hideMark/>
          </w:tcPr>
          <w:p w14:paraId="022304DA" w14:textId="77777777" w:rsidR="006F6929" w:rsidRPr="008442F0" w:rsidRDefault="006F6929" w:rsidP="00406FB4">
            <w:pPr>
              <w:tabs>
                <w:tab w:val="clear" w:pos="426"/>
              </w:tabs>
              <w:spacing w:before="0" w:after="0" w:line="240" w:lineRule="auto"/>
              <w:ind w:left="0" w:right="0"/>
              <w:jc w:val="center"/>
              <w:rPr>
                <w:rFonts w:cs="Arial"/>
                <w:b/>
                <w:color w:val="1C3158"/>
                <w:sz w:val="18"/>
                <w:lang w:eastAsia="ja-JP"/>
              </w:rPr>
            </w:pPr>
            <w:r w:rsidRPr="008442F0">
              <w:rPr>
                <w:rFonts w:cs="Arial"/>
                <w:b/>
                <w:color w:val="1C3158"/>
                <w:sz w:val="18"/>
                <w:lang w:eastAsia="en-AU"/>
              </w:rPr>
              <w:t>0.45</w:t>
            </w:r>
            <w:r w:rsidRPr="008442F0">
              <w:rPr>
                <w:rFonts w:cs="Arial"/>
                <w:b/>
                <w:bCs/>
                <w:color w:val="000000"/>
                <w:sz w:val="18"/>
                <w:vertAlign w:val="superscript"/>
                <w:lang w:eastAsia="en-AU"/>
              </w:rPr>
              <w:t>*</w:t>
            </w:r>
          </w:p>
        </w:tc>
        <w:tc>
          <w:tcPr>
            <w:tcW w:w="847" w:type="dxa"/>
            <w:tcBorders>
              <w:top w:val="nil"/>
              <w:left w:val="nil"/>
              <w:bottom w:val="nil"/>
              <w:right w:val="single" w:sz="12" w:space="0" w:color="FF9E3C"/>
            </w:tcBorders>
            <w:shd w:val="clear" w:color="000000" w:fill="FFFFFF"/>
            <w:vAlign w:val="center"/>
            <w:hideMark/>
          </w:tcPr>
          <w:p w14:paraId="147DC26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-0.25</w:t>
            </w:r>
          </w:p>
        </w:tc>
        <w:tc>
          <w:tcPr>
            <w:tcW w:w="854" w:type="dxa"/>
            <w:tcBorders>
              <w:top w:val="nil"/>
              <w:left w:val="nil"/>
              <w:bottom w:val="nil"/>
              <w:right w:val="single" w:sz="12" w:space="0" w:color="FF9E3C"/>
            </w:tcBorders>
            <w:shd w:val="clear" w:color="000000" w:fill="FFFFFF"/>
            <w:vAlign w:val="center"/>
            <w:hideMark/>
          </w:tcPr>
          <w:p w14:paraId="37981E3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0.09</w:t>
            </w:r>
          </w:p>
        </w:tc>
        <w:tc>
          <w:tcPr>
            <w:tcW w:w="855" w:type="dxa"/>
            <w:tcBorders>
              <w:top w:val="nil"/>
              <w:left w:val="nil"/>
              <w:bottom w:val="nil"/>
              <w:right w:val="single" w:sz="12" w:space="0" w:color="FF9E3C"/>
            </w:tcBorders>
            <w:shd w:val="clear" w:color="000000" w:fill="FFFFFF"/>
            <w:vAlign w:val="center"/>
            <w:hideMark/>
          </w:tcPr>
          <w:p w14:paraId="61CC46A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0.03</w:t>
            </w:r>
          </w:p>
        </w:tc>
      </w:tr>
      <w:tr w:rsidR="006F6929" w:rsidRPr="008442F0" w14:paraId="615311B4" w14:textId="77777777" w:rsidTr="00406FB4">
        <w:trPr>
          <w:trHeight w:val="315"/>
        </w:trPr>
        <w:tc>
          <w:tcPr>
            <w:tcW w:w="1418" w:type="dxa"/>
            <w:vMerge/>
            <w:tcBorders>
              <w:top w:val="nil"/>
              <w:left w:val="single" w:sz="12" w:space="0" w:color="FF9E3C"/>
              <w:bottom w:val="single" w:sz="12" w:space="0" w:color="FF9E3C"/>
              <w:right w:val="single" w:sz="12" w:space="0" w:color="FF9E3C"/>
            </w:tcBorders>
            <w:vAlign w:val="center"/>
            <w:hideMark/>
          </w:tcPr>
          <w:p w14:paraId="666AEE7B"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851" w:type="dxa"/>
            <w:tcBorders>
              <w:top w:val="nil"/>
              <w:left w:val="nil"/>
              <w:bottom w:val="single" w:sz="12" w:space="0" w:color="FF9E3C"/>
              <w:right w:val="single" w:sz="12" w:space="0" w:color="FF9E3C"/>
            </w:tcBorders>
            <w:shd w:val="clear" w:color="000000" w:fill="FFFFFF"/>
            <w:vAlign w:val="center"/>
            <w:hideMark/>
          </w:tcPr>
          <w:p w14:paraId="2F4BC5D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0.28</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08F29FA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0.47</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5EE49B5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0.28</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03295818"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0.48</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6425364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0.28</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029F5BE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0.38</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3695297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0.26</w:t>
            </w:r>
            <w:r>
              <w:rPr>
                <w:rFonts w:cs="Arial"/>
                <w:color w:val="1C3158"/>
                <w:sz w:val="18"/>
                <w:lang w:eastAsia="en-AU"/>
              </w:rPr>
              <w:t>)</w:t>
            </w:r>
          </w:p>
        </w:tc>
        <w:tc>
          <w:tcPr>
            <w:tcW w:w="856" w:type="dxa"/>
            <w:tcBorders>
              <w:top w:val="nil"/>
              <w:left w:val="nil"/>
              <w:bottom w:val="single" w:sz="12" w:space="0" w:color="FF9E3C"/>
              <w:right w:val="single" w:sz="12" w:space="0" w:color="FF9E3C"/>
            </w:tcBorders>
            <w:shd w:val="clear" w:color="000000" w:fill="FFFFFF"/>
            <w:vAlign w:val="center"/>
            <w:hideMark/>
          </w:tcPr>
          <w:p w14:paraId="1364D32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0.36</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1E05B253"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0.19</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5B96D93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0.24</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4518F71D" w14:textId="77777777" w:rsidR="006F6929" w:rsidRPr="008442F0" w:rsidRDefault="006F6929" w:rsidP="00406FB4">
            <w:pPr>
              <w:tabs>
                <w:tab w:val="clear" w:pos="426"/>
              </w:tabs>
              <w:spacing w:before="0" w:after="0" w:line="240" w:lineRule="auto"/>
              <w:ind w:left="0" w:right="0"/>
              <w:jc w:val="center"/>
              <w:rPr>
                <w:rFonts w:cs="Arial"/>
                <w:b/>
                <w:color w:val="1C3158"/>
                <w:sz w:val="18"/>
                <w:lang w:eastAsia="ja-JP"/>
              </w:rPr>
            </w:pPr>
            <w:r w:rsidRPr="009F3B29">
              <w:rPr>
                <w:rFonts w:cs="Arial"/>
                <w:b/>
                <w:color w:val="1C3158"/>
                <w:sz w:val="18"/>
                <w:lang w:eastAsia="en-AU"/>
              </w:rPr>
              <w:t>(</w:t>
            </w:r>
            <w:r w:rsidRPr="008442F0">
              <w:rPr>
                <w:rFonts w:cs="Arial"/>
                <w:b/>
                <w:color w:val="1C3158"/>
                <w:sz w:val="18"/>
                <w:lang w:eastAsia="en-AU"/>
              </w:rPr>
              <w:t>0.2</w:t>
            </w:r>
            <w:r w:rsidRPr="009F3B29">
              <w:rPr>
                <w:rFonts w:cs="Arial"/>
                <w:b/>
                <w:color w:val="1C3158"/>
                <w:sz w:val="18"/>
                <w:lang w:eastAsia="en-AU"/>
              </w:rPr>
              <w:t>0)</w:t>
            </w:r>
          </w:p>
        </w:tc>
        <w:tc>
          <w:tcPr>
            <w:tcW w:w="847" w:type="dxa"/>
            <w:tcBorders>
              <w:top w:val="nil"/>
              <w:left w:val="nil"/>
              <w:bottom w:val="single" w:sz="12" w:space="0" w:color="FF9E3C"/>
              <w:right w:val="single" w:sz="12" w:space="0" w:color="FF9E3C"/>
            </w:tcBorders>
            <w:shd w:val="clear" w:color="000000" w:fill="FFFFFF"/>
            <w:vAlign w:val="center"/>
            <w:hideMark/>
          </w:tcPr>
          <w:p w14:paraId="69CCFA5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0.24</w:t>
            </w:r>
            <w:r>
              <w:rPr>
                <w:rFonts w:cs="Arial"/>
                <w:color w:val="1C3158"/>
                <w:sz w:val="18"/>
                <w:lang w:eastAsia="en-AU"/>
              </w:rPr>
              <w:t>)</w:t>
            </w:r>
          </w:p>
        </w:tc>
        <w:tc>
          <w:tcPr>
            <w:tcW w:w="854" w:type="dxa"/>
            <w:tcBorders>
              <w:top w:val="nil"/>
              <w:left w:val="nil"/>
              <w:bottom w:val="single" w:sz="12" w:space="0" w:color="FF9E3C"/>
              <w:right w:val="single" w:sz="12" w:space="0" w:color="FF9E3C"/>
            </w:tcBorders>
            <w:shd w:val="clear" w:color="000000" w:fill="FFFFFF"/>
            <w:vAlign w:val="center"/>
            <w:hideMark/>
          </w:tcPr>
          <w:p w14:paraId="77AC972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0.08</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33305C5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0.16</w:t>
            </w:r>
            <w:r>
              <w:rPr>
                <w:rFonts w:cs="Arial"/>
                <w:color w:val="1C3158"/>
                <w:sz w:val="18"/>
                <w:lang w:eastAsia="en-AU"/>
              </w:rPr>
              <w:t>)</w:t>
            </w:r>
          </w:p>
        </w:tc>
      </w:tr>
      <w:tr w:rsidR="006F6929" w:rsidRPr="008442F0" w14:paraId="411F327F" w14:textId="77777777" w:rsidTr="00406FB4">
        <w:trPr>
          <w:trHeight w:val="315"/>
        </w:trPr>
        <w:tc>
          <w:tcPr>
            <w:tcW w:w="1418"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4ADB04A6" w14:textId="424B09D7" w:rsidR="006F6929" w:rsidRPr="008442F0" w:rsidRDefault="00B12BDA" w:rsidP="00406FB4">
            <w:pPr>
              <w:tabs>
                <w:tab w:val="clear" w:pos="426"/>
              </w:tabs>
              <w:spacing w:before="0" w:after="0" w:line="240" w:lineRule="auto"/>
              <w:ind w:left="0" w:right="0"/>
              <w:rPr>
                <w:rFonts w:cs="Arial"/>
                <w:color w:val="1C3158"/>
                <w:sz w:val="18"/>
                <w:lang w:eastAsia="ja-JP"/>
              </w:rPr>
            </w:pPr>
            <w:r>
              <w:rPr>
                <w:rFonts w:cs="Arial"/>
                <w:color w:val="1C3158"/>
                <w:sz w:val="18"/>
                <w:lang w:eastAsia="en-AU"/>
              </w:rPr>
              <w:t>Māori</w:t>
            </w:r>
            <w:r w:rsidR="006F6929" w:rsidRPr="008442F0">
              <w:rPr>
                <w:rFonts w:cs="Arial"/>
                <w:color w:val="1C3158"/>
                <w:sz w:val="18"/>
                <w:lang w:eastAsia="en-AU"/>
              </w:rPr>
              <w:br/>
              <w:t>(n = 207)</w:t>
            </w:r>
          </w:p>
        </w:tc>
        <w:tc>
          <w:tcPr>
            <w:tcW w:w="851" w:type="dxa"/>
            <w:tcBorders>
              <w:top w:val="nil"/>
              <w:left w:val="nil"/>
              <w:bottom w:val="nil"/>
              <w:right w:val="single" w:sz="12" w:space="0" w:color="FF9E3C"/>
            </w:tcBorders>
            <w:shd w:val="clear" w:color="000000" w:fill="FFFFFF"/>
            <w:vAlign w:val="center"/>
            <w:hideMark/>
          </w:tcPr>
          <w:p w14:paraId="4F4E4179" w14:textId="77777777" w:rsidR="006F6929" w:rsidRPr="008442F0" w:rsidRDefault="006F6929" w:rsidP="00406FB4">
            <w:pPr>
              <w:tabs>
                <w:tab w:val="clear" w:pos="426"/>
              </w:tabs>
              <w:spacing w:before="0" w:after="0" w:line="240" w:lineRule="auto"/>
              <w:ind w:left="0" w:right="0"/>
              <w:jc w:val="center"/>
              <w:rPr>
                <w:rFonts w:cs="Arial"/>
                <w:b/>
                <w:color w:val="1C3158"/>
                <w:sz w:val="18"/>
                <w:lang w:eastAsia="ja-JP"/>
              </w:rPr>
            </w:pPr>
            <w:r w:rsidRPr="008442F0">
              <w:rPr>
                <w:rFonts w:cs="Arial"/>
                <w:b/>
                <w:color w:val="1C3158"/>
                <w:sz w:val="18"/>
                <w:lang w:eastAsia="en-AU"/>
              </w:rPr>
              <w:t>0.51</w:t>
            </w:r>
            <w:r w:rsidRPr="008442F0">
              <w:rPr>
                <w:rFonts w:cs="Arial"/>
                <w:b/>
                <w:bCs/>
                <w:color w:val="000000"/>
                <w:sz w:val="18"/>
                <w:vertAlign w:val="superscript"/>
                <w:lang w:eastAsia="en-AU"/>
              </w:rPr>
              <w:t>*</w:t>
            </w:r>
          </w:p>
        </w:tc>
        <w:tc>
          <w:tcPr>
            <w:tcW w:w="850" w:type="dxa"/>
            <w:tcBorders>
              <w:top w:val="nil"/>
              <w:left w:val="nil"/>
              <w:bottom w:val="nil"/>
              <w:right w:val="single" w:sz="12" w:space="0" w:color="FF9E3C"/>
            </w:tcBorders>
            <w:shd w:val="clear" w:color="000000" w:fill="FFFFFF"/>
            <w:vAlign w:val="center"/>
            <w:hideMark/>
          </w:tcPr>
          <w:p w14:paraId="0832B1C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0.01</w:t>
            </w:r>
          </w:p>
        </w:tc>
        <w:tc>
          <w:tcPr>
            <w:tcW w:w="846" w:type="dxa"/>
            <w:tcBorders>
              <w:top w:val="nil"/>
              <w:left w:val="nil"/>
              <w:bottom w:val="nil"/>
              <w:right w:val="single" w:sz="12" w:space="0" w:color="FF9E3C"/>
            </w:tcBorders>
            <w:shd w:val="clear" w:color="000000" w:fill="FFFFFF"/>
            <w:vAlign w:val="center"/>
            <w:hideMark/>
          </w:tcPr>
          <w:p w14:paraId="1BD9D0B8"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-0.02</w:t>
            </w:r>
          </w:p>
        </w:tc>
        <w:tc>
          <w:tcPr>
            <w:tcW w:w="855" w:type="dxa"/>
            <w:tcBorders>
              <w:top w:val="nil"/>
              <w:left w:val="nil"/>
              <w:bottom w:val="nil"/>
              <w:right w:val="single" w:sz="12" w:space="0" w:color="FF9E3C"/>
            </w:tcBorders>
            <w:shd w:val="clear" w:color="000000" w:fill="FFFFFF"/>
            <w:vAlign w:val="center"/>
            <w:hideMark/>
          </w:tcPr>
          <w:p w14:paraId="0E28DEA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-0.14</w:t>
            </w:r>
          </w:p>
        </w:tc>
        <w:tc>
          <w:tcPr>
            <w:tcW w:w="850" w:type="dxa"/>
            <w:tcBorders>
              <w:top w:val="nil"/>
              <w:left w:val="nil"/>
              <w:bottom w:val="nil"/>
              <w:right w:val="single" w:sz="12" w:space="0" w:color="FF9E3C"/>
            </w:tcBorders>
            <w:shd w:val="clear" w:color="000000" w:fill="FFFFFF"/>
            <w:vAlign w:val="center"/>
            <w:hideMark/>
          </w:tcPr>
          <w:p w14:paraId="50F1EB1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-0.06</w:t>
            </w:r>
          </w:p>
        </w:tc>
        <w:tc>
          <w:tcPr>
            <w:tcW w:w="851" w:type="dxa"/>
            <w:tcBorders>
              <w:top w:val="nil"/>
              <w:left w:val="nil"/>
              <w:bottom w:val="nil"/>
              <w:right w:val="single" w:sz="12" w:space="0" w:color="FF9E3C"/>
            </w:tcBorders>
            <w:shd w:val="clear" w:color="000000" w:fill="FFFFFF"/>
            <w:vAlign w:val="center"/>
            <w:hideMark/>
          </w:tcPr>
          <w:p w14:paraId="6BD5471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-0.11</w:t>
            </w:r>
          </w:p>
        </w:tc>
        <w:tc>
          <w:tcPr>
            <w:tcW w:w="850" w:type="dxa"/>
            <w:tcBorders>
              <w:top w:val="nil"/>
              <w:left w:val="nil"/>
              <w:bottom w:val="nil"/>
              <w:right w:val="single" w:sz="12" w:space="0" w:color="FF9E3C"/>
            </w:tcBorders>
            <w:shd w:val="clear" w:color="000000" w:fill="FFFFFF"/>
            <w:vAlign w:val="center"/>
            <w:hideMark/>
          </w:tcPr>
          <w:p w14:paraId="701641B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0.21</w:t>
            </w:r>
          </w:p>
        </w:tc>
        <w:tc>
          <w:tcPr>
            <w:tcW w:w="856" w:type="dxa"/>
            <w:tcBorders>
              <w:top w:val="nil"/>
              <w:left w:val="nil"/>
              <w:bottom w:val="nil"/>
              <w:right w:val="single" w:sz="12" w:space="0" w:color="FF9E3C"/>
            </w:tcBorders>
            <w:shd w:val="clear" w:color="000000" w:fill="FFFFFF"/>
            <w:vAlign w:val="center"/>
            <w:hideMark/>
          </w:tcPr>
          <w:p w14:paraId="20E3A7AE" w14:textId="551C8423"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w:t>
            </w:r>
            <w:r w:rsidR="00AE22C6">
              <w:rPr>
                <w:rFonts w:cs="Arial"/>
                <w:color w:val="1C3158"/>
                <w:sz w:val="18"/>
                <w:lang w:eastAsia="en-AU"/>
              </w:rPr>
              <w:t>0</w:t>
            </w:r>
          </w:p>
        </w:tc>
        <w:tc>
          <w:tcPr>
            <w:tcW w:w="855" w:type="dxa"/>
            <w:tcBorders>
              <w:top w:val="nil"/>
              <w:left w:val="nil"/>
              <w:bottom w:val="nil"/>
              <w:right w:val="single" w:sz="12" w:space="0" w:color="FF9E3C"/>
            </w:tcBorders>
            <w:shd w:val="clear" w:color="000000" w:fill="FFFFFF"/>
            <w:vAlign w:val="center"/>
            <w:hideMark/>
          </w:tcPr>
          <w:p w14:paraId="58A4797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0.18</w:t>
            </w:r>
          </w:p>
        </w:tc>
        <w:tc>
          <w:tcPr>
            <w:tcW w:w="846" w:type="dxa"/>
            <w:tcBorders>
              <w:top w:val="nil"/>
              <w:left w:val="nil"/>
              <w:bottom w:val="nil"/>
              <w:right w:val="single" w:sz="12" w:space="0" w:color="FF9E3C"/>
            </w:tcBorders>
            <w:shd w:val="clear" w:color="000000" w:fill="FFFFFF"/>
            <w:vAlign w:val="center"/>
            <w:hideMark/>
          </w:tcPr>
          <w:p w14:paraId="38D5312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0.23</w:t>
            </w:r>
          </w:p>
        </w:tc>
        <w:tc>
          <w:tcPr>
            <w:tcW w:w="851" w:type="dxa"/>
            <w:tcBorders>
              <w:top w:val="nil"/>
              <w:left w:val="nil"/>
              <w:bottom w:val="nil"/>
              <w:right w:val="single" w:sz="12" w:space="0" w:color="FF9E3C"/>
            </w:tcBorders>
            <w:shd w:val="clear" w:color="000000" w:fill="FFFFFF"/>
            <w:vAlign w:val="center"/>
            <w:hideMark/>
          </w:tcPr>
          <w:p w14:paraId="65CBC4B0" w14:textId="77777777" w:rsidR="006F6929" w:rsidRPr="008442F0" w:rsidRDefault="006F6929" w:rsidP="00406FB4">
            <w:pPr>
              <w:tabs>
                <w:tab w:val="clear" w:pos="426"/>
              </w:tabs>
              <w:spacing w:before="0" w:after="0" w:line="240" w:lineRule="auto"/>
              <w:ind w:left="0" w:right="0"/>
              <w:jc w:val="center"/>
              <w:rPr>
                <w:rFonts w:cs="Arial"/>
                <w:b/>
                <w:color w:val="1C3158"/>
                <w:sz w:val="18"/>
                <w:lang w:eastAsia="ja-JP"/>
              </w:rPr>
            </w:pPr>
            <w:r w:rsidRPr="008442F0">
              <w:rPr>
                <w:rFonts w:cs="Arial"/>
                <w:b/>
                <w:color w:val="1C3158"/>
                <w:sz w:val="18"/>
                <w:lang w:eastAsia="en-AU"/>
              </w:rPr>
              <w:t>0.45</w:t>
            </w:r>
            <w:r w:rsidRPr="008442F0">
              <w:rPr>
                <w:rFonts w:cs="Arial"/>
                <w:b/>
                <w:bCs/>
                <w:color w:val="000000"/>
                <w:sz w:val="18"/>
                <w:vertAlign w:val="superscript"/>
                <w:lang w:eastAsia="en-AU"/>
              </w:rPr>
              <w:t>*</w:t>
            </w:r>
          </w:p>
        </w:tc>
        <w:tc>
          <w:tcPr>
            <w:tcW w:w="847" w:type="dxa"/>
            <w:tcBorders>
              <w:top w:val="nil"/>
              <w:left w:val="nil"/>
              <w:bottom w:val="nil"/>
              <w:right w:val="single" w:sz="12" w:space="0" w:color="FF9E3C"/>
            </w:tcBorders>
            <w:shd w:val="clear" w:color="000000" w:fill="FFFFFF"/>
            <w:vAlign w:val="center"/>
            <w:hideMark/>
          </w:tcPr>
          <w:p w14:paraId="5545892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0.16</w:t>
            </w:r>
          </w:p>
        </w:tc>
        <w:tc>
          <w:tcPr>
            <w:tcW w:w="854" w:type="dxa"/>
            <w:tcBorders>
              <w:top w:val="nil"/>
              <w:left w:val="nil"/>
              <w:bottom w:val="nil"/>
              <w:right w:val="single" w:sz="12" w:space="0" w:color="FF9E3C"/>
            </w:tcBorders>
            <w:shd w:val="clear" w:color="000000" w:fill="FFFFFF"/>
            <w:vAlign w:val="center"/>
            <w:hideMark/>
          </w:tcPr>
          <w:p w14:paraId="67AA6DC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0.05</w:t>
            </w:r>
          </w:p>
        </w:tc>
        <w:tc>
          <w:tcPr>
            <w:tcW w:w="855" w:type="dxa"/>
            <w:tcBorders>
              <w:top w:val="nil"/>
              <w:left w:val="nil"/>
              <w:bottom w:val="nil"/>
              <w:right w:val="single" w:sz="12" w:space="0" w:color="FF9E3C"/>
            </w:tcBorders>
            <w:shd w:val="clear" w:color="000000" w:fill="FFFFFF"/>
            <w:vAlign w:val="center"/>
            <w:hideMark/>
          </w:tcPr>
          <w:p w14:paraId="1041A337" w14:textId="4516A3D4"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w:t>
            </w:r>
            <w:r w:rsidR="00AE22C6">
              <w:rPr>
                <w:rFonts w:cs="Arial"/>
                <w:color w:val="1C3158"/>
                <w:sz w:val="18"/>
                <w:lang w:eastAsia="en-AU"/>
              </w:rPr>
              <w:t>.00</w:t>
            </w:r>
          </w:p>
        </w:tc>
      </w:tr>
      <w:tr w:rsidR="006F6929" w:rsidRPr="008442F0" w14:paraId="6C6F02D6" w14:textId="77777777" w:rsidTr="00406FB4">
        <w:trPr>
          <w:trHeight w:val="315"/>
        </w:trPr>
        <w:tc>
          <w:tcPr>
            <w:tcW w:w="1418" w:type="dxa"/>
            <w:vMerge/>
            <w:tcBorders>
              <w:top w:val="nil"/>
              <w:left w:val="single" w:sz="12" w:space="0" w:color="FF9E3C"/>
              <w:bottom w:val="single" w:sz="12" w:space="0" w:color="FF9E3C"/>
              <w:right w:val="single" w:sz="12" w:space="0" w:color="FF9E3C"/>
            </w:tcBorders>
            <w:vAlign w:val="center"/>
            <w:hideMark/>
          </w:tcPr>
          <w:p w14:paraId="64E110D8"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851" w:type="dxa"/>
            <w:tcBorders>
              <w:top w:val="nil"/>
              <w:left w:val="nil"/>
              <w:bottom w:val="single" w:sz="12" w:space="0" w:color="FF9E3C"/>
              <w:right w:val="single" w:sz="12" w:space="0" w:color="FF9E3C"/>
            </w:tcBorders>
            <w:shd w:val="clear" w:color="000000" w:fill="FFFFFF"/>
            <w:vAlign w:val="center"/>
            <w:hideMark/>
          </w:tcPr>
          <w:p w14:paraId="29501F16" w14:textId="77777777" w:rsidR="006F6929" w:rsidRPr="008442F0" w:rsidRDefault="006F6929" w:rsidP="00406FB4">
            <w:pPr>
              <w:tabs>
                <w:tab w:val="clear" w:pos="426"/>
              </w:tabs>
              <w:spacing w:before="0" w:after="0" w:line="240" w:lineRule="auto"/>
              <w:ind w:left="0" w:right="0"/>
              <w:jc w:val="center"/>
              <w:rPr>
                <w:rFonts w:cs="Arial"/>
                <w:b/>
                <w:color w:val="1C3158"/>
                <w:sz w:val="18"/>
                <w:lang w:eastAsia="ja-JP"/>
              </w:rPr>
            </w:pPr>
            <w:r w:rsidRPr="009F3B29">
              <w:rPr>
                <w:rFonts w:cs="Arial"/>
                <w:b/>
                <w:color w:val="1C3158"/>
                <w:sz w:val="18"/>
                <w:lang w:eastAsia="en-AU"/>
              </w:rPr>
              <w:t>(</w:t>
            </w:r>
            <w:r w:rsidRPr="008442F0">
              <w:rPr>
                <w:rFonts w:cs="Arial"/>
                <w:b/>
                <w:color w:val="1C3158"/>
                <w:sz w:val="18"/>
                <w:lang w:eastAsia="en-AU"/>
              </w:rPr>
              <w:t>0.25</w:t>
            </w:r>
            <w:r w:rsidRPr="009F3B29">
              <w:rPr>
                <w:rFonts w:cs="Arial"/>
                <w:b/>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01C5690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0.37</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0D5C24A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0.25</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22F75AC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0.38</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0662B76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0.25</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1421960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w:t>
            </w:r>
            <w:r>
              <w:rPr>
                <w:rFonts w:cs="Arial"/>
                <w:color w:val="1C3158"/>
                <w:sz w:val="18"/>
                <w:lang w:eastAsia="en-AU"/>
              </w:rPr>
              <w:t>0)</w:t>
            </w:r>
          </w:p>
        </w:tc>
        <w:tc>
          <w:tcPr>
            <w:tcW w:w="850" w:type="dxa"/>
            <w:tcBorders>
              <w:top w:val="nil"/>
              <w:left w:val="nil"/>
              <w:bottom w:val="single" w:sz="12" w:space="0" w:color="FF9E3C"/>
              <w:right w:val="single" w:sz="12" w:space="0" w:color="FF9E3C"/>
            </w:tcBorders>
            <w:shd w:val="clear" w:color="000000" w:fill="FFFFFF"/>
            <w:vAlign w:val="center"/>
            <w:hideMark/>
          </w:tcPr>
          <w:p w14:paraId="6784335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0.24</w:t>
            </w:r>
            <w:r>
              <w:rPr>
                <w:rFonts w:cs="Arial"/>
                <w:color w:val="1C3158"/>
                <w:sz w:val="18"/>
                <w:lang w:eastAsia="en-AU"/>
              </w:rPr>
              <w:t>)</w:t>
            </w:r>
          </w:p>
        </w:tc>
        <w:tc>
          <w:tcPr>
            <w:tcW w:w="856" w:type="dxa"/>
            <w:tcBorders>
              <w:top w:val="nil"/>
              <w:left w:val="nil"/>
              <w:bottom w:val="single" w:sz="12" w:space="0" w:color="FF9E3C"/>
              <w:right w:val="single" w:sz="12" w:space="0" w:color="FF9E3C"/>
            </w:tcBorders>
            <w:shd w:val="clear" w:color="000000" w:fill="FFFFFF"/>
            <w:vAlign w:val="center"/>
            <w:hideMark/>
          </w:tcPr>
          <w:p w14:paraId="55B2C3C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0.28</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460CCEE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0.17</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746B580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0.19</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551DD186" w14:textId="77777777" w:rsidR="006F6929" w:rsidRPr="008442F0" w:rsidRDefault="006F6929" w:rsidP="00406FB4">
            <w:pPr>
              <w:tabs>
                <w:tab w:val="clear" w:pos="426"/>
              </w:tabs>
              <w:spacing w:before="0" w:after="0" w:line="240" w:lineRule="auto"/>
              <w:ind w:left="0" w:right="0"/>
              <w:jc w:val="center"/>
              <w:rPr>
                <w:rFonts w:cs="Arial"/>
                <w:b/>
                <w:color w:val="1C3158"/>
                <w:sz w:val="18"/>
                <w:lang w:eastAsia="ja-JP"/>
              </w:rPr>
            </w:pPr>
            <w:r w:rsidRPr="009F3B29">
              <w:rPr>
                <w:rFonts w:cs="Arial"/>
                <w:b/>
                <w:color w:val="1C3158"/>
                <w:sz w:val="18"/>
                <w:lang w:eastAsia="en-AU"/>
              </w:rPr>
              <w:t>(</w:t>
            </w:r>
            <w:r w:rsidRPr="008442F0">
              <w:rPr>
                <w:rFonts w:cs="Arial"/>
                <w:b/>
                <w:color w:val="1C3158"/>
                <w:sz w:val="18"/>
                <w:lang w:eastAsia="en-AU"/>
              </w:rPr>
              <w:t>0.18</w:t>
            </w:r>
            <w:r w:rsidRPr="009F3B29">
              <w:rPr>
                <w:rFonts w:cs="Arial"/>
                <w:b/>
                <w:color w:val="1C3158"/>
                <w:sz w:val="18"/>
                <w:lang w:eastAsia="en-AU"/>
              </w:rPr>
              <w:t>)</w:t>
            </w:r>
          </w:p>
        </w:tc>
        <w:tc>
          <w:tcPr>
            <w:tcW w:w="847" w:type="dxa"/>
            <w:tcBorders>
              <w:top w:val="nil"/>
              <w:left w:val="nil"/>
              <w:bottom w:val="single" w:sz="12" w:space="0" w:color="FF9E3C"/>
              <w:right w:val="single" w:sz="12" w:space="0" w:color="FF9E3C"/>
            </w:tcBorders>
            <w:shd w:val="clear" w:color="000000" w:fill="FFFFFF"/>
            <w:vAlign w:val="center"/>
            <w:hideMark/>
          </w:tcPr>
          <w:p w14:paraId="73FBE39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0.19</w:t>
            </w:r>
            <w:r>
              <w:rPr>
                <w:rFonts w:cs="Arial"/>
                <w:color w:val="1C3158"/>
                <w:sz w:val="18"/>
                <w:lang w:eastAsia="en-AU"/>
              </w:rPr>
              <w:t>)</w:t>
            </w:r>
          </w:p>
        </w:tc>
        <w:tc>
          <w:tcPr>
            <w:tcW w:w="854" w:type="dxa"/>
            <w:tcBorders>
              <w:top w:val="nil"/>
              <w:left w:val="nil"/>
              <w:bottom w:val="single" w:sz="12" w:space="0" w:color="FF9E3C"/>
              <w:right w:val="single" w:sz="12" w:space="0" w:color="FF9E3C"/>
            </w:tcBorders>
            <w:shd w:val="clear" w:color="000000" w:fill="FFFFFF"/>
            <w:vAlign w:val="center"/>
            <w:hideMark/>
          </w:tcPr>
          <w:p w14:paraId="2157C10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0.07</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3E94C5A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0.13</w:t>
            </w:r>
            <w:r>
              <w:rPr>
                <w:rFonts w:cs="Arial"/>
                <w:color w:val="1C3158"/>
                <w:sz w:val="18"/>
                <w:lang w:eastAsia="en-AU"/>
              </w:rPr>
              <w:t>)</w:t>
            </w:r>
          </w:p>
        </w:tc>
      </w:tr>
      <w:tr w:rsidR="006F6929" w:rsidRPr="008442F0" w14:paraId="29D54DE5" w14:textId="77777777" w:rsidTr="00406FB4">
        <w:trPr>
          <w:trHeight w:val="315"/>
        </w:trPr>
        <w:tc>
          <w:tcPr>
            <w:tcW w:w="1418"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79CCB8E9"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Pacific</w:t>
            </w:r>
            <w:r w:rsidRPr="008442F0">
              <w:rPr>
                <w:rFonts w:cs="Arial"/>
                <w:color w:val="1C3158"/>
                <w:sz w:val="18"/>
                <w:lang w:eastAsia="en-AU"/>
              </w:rPr>
              <w:br/>
              <w:t>(n = 74)</w:t>
            </w:r>
          </w:p>
        </w:tc>
        <w:tc>
          <w:tcPr>
            <w:tcW w:w="851" w:type="dxa"/>
            <w:tcBorders>
              <w:top w:val="nil"/>
              <w:left w:val="nil"/>
              <w:bottom w:val="nil"/>
              <w:right w:val="single" w:sz="12" w:space="0" w:color="FF9E3C"/>
            </w:tcBorders>
            <w:shd w:val="clear" w:color="000000" w:fill="FFFFFF"/>
            <w:vAlign w:val="center"/>
            <w:hideMark/>
          </w:tcPr>
          <w:p w14:paraId="3DDEB583"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0.61</w:t>
            </w:r>
          </w:p>
        </w:tc>
        <w:tc>
          <w:tcPr>
            <w:tcW w:w="850" w:type="dxa"/>
            <w:tcBorders>
              <w:top w:val="nil"/>
              <w:left w:val="nil"/>
              <w:bottom w:val="nil"/>
              <w:right w:val="single" w:sz="12" w:space="0" w:color="FF9E3C"/>
            </w:tcBorders>
            <w:shd w:val="clear" w:color="000000" w:fill="FFFFFF"/>
            <w:vAlign w:val="center"/>
            <w:hideMark/>
          </w:tcPr>
          <w:p w14:paraId="23E6279A" w14:textId="37E48704"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w:t>
            </w:r>
            <w:r w:rsidR="00AE22C6">
              <w:rPr>
                <w:rFonts w:cs="Arial"/>
                <w:color w:val="1C3158"/>
                <w:sz w:val="18"/>
                <w:lang w:eastAsia="en-AU"/>
              </w:rPr>
              <w:t>0</w:t>
            </w:r>
          </w:p>
        </w:tc>
        <w:tc>
          <w:tcPr>
            <w:tcW w:w="846" w:type="dxa"/>
            <w:tcBorders>
              <w:top w:val="nil"/>
              <w:left w:val="nil"/>
              <w:bottom w:val="nil"/>
              <w:right w:val="single" w:sz="12" w:space="0" w:color="FF9E3C"/>
            </w:tcBorders>
            <w:shd w:val="clear" w:color="000000" w:fill="FFFFFF"/>
            <w:vAlign w:val="center"/>
            <w:hideMark/>
          </w:tcPr>
          <w:p w14:paraId="4F89FD9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0.07</w:t>
            </w:r>
          </w:p>
        </w:tc>
        <w:tc>
          <w:tcPr>
            <w:tcW w:w="855" w:type="dxa"/>
            <w:tcBorders>
              <w:top w:val="nil"/>
              <w:left w:val="nil"/>
              <w:bottom w:val="nil"/>
              <w:right w:val="single" w:sz="12" w:space="0" w:color="FF9E3C"/>
            </w:tcBorders>
            <w:shd w:val="clear" w:color="000000" w:fill="FFFFFF"/>
            <w:vAlign w:val="center"/>
            <w:hideMark/>
          </w:tcPr>
          <w:p w14:paraId="7BD237A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-0.45</w:t>
            </w:r>
          </w:p>
        </w:tc>
        <w:tc>
          <w:tcPr>
            <w:tcW w:w="850" w:type="dxa"/>
            <w:tcBorders>
              <w:top w:val="nil"/>
              <w:left w:val="nil"/>
              <w:bottom w:val="nil"/>
              <w:right w:val="single" w:sz="12" w:space="0" w:color="FF9E3C"/>
            </w:tcBorders>
            <w:shd w:val="clear" w:color="000000" w:fill="FFFFFF"/>
            <w:vAlign w:val="center"/>
            <w:hideMark/>
          </w:tcPr>
          <w:p w14:paraId="4AAD4161" w14:textId="461893A2"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w:t>
            </w:r>
            <w:r w:rsidR="00AE22C6">
              <w:rPr>
                <w:rFonts w:cs="Arial"/>
                <w:color w:val="1C3158"/>
                <w:sz w:val="18"/>
                <w:lang w:eastAsia="en-AU"/>
              </w:rPr>
              <w:t>0</w:t>
            </w:r>
          </w:p>
        </w:tc>
        <w:tc>
          <w:tcPr>
            <w:tcW w:w="851" w:type="dxa"/>
            <w:tcBorders>
              <w:top w:val="nil"/>
              <w:left w:val="nil"/>
              <w:bottom w:val="nil"/>
              <w:right w:val="single" w:sz="12" w:space="0" w:color="FF9E3C"/>
            </w:tcBorders>
            <w:shd w:val="clear" w:color="000000" w:fill="FFFFFF"/>
            <w:vAlign w:val="center"/>
            <w:hideMark/>
          </w:tcPr>
          <w:p w14:paraId="73B2061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-0.05</w:t>
            </w:r>
          </w:p>
        </w:tc>
        <w:tc>
          <w:tcPr>
            <w:tcW w:w="850" w:type="dxa"/>
            <w:tcBorders>
              <w:top w:val="nil"/>
              <w:left w:val="nil"/>
              <w:bottom w:val="nil"/>
              <w:right w:val="single" w:sz="12" w:space="0" w:color="FF9E3C"/>
            </w:tcBorders>
            <w:shd w:val="clear" w:color="000000" w:fill="FFFFFF"/>
            <w:vAlign w:val="center"/>
            <w:hideMark/>
          </w:tcPr>
          <w:p w14:paraId="0F9FC698"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0.24</w:t>
            </w:r>
          </w:p>
        </w:tc>
        <w:tc>
          <w:tcPr>
            <w:tcW w:w="856" w:type="dxa"/>
            <w:tcBorders>
              <w:top w:val="nil"/>
              <w:left w:val="nil"/>
              <w:bottom w:val="nil"/>
              <w:right w:val="single" w:sz="12" w:space="0" w:color="FF9E3C"/>
            </w:tcBorders>
            <w:shd w:val="clear" w:color="000000" w:fill="FFFFFF"/>
            <w:vAlign w:val="center"/>
            <w:hideMark/>
          </w:tcPr>
          <w:p w14:paraId="7F9277F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0.13</w:t>
            </w:r>
          </w:p>
        </w:tc>
        <w:tc>
          <w:tcPr>
            <w:tcW w:w="855" w:type="dxa"/>
            <w:tcBorders>
              <w:top w:val="nil"/>
              <w:left w:val="nil"/>
              <w:bottom w:val="nil"/>
              <w:right w:val="single" w:sz="12" w:space="0" w:color="FF9E3C"/>
            </w:tcBorders>
            <w:shd w:val="clear" w:color="000000" w:fill="FFFFFF"/>
            <w:vAlign w:val="center"/>
            <w:hideMark/>
          </w:tcPr>
          <w:p w14:paraId="3111ABF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0.11</w:t>
            </w:r>
          </w:p>
        </w:tc>
        <w:tc>
          <w:tcPr>
            <w:tcW w:w="846" w:type="dxa"/>
            <w:tcBorders>
              <w:top w:val="nil"/>
              <w:left w:val="nil"/>
              <w:bottom w:val="nil"/>
              <w:right w:val="single" w:sz="12" w:space="0" w:color="FF9E3C"/>
            </w:tcBorders>
            <w:shd w:val="clear" w:color="000000" w:fill="FFFFFF"/>
            <w:vAlign w:val="center"/>
            <w:hideMark/>
          </w:tcPr>
          <w:p w14:paraId="0DFE8C7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-0.01</w:t>
            </w:r>
          </w:p>
        </w:tc>
        <w:tc>
          <w:tcPr>
            <w:tcW w:w="851" w:type="dxa"/>
            <w:tcBorders>
              <w:top w:val="nil"/>
              <w:left w:val="nil"/>
              <w:bottom w:val="nil"/>
              <w:right w:val="single" w:sz="12" w:space="0" w:color="FF9E3C"/>
            </w:tcBorders>
            <w:shd w:val="clear" w:color="000000" w:fill="FFFFFF"/>
            <w:vAlign w:val="center"/>
            <w:hideMark/>
          </w:tcPr>
          <w:p w14:paraId="7960002E" w14:textId="2A6A2BA1"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w:t>
            </w:r>
            <w:r w:rsidR="00AE22C6">
              <w:rPr>
                <w:rFonts w:cs="Arial"/>
                <w:color w:val="1C3158"/>
                <w:sz w:val="18"/>
                <w:lang w:eastAsia="en-AU"/>
              </w:rPr>
              <w:t>0</w:t>
            </w:r>
          </w:p>
        </w:tc>
        <w:tc>
          <w:tcPr>
            <w:tcW w:w="847" w:type="dxa"/>
            <w:tcBorders>
              <w:top w:val="nil"/>
              <w:left w:val="nil"/>
              <w:bottom w:val="nil"/>
              <w:right w:val="single" w:sz="12" w:space="0" w:color="FF9E3C"/>
            </w:tcBorders>
            <w:shd w:val="clear" w:color="000000" w:fill="FFFFFF"/>
            <w:vAlign w:val="center"/>
            <w:hideMark/>
          </w:tcPr>
          <w:p w14:paraId="72F3D91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0.47</w:t>
            </w:r>
          </w:p>
        </w:tc>
        <w:tc>
          <w:tcPr>
            <w:tcW w:w="854" w:type="dxa"/>
            <w:tcBorders>
              <w:top w:val="nil"/>
              <w:left w:val="nil"/>
              <w:bottom w:val="nil"/>
              <w:right w:val="single" w:sz="12" w:space="0" w:color="FF9E3C"/>
            </w:tcBorders>
            <w:shd w:val="clear" w:color="000000" w:fill="FFFFFF"/>
            <w:vAlign w:val="center"/>
            <w:hideMark/>
          </w:tcPr>
          <w:p w14:paraId="0FDB8B3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0.18</w:t>
            </w:r>
          </w:p>
        </w:tc>
        <w:tc>
          <w:tcPr>
            <w:tcW w:w="855" w:type="dxa"/>
            <w:tcBorders>
              <w:top w:val="nil"/>
              <w:left w:val="nil"/>
              <w:bottom w:val="nil"/>
              <w:right w:val="single" w:sz="12" w:space="0" w:color="FF9E3C"/>
            </w:tcBorders>
            <w:shd w:val="clear" w:color="000000" w:fill="FFFFFF"/>
            <w:vAlign w:val="center"/>
            <w:hideMark/>
          </w:tcPr>
          <w:p w14:paraId="74778FD1" w14:textId="1097CC58"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w:t>
            </w:r>
            <w:r w:rsidR="00AE22C6">
              <w:rPr>
                <w:rFonts w:cs="Arial"/>
                <w:color w:val="1C3158"/>
                <w:sz w:val="18"/>
                <w:lang w:eastAsia="en-AU"/>
              </w:rPr>
              <w:t>.00</w:t>
            </w:r>
          </w:p>
        </w:tc>
      </w:tr>
      <w:tr w:rsidR="006F6929" w:rsidRPr="008442F0" w14:paraId="4F86F835" w14:textId="77777777" w:rsidTr="00406FB4">
        <w:trPr>
          <w:trHeight w:val="315"/>
        </w:trPr>
        <w:tc>
          <w:tcPr>
            <w:tcW w:w="1418" w:type="dxa"/>
            <w:vMerge/>
            <w:tcBorders>
              <w:top w:val="nil"/>
              <w:left w:val="single" w:sz="12" w:space="0" w:color="FF9E3C"/>
              <w:bottom w:val="single" w:sz="12" w:space="0" w:color="FF9E3C"/>
              <w:right w:val="single" w:sz="12" w:space="0" w:color="FF9E3C"/>
            </w:tcBorders>
            <w:vAlign w:val="center"/>
            <w:hideMark/>
          </w:tcPr>
          <w:p w14:paraId="771A2587"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851" w:type="dxa"/>
            <w:tcBorders>
              <w:top w:val="nil"/>
              <w:left w:val="nil"/>
              <w:bottom w:val="single" w:sz="12" w:space="0" w:color="FF9E3C"/>
              <w:right w:val="single" w:sz="12" w:space="0" w:color="FF9E3C"/>
            </w:tcBorders>
            <w:shd w:val="clear" w:color="000000" w:fill="FFFFFF"/>
            <w:vAlign w:val="center"/>
            <w:hideMark/>
          </w:tcPr>
          <w:p w14:paraId="411E95F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0.37</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4D6D051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0.61</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6A6A338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0.37</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0748986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0.63</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070B0AF3"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0.37</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4DAFBED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0.5</w:t>
            </w:r>
            <w:r>
              <w:rPr>
                <w:rFonts w:cs="Arial"/>
                <w:color w:val="1C3158"/>
                <w:sz w:val="18"/>
                <w:lang w:eastAsia="en-AU"/>
              </w:rPr>
              <w:t>0)</w:t>
            </w:r>
          </w:p>
        </w:tc>
        <w:tc>
          <w:tcPr>
            <w:tcW w:w="850" w:type="dxa"/>
            <w:tcBorders>
              <w:top w:val="nil"/>
              <w:left w:val="nil"/>
              <w:bottom w:val="single" w:sz="12" w:space="0" w:color="FF9E3C"/>
              <w:right w:val="single" w:sz="12" w:space="0" w:color="FF9E3C"/>
            </w:tcBorders>
            <w:shd w:val="clear" w:color="000000" w:fill="FFFFFF"/>
            <w:vAlign w:val="center"/>
            <w:hideMark/>
          </w:tcPr>
          <w:p w14:paraId="6A39A25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0.35</w:t>
            </w:r>
            <w:r>
              <w:rPr>
                <w:rFonts w:cs="Arial"/>
                <w:color w:val="1C3158"/>
                <w:sz w:val="18"/>
                <w:lang w:eastAsia="en-AU"/>
              </w:rPr>
              <w:t>)</w:t>
            </w:r>
          </w:p>
        </w:tc>
        <w:tc>
          <w:tcPr>
            <w:tcW w:w="856" w:type="dxa"/>
            <w:tcBorders>
              <w:top w:val="nil"/>
              <w:left w:val="nil"/>
              <w:bottom w:val="single" w:sz="12" w:space="0" w:color="FF9E3C"/>
              <w:right w:val="single" w:sz="12" w:space="0" w:color="FF9E3C"/>
            </w:tcBorders>
            <w:shd w:val="clear" w:color="000000" w:fill="FFFFFF"/>
            <w:vAlign w:val="center"/>
            <w:hideMark/>
          </w:tcPr>
          <w:p w14:paraId="4015A1B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0.47</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18E9FFF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0.25</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640C69D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0.31</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4B4513C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0.27</w:t>
            </w:r>
            <w:r>
              <w:rPr>
                <w:rFonts w:cs="Arial"/>
                <w:color w:val="1C3158"/>
                <w:sz w:val="18"/>
                <w:lang w:eastAsia="en-AU"/>
              </w:rPr>
              <w:t>)</w:t>
            </w:r>
          </w:p>
        </w:tc>
        <w:tc>
          <w:tcPr>
            <w:tcW w:w="847" w:type="dxa"/>
            <w:tcBorders>
              <w:top w:val="nil"/>
              <w:left w:val="nil"/>
              <w:bottom w:val="single" w:sz="12" w:space="0" w:color="FF9E3C"/>
              <w:right w:val="single" w:sz="12" w:space="0" w:color="FF9E3C"/>
            </w:tcBorders>
            <w:shd w:val="clear" w:color="000000" w:fill="FFFFFF"/>
            <w:vAlign w:val="center"/>
            <w:hideMark/>
          </w:tcPr>
          <w:p w14:paraId="3415903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0.31</w:t>
            </w:r>
            <w:r>
              <w:rPr>
                <w:rFonts w:cs="Arial"/>
                <w:color w:val="1C3158"/>
                <w:sz w:val="18"/>
                <w:lang w:eastAsia="en-AU"/>
              </w:rPr>
              <w:t>)</w:t>
            </w:r>
          </w:p>
        </w:tc>
        <w:tc>
          <w:tcPr>
            <w:tcW w:w="854" w:type="dxa"/>
            <w:tcBorders>
              <w:top w:val="nil"/>
              <w:left w:val="nil"/>
              <w:bottom w:val="single" w:sz="12" w:space="0" w:color="FF9E3C"/>
              <w:right w:val="single" w:sz="12" w:space="0" w:color="FF9E3C"/>
            </w:tcBorders>
            <w:shd w:val="clear" w:color="000000" w:fill="FFFFFF"/>
            <w:vAlign w:val="center"/>
            <w:hideMark/>
          </w:tcPr>
          <w:p w14:paraId="3A4B5C2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0.11</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781B6F3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0.21</w:t>
            </w:r>
            <w:r>
              <w:rPr>
                <w:rFonts w:cs="Arial"/>
                <w:color w:val="1C3158"/>
                <w:sz w:val="18"/>
                <w:lang w:eastAsia="en-AU"/>
              </w:rPr>
              <w:t>)</w:t>
            </w:r>
          </w:p>
        </w:tc>
      </w:tr>
      <w:tr w:rsidR="006F6929" w:rsidRPr="008442F0" w14:paraId="15D3405B" w14:textId="77777777" w:rsidTr="00406FB4">
        <w:trPr>
          <w:trHeight w:val="315"/>
        </w:trPr>
        <w:tc>
          <w:tcPr>
            <w:tcW w:w="1418"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07ECF814"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Asian</w:t>
            </w:r>
            <w:r w:rsidRPr="008442F0">
              <w:rPr>
                <w:rFonts w:cs="Arial"/>
                <w:color w:val="1C3158"/>
                <w:sz w:val="18"/>
                <w:lang w:eastAsia="en-AU"/>
              </w:rPr>
              <w:br/>
              <w:t>(n = 136)</w:t>
            </w:r>
          </w:p>
        </w:tc>
        <w:tc>
          <w:tcPr>
            <w:tcW w:w="851" w:type="dxa"/>
            <w:tcBorders>
              <w:top w:val="nil"/>
              <w:left w:val="nil"/>
              <w:bottom w:val="nil"/>
              <w:right w:val="single" w:sz="12" w:space="0" w:color="FF9E3C"/>
            </w:tcBorders>
            <w:shd w:val="clear" w:color="000000" w:fill="FFFFFF"/>
            <w:vAlign w:val="center"/>
            <w:hideMark/>
          </w:tcPr>
          <w:p w14:paraId="28F5BD2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-0.08</w:t>
            </w:r>
          </w:p>
        </w:tc>
        <w:tc>
          <w:tcPr>
            <w:tcW w:w="850" w:type="dxa"/>
            <w:tcBorders>
              <w:top w:val="nil"/>
              <w:left w:val="nil"/>
              <w:bottom w:val="nil"/>
              <w:right w:val="single" w:sz="12" w:space="0" w:color="FF9E3C"/>
            </w:tcBorders>
            <w:shd w:val="clear" w:color="000000" w:fill="FFFFFF"/>
            <w:vAlign w:val="center"/>
            <w:hideMark/>
          </w:tcPr>
          <w:p w14:paraId="7667641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-0.52</w:t>
            </w:r>
          </w:p>
        </w:tc>
        <w:tc>
          <w:tcPr>
            <w:tcW w:w="846" w:type="dxa"/>
            <w:tcBorders>
              <w:top w:val="nil"/>
              <w:left w:val="nil"/>
              <w:bottom w:val="nil"/>
              <w:right w:val="single" w:sz="12" w:space="0" w:color="FF9E3C"/>
            </w:tcBorders>
            <w:shd w:val="clear" w:color="000000" w:fill="FFFFFF"/>
            <w:vAlign w:val="center"/>
            <w:hideMark/>
          </w:tcPr>
          <w:p w14:paraId="777823D7"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0.09</w:t>
            </w:r>
          </w:p>
        </w:tc>
        <w:tc>
          <w:tcPr>
            <w:tcW w:w="855" w:type="dxa"/>
            <w:tcBorders>
              <w:top w:val="nil"/>
              <w:left w:val="nil"/>
              <w:bottom w:val="nil"/>
              <w:right w:val="single" w:sz="12" w:space="0" w:color="FF9E3C"/>
            </w:tcBorders>
            <w:shd w:val="clear" w:color="000000" w:fill="FFFFFF"/>
            <w:vAlign w:val="center"/>
            <w:hideMark/>
          </w:tcPr>
          <w:p w14:paraId="5703EC9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-0.05</w:t>
            </w:r>
          </w:p>
        </w:tc>
        <w:tc>
          <w:tcPr>
            <w:tcW w:w="850" w:type="dxa"/>
            <w:tcBorders>
              <w:top w:val="nil"/>
              <w:left w:val="nil"/>
              <w:bottom w:val="nil"/>
              <w:right w:val="single" w:sz="12" w:space="0" w:color="FF9E3C"/>
            </w:tcBorders>
            <w:shd w:val="clear" w:color="000000" w:fill="FFFFFF"/>
            <w:vAlign w:val="center"/>
            <w:hideMark/>
          </w:tcPr>
          <w:p w14:paraId="4C99001A" w14:textId="16649CB6"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w:t>
            </w:r>
            <w:r w:rsidR="00AE22C6">
              <w:rPr>
                <w:rFonts w:cs="Arial"/>
                <w:color w:val="1C3158"/>
                <w:sz w:val="18"/>
                <w:lang w:eastAsia="en-AU"/>
              </w:rPr>
              <w:t>0</w:t>
            </w:r>
          </w:p>
        </w:tc>
        <w:tc>
          <w:tcPr>
            <w:tcW w:w="851" w:type="dxa"/>
            <w:tcBorders>
              <w:top w:val="nil"/>
              <w:left w:val="nil"/>
              <w:bottom w:val="nil"/>
              <w:right w:val="single" w:sz="12" w:space="0" w:color="FF9E3C"/>
            </w:tcBorders>
            <w:shd w:val="clear" w:color="000000" w:fill="FFFFFF"/>
            <w:vAlign w:val="center"/>
            <w:hideMark/>
          </w:tcPr>
          <w:p w14:paraId="24A5C0B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0.23</w:t>
            </w:r>
          </w:p>
        </w:tc>
        <w:tc>
          <w:tcPr>
            <w:tcW w:w="850" w:type="dxa"/>
            <w:tcBorders>
              <w:top w:val="nil"/>
              <w:left w:val="nil"/>
              <w:bottom w:val="nil"/>
              <w:right w:val="single" w:sz="12" w:space="0" w:color="FF9E3C"/>
            </w:tcBorders>
            <w:shd w:val="clear" w:color="000000" w:fill="FFFFFF"/>
            <w:vAlign w:val="center"/>
            <w:hideMark/>
          </w:tcPr>
          <w:p w14:paraId="05DEC2B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-0.04</w:t>
            </w:r>
          </w:p>
        </w:tc>
        <w:tc>
          <w:tcPr>
            <w:tcW w:w="856" w:type="dxa"/>
            <w:tcBorders>
              <w:top w:val="nil"/>
              <w:left w:val="nil"/>
              <w:bottom w:val="nil"/>
              <w:right w:val="single" w:sz="12" w:space="0" w:color="FF9E3C"/>
            </w:tcBorders>
            <w:shd w:val="clear" w:color="000000" w:fill="FFFFFF"/>
            <w:vAlign w:val="center"/>
            <w:hideMark/>
          </w:tcPr>
          <w:p w14:paraId="4DE17E1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-0.23</w:t>
            </w:r>
          </w:p>
        </w:tc>
        <w:tc>
          <w:tcPr>
            <w:tcW w:w="855" w:type="dxa"/>
            <w:tcBorders>
              <w:top w:val="nil"/>
              <w:left w:val="nil"/>
              <w:bottom w:val="nil"/>
              <w:right w:val="single" w:sz="12" w:space="0" w:color="FF9E3C"/>
            </w:tcBorders>
            <w:shd w:val="clear" w:color="000000" w:fill="FFFFFF"/>
            <w:vAlign w:val="center"/>
            <w:hideMark/>
          </w:tcPr>
          <w:p w14:paraId="5EAFF3E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0.43</w:t>
            </w:r>
          </w:p>
        </w:tc>
        <w:tc>
          <w:tcPr>
            <w:tcW w:w="846" w:type="dxa"/>
            <w:tcBorders>
              <w:top w:val="nil"/>
              <w:left w:val="nil"/>
              <w:bottom w:val="nil"/>
              <w:right w:val="single" w:sz="12" w:space="0" w:color="FF9E3C"/>
            </w:tcBorders>
            <w:shd w:val="clear" w:color="000000" w:fill="FFFFFF"/>
            <w:vAlign w:val="center"/>
            <w:hideMark/>
          </w:tcPr>
          <w:p w14:paraId="1F2BD44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0.41</w:t>
            </w:r>
          </w:p>
        </w:tc>
        <w:tc>
          <w:tcPr>
            <w:tcW w:w="851" w:type="dxa"/>
            <w:tcBorders>
              <w:top w:val="nil"/>
              <w:left w:val="nil"/>
              <w:bottom w:val="nil"/>
              <w:right w:val="single" w:sz="12" w:space="0" w:color="FF9E3C"/>
            </w:tcBorders>
            <w:shd w:val="clear" w:color="000000" w:fill="FFFFFF"/>
            <w:vAlign w:val="center"/>
            <w:hideMark/>
          </w:tcPr>
          <w:p w14:paraId="6F7C9EC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0.47</w:t>
            </w:r>
          </w:p>
        </w:tc>
        <w:tc>
          <w:tcPr>
            <w:tcW w:w="847" w:type="dxa"/>
            <w:tcBorders>
              <w:top w:val="nil"/>
              <w:left w:val="nil"/>
              <w:bottom w:val="nil"/>
              <w:right w:val="single" w:sz="12" w:space="0" w:color="FF9E3C"/>
            </w:tcBorders>
            <w:shd w:val="clear" w:color="000000" w:fill="FFFFFF"/>
            <w:vAlign w:val="center"/>
            <w:hideMark/>
          </w:tcPr>
          <w:p w14:paraId="1AE5495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-0.39</w:t>
            </w:r>
          </w:p>
        </w:tc>
        <w:tc>
          <w:tcPr>
            <w:tcW w:w="854" w:type="dxa"/>
            <w:tcBorders>
              <w:top w:val="nil"/>
              <w:left w:val="nil"/>
              <w:bottom w:val="nil"/>
              <w:right w:val="single" w:sz="12" w:space="0" w:color="FF9E3C"/>
            </w:tcBorders>
            <w:shd w:val="clear" w:color="000000" w:fill="FFFFFF"/>
            <w:vAlign w:val="center"/>
            <w:hideMark/>
          </w:tcPr>
          <w:p w14:paraId="693A3AE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0.09</w:t>
            </w:r>
          </w:p>
        </w:tc>
        <w:tc>
          <w:tcPr>
            <w:tcW w:w="855" w:type="dxa"/>
            <w:tcBorders>
              <w:top w:val="nil"/>
              <w:left w:val="nil"/>
              <w:bottom w:val="nil"/>
              <w:right w:val="single" w:sz="12" w:space="0" w:color="FF9E3C"/>
            </w:tcBorders>
            <w:shd w:val="clear" w:color="000000" w:fill="FFFFFF"/>
            <w:vAlign w:val="center"/>
            <w:hideMark/>
          </w:tcPr>
          <w:p w14:paraId="79F3B77D" w14:textId="2CDCB721"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w:t>
            </w:r>
            <w:r w:rsidR="00AE22C6">
              <w:rPr>
                <w:rFonts w:cs="Arial"/>
                <w:color w:val="1C3158"/>
                <w:sz w:val="18"/>
                <w:lang w:eastAsia="en-AU"/>
              </w:rPr>
              <w:t>0</w:t>
            </w:r>
          </w:p>
        </w:tc>
      </w:tr>
      <w:tr w:rsidR="006F6929" w:rsidRPr="008442F0" w14:paraId="2508F3E6" w14:textId="77777777" w:rsidTr="00406FB4">
        <w:trPr>
          <w:trHeight w:val="315"/>
        </w:trPr>
        <w:tc>
          <w:tcPr>
            <w:tcW w:w="1418" w:type="dxa"/>
            <w:vMerge/>
            <w:tcBorders>
              <w:top w:val="nil"/>
              <w:left w:val="single" w:sz="12" w:space="0" w:color="FF9E3C"/>
              <w:bottom w:val="single" w:sz="12" w:space="0" w:color="FF9E3C"/>
              <w:right w:val="single" w:sz="12" w:space="0" w:color="FF9E3C"/>
            </w:tcBorders>
            <w:vAlign w:val="center"/>
            <w:hideMark/>
          </w:tcPr>
          <w:p w14:paraId="6458A5F8"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851" w:type="dxa"/>
            <w:tcBorders>
              <w:top w:val="nil"/>
              <w:left w:val="nil"/>
              <w:bottom w:val="single" w:sz="12" w:space="0" w:color="FF9E3C"/>
              <w:right w:val="single" w:sz="12" w:space="0" w:color="FF9E3C"/>
            </w:tcBorders>
            <w:shd w:val="clear" w:color="000000" w:fill="FFFFFF"/>
            <w:vAlign w:val="center"/>
            <w:hideMark/>
          </w:tcPr>
          <w:p w14:paraId="37E3FCCD"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0.36</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406618E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0.6</w:t>
            </w:r>
            <w:r>
              <w:rPr>
                <w:rFonts w:cs="Arial"/>
                <w:color w:val="1C3158"/>
                <w:sz w:val="18"/>
                <w:lang w:eastAsia="en-AU"/>
              </w:rPr>
              <w:t>0)</w:t>
            </w:r>
          </w:p>
        </w:tc>
        <w:tc>
          <w:tcPr>
            <w:tcW w:w="846" w:type="dxa"/>
            <w:tcBorders>
              <w:top w:val="nil"/>
              <w:left w:val="nil"/>
              <w:bottom w:val="single" w:sz="12" w:space="0" w:color="FF9E3C"/>
              <w:right w:val="single" w:sz="12" w:space="0" w:color="FF9E3C"/>
            </w:tcBorders>
            <w:shd w:val="clear" w:color="000000" w:fill="FFFFFF"/>
            <w:vAlign w:val="center"/>
            <w:hideMark/>
          </w:tcPr>
          <w:p w14:paraId="27D6BE0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0.36</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7445A18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0.62</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2E53C49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0.36</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5EA8AB7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0.49</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07C5F3C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0.33</w:t>
            </w:r>
            <w:r>
              <w:rPr>
                <w:rFonts w:cs="Arial"/>
                <w:color w:val="1C3158"/>
                <w:sz w:val="18"/>
                <w:lang w:eastAsia="en-AU"/>
              </w:rPr>
              <w:t>)</w:t>
            </w:r>
          </w:p>
        </w:tc>
        <w:tc>
          <w:tcPr>
            <w:tcW w:w="856" w:type="dxa"/>
            <w:tcBorders>
              <w:top w:val="nil"/>
              <w:left w:val="nil"/>
              <w:bottom w:val="single" w:sz="12" w:space="0" w:color="FF9E3C"/>
              <w:right w:val="single" w:sz="12" w:space="0" w:color="FF9E3C"/>
            </w:tcBorders>
            <w:shd w:val="clear" w:color="000000" w:fill="FFFFFF"/>
            <w:vAlign w:val="center"/>
            <w:hideMark/>
          </w:tcPr>
          <w:p w14:paraId="5026F2F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0.46</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0142B782"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0.24</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7786B34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0.31</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05991F84"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0.26</w:t>
            </w:r>
            <w:r>
              <w:rPr>
                <w:rFonts w:cs="Arial"/>
                <w:color w:val="1C3158"/>
                <w:sz w:val="18"/>
                <w:lang w:eastAsia="en-AU"/>
              </w:rPr>
              <w:t>)</w:t>
            </w:r>
          </w:p>
        </w:tc>
        <w:tc>
          <w:tcPr>
            <w:tcW w:w="847" w:type="dxa"/>
            <w:tcBorders>
              <w:top w:val="nil"/>
              <w:left w:val="nil"/>
              <w:bottom w:val="single" w:sz="12" w:space="0" w:color="FF9E3C"/>
              <w:right w:val="single" w:sz="12" w:space="0" w:color="FF9E3C"/>
            </w:tcBorders>
            <w:shd w:val="clear" w:color="000000" w:fill="FFFFFF"/>
            <w:vAlign w:val="center"/>
            <w:hideMark/>
          </w:tcPr>
          <w:p w14:paraId="5E5AACB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w:t>
            </w:r>
            <w:r>
              <w:rPr>
                <w:rFonts w:cs="Arial"/>
                <w:color w:val="1C3158"/>
                <w:sz w:val="18"/>
                <w:lang w:eastAsia="en-AU"/>
              </w:rPr>
              <w:t>0)</w:t>
            </w:r>
          </w:p>
        </w:tc>
        <w:tc>
          <w:tcPr>
            <w:tcW w:w="854" w:type="dxa"/>
            <w:tcBorders>
              <w:top w:val="nil"/>
              <w:left w:val="nil"/>
              <w:bottom w:val="single" w:sz="12" w:space="0" w:color="FF9E3C"/>
              <w:right w:val="single" w:sz="12" w:space="0" w:color="FF9E3C"/>
            </w:tcBorders>
            <w:shd w:val="clear" w:color="000000" w:fill="FFFFFF"/>
            <w:vAlign w:val="center"/>
            <w:hideMark/>
          </w:tcPr>
          <w:p w14:paraId="57A1F227"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0.11</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7AD3A90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0.21</w:t>
            </w:r>
            <w:r>
              <w:rPr>
                <w:rFonts w:cs="Arial"/>
                <w:color w:val="1C3158"/>
                <w:sz w:val="18"/>
                <w:lang w:eastAsia="en-AU"/>
              </w:rPr>
              <w:t>)</w:t>
            </w:r>
          </w:p>
        </w:tc>
      </w:tr>
      <w:tr w:rsidR="006F6929" w:rsidRPr="008442F0" w14:paraId="38274400" w14:textId="77777777" w:rsidTr="00406FB4">
        <w:trPr>
          <w:trHeight w:val="315"/>
        </w:trPr>
        <w:tc>
          <w:tcPr>
            <w:tcW w:w="1418"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63817D6B" w14:textId="77777777" w:rsidR="006F6929" w:rsidRPr="008442F0" w:rsidRDefault="006F6929" w:rsidP="00406FB4">
            <w:pPr>
              <w:tabs>
                <w:tab w:val="clear" w:pos="426"/>
              </w:tabs>
              <w:spacing w:before="0" w:after="0" w:line="240" w:lineRule="auto"/>
              <w:ind w:left="0" w:right="0"/>
              <w:rPr>
                <w:rFonts w:cs="Arial"/>
                <w:color w:val="1C3158"/>
                <w:sz w:val="18"/>
                <w:lang w:eastAsia="ja-JP"/>
              </w:rPr>
            </w:pPr>
            <w:r w:rsidRPr="008442F0">
              <w:rPr>
                <w:rFonts w:cs="Arial"/>
                <w:color w:val="1C3158"/>
                <w:sz w:val="18"/>
                <w:lang w:eastAsia="en-AU"/>
              </w:rPr>
              <w:t>Other</w:t>
            </w:r>
            <w:r w:rsidRPr="008442F0">
              <w:rPr>
                <w:rFonts w:cs="Arial"/>
                <w:color w:val="1C3158"/>
                <w:sz w:val="18"/>
                <w:lang w:eastAsia="en-AU"/>
              </w:rPr>
              <w:br/>
              <w:t>(n = 149)</w:t>
            </w:r>
          </w:p>
        </w:tc>
        <w:tc>
          <w:tcPr>
            <w:tcW w:w="851" w:type="dxa"/>
            <w:tcBorders>
              <w:top w:val="nil"/>
              <w:left w:val="nil"/>
              <w:bottom w:val="nil"/>
              <w:right w:val="single" w:sz="12" w:space="0" w:color="FF9E3C"/>
            </w:tcBorders>
            <w:shd w:val="clear" w:color="000000" w:fill="FFFFFF"/>
            <w:vAlign w:val="center"/>
            <w:hideMark/>
          </w:tcPr>
          <w:p w14:paraId="79B55AE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0.28</w:t>
            </w:r>
          </w:p>
        </w:tc>
        <w:tc>
          <w:tcPr>
            <w:tcW w:w="850" w:type="dxa"/>
            <w:tcBorders>
              <w:top w:val="nil"/>
              <w:left w:val="nil"/>
              <w:bottom w:val="nil"/>
              <w:right w:val="single" w:sz="12" w:space="0" w:color="FF9E3C"/>
            </w:tcBorders>
            <w:shd w:val="clear" w:color="000000" w:fill="FFFFFF"/>
            <w:vAlign w:val="center"/>
            <w:hideMark/>
          </w:tcPr>
          <w:p w14:paraId="3D6DDC8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-0.43</w:t>
            </w:r>
          </w:p>
        </w:tc>
        <w:tc>
          <w:tcPr>
            <w:tcW w:w="846" w:type="dxa"/>
            <w:tcBorders>
              <w:top w:val="nil"/>
              <w:left w:val="nil"/>
              <w:bottom w:val="nil"/>
              <w:right w:val="single" w:sz="12" w:space="0" w:color="FF9E3C"/>
            </w:tcBorders>
            <w:shd w:val="clear" w:color="000000" w:fill="FFFFFF"/>
            <w:vAlign w:val="center"/>
            <w:hideMark/>
          </w:tcPr>
          <w:p w14:paraId="3AB254A7"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0.05</w:t>
            </w:r>
          </w:p>
        </w:tc>
        <w:tc>
          <w:tcPr>
            <w:tcW w:w="855" w:type="dxa"/>
            <w:tcBorders>
              <w:top w:val="nil"/>
              <w:left w:val="nil"/>
              <w:bottom w:val="nil"/>
              <w:right w:val="single" w:sz="12" w:space="0" w:color="FF9E3C"/>
            </w:tcBorders>
            <w:shd w:val="clear" w:color="000000" w:fill="FFFFFF"/>
            <w:vAlign w:val="center"/>
            <w:hideMark/>
          </w:tcPr>
          <w:p w14:paraId="66665F2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-0.16</w:t>
            </w:r>
          </w:p>
        </w:tc>
        <w:tc>
          <w:tcPr>
            <w:tcW w:w="850" w:type="dxa"/>
            <w:tcBorders>
              <w:top w:val="nil"/>
              <w:left w:val="nil"/>
              <w:bottom w:val="nil"/>
              <w:right w:val="single" w:sz="12" w:space="0" w:color="FF9E3C"/>
            </w:tcBorders>
            <w:shd w:val="clear" w:color="000000" w:fill="FFFFFF"/>
            <w:vAlign w:val="center"/>
            <w:hideMark/>
          </w:tcPr>
          <w:p w14:paraId="005E8A1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0.08</w:t>
            </w:r>
          </w:p>
        </w:tc>
        <w:tc>
          <w:tcPr>
            <w:tcW w:w="851" w:type="dxa"/>
            <w:tcBorders>
              <w:top w:val="nil"/>
              <w:left w:val="nil"/>
              <w:bottom w:val="nil"/>
              <w:right w:val="single" w:sz="12" w:space="0" w:color="FF9E3C"/>
            </w:tcBorders>
            <w:shd w:val="clear" w:color="000000" w:fill="FFFFFF"/>
            <w:vAlign w:val="center"/>
            <w:hideMark/>
          </w:tcPr>
          <w:p w14:paraId="45E412B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0.39</w:t>
            </w:r>
          </w:p>
        </w:tc>
        <w:tc>
          <w:tcPr>
            <w:tcW w:w="850" w:type="dxa"/>
            <w:tcBorders>
              <w:top w:val="nil"/>
              <w:left w:val="nil"/>
              <w:bottom w:val="nil"/>
              <w:right w:val="single" w:sz="12" w:space="0" w:color="FF9E3C"/>
            </w:tcBorders>
            <w:shd w:val="clear" w:color="000000" w:fill="FFFFFF"/>
            <w:vAlign w:val="center"/>
            <w:hideMark/>
          </w:tcPr>
          <w:p w14:paraId="59AE83B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0.28</w:t>
            </w:r>
          </w:p>
        </w:tc>
        <w:tc>
          <w:tcPr>
            <w:tcW w:w="856" w:type="dxa"/>
            <w:tcBorders>
              <w:top w:val="nil"/>
              <w:left w:val="nil"/>
              <w:bottom w:val="nil"/>
              <w:right w:val="single" w:sz="12" w:space="0" w:color="FF9E3C"/>
            </w:tcBorders>
            <w:shd w:val="clear" w:color="000000" w:fill="FFFFFF"/>
            <w:vAlign w:val="center"/>
            <w:hideMark/>
          </w:tcPr>
          <w:p w14:paraId="1700FE0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0.08</w:t>
            </w:r>
          </w:p>
        </w:tc>
        <w:tc>
          <w:tcPr>
            <w:tcW w:w="855" w:type="dxa"/>
            <w:tcBorders>
              <w:top w:val="nil"/>
              <w:left w:val="nil"/>
              <w:bottom w:val="nil"/>
              <w:right w:val="single" w:sz="12" w:space="0" w:color="FF9E3C"/>
            </w:tcBorders>
            <w:shd w:val="clear" w:color="000000" w:fill="FFFFFF"/>
            <w:vAlign w:val="center"/>
            <w:hideMark/>
          </w:tcPr>
          <w:p w14:paraId="1C1DD22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0.23</w:t>
            </w:r>
          </w:p>
        </w:tc>
        <w:tc>
          <w:tcPr>
            <w:tcW w:w="846" w:type="dxa"/>
            <w:tcBorders>
              <w:top w:val="nil"/>
              <w:left w:val="nil"/>
              <w:bottom w:val="nil"/>
              <w:right w:val="single" w:sz="12" w:space="0" w:color="FF9E3C"/>
            </w:tcBorders>
            <w:shd w:val="clear" w:color="000000" w:fill="FFFFFF"/>
            <w:vAlign w:val="center"/>
            <w:hideMark/>
          </w:tcPr>
          <w:p w14:paraId="3F1498F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0.29</w:t>
            </w:r>
          </w:p>
        </w:tc>
        <w:tc>
          <w:tcPr>
            <w:tcW w:w="851" w:type="dxa"/>
            <w:tcBorders>
              <w:top w:val="nil"/>
              <w:left w:val="nil"/>
              <w:bottom w:val="nil"/>
              <w:right w:val="single" w:sz="12" w:space="0" w:color="FF9E3C"/>
            </w:tcBorders>
            <w:shd w:val="clear" w:color="000000" w:fill="FFFFFF"/>
            <w:vAlign w:val="center"/>
            <w:hideMark/>
          </w:tcPr>
          <w:p w14:paraId="143DBB77"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0.46</w:t>
            </w:r>
          </w:p>
        </w:tc>
        <w:tc>
          <w:tcPr>
            <w:tcW w:w="847" w:type="dxa"/>
            <w:tcBorders>
              <w:top w:val="nil"/>
              <w:left w:val="nil"/>
              <w:bottom w:val="nil"/>
              <w:right w:val="single" w:sz="12" w:space="0" w:color="FF9E3C"/>
            </w:tcBorders>
            <w:shd w:val="clear" w:color="000000" w:fill="FFFFFF"/>
            <w:vAlign w:val="center"/>
            <w:hideMark/>
          </w:tcPr>
          <w:p w14:paraId="1F4D7563" w14:textId="2A86F4A8"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-0.5</w:t>
            </w:r>
            <w:r w:rsidR="00AE22C6">
              <w:rPr>
                <w:rFonts w:cs="Arial"/>
                <w:color w:val="1C3158"/>
                <w:sz w:val="18"/>
                <w:lang w:eastAsia="en-AU"/>
              </w:rPr>
              <w:t>0</w:t>
            </w:r>
          </w:p>
        </w:tc>
        <w:tc>
          <w:tcPr>
            <w:tcW w:w="854" w:type="dxa"/>
            <w:tcBorders>
              <w:top w:val="nil"/>
              <w:left w:val="nil"/>
              <w:bottom w:val="nil"/>
              <w:right w:val="single" w:sz="12" w:space="0" w:color="FF9E3C"/>
            </w:tcBorders>
            <w:shd w:val="clear" w:color="000000" w:fill="FFFFFF"/>
            <w:vAlign w:val="center"/>
            <w:hideMark/>
          </w:tcPr>
          <w:p w14:paraId="799D106F"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0.18</w:t>
            </w:r>
          </w:p>
        </w:tc>
        <w:tc>
          <w:tcPr>
            <w:tcW w:w="855" w:type="dxa"/>
            <w:tcBorders>
              <w:top w:val="nil"/>
              <w:left w:val="nil"/>
              <w:bottom w:val="nil"/>
              <w:right w:val="single" w:sz="12" w:space="0" w:color="FF9E3C"/>
            </w:tcBorders>
            <w:shd w:val="clear" w:color="000000" w:fill="FFFFFF"/>
            <w:vAlign w:val="center"/>
            <w:hideMark/>
          </w:tcPr>
          <w:p w14:paraId="198C586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sidRPr="008442F0">
              <w:rPr>
                <w:rFonts w:cs="Arial"/>
                <w:color w:val="1C3158"/>
                <w:sz w:val="18"/>
                <w:lang w:eastAsia="en-AU"/>
              </w:rPr>
              <w:t>-0.04</w:t>
            </w:r>
          </w:p>
        </w:tc>
      </w:tr>
      <w:tr w:rsidR="006F6929" w:rsidRPr="008442F0" w14:paraId="184ACF2F" w14:textId="77777777" w:rsidTr="00406FB4">
        <w:trPr>
          <w:trHeight w:val="315"/>
        </w:trPr>
        <w:tc>
          <w:tcPr>
            <w:tcW w:w="1418" w:type="dxa"/>
            <w:vMerge/>
            <w:tcBorders>
              <w:top w:val="nil"/>
              <w:left w:val="single" w:sz="12" w:space="0" w:color="FF9E3C"/>
              <w:bottom w:val="single" w:sz="12" w:space="0" w:color="FF9E3C"/>
              <w:right w:val="single" w:sz="12" w:space="0" w:color="FF9E3C"/>
            </w:tcBorders>
            <w:vAlign w:val="center"/>
            <w:hideMark/>
          </w:tcPr>
          <w:p w14:paraId="556887C5" w14:textId="77777777" w:rsidR="006F6929" w:rsidRPr="008442F0" w:rsidRDefault="006F6929" w:rsidP="00406FB4">
            <w:pPr>
              <w:tabs>
                <w:tab w:val="clear" w:pos="426"/>
              </w:tabs>
              <w:spacing w:before="0" w:after="0" w:line="240" w:lineRule="auto"/>
              <w:ind w:left="0" w:right="0"/>
              <w:rPr>
                <w:rFonts w:cs="Arial"/>
                <w:color w:val="1C3158"/>
                <w:sz w:val="18"/>
                <w:lang w:eastAsia="ja-JP"/>
              </w:rPr>
            </w:pPr>
          </w:p>
        </w:tc>
        <w:tc>
          <w:tcPr>
            <w:tcW w:w="851" w:type="dxa"/>
            <w:tcBorders>
              <w:top w:val="nil"/>
              <w:left w:val="nil"/>
              <w:bottom w:val="single" w:sz="12" w:space="0" w:color="FF9E3C"/>
              <w:right w:val="single" w:sz="12" w:space="0" w:color="FF9E3C"/>
            </w:tcBorders>
            <w:shd w:val="clear" w:color="000000" w:fill="FFFFFF"/>
            <w:vAlign w:val="center"/>
            <w:hideMark/>
          </w:tcPr>
          <w:p w14:paraId="262D6D4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0.34</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37C5248A"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0.53</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21179861"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0.34</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213D7757"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0.54</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4E17FDA0"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0.34</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0969C5BC"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0.43</w:t>
            </w:r>
            <w:r>
              <w:rPr>
                <w:rFonts w:cs="Arial"/>
                <w:color w:val="1C3158"/>
                <w:sz w:val="18"/>
                <w:lang w:eastAsia="en-AU"/>
              </w:rPr>
              <w:t>)</w:t>
            </w:r>
          </w:p>
        </w:tc>
        <w:tc>
          <w:tcPr>
            <w:tcW w:w="850" w:type="dxa"/>
            <w:tcBorders>
              <w:top w:val="nil"/>
              <w:left w:val="nil"/>
              <w:bottom w:val="single" w:sz="12" w:space="0" w:color="FF9E3C"/>
              <w:right w:val="single" w:sz="12" w:space="0" w:color="FF9E3C"/>
            </w:tcBorders>
            <w:shd w:val="clear" w:color="000000" w:fill="FFFFFF"/>
            <w:vAlign w:val="center"/>
            <w:hideMark/>
          </w:tcPr>
          <w:p w14:paraId="39D37246"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0.31</w:t>
            </w:r>
            <w:r>
              <w:rPr>
                <w:rFonts w:cs="Arial"/>
                <w:color w:val="1C3158"/>
                <w:sz w:val="18"/>
                <w:lang w:eastAsia="en-AU"/>
              </w:rPr>
              <w:t>)</w:t>
            </w:r>
          </w:p>
        </w:tc>
        <w:tc>
          <w:tcPr>
            <w:tcW w:w="856" w:type="dxa"/>
            <w:tcBorders>
              <w:top w:val="nil"/>
              <w:left w:val="nil"/>
              <w:bottom w:val="single" w:sz="12" w:space="0" w:color="FF9E3C"/>
              <w:right w:val="single" w:sz="12" w:space="0" w:color="FF9E3C"/>
            </w:tcBorders>
            <w:shd w:val="clear" w:color="000000" w:fill="FFFFFF"/>
            <w:vAlign w:val="center"/>
            <w:hideMark/>
          </w:tcPr>
          <w:p w14:paraId="7FD3AB03"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0.41</w:t>
            </w:r>
            <w:r>
              <w:rPr>
                <w:rFonts w:cs="Arial"/>
                <w:color w:val="1C3158"/>
                <w:sz w:val="18"/>
                <w:lang w:eastAsia="en-AU"/>
              </w:rPr>
              <w:t>)</w:t>
            </w:r>
          </w:p>
        </w:tc>
        <w:tc>
          <w:tcPr>
            <w:tcW w:w="855" w:type="dxa"/>
            <w:tcBorders>
              <w:top w:val="nil"/>
              <w:left w:val="nil"/>
              <w:bottom w:val="single" w:sz="12" w:space="0" w:color="FF9E3C"/>
              <w:right w:val="single" w:sz="12" w:space="0" w:color="FF9E3C"/>
            </w:tcBorders>
            <w:shd w:val="clear" w:color="000000" w:fill="FFFFFF"/>
            <w:vAlign w:val="center"/>
            <w:hideMark/>
          </w:tcPr>
          <w:p w14:paraId="76548C2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0.23</w:t>
            </w:r>
            <w:r>
              <w:rPr>
                <w:rFonts w:cs="Arial"/>
                <w:color w:val="1C3158"/>
                <w:sz w:val="18"/>
                <w:lang w:eastAsia="en-AU"/>
              </w:rPr>
              <w:t>)</w:t>
            </w:r>
          </w:p>
        </w:tc>
        <w:tc>
          <w:tcPr>
            <w:tcW w:w="846" w:type="dxa"/>
            <w:tcBorders>
              <w:top w:val="nil"/>
              <w:left w:val="nil"/>
              <w:bottom w:val="single" w:sz="12" w:space="0" w:color="FF9E3C"/>
              <w:right w:val="single" w:sz="12" w:space="0" w:color="FF9E3C"/>
            </w:tcBorders>
            <w:shd w:val="clear" w:color="000000" w:fill="FFFFFF"/>
            <w:vAlign w:val="center"/>
            <w:hideMark/>
          </w:tcPr>
          <w:p w14:paraId="24916399"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0.27</w:t>
            </w:r>
            <w:r>
              <w:rPr>
                <w:rFonts w:cs="Arial"/>
                <w:color w:val="1C3158"/>
                <w:sz w:val="18"/>
                <w:lang w:eastAsia="en-AU"/>
              </w:rPr>
              <w:t>)</w:t>
            </w:r>
          </w:p>
        </w:tc>
        <w:tc>
          <w:tcPr>
            <w:tcW w:w="851" w:type="dxa"/>
            <w:tcBorders>
              <w:top w:val="nil"/>
              <w:left w:val="nil"/>
              <w:bottom w:val="single" w:sz="12" w:space="0" w:color="FF9E3C"/>
              <w:right w:val="single" w:sz="12" w:space="0" w:color="FF9E3C"/>
            </w:tcBorders>
            <w:shd w:val="clear" w:color="000000" w:fill="FFFFFF"/>
            <w:vAlign w:val="center"/>
            <w:hideMark/>
          </w:tcPr>
          <w:p w14:paraId="78A6BDAB"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0.25</w:t>
            </w:r>
            <w:r>
              <w:rPr>
                <w:rFonts w:cs="Arial"/>
                <w:color w:val="1C3158"/>
                <w:sz w:val="18"/>
                <w:lang w:eastAsia="en-AU"/>
              </w:rPr>
              <w:t>)</w:t>
            </w:r>
          </w:p>
        </w:tc>
        <w:tc>
          <w:tcPr>
            <w:tcW w:w="847" w:type="dxa"/>
            <w:tcBorders>
              <w:top w:val="nil"/>
              <w:left w:val="nil"/>
              <w:bottom w:val="single" w:sz="12" w:space="0" w:color="FF9E3C"/>
              <w:right w:val="single" w:sz="12" w:space="0" w:color="FF9E3C"/>
            </w:tcBorders>
            <w:shd w:val="clear" w:color="000000" w:fill="FFFFFF"/>
            <w:vAlign w:val="center"/>
            <w:hideMark/>
          </w:tcPr>
          <w:p w14:paraId="2FC74833"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0.27</w:t>
            </w:r>
            <w:r>
              <w:rPr>
                <w:rFonts w:cs="Arial"/>
                <w:color w:val="1C3158"/>
                <w:sz w:val="18"/>
                <w:lang w:eastAsia="en-AU"/>
              </w:rPr>
              <w:t>)</w:t>
            </w:r>
          </w:p>
        </w:tc>
        <w:tc>
          <w:tcPr>
            <w:tcW w:w="854" w:type="dxa"/>
            <w:tcBorders>
              <w:top w:val="nil"/>
              <w:left w:val="nil"/>
              <w:bottom w:val="single" w:sz="12" w:space="0" w:color="FF9E3C"/>
              <w:right w:val="single" w:sz="12" w:space="0" w:color="FF9E3C"/>
            </w:tcBorders>
            <w:shd w:val="clear" w:color="000000" w:fill="FFFFFF"/>
            <w:vAlign w:val="center"/>
            <w:hideMark/>
          </w:tcPr>
          <w:p w14:paraId="0B29A8C5"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w:t>
            </w:r>
            <w:r>
              <w:rPr>
                <w:rFonts w:cs="Arial"/>
                <w:color w:val="1C3158"/>
                <w:sz w:val="18"/>
                <w:lang w:eastAsia="en-AU"/>
              </w:rPr>
              <w:t>0</w:t>
            </w:r>
          </w:p>
        </w:tc>
        <w:tc>
          <w:tcPr>
            <w:tcW w:w="855" w:type="dxa"/>
            <w:tcBorders>
              <w:top w:val="nil"/>
              <w:left w:val="nil"/>
              <w:bottom w:val="single" w:sz="12" w:space="0" w:color="FF9E3C"/>
              <w:right w:val="single" w:sz="12" w:space="0" w:color="FF9E3C"/>
            </w:tcBorders>
            <w:shd w:val="clear" w:color="000000" w:fill="FFFFFF"/>
            <w:vAlign w:val="center"/>
            <w:hideMark/>
          </w:tcPr>
          <w:p w14:paraId="583C31AE" w14:textId="77777777" w:rsidR="006F6929" w:rsidRPr="008442F0" w:rsidRDefault="006F6929" w:rsidP="00406FB4">
            <w:pPr>
              <w:tabs>
                <w:tab w:val="clear" w:pos="426"/>
              </w:tabs>
              <w:spacing w:before="0" w:after="0" w:line="240" w:lineRule="auto"/>
              <w:ind w:left="0" w:right="0"/>
              <w:jc w:val="center"/>
              <w:rPr>
                <w:rFonts w:cs="Arial"/>
                <w:color w:val="1C3158"/>
                <w:sz w:val="18"/>
                <w:lang w:eastAsia="ja-JP"/>
              </w:rPr>
            </w:pPr>
            <w:r>
              <w:rPr>
                <w:rFonts w:cs="Arial"/>
                <w:color w:val="1C3158"/>
                <w:sz w:val="18"/>
                <w:lang w:eastAsia="en-AU"/>
              </w:rPr>
              <w:t>(</w:t>
            </w:r>
            <w:r w:rsidRPr="008442F0">
              <w:rPr>
                <w:rFonts w:cs="Arial"/>
                <w:color w:val="1C3158"/>
                <w:sz w:val="18"/>
                <w:lang w:eastAsia="en-AU"/>
              </w:rPr>
              <w:t>0.18</w:t>
            </w:r>
            <w:r>
              <w:rPr>
                <w:rFonts w:cs="Arial"/>
                <w:color w:val="1C3158"/>
                <w:sz w:val="18"/>
                <w:lang w:eastAsia="en-AU"/>
              </w:rPr>
              <w:t>)</w:t>
            </w:r>
          </w:p>
        </w:tc>
      </w:tr>
    </w:tbl>
    <w:p w14:paraId="58E670E2" w14:textId="3609D205" w:rsidR="005B604B" w:rsidRPr="00EE21EF" w:rsidRDefault="005B604B" w:rsidP="00C3643F">
      <w:pPr>
        <w:tabs>
          <w:tab w:val="clear" w:pos="426"/>
        </w:tabs>
        <w:spacing w:after="60" w:line="240" w:lineRule="auto"/>
        <w:ind w:left="0" w:right="0"/>
        <w:rPr>
          <w:rFonts w:cs="Arial"/>
          <w:color w:val="1C3158"/>
          <w:sz w:val="16"/>
          <w:szCs w:val="16"/>
          <w:lang w:eastAsia="ja-JP"/>
        </w:rPr>
      </w:pPr>
      <w:r w:rsidRPr="00EE21EF">
        <w:rPr>
          <w:rFonts w:cs="Arial"/>
          <w:color w:val="1C3158"/>
          <w:sz w:val="16"/>
          <w:szCs w:val="16"/>
          <w:lang w:eastAsia="ja-JP"/>
        </w:rPr>
        <w:t>***p &lt; 0.001, **p &lt; 0.01, *p &lt; 0.05</w:t>
      </w:r>
      <w:r w:rsidR="005079B6">
        <w:rPr>
          <w:rFonts w:cs="Arial"/>
          <w:color w:val="1C3158"/>
          <w:sz w:val="16"/>
          <w:szCs w:val="16"/>
          <w:lang w:eastAsia="ja-JP"/>
        </w:rPr>
        <w:t>. Significant effects in bold.</w:t>
      </w:r>
    </w:p>
    <w:p w14:paraId="1B8563E6" w14:textId="46D0B082" w:rsidR="005B604B" w:rsidRDefault="006F47AB" w:rsidP="0012425C">
      <w:pPr>
        <w:tabs>
          <w:tab w:val="clear" w:pos="426"/>
        </w:tabs>
        <w:spacing w:before="0" w:after="60" w:line="240" w:lineRule="auto"/>
        <w:ind w:left="0" w:right="0"/>
        <w:rPr>
          <w:rFonts w:cs="Arial"/>
          <w:color w:val="1C3158"/>
          <w:sz w:val="16"/>
          <w:szCs w:val="16"/>
          <w:lang w:eastAsia="ja-JP"/>
        </w:rPr>
      </w:pPr>
      <w:r>
        <w:rPr>
          <w:rFonts w:cs="Arial"/>
          <w:color w:val="1C3158"/>
          <w:sz w:val="16"/>
          <w:szCs w:val="16"/>
          <w:lang w:eastAsia="ja-JP"/>
        </w:rPr>
        <w:t xml:space="preserve">Note. </w:t>
      </w:r>
      <w:r w:rsidR="005B604B" w:rsidRPr="00EE21EF">
        <w:rPr>
          <w:rFonts w:cs="Arial"/>
          <w:color w:val="1C3158"/>
          <w:sz w:val="16"/>
          <w:szCs w:val="16"/>
          <w:lang w:eastAsia="ja-JP"/>
        </w:rPr>
        <w:t>Participants could indicate more than one ethnicity</w:t>
      </w:r>
      <w:r w:rsidR="00B40FF8">
        <w:rPr>
          <w:rFonts w:cs="Arial"/>
          <w:color w:val="1C3158"/>
          <w:sz w:val="16"/>
          <w:szCs w:val="16"/>
          <w:lang w:eastAsia="ja-JP"/>
        </w:rPr>
        <w:t>.</w:t>
      </w:r>
      <w:r w:rsidR="008610D3">
        <w:rPr>
          <w:rFonts w:cs="Arial"/>
          <w:color w:val="1C3158"/>
          <w:sz w:val="16"/>
          <w:szCs w:val="16"/>
          <w:lang w:eastAsia="ja-JP"/>
        </w:rPr>
        <w:t xml:space="preserve"> </w:t>
      </w:r>
      <w:r w:rsidR="005B604B" w:rsidRPr="00EE21EF">
        <w:rPr>
          <w:rFonts w:cs="Arial"/>
          <w:color w:val="1C3158"/>
          <w:sz w:val="16"/>
          <w:szCs w:val="16"/>
          <w:lang w:eastAsia="ja-JP"/>
        </w:rPr>
        <w:t xml:space="preserve">Therefore N for ethnicity exceeds total sample size (N = 1542). </w:t>
      </w:r>
    </w:p>
    <w:p w14:paraId="20F0DE44" w14:textId="4F103481" w:rsidR="00CC331E" w:rsidRPr="00EE21EF" w:rsidRDefault="006F47AB" w:rsidP="0012425C">
      <w:pPr>
        <w:tabs>
          <w:tab w:val="clear" w:pos="426"/>
        </w:tabs>
        <w:spacing w:before="0" w:after="0" w:line="240" w:lineRule="auto"/>
        <w:ind w:left="0" w:right="0"/>
        <w:rPr>
          <w:rFonts w:cs="Arial"/>
          <w:color w:val="1C3158"/>
          <w:sz w:val="16"/>
          <w:szCs w:val="16"/>
          <w:lang w:eastAsia="ja-JP"/>
        </w:rPr>
      </w:pPr>
      <w:r w:rsidRPr="006F47AB">
        <w:rPr>
          <w:rFonts w:cs="Arial"/>
          <w:color w:val="1C3158"/>
          <w:sz w:val="16"/>
          <w:szCs w:val="16"/>
          <w:vertAlign w:val="superscript"/>
          <w:lang w:eastAsia="ja-JP"/>
        </w:rPr>
        <w:t>a</w:t>
      </w:r>
      <w:r>
        <w:rPr>
          <w:rFonts w:cs="Arial"/>
          <w:color w:val="1C3158"/>
          <w:sz w:val="16"/>
          <w:szCs w:val="16"/>
          <w:lang w:eastAsia="ja-JP"/>
        </w:rPr>
        <w:t xml:space="preserve"> </w:t>
      </w:r>
      <w:r w:rsidR="00CC331E">
        <w:rPr>
          <w:rFonts w:cs="Arial"/>
          <w:color w:val="1C3158"/>
          <w:sz w:val="16"/>
          <w:szCs w:val="16"/>
          <w:lang w:eastAsia="ja-JP"/>
        </w:rPr>
        <w:t>T</w:t>
      </w:r>
      <w:r w:rsidR="00CC331E" w:rsidRPr="00CC331E">
        <w:rPr>
          <w:rFonts w:cs="Arial"/>
          <w:color w:val="1C3158"/>
          <w:sz w:val="16"/>
          <w:szCs w:val="16"/>
          <w:lang w:eastAsia="ja-JP"/>
        </w:rPr>
        <w:t xml:space="preserve">he IRT severity parameter places the specific harm on a continuum of harmfulness (the intercept) </w:t>
      </w:r>
    </w:p>
    <w:p w14:paraId="485AB0B6" w14:textId="77777777" w:rsidR="00CC331E" w:rsidRPr="00EE21EF" w:rsidRDefault="00CC331E" w:rsidP="00C3643F">
      <w:pPr>
        <w:tabs>
          <w:tab w:val="clear" w:pos="426"/>
        </w:tabs>
        <w:spacing w:before="0" w:after="0" w:line="240" w:lineRule="auto"/>
        <w:ind w:left="0" w:right="0"/>
        <w:rPr>
          <w:rFonts w:cs="Arial"/>
          <w:color w:val="1C3158"/>
          <w:sz w:val="16"/>
          <w:szCs w:val="16"/>
          <w:lang w:eastAsia="ja-JP"/>
        </w:rPr>
      </w:pPr>
    </w:p>
    <w:p w14:paraId="06B65271" w14:textId="77777777" w:rsidR="00676552" w:rsidRDefault="00676552" w:rsidP="00EE21EF">
      <w:pPr>
        <w:tabs>
          <w:tab w:val="clear" w:pos="426"/>
        </w:tabs>
        <w:spacing w:after="0" w:line="240" w:lineRule="auto"/>
        <w:ind w:left="0" w:right="0"/>
        <w:rPr>
          <w:rFonts w:cs="Arial"/>
          <w:color w:val="1C3158"/>
          <w:sz w:val="16"/>
          <w:szCs w:val="16"/>
          <w:lang w:eastAsia="ja-JP"/>
        </w:rPr>
      </w:pPr>
    </w:p>
    <w:p w14:paraId="1244E909" w14:textId="77777777" w:rsidR="001D0510" w:rsidRDefault="001D0510" w:rsidP="00676552">
      <w:pPr>
        <w:pStyle w:val="VRGFBodycontent"/>
      </w:pPr>
    </w:p>
    <w:p w14:paraId="78ACC586" w14:textId="77777777" w:rsidR="001D0510" w:rsidRDefault="001D0510" w:rsidP="00676552">
      <w:pPr>
        <w:pStyle w:val="VRGFBodycontent"/>
      </w:pPr>
    </w:p>
    <w:p w14:paraId="17229BEB" w14:textId="77777777" w:rsidR="001D0510" w:rsidRDefault="001D0510" w:rsidP="00676552">
      <w:pPr>
        <w:pStyle w:val="VRGFBodycontent"/>
      </w:pPr>
    </w:p>
    <w:p w14:paraId="4EB7AF7D" w14:textId="77777777" w:rsidR="001D0510" w:rsidRDefault="001D0510" w:rsidP="00676552">
      <w:pPr>
        <w:pStyle w:val="VRGFBodycontent"/>
        <w:sectPr w:rsidR="001D0510" w:rsidSect="0044527F">
          <w:pgSz w:w="16838" w:h="11906" w:orient="landscape"/>
          <w:pgMar w:top="1440" w:right="1440" w:bottom="1440" w:left="1440" w:header="708" w:footer="708" w:gutter="0"/>
          <w:cols w:space="708"/>
          <w:docGrid w:linePitch="360"/>
        </w:sectPr>
      </w:pPr>
    </w:p>
    <w:p w14:paraId="37A561AC" w14:textId="465ECA07" w:rsidR="00676552" w:rsidRDefault="00D85855" w:rsidP="00676552">
      <w:pPr>
        <w:pStyle w:val="VRGFBodycontent"/>
      </w:pPr>
      <w:r>
        <w:lastRenderedPageBreak/>
        <w:t>For t</w:t>
      </w:r>
      <w:r w:rsidR="00676552">
        <w:t>he regressions reported</w:t>
      </w:r>
      <w:r w:rsidR="00D60D18">
        <w:t xml:space="preserve"> in </w:t>
      </w:r>
      <w:r w:rsidR="00D60D18">
        <w:fldChar w:fldCharType="begin"/>
      </w:r>
      <w:r w:rsidR="00D60D18">
        <w:instrText xml:space="preserve"> REF _Ref444981298 \h </w:instrText>
      </w:r>
      <w:r w:rsidR="00D60D18">
        <w:fldChar w:fldCharType="separate"/>
      </w:r>
      <w:r w:rsidR="0006479A">
        <w:t xml:space="preserve">Table </w:t>
      </w:r>
      <w:r w:rsidR="0006479A">
        <w:rPr>
          <w:noProof/>
        </w:rPr>
        <w:t>9</w:t>
      </w:r>
      <w:r w:rsidR="00D60D18">
        <w:fldChar w:fldCharType="end"/>
      </w:r>
      <w:r w:rsidR="000D6180">
        <w:t>,</w:t>
      </w:r>
      <w:r w:rsidR="00D60D18">
        <w:t xml:space="preserve"> </w:t>
      </w:r>
      <w:r w:rsidR="00676552">
        <w:t>we are predicting the number of harms experienced while controlling for PGSI</w:t>
      </w:r>
      <w:r w:rsidR="00B40FF8">
        <w:t>.</w:t>
      </w:r>
      <w:r w:rsidR="008610D3">
        <w:t xml:space="preserve"> </w:t>
      </w:r>
      <w:r w:rsidR="00676552">
        <w:t>Therefore, estimated beta coefficients indicate whether or not there was a tendency for different ethnic groups to experience greater harm, given a similar degree of gambling problems</w:t>
      </w:r>
      <w:r w:rsidR="00B40FF8">
        <w:t>.</w:t>
      </w:r>
      <w:r w:rsidR="008610D3">
        <w:t xml:space="preserve"> </w:t>
      </w:r>
      <w:r w:rsidR="000D6180">
        <w:t xml:space="preserve">As </w:t>
      </w:r>
      <w:r w:rsidR="00676552">
        <w:t>gambling problems are intrinsically linked to gambling harms, it is not surprising that the PGSI was significant for all domains considered</w:t>
      </w:r>
      <w:r w:rsidR="00B40FF8">
        <w:t>.</w:t>
      </w:r>
      <w:r w:rsidR="008610D3">
        <w:t xml:space="preserve"> </w:t>
      </w:r>
      <w:r w:rsidR="00676552">
        <w:t>Māori</w:t>
      </w:r>
      <w:r w:rsidR="00676552" w:rsidRPr="005B604B">
        <w:t xml:space="preserve"> and European gamblers provided higher scores for ‘other’ harms, which covered both cultural transgressions and harms</w:t>
      </w:r>
      <w:r w:rsidR="00676552">
        <w:t xml:space="preserve"> related to criminality or social deviance</w:t>
      </w:r>
      <w:r w:rsidR="003B0770">
        <w:t xml:space="preserve"> (see </w:t>
      </w:r>
      <w:r w:rsidR="003B0770">
        <w:fldChar w:fldCharType="begin"/>
      </w:r>
      <w:r w:rsidR="003B0770">
        <w:instrText xml:space="preserve"> REF _Ref448409050 \h </w:instrText>
      </w:r>
      <w:r w:rsidR="003B0770">
        <w:fldChar w:fldCharType="separate"/>
      </w:r>
      <w:r w:rsidR="0006479A">
        <w:t xml:space="preserve">Appendix </w:t>
      </w:r>
      <w:r w:rsidR="0006479A">
        <w:rPr>
          <w:noProof/>
        </w:rPr>
        <w:t>7</w:t>
      </w:r>
      <w:r w:rsidR="003B0770">
        <w:fldChar w:fldCharType="end"/>
      </w:r>
      <w:r w:rsidR="00B97789">
        <w:t xml:space="preserve"> </w:t>
      </w:r>
      <w:r w:rsidR="00676552" w:rsidRPr="005B604B">
        <w:t>for full item list)</w:t>
      </w:r>
      <w:r w:rsidR="00B40FF8">
        <w:t>.</w:t>
      </w:r>
      <w:r w:rsidR="008610D3">
        <w:t xml:space="preserve"> </w:t>
      </w:r>
      <w:r w:rsidR="00676552">
        <w:t>Māori</w:t>
      </w:r>
      <w:r w:rsidR="00676552" w:rsidRPr="005B604B">
        <w:t xml:space="preserve"> gamblers also had higher financial harms</w:t>
      </w:r>
      <w:r w:rsidR="00676552">
        <w:t>, given a similar degree of gambling problems,</w:t>
      </w:r>
      <w:r w:rsidR="00676552" w:rsidRPr="005B604B">
        <w:t xml:space="preserve"> compared to other ethnic groups</w:t>
      </w:r>
      <w:r w:rsidR="00B40FF8">
        <w:t>.</w:t>
      </w:r>
      <w:r w:rsidR="008610D3">
        <w:t xml:space="preserve"> </w:t>
      </w:r>
      <w:r w:rsidR="00676552" w:rsidRPr="005B604B">
        <w:t>No ethnic differences were observed for affected others across the harm domains.</w:t>
      </w:r>
      <w:r w:rsidR="00BE3642">
        <w:t xml:space="preserve"> </w:t>
      </w:r>
    </w:p>
    <w:p w14:paraId="5E86A05B" w14:textId="3C9008E7" w:rsidR="005B604B" w:rsidRPr="005B604B" w:rsidRDefault="005B604B" w:rsidP="001747F6">
      <w:pPr>
        <w:pStyle w:val="VRGFBodycontent"/>
      </w:pPr>
      <w:r w:rsidRPr="005B604B">
        <w:t>A one point increase in PGSI was associated with 0.36 (vs 0.15) more emotional/psychological harm, 0.31 (vs 0.14) more financial harm, and 0.30 (vs 0.12) relationship harm for gamblers/affected others respectively</w:t>
      </w:r>
      <w:r w:rsidR="00B40FF8">
        <w:t>.</w:t>
      </w:r>
      <w:r w:rsidR="008610D3">
        <w:t xml:space="preserve"> </w:t>
      </w:r>
      <w:r w:rsidR="008046E5">
        <w:t>Thus, gamblers tended to ‘pass on’ about half as many harm symptoms as they themselves experienced, with each point increase in PGSI score</w:t>
      </w:r>
      <w:r w:rsidR="00B40FF8">
        <w:t>.</w:t>
      </w:r>
      <w:r w:rsidR="008610D3">
        <w:t xml:space="preserve"> </w:t>
      </w:r>
      <w:r w:rsidR="004B4CCD">
        <w:t xml:space="preserve">This difference is expected, as effects of gambler’s </w:t>
      </w:r>
      <w:r w:rsidR="000D6180">
        <w:t xml:space="preserve">problem gambling severity </w:t>
      </w:r>
      <w:r w:rsidR="004B4CCD">
        <w:t xml:space="preserve">on others’ quality </w:t>
      </w:r>
      <w:r w:rsidR="000D6180">
        <w:t xml:space="preserve">of </w:t>
      </w:r>
      <w:r w:rsidR="004B4CCD">
        <w:t xml:space="preserve">life is a more distal relationship than harms to </w:t>
      </w:r>
      <w:r w:rsidR="00790C45">
        <w:t>oneself, which</w:t>
      </w:r>
      <w:r w:rsidR="004B4CCD">
        <w:t xml:space="preserve"> is likely to be mediated by </w:t>
      </w:r>
      <w:r w:rsidR="00CE5C4D">
        <w:t>several</w:t>
      </w:r>
      <w:r w:rsidR="004B4CCD">
        <w:t xml:space="preserve"> factors</w:t>
      </w:r>
      <w:r w:rsidR="00B40FF8">
        <w:t>.</w:t>
      </w:r>
      <w:r w:rsidR="008610D3">
        <w:t xml:space="preserve"> </w:t>
      </w:r>
      <w:r w:rsidR="00D353E6">
        <w:t>Whilst g</w:t>
      </w:r>
      <w:r w:rsidRPr="005B604B">
        <w:t>amblers</w:t>
      </w:r>
      <w:r w:rsidR="001F5E0E">
        <w:t xml:space="preserve"> at</w:t>
      </w:r>
      <w:r w:rsidR="00CE5C4D">
        <w:t xml:space="preserve"> a given problem severity level</w:t>
      </w:r>
      <w:r w:rsidR="00D353E6">
        <w:t xml:space="preserve"> consistently nominated more harms than</w:t>
      </w:r>
      <w:r w:rsidRPr="005B604B">
        <w:t xml:space="preserve"> affected others,</w:t>
      </w:r>
      <w:r w:rsidR="00A56E59">
        <w:t xml:space="preserve"> the pattern of effects </w:t>
      </w:r>
      <w:r w:rsidR="007E1221">
        <w:t xml:space="preserve">was </w:t>
      </w:r>
      <w:r w:rsidR="00A56E59">
        <w:t>similar for both groups</w:t>
      </w:r>
      <w:r w:rsidR="00B40FF8">
        <w:t>.</w:t>
      </w:r>
      <w:r w:rsidR="008610D3">
        <w:t xml:space="preserve"> </w:t>
      </w:r>
      <w:r w:rsidR="00A56E59">
        <w:t>E</w:t>
      </w:r>
      <w:r w:rsidRPr="005B604B">
        <w:t xml:space="preserve">motional/psychological, financial, and relationship were the three domains </w:t>
      </w:r>
      <w:r w:rsidR="00A56E59">
        <w:t xml:space="preserve">most strongly </w:t>
      </w:r>
      <w:r w:rsidRPr="005B604B">
        <w:t xml:space="preserve">related to </w:t>
      </w:r>
      <w:r w:rsidR="00C56CA8">
        <w:t>gambling problems</w:t>
      </w:r>
      <w:r w:rsidR="00C56CA8" w:rsidRPr="005B604B">
        <w:t xml:space="preserve"> </w:t>
      </w:r>
      <w:r w:rsidRPr="005B604B">
        <w:t>for both groups</w:t>
      </w:r>
      <w:r w:rsidR="00B40FF8">
        <w:t>.</w:t>
      </w:r>
      <w:r w:rsidR="008610D3">
        <w:t xml:space="preserve"> </w:t>
      </w:r>
    </w:p>
    <w:bookmarkEnd w:id="203"/>
    <w:p w14:paraId="5A919606" w14:textId="77777777" w:rsidR="0061777D" w:rsidRPr="0061777D" w:rsidRDefault="0061777D" w:rsidP="004D12C1">
      <w:pPr>
        <w:pStyle w:val="VRGFBodycontent"/>
      </w:pPr>
    </w:p>
    <w:p w14:paraId="1E35528D" w14:textId="77777777" w:rsidR="00C767A9" w:rsidRDefault="00C767A9" w:rsidP="00C3643F">
      <w:pPr>
        <w:pStyle w:val="VRGFHead3"/>
      </w:pPr>
      <w:bookmarkStart w:id="210" w:name="_Toc430172942"/>
      <w:bookmarkStart w:id="211" w:name="_Toc462738039"/>
      <w:r>
        <w:t xml:space="preserve">IRT </w:t>
      </w:r>
      <w:r w:rsidRPr="00C3643F">
        <w:t>parameters</w:t>
      </w:r>
      <w:r>
        <w:t>, PGSI categories, and correlations</w:t>
      </w:r>
      <w:bookmarkEnd w:id="210"/>
      <w:bookmarkEnd w:id="211"/>
    </w:p>
    <w:p w14:paraId="3FE8F388" w14:textId="6A3B33EC" w:rsidR="00697797" w:rsidRDefault="0061777D" w:rsidP="00676552">
      <w:pPr>
        <w:pStyle w:val="VRGFBodycontent"/>
        <w:rPr>
          <w:rFonts w:eastAsiaTheme="minorHAnsi"/>
        </w:rPr>
      </w:pPr>
      <w:r w:rsidRPr="004D12C1">
        <w:t xml:space="preserve">Tables </w:t>
      </w:r>
      <w:r w:rsidR="003E7A08">
        <w:t>1</w:t>
      </w:r>
      <w:r w:rsidR="00E9790C">
        <w:t>0</w:t>
      </w:r>
      <w:r w:rsidR="00D60D18">
        <w:t>-1</w:t>
      </w:r>
      <w:r w:rsidR="00E9790C">
        <w:t>5</w:t>
      </w:r>
      <w:r w:rsidRPr="004D12C1">
        <w:t xml:space="preserve"> summarise the prevalence of </w:t>
      </w:r>
      <w:r w:rsidRPr="001747F6">
        <w:t>specific</w:t>
      </w:r>
      <w:r w:rsidRPr="004D12C1">
        <w:t xml:space="preserve"> harm</w:t>
      </w:r>
      <w:r w:rsidR="00055343">
        <w:t>s</w:t>
      </w:r>
      <w:r w:rsidRPr="004D12C1">
        <w:t>, for each of the six domains considered</w:t>
      </w:r>
      <w:r w:rsidR="00B40FF8">
        <w:t>.</w:t>
      </w:r>
      <w:r w:rsidR="008610D3">
        <w:t xml:space="preserve"> </w:t>
      </w:r>
      <w:r w:rsidRPr="004D12C1">
        <w:t>IRT severity and discrimination parameters are provided</w:t>
      </w:r>
      <w:r w:rsidR="00F73ACD">
        <w:t xml:space="preserve"> for each item</w:t>
      </w:r>
      <w:r w:rsidR="00B40FF8">
        <w:t>.</w:t>
      </w:r>
      <w:r w:rsidR="008610D3">
        <w:t xml:space="preserve"> </w:t>
      </w:r>
      <w:r w:rsidR="00F73ACD">
        <w:t>S</w:t>
      </w:r>
      <w:r w:rsidRPr="004D12C1">
        <w:t>pecific harms are ordered with respect to IRT based severity, within each domain</w:t>
      </w:r>
      <w:r w:rsidR="00B40FF8">
        <w:t>.</w:t>
      </w:r>
      <w:r w:rsidR="008610D3">
        <w:t xml:space="preserve"> </w:t>
      </w:r>
      <w:r w:rsidR="00F73ACD">
        <w:t>As mentioned above, t</w:t>
      </w:r>
      <w:r w:rsidRPr="004D12C1">
        <w:t>he IRT severity parameter places the specific harm on a continuum of harmfulness</w:t>
      </w:r>
      <w:r w:rsidR="003168E4">
        <w:t xml:space="preserve"> (the intercept)</w:t>
      </w:r>
      <w:r w:rsidRPr="004D12C1">
        <w:t xml:space="preserve"> </w:t>
      </w:r>
      <w:r w:rsidR="003168E4">
        <w:t>and t</w:t>
      </w:r>
      <w:r w:rsidRPr="004D12C1">
        <w:t xml:space="preserve">he discrimination parameter indicates how </w:t>
      </w:r>
      <w:r w:rsidR="003168E4">
        <w:t>well</w:t>
      </w:r>
      <w:r w:rsidR="003168E4" w:rsidRPr="004D12C1">
        <w:t xml:space="preserve"> </w:t>
      </w:r>
      <w:r w:rsidRPr="004D12C1">
        <w:t xml:space="preserve">the item </w:t>
      </w:r>
      <w:r w:rsidR="003168E4">
        <w:t>separates</w:t>
      </w:r>
      <w:r w:rsidR="003168E4" w:rsidRPr="004D12C1">
        <w:t xml:space="preserve"> </w:t>
      </w:r>
      <w:r w:rsidR="003168E4">
        <w:t>lower</w:t>
      </w:r>
      <w:r w:rsidR="003168E4" w:rsidRPr="004D12C1">
        <w:t xml:space="preserve"> </w:t>
      </w:r>
      <w:r w:rsidRPr="004D12C1">
        <w:t>and high</w:t>
      </w:r>
      <w:r w:rsidR="003168E4">
        <w:t>er</w:t>
      </w:r>
      <w:r w:rsidRPr="004D12C1">
        <w:t xml:space="preserve"> levels of harmfulness</w:t>
      </w:r>
      <w:r w:rsidR="003168E4">
        <w:t xml:space="preserve"> (slope)</w:t>
      </w:r>
      <w:r w:rsidR="00B40FF8">
        <w:t>.</w:t>
      </w:r>
      <w:r w:rsidR="008610D3">
        <w:t xml:space="preserve"> </w:t>
      </w:r>
      <w:r w:rsidRPr="004D12C1">
        <w:t>Data</w:t>
      </w:r>
      <w:r w:rsidR="00B31249">
        <w:t xml:space="preserve"> for gamblers (Tables </w:t>
      </w:r>
      <w:r w:rsidR="00E9790C">
        <w:t>10</w:t>
      </w:r>
      <w:r w:rsidR="003E7A08">
        <w:t>-1</w:t>
      </w:r>
      <w:r w:rsidR="00E9790C">
        <w:t>2</w:t>
      </w:r>
      <w:r w:rsidR="00B31249">
        <w:t xml:space="preserve">) and affected others (Tables </w:t>
      </w:r>
      <w:r w:rsidR="003E7A08">
        <w:t>1</w:t>
      </w:r>
      <w:r w:rsidR="00E9790C">
        <w:t>3</w:t>
      </w:r>
      <w:r w:rsidR="003E7A08">
        <w:t>-1</w:t>
      </w:r>
      <w:r w:rsidR="00E9790C">
        <w:t>5</w:t>
      </w:r>
      <w:r w:rsidR="003E7A08">
        <w:t>)</w:t>
      </w:r>
      <w:r w:rsidRPr="004D12C1">
        <w:t xml:space="preserve"> were analysed separately</w:t>
      </w:r>
      <w:r w:rsidR="00B40FF8">
        <w:t>.</w:t>
      </w:r>
      <w:r w:rsidR="008610D3">
        <w:t xml:space="preserve"> </w:t>
      </w:r>
      <w:r w:rsidRPr="004D12C1">
        <w:t>In addition, the tables also show the percentages and 95% confidence intervals of each harm probe for the four PGSI categories (i.e., no identifiable problems, low risk, moderate risk, problem gamblers)</w:t>
      </w:r>
      <w:r w:rsidR="00B40FF8">
        <w:t>.</w:t>
      </w:r>
      <w:r w:rsidR="008610D3">
        <w:t xml:space="preserve"> </w:t>
      </w:r>
      <w:r w:rsidRPr="004D12C1">
        <w:t>Further, the tables present the point-biserial correlation coefficient with respect to the PGSI and the general domain Likert harm item</w:t>
      </w:r>
      <w:r w:rsidR="00B40FF8">
        <w:t>.</w:t>
      </w:r>
      <w:r w:rsidR="008610D3">
        <w:t xml:space="preserve"> </w:t>
      </w:r>
      <w:r w:rsidRPr="004D12C1">
        <w:t>Finally, the item-total correlation for that harm domain (excluding the current item) is also given, providing a classical assessment of the reliability of that indicator in reflecting a presumed underlying dimension of harm within each category</w:t>
      </w:r>
      <w:r w:rsidR="00B40FF8">
        <w:t>.</w:t>
      </w:r>
      <w:r w:rsidR="008610D3">
        <w:t xml:space="preserve"> </w:t>
      </w:r>
      <w:r w:rsidRPr="004D12C1">
        <w:t>This set of statistics provides a picture of the functioning of each item, with respect to the domain and to gambling problem status</w:t>
      </w:r>
      <w:r w:rsidR="00B40FF8">
        <w:t>.</w:t>
      </w:r>
      <w:r w:rsidR="008610D3">
        <w:t xml:space="preserve"> </w:t>
      </w:r>
      <w:r w:rsidRPr="004D12C1">
        <w:t>To illustrate, we consider one example, the item ‘</w:t>
      </w:r>
      <w:r w:rsidRPr="004D12C1">
        <w:rPr>
          <w:rFonts w:eastAsiaTheme="minorHAnsi"/>
        </w:rPr>
        <w:t xml:space="preserve">Red. </w:t>
      </w:r>
      <w:r w:rsidR="00300553">
        <w:rPr>
          <w:rFonts w:eastAsiaTheme="minorHAnsi"/>
        </w:rPr>
        <w:t>Ben</w:t>
      </w:r>
      <w:r w:rsidRPr="004D12C1">
        <w:rPr>
          <w:rFonts w:eastAsiaTheme="minorHAnsi"/>
        </w:rPr>
        <w:t xml:space="preserve">. Exp.’ (reducing spending on </w:t>
      </w:r>
      <w:r w:rsidR="00300553">
        <w:rPr>
          <w:rFonts w:eastAsiaTheme="minorHAnsi"/>
        </w:rPr>
        <w:t xml:space="preserve">beneficial </w:t>
      </w:r>
      <w:r w:rsidRPr="004D12C1">
        <w:rPr>
          <w:rFonts w:eastAsiaTheme="minorHAnsi"/>
        </w:rPr>
        <w:t>items), when administered to gamblers (</w:t>
      </w:r>
      <w:r w:rsidR="003B0770">
        <w:rPr>
          <w:rFonts w:eastAsiaTheme="minorHAnsi"/>
        </w:rPr>
        <w:fldChar w:fldCharType="begin"/>
      </w:r>
      <w:r w:rsidR="003B0770">
        <w:rPr>
          <w:rFonts w:eastAsiaTheme="minorHAnsi"/>
        </w:rPr>
        <w:instrText xml:space="preserve"> REF _Ref448417063 \h </w:instrText>
      </w:r>
      <w:r w:rsidR="003B0770">
        <w:rPr>
          <w:rFonts w:eastAsiaTheme="minorHAnsi"/>
        </w:rPr>
      </w:r>
      <w:r w:rsidR="003B0770">
        <w:rPr>
          <w:rFonts w:eastAsiaTheme="minorHAnsi"/>
        </w:rPr>
        <w:fldChar w:fldCharType="separate"/>
      </w:r>
      <w:r w:rsidR="0006479A">
        <w:t xml:space="preserve">Table </w:t>
      </w:r>
      <w:r w:rsidR="0006479A">
        <w:rPr>
          <w:noProof/>
        </w:rPr>
        <w:t>10</w:t>
      </w:r>
      <w:r w:rsidR="003B0770">
        <w:rPr>
          <w:rFonts w:eastAsiaTheme="minorHAnsi"/>
        </w:rPr>
        <w:fldChar w:fldCharType="end"/>
      </w:r>
      <w:r w:rsidRPr="004D12C1">
        <w:rPr>
          <w:rFonts w:eastAsiaTheme="minorHAnsi"/>
        </w:rPr>
        <w:t>)</w:t>
      </w:r>
      <w:r w:rsidR="00B40FF8">
        <w:rPr>
          <w:rFonts w:eastAsiaTheme="minorHAnsi"/>
        </w:rPr>
        <w:t>.</w:t>
      </w:r>
      <w:r w:rsidR="008610D3">
        <w:rPr>
          <w:rFonts w:eastAsiaTheme="minorHAnsi"/>
        </w:rPr>
        <w:t xml:space="preserve"> </w:t>
      </w:r>
      <w:r w:rsidRPr="004D12C1">
        <w:rPr>
          <w:rFonts w:eastAsiaTheme="minorHAnsi"/>
        </w:rPr>
        <w:t>This item was the most effective probe for discriminating higher versus lower levels of financi</w:t>
      </w:r>
      <w:r w:rsidR="00300553">
        <w:rPr>
          <w:rFonts w:eastAsiaTheme="minorHAnsi"/>
        </w:rPr>
        <w:t>al harm (3.05</w:t>
      </w:r>
      <w:r w:rsidRPr="004D12C1">
        <w:rPr>
          <w:rFonts w:eastAsiaTheme="minorHAnsi"/>
        </w:rPr>
        <w:t xml:space="preserve"> discrimination parameter)</w:t>
      </w:r>
      <w:r w:rsidR="00B40FF8">
        <w:rPr>
          <w:rFonts w:eastAsiaTheme="minorHAnsi"/>
        </w:rPr>
        <w:t>.</w:t>
      </w:r>
      <w:r w:rsidR="008610D3">
        <w:rPr>
          <w:rFonts w:eastAsiaTheme="minorHAnsi"/>
        </w:rPr>
        <w:t xml:space="preserve"> </w:t>
      </w:r>
      <w:r w:rsidR="0088291A">
        <w:rPr>
          <w:rFonts w:eastAsiaTheme="minorHAnsi"/>
        </w:rPr>
        <w:t xml:space="preserve">The severity parameter was </w:t>
      </w:r>
      <w:r w:rsidR="00F96186">
        <w:rPr>
          <w:rFonts w:eastAsiaTheme="minorHAnsi"/>
        </w:rPr>
        <w:t>medium to</w:t>
      </w:r>
      <w:r w:rsidR="0088291A">
        <w:rPr>
          <w:rFonts w:eastAsiaTheme="minorHAnsi"/>
        </w:rPr>
        <w:t xml:space="preserve"> low (1.01), indicating that</w:t>
      </w:r>
      <w:r w:rsidRPr="004D12C1">
        <w:rPr>
          <w:rFonts w:eastAsiaTheme="minorHAnsi"/>
        </w:rPr>
        <w:t xml:space="preserve"> </w:t>
      </w:r>
      <w:r w:rsidR="00F96186">
        <w:rPr>
          <w:rFonts w:eastAsiaTheme="minorHAnsi"/>
        </w:rPr>
        <w:t>it was relatively</w:t>
      </w:r>
      <w:r w:rsidRPr="004D12C1">
        <w:rPr>
          <w:rFonts w:eastAsiaTheme="minorHAnsi"/>
        </w:rPr>
        <w:t xml:space="preserve"> effective for discriminating </w:t>
      </w:r>
      <w:r w:rsidR="0029739D">
        <w:rPr>
          <w:rFonts w:eastAsiaTheme="minorHAnsi"/>
        </w:rPr>
        <w:t xml:space="preserve">at </w:t>
      </w:r>
      <w:r w:rsidR="00F96186">
        <w:rPr>
          <w:rFonts w:eastAsiaTheme="minorHAnsi"/>
        </w:rPr>
        <w:t>moderate</w:t>
      </w:r>
      <w:r w:rsidR="0029739D">
        <w:rPr>
          <w:rFonts w:eastAsiaTheme="minorHAnsi"/>
        </w:rPr>
        <w:t xml:space="preserve"> levels of</w:t>
      </w:r>
      <w:r w:rsidRPr="004D12C1">
        <w:rPr>
          <w:rFonts w:eastAsiaTheme="minorHAnsi"/>
        </w:rPr>
        <w:t xml:space="preserve"> financial harm</w:t>
      </w:r>
      <w:r w:rsidR="00B40FF8">
        <w:rPr>
          <w:rFonts w:eastAsiaTheme="minorHAnsi"/>
        </w:rPr>
        <w:t>.</w:t>
      </w:r>
      <w:r w:rsidR="008610D3">
        <w:rPr>
          <w:rFonts w:eastAsiaTheme="minorHAnsi"/>
        </w:rPr>
        <w:t xml:space="preserve"> </w:t>
      </w:r>
      <w:r w:rsidR="00CE0561">
        <w:rPr>
          <w:rFonts w:eastAsiaTheme="minorHAnsi"/>
        </w:rPr>
        <w:t>The efficacy of the item is supported by cross-tabulation with the PGSI</w:t>
      </w:r>
      <w:r w:rsidR="00B40FF8">
        <w:rPr>
          <w:rFonts w:eastAsiaTheme="minorHAnsi"/>
        </w:rPr>
        <w:t>.</w:t>
      </w:r>
      <w:r w:rsidR="008610D3">
        <w:rPr>
          <w:rFonts w:eastAsiaTheme="minorHAnsi"/>
        </w:rPr>
        <w:t xml:space="preserve"> </w:t>
      </w:r>
      <w:r w:rsidR="006C7ACE">
        <w:rPr>
          <w:rFonts w:eastAsiaTheme="minorHAnsi"/>
        </w:rPr>
        <w:t>None</w:t>
      </w:r>
      <w:r w:rsidRPr="004D12C1">
        <w:rPr>
          <w:rFonts w:eastAsiaTheme="minorHAnsi"/>
        </w:rPr>
        <w:t xml:space="preserve"> of </w:t>
      </w:r>
      <w:r w:rsidR="006C7ACE">
        <w:rPr>
          <w:rFonts w:eastAsiaTheme="minorHAnsi"/>
        </w:rPr>
        <w:t xml:space="preserve">the </w:t>
      </w:r>
      <w:r w:rsidRPr="004D12C1">
        <w:rPr>
          <w:rFonts w:eastAsiaTheme="minorHAnsi"/>
        </w:rPr>
        <w:t>non-problem gamblers respon</w:t>
      </w:r>
      <w:r w:rsidR="00300553">
        <w:rPr>
          <w:rFonts w:eastAsiaTheme="minorHAnsi"/>
        </w:rPr>
        <w:t xml:space="preserve">ded positively to this item, </w:t>
      </w:r>
      <w:r w:rsidRPr="004D12C1">
        <w:rPr>
          <w:rFonts w:eastAsiaTheme="minorHAnsi"/>
        </w:rPr>
        <w:t xml:space="preserve">compared to </w:t>
      </w:r>
      <w:r w:rsidR="00300553">
        <w:rPr>
          <w:rFonts w:eastAsiaTheme="minorHAnsi"/>
        </w:rPr>
        <w:t>33.4</w:t>
      </w:r>
      <w:r w:rsidRPr="004D12C1">
        <w:rPr>
          <w:rFonts w:eastAsiaTheme="minorHAnsi"/>
        </w:rPr>
        <w:t>% of problem gamblers</w:t>
      </w:r>
      <w:r w:rsidR="00B40FF8">
        <w:rPr>
          <w:rFonts w:eastAsiaTheme="minorHAnsi"/>
        </w:rPr>
        <w:t>.</w:t>
      </w:r>
      <w:r w:rsidR="008610D3">
        <w:rPr>
          <w:rFonts w:eastAsiaTheme="minorHAnsi"/>
        </w:rPr>
        <w:t xml:space="preserve"> </w:t>
      </w:r>
      <w:r w:rsidRPr="004D12C1">
        <w:rPr>
          <w:rFonts w:eastAsiaTheme="minorHAnsi"/>
        </w:rPr>
        <w:t>The highest proportional prevalence increase between PGSI catego</w:t>
      </w:r>
      <w:r w:rsidR="002000C4">
        <w:rPr>
          <w:rFonts w:eastAsiaTheme="minorHAnsi"/>
        </w:rPr>
        <w:t>ries for this item was between moderate</w:t>
      </w:r>
      <w:r w:rsidR="006C7ACE">
        <w:rPr>
          <w:rFonts w:eastAsiaTheme="minorHAnsi"/>
        </w:rPr>
        <w:t>-</w:t>
      </w:r>
      <w:r w:rsidR="002000C4">
        <w:rPr>
          <w:rFonts w:eastAsiaTheme="minorHAnsi"/>
        </w:rPr>
        <w:t xml:space="preserve">risk </w:t>
      </w:r>
      <w:r w:rsidRPr="004D12C1">
        <w:rPr>
          <w:rFonts w:eastAsiaTheme="minorHAnsi"/>
        </w:rPr>
        <w:t xml:space="preserve">and </w:t>
      </w:r>
      <w:r w:rsidR="002000C4">
        <w:rPr>
          <w:rFonts w:eastAsiaTheme="minorHAnsi"/>
        </w:rPr>
        <w:t xml:space="preserve">problem </w:t>
      </w:r>
      <w:r w:rsidRPr="004D12C1">
        <w:rPr>
          <w:rFonts w:eastAsiaTheme="minorHAnsi"/>
        </w:rPr>
        <w:t>gamblers</w:t>
      </w:r>
      <w:r w:rsidR="00B40FF8">
        <w:rPr>
          <w:rFonts w:eastAsiaTheme="minorHAnsi"/>
        </w:rPr>
        <w:t>.</w:t>
      </w:r>
      <w:r w:rsidR="008610D3">
        <w:rPr>
          <w:rFonts w:eastAsiaTheme="minorHAnsi"/>
        </w:rPr>
        <w:t xml:space="preserve"> </w:t>
      </w:r>
      <w:r w:rsidR="00300553">
        <w:rPr>
          <w:rFonts w:eastAsiaTheme="minorHAnsi"/>
        </w:rPr>
        <w:t>T</w:t>
      </w:r>
      <w:r w:rsidRPr="004D12C1">
        <w:rPr>
          <w:rFonts w:eastAsiaTheme="minorHAnsi"/>
        </w:rPr>
        <w:t>his item had the highest item-total correlation (a</w:t>
      </w:r>
      <w:r w:rsidR="00300553">
        <w:rPr>
          <w:rFonts w:eastAsiaTheme="minorHAnsi"/>
        </w:rPr>
        <w:t>mongst other financial harms; .</w:t>
      </w:r>
      <w:r w:rsidRPr="004D12C1">
        <w:rPr>
          <w:rFonts w:eastAsiaTheme="minorHAnsi"/>
        </w:rPr>
        <w:t>6</w:t>
      </w:r>
      <w:r w:rsidR="00300553">
        <w:rPr>
          <w:rFonts w:eastAsiaTheme="minorHAnsi"/>
        </w:rPr>
        <w:t>1</w:t>
      </w:r>
      <w:r w:rsidRPr="004D12C1">
        <w:rPr>
          <w:rFonts w:eastAsiaTheme="minorHAnsi"/>
        </w:rPr>
        <w:t>), the second highest correlation with the general financial harm Likert item (.4</w:t>
      </w:r>
      <w:r w:rsidR="00300553">
        <w:rPr>
          <w:rFonts w:eastAsiaTheme="minorHAnsi"/>
        </w:rPr>
        <w:t xml:space="preserve">8) and was moderately </w:t>
      </w:r>
      <w:r w:rsidRPr="004D12C1">
        <w:rPr>
          <w:rFonts w:eastAsiaTheme="minorHAnsi"/>
        </w:rPr>
        <w:t>correlat</w:t>
      </w:r>
      <w:r w:rsidR="00300553">
        <w:rPr>
          <w:rFonts w:eastAsiaTheme="minorHAnsi"/>
        </w:rPr>
        <w:t xml:space="preserve">ed (.41) </w:t>
      </w:r>
      <w:r w:rsidRPr="004D12C1">
        <w:rPr>
          <w:rFonts w:eastAsiaTheme="minorHAnsi"/>
        </w:rPr>
        <w:t xml:space="preserve">with the PGSI </w:t>
      </w:r>
      <w:r w:rsidR="00676552">
        <w:rPr>
          <w:rFonts w:eastAsiaTheme="minorHAnsi"/>
        </w:rPr>
        <w:t>for the financial harm items.</w:t>
      </w:r>
      <w:r w:rsidR="00BE3642">
        <w:rPr>
          <w:rFonts w:eastAsiaTheme="minorHAnsi"/>
        </w:rPr>
        <w:t xml:space="preserve"> </w:t>
      </w:r>
    </w:p>
    <w:p w14:paraId="0CBB3C8F" w14:textId="77777777" w:rsidR="00952FC8" w:rsidRDefault="00952FC8" w:rsidP="00D60D18">
      <w:pPr>
        <w:pStyle w:val="Caption"/>
      </w:pPr>
      <w:bookmarkStart w:id="212" w:name="_Ref444981451"/>
    </w:p>
    <w:p w14:paraId="702014DB" w14:textId="4A338BEF" w:rsidR="00AC0C4B" w:rsidRPr="00246EE4" w:rsidRDefault="00D60D18" w:rsidP="00D60D18">
      <w:pPr>
        <w:pStyle w:val="Caption"/>
        <w:rPr>
          <w:b w:val="0"/>
          <w:iCs w:val="0"/>
          <w:color w:val="1C3158"/>
        </w:rPr>
      </w:pPr>
      <w:bookmarkStart w:id="213" w:name="_Ref448417063"/>
      <w:bookmarkStart w:id="214" w:name="_Toc462738113"/>
      <w:r>
        <w:lastRenderedPageBreak/>
        <w:t xml:space="preserve">Table </w:t>
      </w:r>
      <w:fldSimple w:instr=" SEQ Table \* ARABIC ">
        <w:r w:rsidR="0006479A">
          <w:rPr>
            <w:noProof/>
          </w:rPr>
          <w:t>10</w:t>
        </w:r>
      </w:fldSimple>
      <w:bookmarkEnd w:id="212"/>
      <w:bookmarkEnd w:id="213"/>
      <w:r w:rsidR="00B40FF8">
        <w:t>.</w:t>
      </w:r>
      <w:r w:rsidR="008610D3">
        <w:t xml:space="preserve"> </w:t>
      </w:r>
      <w:r w:rsidR="00AC0C4B" w:rsidRPr="00D60D18">
        <w:rPr>
          <w:iCs w:val="0"/>
          <w:color w:val="1C3158"/>
        </w:rPr>
        <w:t>Financial and Work/Study (Gamblers)</w:t>
      </w:r>
      <w:bookmarkEnd w:id="214"/>
    </w:p>
    <w:tbl>
      <w:tblPr>
        <w:tblW w:w="9670" w:type="dxa"/>
        <w:tblLayout w:type="fixed"/>
        <w:tblLook w:val="04A0" w:firstRow="1" w:lastRow="0" w:firstColumn="1" w:lastColumn="0" w:noHBand="0" w:noVBand="1"/>
      </w:tblPr>
      <w:tblGrid>
        <w:gridCol w:w="1546"/>
        <w:gridCol w:w="1039"/>
        <w:gridCol w:w="913"/>
        <w:gridCol w:w="1002"/>
        <w:gridCol w:w="1033"/>
        <w:gridCol w:w="1072"/>
        <w:gridCol w:w="1038"/>
        <w:gridCol w:w="729"/>
        <w:gridCol w:w="579"/>
        <w:gridCol w:w="719"/>
      </w:tblGrid>
      <w:tr w:rsidR="00A110B5" w:rsidRPr="00220AEA" w14:paraId="34907169" w14:textId="77777777" w:rsidTr="00AC0C4B">
        <w:trPr>
          <w:trHeight w:val="111"/>
        </w:trPr>
        <w:tc>
          <w:tcPr>
            <w:tcW w:w="1546"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241868FC" w14:textId="77777777" w:rsidR="00A110B5" w:rsidRPr="00220AEA" w:rsidRDefault="00A110B5" w:rsidP="00406FB4">
            <w:pPr>
              <w:tabs>
                <w:tab w:val="clear" w:pos="426"/>
              </w:tabs>
              <w:spacing w:before="0" w:after="0" w:line="240" w:lineRule="auto"/>
              <w:ind w:left="0" w:right="0"/>
              <w:rPr>
                <w:rFonts w:cs="Arial"/>
                <w:b/>
                <w:bCs/>
                <w:color w:val="1C3158"/>
                <w:sz w:val="16"/>
                <w:szCs w:val="16"/>
                <w:lang w:eastAsia="ja-JP"/>
              </w:rPr>
            </w:pPr>
            <w:r w:rsidRPr="00220AEA">
              <w:rPr>
                <w:rFonts w:eastAsia="Cambria" w:cs="Arial"/>
                <w:b/>
                <w:bCs/>
                <w:color w:val="1C3158"/>
                <w:sz w:val="16"/>
                <w:szCs w:val="16"/>
                <w:lang w:eastAsia="ja-JP"/>
              </w:rPr>
              <w:t>Item abb.</w:t>
            </w:r>
          </w:p>
        </w:tc>
        <w:tc>
          <w:tcPr>
            <w:tcW w:w="1952"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57805A98"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IRT parameters</w:t>
            </w:r>
          </w:p>
        </w:tc>
        <w:tc>
          <w:tcPr>
            <w:tcW w:w="4145" w:type="dxa"/>
            <w:gridSpan w:val="4"/>
            <w:tcBorders>
              <w:top w:val="single" w:sz="12" w:space="0" w:color="FF9E3C"/>
              <w:left w:val="nil"/>
              <w:bottom w:val="single" w:sz="12" w:space="0" w:color="FF9E3C"/>
              <w:right w:val="single" w:sz="12" w:space="0" w:color="FF9E3C"/>
            </w:tcBorders>
            <w:shd w:val="clear" w:color="000000" w:fill="FFBC64"/>
            <w:vAlign w:val="center"/>
            <w:hideMark/>
          </w:tcPr>
          <w:p w14:paraId="72206B42"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PGSI category</w:t>
            </w:r>
          </w:p>
        </w:tc>
        <w:tc>
          <w:tcPr>
            <w:tcW w:w="2026" w:type="dxa"/>
            <w:gridSpan w:val="3"/>
            <w:tcBorders>
              <w:top w:val="single" w:sz="12" w:space="0" w:color="FF9E3C"/>
              <w:left w:val="nil"/>
              <w:bottom w:val="single" w:sz="12" w:space="0" w:color="FF9E3C"/>
              <w:right w:val="single" w:sz="12" w:space="0" w:color="FF9E3C"/>
            </w:tcBorders>
            <w:shd w:val="clear" w:color="000000" w:fill="FFBC64"/>
            <w:vAlign w:val="center"/>
            <w:hideMark/>
          </w:tcPr>
          <w:p w14:paraId="60BFAE59"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Correlations</w:t>
            </w:r>
          </w:p>
        </w:tc>
      </w:tr>
      <w:tr w:rsidR="00A110B5" w:rsidRPr="00220AEA" w14:paraId="7DC51C35" w14:textId="77777777" w:rsidTr="00AC0C4B">
        <w:trPr>
          <w:trHeight w:val="181"/>
        </w:trPr>
        <w:tc>
          <w:tcPr>
            <w:tcW w:w="1546" w:type="dxa"/>
            <w:vMerge/>
            <w:tcBorders>
              <w:top w:val="single" w:sz="12" w:space="0" w:color="FF9E3C"/>
              <w:left w:val="single" w:sz="12" w:space="0" w:color="FF9E3C"/>
              <w:bottom w:val="single" w:sz="12" w:space="0" w:color="FF9E3C"/>
              <w:right w:val="single" w:sz="12" w:space="0" w:color="FF9E3C"/>
            </w:tcBorders>
            <w:vAlign w:val="center"/>
            <w:hideMark/>
          </w:tcPr>
          <w:p w14:paraId="245BA442" w14:textId="77777777" w:rsidR="00A110B5" w:rsidRPr="00220AEA" w:rsidRDefault="00A110B5" w:rsidP="00406FB4">
            <w:pPr>
              <w:tabs>
                <w:tab w:val="clear" w:pos="426"/>
              </w:tabs>
              <w:spacing w:before="0" w:after="0" w:line="240" w:lineRule="auto"/>
              <w:ind w:left="0" w:right="0"/>
              <w:rPr>
                <w:rFonts w:cs="Arial"/>
                <w:b/>
                <w:bCs/>
                <w:color w:val="1C3158"/>
                <w:sz w:val="16"/>
                <w:szCs w:val="16"/>
                <w:lang w:eastAsia="ja-JP"/>
              </w:rPr>
            </w:pPr>
          </w:p>
        </w:tc>
        <w:tc>
          <w:tcPr>
            <w:tcW w:w="1039" w:type="dxa"/>
            <w:tcBorders>
              <w:top w:val="nil"/>
              <w:left w:val="nil"/>
              <w:bottom w:val="single" w:sz="12" w:space="0" w:color="FF9E3C"/>
              <w:right w:val="single" w:sz="12" w:space="0" w:color="FF9E3C"/>
            </w:tcBorders>
            <w:shd w:val="clear" w:color="000000" w:fill="FFBC64"/>
            <w:vAlign w:val="center"/>
            <w:hideMark/>
          </w:tcPr>
          <w:p w14:paraId="6AB94D05"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Severity</w:t>
            </w:r>
          </w:p>
        </w:tc>
        <w:tc>
          <w:tcPr>
            <w:tcW w:w="912" w:type="dxa"/>
            <w:tcBorders>
              <w:top w:val="nil"/>
              <w:left w:val="nil"/>
              <w:bottom w:val="single" w:sz="12" w:space="0" w:color="FF9E3C"/>
              <w:right w:val="single" w:sz="12" w:space="0" w:color="FF9E3C"/>
            </w:tcBorders>
            <w:shd w:val="clear" w:color="000000" w:fill="FFBC64"/>
            <w:vAlign w:val="center"/>
            <w:hideMark/>
          </w:tcPr>
          <w:p w14:paraId="61CC98DF"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Dscrm</w:t>
            </w:r>
          </w:p>
        </w:tc>
        <w:tc>
          <w:tcPr>
            <w:tcW w:w="1002" w:type="dxa"/>
            <w:tcBorders>
              <w:top w:val="nil"/>
              <w:left w:val="nil"/>
              <w:bottom w:val="single" w:sz="12" w:space="0" w:color="FF9E3C"/>
              <w:right w:val="single" w:sz="12" w:space="0" w:color="FF9E3C"/>
            </w:tcBorders>
            <w:shd w:val="clear" w:color="000000" w:fill="FFBC64"/>
            <w:vAlign w:val="center"/>
            <w:hideMark/>
          </w:tcPr>
          <w:p w14:paraId="01119DF9"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Non Problem</w:t>
            </w:r>
          </w:p>
        </w:tc>
        <w:tc>
          <w:tcPr>
            <w:tcW w:w="1033" w:type="dxa"/>
            <w:tcBorders>
              <w:top w:val="nil"/>
              <w:left w:val="nil"/>
              <w:bottom w:val="single" w:sz="12" w:space="0" w:color="FF9E3C"/>
              <w:right w:val="single" w:sz="12" w:space="0" w:color="FF9E3C"/>
            </w:tcBorders>
            <w:shd w:val="clear" w:color="000000" w:fill="FFBC64"/>
            <w:vAlign w:val="center"/>
            <w:hideMark/>
          </w:tcPr>
          <w:p w14:paraId="1BE60FB5"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Low Risk</w:t>
            </w:r>
          </w:p>
        </w:tc>
        <w:tc>
          <w:tcPr>
            <w:tcW w:w="1072" w:type="dxa"/>
            <w:tcBorders>
              <w:top w:val="nil"/>
              <w:left w:val="nil"/>
              <w:bottom w:val="single" w:sz="12" w:space="0" w:color="FF9E3C"/>
              <w:right w:val="single" w:sz="12" w:space="0" w:color="FF9E3C"/>
            </w:tcBorders>
            <w:shd w:val="clear" w:color="000000" w:fill="FFBC64"/>
            <w:vAlign w:val="center"/>
            <w:hideMark/>
          </w:tcPr>
          <w:p w14:paraId="63F559B6"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Moderate Risk</w:t>
            </w:r>
          </w:p>
        </w:tc>
        <w:tc>
          <w:tcPr>
            <w:tcW w:w="1036" w:type="dxa"/>
            <w:tcBorders>
              <w:top w:val="nil"/>
              <w:left w:val="nil"/>
              <w:bottom w:val="single" w:sz="12" w:space="0" w:color="FF9E3C"/>
              <w:right w:val="single" w:sz="12" w:space="0" w:color="FF9E3C"/>
            </w:tcBorders>
            <w:shd w:val="clear" w:color="000000" w:fill="FFBC64"/>
            <w:vAlign w:val="center"/>
            <w:hideMark/>
          </w:tcPr>
          <w:p w14:paraId="567F80FB"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Problem</w:t>
            </w:r>
          </w:p>
        </w:tc>
        <w:tc>
          <w:tcPr>
            <w:tcW w:w="729" w:type="dxa"/>
            <w:tcBorders>
              <w:top w:val="nil"/>
              <w:left w:val="nil"/>
              <w:bottom w:val="single" w:sz="12" w:space="0" w:color="FF9E3C"/>
              <w:right w:val="single" w:sz="12" w:space="0" w:color="FF9E3C"/>
            </w:tcBorders>
            <w:shd w:val="clear" w:color="000000" w:fill="FFBC64"/>
            <w:vAlign w:val="center"/>
            <w:hideMark/>
          </w:tcPr>
          <w:p w14:paraId="748407E1"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PGSI</w:t>
            </w:r>
          </w:p>
        </w:tc>
        <w:tc>
          <w:tcPr>
            <w:tcW w:w="579" w:type="dxa"/>
            <w:tcBorders>
              <w:top w:val="nil"/>
              <w:left w:val="nil"/>
              <w:bottom w:val="single" w:sz="12" w:space="0" w:color="FF9E3C"/>
              <w:right w:val="single" w:sz="12" w:space="0" w:color="FF9E3C"/>
            </w:tcBorders>
            <w:shd w:val="clear" w:color="000000" w:fill="FFBC64"/>
            <w:vAlign w:val="center"/>
            <w:hideMark/>
          </w:tcPr>
          <w:p w14:paraId="082F35C2"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Gen.</w:t>
            </w:r>
          </w:p>
        </w:tc>
        <w:tc>
          <w:tcPr>
            <w:tcW w:w="718" w:type="dxa"/>
            <w:tcBorders>
              <w:top w:val="nil"/>
              <w:left w:val="nil"/>
              <w:bottom w:val="single" w:sz="12" w:space="0" w:color="FF9E3C"/>
              <w:right w:val="single" w:sz="12" w:space="0" w:color="FF9E3C"/>
            </w:tcBorders>
            <w:shd w:val="clear" w:color="000000" w:fill="FFBC64"/>
            <w:vAlign w:val="center"/>
            <w:hideMark/>
          </w:tcPr>
          <w:p w14:paraId="162E0010" w14:textId="77777777" w:rsidR="00A110B5" w:rsidRPr="00220AEA" w:rsidRDefault="00A110B5" w:rsidP="00406FB4">
            <w:pPr>
              <w:tabs>
                <w:tab w:val="clear" w:pos="426"/>
              </w:tabs>
              <w:spacing w:before="0" w:after="0" w:line="240" w:lineRule="auto"/>
              <w:ind w:left="0" w:right="0"/>
              <w:jc w:val="center"/>
              <w:rPr>
                <w:rFonts w:cs="Arial"/>
                <w:b/>
                <w:bCs/>
                <w:color w:val="1C3158"/>
                <w:sz w:val="16"/>
                <w:szCs w:val="16"/>
                <w:lang w:eastAsia="ja-JP"/>
              </w:rPr>
            </w:pPr>
            <w:r w:rsidRPr="00220AEA">
              <w:rPr>
                <w:rFonts w:eastAsia="Cambria" w:cs="Arial"/>
                <w:b/>
                <w:bCs/>
                <w:color w:val="1C3158"/>
                <w:sz w:val="16"/>
                <w:szCs w:val="16"/>
                <w:lang w:eastAsia="ja-JP"/>
              </w:rPr>
              <w:t>Tot.</w:t>
            </w:r>
          </w:p>
        </w:tc>
      </w:tr>
      <w:tr w:rsidR="00A110B5" w:rsidRPr="00220AEA" w14:paraId="36312BC9" w14:textId="77777777" w:rsidTr="00AC0C4B">
        <w:trPr>
          <w:trHeight w:val="215"/>
        </w:trPr>
        <w:tc>
          <w:tcPr>
            <w:tcW w:w="9670" w:type="dxa"/>
            <w:gridSpan w:val="10"/>
            <w:tcBorders>
              <w:top w:val="single" w:sz="12" w:space="0" w:color="FF9E3C"/>
              <w:left w:val="single" w:sz="12" w:space="0" w:color="FF9E3C"/>
              <w:right w:val="single" w:sz="12" w:space="0" w:color="FF9E3C"/>
            </w:tcBorders>
            <w:shd w:val="clear" w:color="000000" w:fill="FFCF8F"/>
            <w:vAlign w:val="center"/>
            <w:hideMark/>
          </w:tcPr>
          <w:p w14:paraId="0DD81884" w14:textId="77777777" w:rsidR="00A110B5" w:rsidRPr="00220AEA"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220AEA">
              <w:rPr>
                <w:rFonts w:eastAsia="Cambria" w:cs="Arial"/>
                <w:b/>
                <w:bCs/>
                <w:i/>
                <w:iCs/>
                <w:color w:val="1C3158"/>
                <w:sz w:val="16"/>
                <w:szCs w:val="16"/>
                <w:lang w:eastAsia="ja-JP"/>
              </w:rPr>
              <w:t>Financial</w:t>
            </w:r>
          </w:p>
        </w:tc>
      </w:tr>
      <w:tr w:rsidR="00A110B5" w:rsidRPr="00220AEA" w14:paraId="7E65A5E2"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1769A1D4"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B06721">
              <w:rPr>
                <w:rFonts w:eastAsia="Cambria" w:cs="Arial"/>
                <w:color w:val="1C3158"/>
                <w:sz w:val="16"/>
                <w:szCs w:val="16"/>
                <w:lang w:eastAsia="ja-JP"/>
              </w:rPr>
              <w:t>Assist. Marae</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4A71F36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4.02</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1093381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1.28</w:t>
            </w:r>
          </w:p>
        </w:tc>
        <w:tc>
          <w:tcPr>
            <w:tcW w:w="1002" w:type="dxa"/>
            <w:tcBorders>
              <w:top w:val="nil"/>
              <w:left w:val="single" w:sz="12" w:space="0" w:color="FF9E3C"/>
              <w:bottom w:val="nil"/>
              <w:right w:val="single" w:sz="12" w:space="0" w:color="FF9E3C"/>
            </w:tcBorders>
            <w:shd w:val="clear" w:color="000000" w:fill="FFFFFF"/>
            <w:vAlign w:val="center"/>
            <w:hideMark/>
          </w:tcPr>
          <w:p w14:paraId="7ADABDD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34B2B16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72" w:type="dxa"/>
            <w:tcBorders>
              <w:top w:val="nil"/>
              <w:left w:val="single" w:sz="12" w:space="0" w:color="FF9E3C"/>
              <w:bottom w:val="nil"/>
              <w:right w:val="single" w:sz="12" w:space="0" w:color="FF9E3C"/>
            </w:tcBorders>
            <w:shd w:val="clear" w:color="000000" w:fill="FFFFFF"/>
            <w:vAlign w:val="center"/>
            <w:hideMark/>
          </w:tcPr>
          <w:p w14:paraId="464BDE3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6" w:type="dxa"/>
            <w:tcBorders>
              <w:top w:val="nil"/>
              <w:left w:val="single" w:sz="12" w:space="0" w:color="FF9E3C"/>
              <w:bottom w:val="nil"/>
              <w:right w:val="single" w:sz="12" w:space="0" w:color="FF9E3C"/>
            </w:tcBorders>
            <w:shd w:val="clear" w:color="000000" w:fill="FFFFFF"/>
            <w:vAlign w:val="center"/>
            <w:hideMark/>
          </w:tcPr>
          <w:p w14:paraId="6799714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2.9</w:t>
            </w:r>
          </w:p>
        </w:tc>
        <w:tc>
          <w:tcPr>
            <w:tcW w:w="729" w:type="dxa"/>
            <w:tcBorders>
              <w:top w:val="nil"/>
              <w:left w:val="single" w:sz="12" w:space="0" w:color="FF9E3C"/>
              <w:bottom w:val="nil"/>
              <w:right w:val="single" w:sz="12" w:space="0" w:color="FF9E3C"/>
            </w:tcBorders>
            <w:shd w:val="clear" w:color="000000" w:fill="FFFFFF"/>
            <w:hideMark/>
          </w:tcPr>
          <w:p w14:paraId="049B5D3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.18</w:t>
            </w:r>
          </w:p>
        </w:tc>
        <w:tc>
          <w:tcPr>
            <w:tcW w:w="579" w:type="dxa"/>
            <w:tcBorders>
              <w:top w:val="nil"/>
              <w:left w:val="single" w:sz="12" w:space="0" w:color="FF9E3C"/>
              <w:bottom w:val="nil"/>
              <w:right w:val="single" w:sz="12" w:space="0" w:color="FF9E3C"/>
            </w:tcBorders>
            <w:shd w:val="clear" w:color="000000" w:fill="FFFFFF"/>
            <w:hideMark/>
          </w:tcPr>
          <w:p w14:paraId="575448E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.14</w:t>
            </w:r>
          </w:p>
        </w:tc>
        <w:tc>
          <w:tcPr>
            <w:tcW w:w="718" w:type="dxa"/>
            <w:tcBorders>
              <w:top w:val="nil"/>
              <w:left w:val="single" w:sz="12" w:space="0" w:color="FF9E3C"/>
              <w:bottom w:val="nil"/>
              <w:right w:val="single" w:sz="12" w:space="0" w:color="FF9E3C"/>
            </w:tcBorders>
            <w:shd w:val="clear" w:color="000000" w:fill="FFFFFF"/>
            <w:hideMark/>
          </w:tcPr>
          <w:p w14:paraId="577D565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.15</w:t>
            </w:r>
          </w:p>
        </w:tc>
      </w:tr>
      <w:tr w:rsidR="00A110B5" w:rsidRPr="00220AEA" w14:paraId="1A989F8B" w14:textId="77777777" w:rsidTr="00AC0C4B">
        <w:trPr>
          <w:trHeight w:val="59"/>
        </w:trPr>
        <w:tc>
          <w:tcPr>
            <w:tcW w:w="1546" w:type="dxa"/>
            <w:vMerge/>
            <w:tcBorders>
              <w:top w:val="nil"/>
              <w:left w:val="single" w:sz="12" w:space="0" w:color="FF9E3C"/>
              <w:bottom w:val="single" w:sz="12" w:space="0" w:color="FF9E3C"/>
              <w:right w:val="single" w:sz="12" w:space="0" w:color="FF9E3C"/>
            </w:tcBorders>
            <w:vAlign w:val="center"/>
            <w:hideMark/>
          </w:tcPr>
          <w:p w14:paraId="1C99D95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5533E3C1"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42B53456"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3CA59D2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388BFB0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(0.0,3.8)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6D2A050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(0.0,1.4)</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00107E7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(1.6,5.2)</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13D084A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417DEA5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1692D8E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351FD8CF"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6C2D47BF"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Bankruptcy</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202669B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3.17</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7CB1762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1.50</w:t>
            </w:r>
          </w:p>
        </w:tc>
        <w:tc>
          <w:tcPr>
            <w:tcW w:w="1002" w:type="dxa"/>
            <w:tcBorders>
              <w:top w:val="nil"/>
              <w:left w:val="single" w:sz="12" w:space="0" w:color="FF9E3C"/>
              <w:bottom w:val="nil"/>
              <w:right w:val="single" w:sz="12" w:space="0" w:color="FF9E3C"/>
            </w:tcBorders>
            <w:shd w:val="clear" w:color="000000" w:fill="FFFFFF"/>
            <w:vAlign w:val="center"/>
            <w:hideMark/>
          </w:tcPr>
          <w:p w14:paraId="3F0EA19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2F5AF02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72" w:type="dxa"/>
            <w:tcBorders>
              <w:top w:val="nil"/>
              <w:left w:val="single" w:sz="12" w:space="0" w:color="FF9E3C"/>
              <w:bottom w:val="nil"/>
              <w:right w:val="single" w:sz="12" w:space="0" w:color="FF9E3C"/>
            </w:tcBorders>
            <w:shd w:val="clear" w:color="000000" w:fill="FFFFFF"/>
            <w:vAlign w:val="center"/>
            <w:hideMark/>
          </w:tcPr>
          <w:p w14:paraId="4EBC0C7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0.9</w:t>
            </w:r>
          </w:p>
        </w:tc>
        <w:tc>
          <w:tcPr>
            <w:tcW w:w="1036" w:type="dxa"/>
            <w:tcBorders>
              <w:top w:val="nil"/>
              <w:left w:val="single" w:sz="12" w:space="0" w:color="FF9E3C"/>
              <w:bottom w:val="nil"/>
              <w:right w:val="single" w:sz="12" w:space="0" w:color="FF9E3C"/>
            </w:tcBorders>
            <w:shd w:val="clear" w:color="000000" w:fill="FFFFFF"/>
            <w:vAlign w:val="center"/>
            <w:hideMark/>
          </w:tcPr>
          <w:p w14:paraId="1F380F1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4.6</w:t>
            </w:r>
          </w:p>
        </w:tc>
        <w:tc>
          <w:tcPr>
            <w:tcW w:w="729" w:type="dxa"/>
            <w:tcBorders>
              <w:top w:val="nil"/>
              <w:left w:val="single" w:sz="12" w:space="0" w:color="FF9E3C"/>
              <w:bottom w:val="nil"/>
              <w:right w:val="single" w:sz="12" w:space="0" w:color="FF9E3C"/>
            </w:tcBorders>
            <w:shd w:val="clear" w:color="000000" w:fill="FFFFFF"/>
            <w:hideMark/>
          </w:tcPr>
          <w:p w14:paraId="44A7027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.20</w:t>
            </w:r>
          </w:p>
        </w:tc>
        <w:tc>
          <w:tcPr>
            <w:tcW w:w="579" w:type="dxa"/>
            <w:tcBorders>
              <w:top w:val="nil"/>
              <w:left w:val="single" w:sz="12" w:space="0" w:color="FF9E3C"/>
              <w:bottom w:val="nil"/>
              <w:right w:val="single" w:sz="12" w:space="0" w:color="FF9E3C"/>
            </w:tcBorders>
            <w:shd w:val="clear" w:color="000000" w:fill="FFFFFF"/>
            <w:hideMark/>
          </w:tcPr>
          <w:p w14:paraId="5615D89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.22</w:t>
            </w:r>
          </w:p>
        </w:tc>
        <w:tc>
          <w:tcPr>
            <w:tcW w:w="718" w:type="dxa"/>
            <w:tcBorders>
              <w:top w:val="nil"/>
              <w:left w:val="single" w:sz="12" w:space="0" w:color="FF9E3C"/>
              <w:bottom w:val="nil"/>
              <w:right w:val="single" w:sz="12" w:space="0" w:color="FF9E3C"/>
            </w:tcBorders>
            <w:shd w:val="clear" w:color="000000" w:fill="FFFFFF"/>
            <w:hideMark/>
          </w:tcPr>
          <w:p w14:paraId="1F23A28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.23</w:t>
            </w:r>
          </w:p>
        </w:tc>
      </w:tr>
      <w:tr w:rsidR="00A110B5" w:rsidRPr="00220AEA" w14:paraId="3B9DE7D8"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21CD5205"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5CD054F8"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3F588F0D"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4374C13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7125062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(0.0,3.8)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34695E8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(0.2,2.8)</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495C5DF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(2.9,7.3)</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778D053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780F372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7AC390F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4716830F"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33D40A48"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Add. Employ.</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689B4A9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2.76</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2888716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1.32</w:t>
            </w:r>
          </w:p>
        </w:tc>
        <w:tc>
          <w:tcPr>
            <w:tcW w:w="1002" w:type="dxa"/>
            <w:tcBorders>
              <w:top w:val="nil"/>
              <w:left w:val="single" w:sz="12" w:space="0" w:color="FF9E3C"/>
              <w:bottom w:val="nil"/>
              <w:right w:val="single" w:sz="12" w:space="0" w:color="FF9E3C"/>
            </w:tcBorders>
            <w:shd w:val="clear" w:color="000000" w:fill="FFFFFF"/>
            <w:vAlign w:val="center"/>
            <w:hideMark/>
          </w:tcPr>
          <w:p w14:paraId="1574006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1E40EDF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3BF55E6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2.7</w:t>
            </w:r>
          </w:p>
        </w:tc>
        <w:tc>
          <w:tcPr>
            <w:tcW w:w="1036" w:type="dxa"/>
            <w:tcBorders>
              <w:top w:val="nil"/>
              <w:left w:val="single" w:sz="12" w:space="0" w:color="FF9E3C"/>
              <w:bottom w:val="nil"/>
              <w:right w:val="single" w:sz="12" w:space="0" w:color="FF9E3C"/>
            </w:tcBorders>
            <w:shd w:val="clear" w:color="000000" w:fill="FFFFFF"/>
            <w:vAlign w:val="center"/>
            <w:hideMark/>
          </w:tcPr>
          <w:p w14:paraId="4F32F75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9.3</w:t>
            </w:r>
          </w:p>
        </w:tc>
        <w:tc>
          <w:tcPr>
            <w:tcW w:w="729" w:type="dxa"/>
            <w:tcBorders>
              <w:top w:val="nil"/>
              <w:left w:val="single" w:sz="12" w:space="0" w:color="FF9E3C"/>
              <w:bottom w:val="nil"/>
              <w:right w:val="single" w:sz="12" w:space="0" w:color="FF9E3C"/>
            </w:tcBorders>
            <w:shd w:val="clear" w:color="000000" w:fill="FFFFFF"/>
            <w:hideMark/>
          </w:tcPr>
          <w:p w14:paraId="7148D79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.22</w:t>
            </w:r>
          </w:p>
        </w:tc>
        <w:tc>
          <w:tcPr>
            <w:tcW w:w="579" w:type="dxa"/>
            <w:tcBorders>
              <w:top w:val="nil"/>
              <w:left w:val="single" w:sz="12" w:space="0" w:color="FF9E3C"/>
              <w:bottom w:val="nil"/>
              <w:right w:val="single" w:sz="12" w:space="0" w:color="FF9E3C"/>
            </w:tcBorders>
            <w:shd w:val="clear" w:color="000000" w:fill="FFFFFF"/>
            <w:hideMark/>
          </w:tcPr>
          <w:p w14:paraId="1282D0A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.20</w:t>
            </w:r>
          </w:p>
        </w:tc>
        <w:tc>
          <w:tcPr>
            <w:tcW w:w="718" w:type="dxa"/>
            <w:tcBorders>
              <w:top w:val="nil"/>
              <w:left w:val="single" w:sz="12" w:space="0" w:color="FF9E3C"/>
              <w:bottom w:val="nil"/>
              <w:right w:val="single" w:sz="12" w:space="0" w:color="FF9E3C"/>
            </w:tcBorders>
            <w:shd w:val="clear" w:color="000000" w:fill="FFFFFF"/>
            <w:hideMark/>
          </w:tcPr>
          <w:p w14:paraId="3F8AB38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.27</w:t>
            </w:r>
          </w:p>
        </w:tc>
      </w:tr>
      <w:tr w:rsidR="00A110B5" w:rsidRPr="00220AEA" w14:paraId="7AEF26E4"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45AEACB1"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5923DEC3"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5025BE3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52FF735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2CF79F6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32AAF60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(1.3,5.2)</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63AC580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(6.7,12.6)</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65BB0D2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53F4FCA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788E01F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60F48099"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43B3ECE4"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Emerg. Acc.</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6893CE9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2.46</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0969D9B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2.52</w:t>
            </w:r>
          </w:p>
        </w:tc>
        <w:tc>
          <w:tcPr>
            <w:tcW w:w="1002" w:type="dxa"/>
            <w:tcBorders>
              <w:top w:val="nil"/>
              <w:left w:val="single" w:sz="12" w:space="0" w:color="FF9E3C"/>
              <w:bottom w:val="nil"/>
              <w:right w:val="single" w:sz="12" w:space="0" w:color="FF9E3C"/>
            </w:tcBorders>
            <w:shd w:val="clear" w:color="000000" w:fill="FFFFFF"/>
            <w:vAlign w:val="center"/>
            <w:hideMark/>
          </w:tcPr>
          <w:p w14:paraId="3CD301C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w:t>
            </w:r>
          </w:p>
        </w:tc>
        <w:tc>
          <w:tcPr>
            <w:tcW w:w="1033" w:type="dxa"/>
            <w:tcBorders>
              <w:top w:val="nil"/>
              <w:left w:val="single" w:sz="12" w:space="0" w:color="FF9E3C"/>
              <w:bottom w:val="nil"/>
              <w:right w:val="single" w:sz="12" w:space="0" w:color="FF9E3C"/>
            </w:tcBorders>
            <w:shd w:val="clear" w:color="000000" w:fill="FFFFFF"/>
            <w:vAlign w:val="center"/>
            <w:hideMark/>
          </w:tcPr>
          <w:p w14:paraId="05F8DCA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3735E1F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0.6</w:t>
            </w:r>
          </w:p>
        </w:tc>
        <w:tc>
          <w:tcPr>
            <w:tcW w:w="1036" w:type="dxa"/>
            <w:tcBorders>
              <w:top w:val="nil"/>
              <w:left w:val="single" w:sz="12" w:space="0" w:color="FF9E3C"/>
              <w:bottom w:val="nil"/>
              <w:right w:val="single" w:sz="12" w:space="0" w:color="FF9E3C"/>
            </w:tcBorders>
            <w:shd w:val="clear" w:color="000000" w:fill="FFFFFF"/>
            <w:vAlign w:val="center"/>
            <w:hideMark/>
          </w:tcPr>
          <w:p w14:paraId="292983E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4.4</w:t>
            </w:r>
          </w:p>
        </w:tc>
        <w:tc>
          <w:tcPr>
            <w:tcW w:w="729" w:type="dxa"/>
            <w:tcBorders>
              <w:top w:val="nil"/>
              <w:left w:val="single" w:sz="12" w:space="0" w:color="FF9E3C"/>
              <w:bottom w:val="nil"/>
              <w:right w:val="single" w:sz="12" w:space="0" w:color="FF9E3C"/>
            </w:tcBorders>
            <w:shd w:val="clear" w:color="000000" w:fill="FFFFFF"/>
            <w:hideMark/>
          </w:tcPr>
          <w:p w14:paraId="38B665A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.24</w:t>
            </w:r>
          </w:p>
        </w:tc>
        <w:tc>
          <w:tcPr>
            <w:tcW w:w="579" w:type="dxa"/>
            <w:tcBorders>
              <w:top w:val="nil"/>
              <w:left w:val="single" w:sz="12" w:space="0" w:color="FF9E3C"/>
              <w:bottom w:val="nil"/>
              <w:right w:val="single" w:sz="12" w:space="0" w:color="FF9E3C"/>
            </w:tcBorders>
            <w:shd w:val="clear" w:color="000000" w:fill="FFFFFF"/>
            <w:hideMark/>
          </w:tcPr>
          <w:p w14:paraId="4867642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.24</w:t>
            </w:r>
          </w:p>
        </w:tc>
        <w:tc>
          <w:tcPr>
            <w:tcW w:w="718" w:type="dxa"/>
            <w:tcBorders>
              <w:top w:val="nil"/>
              <w:left w:val="single" w:sz="12" w:space="0" w:color="FF9E3C"/>
              <w:bottom w:val="nil"/>
              <w:right w:val="single" w:sz="12" w:space="0" w:color="FF9E3C"/>
            </w:tcBorders>
            <w:shd w:val="clear" w:color="000000" w:fill="FFFFFF"/>
            <w:hideMark/>
          </w:tcPr>
          <w:p w14:paraId="41792E5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.33</w:t>
            </w:r>
          </w:p>
        </w:tc>
      </w:tr>
      <w:tr w:rsidR="00A110B5" w:rsidRPr="00220AEA" w14:paraId="1689C2B7"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1EF64D1E"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69F94213"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1A68CC5D"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4174D01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(0.1,7.3)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396101E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599340E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(0.1,2.4)</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012CCD8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(2.7,7.0)</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2ED5B36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575107F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5AAC140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5FF297D1"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3DFF9C5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Loss Assets</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121E198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1.96</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27C68BB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2.19</w:t>
            </w:r>
          </w:p>
        </w:tc>
        <w:tc>
          <w:tcPr>
            <w:tcW w:w="1002" w:type="dxa"/>
            <w:tcBorders>
              <w:top w:val="nil"/>
              <w:left w:val="single" w:sz="12" w:space="0" w:color="FF9E3C"/>
              <w:bottom w:val="nil"/>
              <w:right w:val="single" w:sz="12" w:space="0" w:color="FF9E3C"/>
            </w:tcBorders>
            <w:shd w:val="clear" w:color="000000" w:fill="FFFFFF"/>
            <w:vAlign w:val="center"/>
            <w:hideMark/>
          </w:tcPr>
          <w:p w14:paraId="06EBABE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1A2D7E8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5E5BC5D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w:t>
            </w:r>
          </w:p>
        </w:tc>
        <w:tc>
          <w:tcPr>
            <w:tcW w:w="1036" w:type="dxa"/>
            <w:tcBorders>
              <w:top w:val="nil"/>
              <w:left w:val="single" w:sz="12" w:space="0" w:color="FF9E3C"/>
              <w:bottom w:val="nil"/>
              <w:right w:val="single" w:sz="12" w:space="0" w:color="FF9E3C"/>
            </w:tcBorders>
            <w:shd w:val="clear" w:color="000000" w:fill="FFFFFF"/>
            <w:vAlign w:val="center"/>
            <w:hideMark/>
          </w:tcPr>
          <w:p w14:paraId="01C1261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13.4</w:t>
            </w:r>
          </w:p>
        </w:tc>
        <w:tc>
          <w:tcPr>
            <w:tcW w:w="729" w:type="dxa"/>
            <w:tcBorders>
              <w:top w:val="nil"/>
              <w:left w:val="single" w:sz="12" w:space="0" w:color="FF9E3C"/>
              <w:bottom w:val="nil"/>
              <w:right w:val="single" w:sz="12" w:space="0" w:color="FF9E3C"/>
            </w:tcBorders>
            <w:shd w:val="clear" w:color="000000" w:fill="FFFFFF"/>
            <w:hideMark/>
          </w:tcPr>
          <w:p w14:paraId="69E0070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.35</w:t>
            </w:r>
          </w:p>
        </w:tc>
        <w:tc>
          <w:tcPr>
            <w:tcW w:w="579" w:type="dxa"/>
            <w:tcBorders>
              <w:top w:val="nil"/>
              <w:left w:val="single" w:sz="12" w:space="0" w:color="FF9E3C"/>
              <w:bottom w:val="nil"/>
              <w:right w:val="single" w:sz="12" w:space="0" w:color="FF9E3C"/>
            </w:tcBorders>
            <w:shd w:val="clear" w:color="000000" w:fill="FFFFFF"/>
            <w:hideMark/>
          </w:tcPr>
          <w:p w14:paraId="527B090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.40</w:t>
            </w:r>
          </w:p>
        </w:tc>
        <w:tc>
          <w:tcPr>
            <w:tcW w:w="718" w:type="dxa"/>
            <w:tcBorders>
              <w:top w:val="nil"/>
              <w:left w:val="single" w:sz="12" w:space="0" w:color="FF9E3C"/>
              <w:bottom w:val="nil"/>
              <w:right w:val="single" w:sz="12" w:space="0" w:color="FF9E3C"/>
            </w:tcBorders>
            <w:shd w:val="clear" w:color="000000" w:fill="FFFFFF"/>
            <w:hideMark/>
          </w:tcPr>
          <w:p w14:paraId="55169F8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.42</w:t>
            </w:r>
          </w:p>
        </w:tc>
      </w:tr>
      <w:tr w:rsidR="00A110B5" w:rsidRPr="00220AEA" w14:paraId="5C22A2CE"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78B71958"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23543ECE"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71FA25CC"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2488EF7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3457282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0EAC596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(0.4,3.2)</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04EE9A3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(10.3,17.2)</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509EE2A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7A69329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30C6F7F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2CBB6D0E"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37CC92E7"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Loss Utilities</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3E2C682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1.96</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48A3AD6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1.98</w:t>
            </w:r>
          </w:p>
        </w:tc>
        <w:tc>
          <w:tcPr>
            <w:tcW w:w="1002" w:type="dxa"/>
            <w:tcBorders>
              <w:top w:val="nil"/>
              <w:left w:val="single" w:sz="12" w:space="0" w:color="FF9E3C"/>
              <w:bottom w:val="nil"/>
              <w:right w:val="single" w:sz="12" w:space="0" w:color="FF9E3C"/>
            </w:tcBorders>
            <w:shd w:val="clear" w:color="000000" w:fill="FFFFFF"/>
            <w:vAlign w:val="center"/>
            <w:hideMark/>
          </w:tcPr>
          <w:p w14:paraId="4A3F319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w:t>
            </w:r>
          </w:p>
        </w:tc>
        <w:tc>
          <w:tcPr>
            <w:tcW w:w="1033" w:type="dxa"/>
            <w:tcBorders>
              <w:top w:val="nil"/>
              <w:left w:val="single" w:sz="12" w:space="0" w:color="FF9E3C"/>
              <w:bottom w:val="nil"/>
              <w:right w:val="single" w:sz="12" w:space="0" w:color="FF9E3C"/>
            </w:tcBorders>
            <w:shd w:val="clear" w:color="000000" w:fill="FFFFFF"/>
            <w:vAlign w:val="center"/>
            <w:hideMark/>
          </w:tcPr>
          <w:p w14:paraId="755E2F0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72" w:type="dxa"/>
            <w:tcBorders>
              <w:top w:val="nil"/>
              <w:left w:val="single" w:sz="12" w:space="0" w:color="FF9E3C"/>
              <w:bottom w:val="nil"/>
              <w:right w:val="single" w:sz="12" w:space="0" w:color="FF9E3C"/>
            </w:tcBorders>
            <w:shd w:val="clear" w:color="000000" w:fill="FFFFFF"/>
            <w:vAlign w:val="center"/>
            <w:hideMark/>
          </w:tcPr>
          <w:p w14:paraId="393F93E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3.0</w:t>
            </w:r>
          </w:p>
        </w:tc>
        <w:tc>
          <w:tcPr>
            <w:tcW w:w="1036" w:type="dxa"/>
            <w:tcBorders>
              <w:top w:val="nil"/>
              <w:left w:val="single" w:sz="12" w:space="0" w:color="FF9E3C"/>
              <w:bottom w:val="nil"/>
              <w:right w:val="single" w:sz="12" w:space="0" w:color="FF9E3C"/>
            </w:tcBorders>
            <w:shd w:val="clear" w:color="000000" w:fill="FFFFFF"/>
            <w:vAlign w:val="center"/>
            <w:hideMark/>
          </w:tcPr>
          <w:p w14:paraId="57192BA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13.9</w:t>
            </w:r>
          </w:p>
        </w:tc>
        <w:tc>
          <w:tcPr>
            <w:tcW w:w="729" w:type="dxa"/>
            <w:tcBorders>
              <w:top w:val="nil"/>
              <w:left w:val="single" w:sz="12" w:space="0" w:color="FF9E3C"/>
              <w:bottom w:val="nil"/>
              <w:right w:val="single" w:sz="12" w:space="0" w:color="FF9E3C"/>
            </w:tcBorders>
            <w:shd w:val="clear" w:color="000000" w:fill="FFFFFF"/>
            <w:hideMark/>
          </w:tcPr>
          <w:p w14:paraId="7BAD7F3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.31</w:t>
            </w:r>
          </w:p>
        </w:tc>
        <w:tc>
          <w:tcPr>
            <w:tcW w:w="579" w:type="dxa"/>
            <w:tcBorders>
              <w:top w:val="nil"/>
              <w:left w:val="single" w:sz="12" w:space="0" w:color="FF9E3C"/>
              <w:bottom w:val="nil"/>
              <w:right w:val="single" w:sz="12" w:space="0" w:color="FF9E3C"/>
            </w:tcBorders>
            <w:shd w:val="clear" w:color="000000" w:fill="FFFFFF"/>
            <w:hideMark/>
          </w:tcPr>
          <w:p w14:paraId="49F7168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.32</w:t>
            </w:r>
          </w:p>
        </w:tc>
        <w:tc>
          <w:tcPr>
            <w:tcW w:w="718" w:type="dxa"/>
            <w:tcBorders>
              <w:top w:val="nil"/>
              <w:left w:val="single" w:sz="12" w:space="0" w:color="FF9E3C"/>
              <w:bottom w:val="nil"/>
              <w:right w:val="single" w:sz="12" w:space="0" w:color="FF9E3C"/>
            </w:tcBorders>
            <w:shd w:val="clear" w:color="000000" w:fill="FFFFFF"/>
            <w:hideMark/>
          </w:tcPr>
          <w:p w14:paraId="272760D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.41</w:t>
            </w:r>
          </w:p>
        </w:tc>
      </w:tr>
      <w:tr w:rsidR="00A110B5" w:rsidRPr="00220AEA" w14:paraId="1AACF286"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2D536E1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74B3C83D"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3015C27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4DD26E9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(0.1,7.3)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1CE9F13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(0.0,3.8)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55D6F08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(1.5,5.6)</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31D6D51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(10.8,17.7)</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19BACAD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2E03BBD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604A3A5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0856138E"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77E0CD20"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Welfare</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062A4BA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1.70</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1FA4DF1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2.11</w:t>
            </w:r>
          </w:p>
        </w:tc>
        <w:tc>
          <w:tcPr>
            <w:tcW w:w="1002" w:type="dxa"/>
            <w:tcBorders>
              <w:top w:val="nil"/>
              <w:left w:val="single" w:sz="12" w:space="0" w:color="FF9E3C"/>
              <w:bottom w:val="nil"/>
              <w:right w:val="single" w:sz="12" w:space="0" w:color="FF9E3C"/>
            </w:tcBorders>
            <w:shd w:val="clear" w:color="000000" w:fill="FFFFFF"/>
            <w:vAlign w:val="center"/>
            <w:hideMark/>
          </w:tcPr>
          <w:p w14:paraId="130E7F1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w:t>
            </w:r>
          </w:p>
        </w:tc>
        <w:tc>
          <w:tcPr>
            <w:tcW w:w="1033" w:type="dxa"/>
            <w:tcBorders>
              <w:top w:val="nil"/>
              <w:left w:val="single" w:sz="12" w:space="0" w:color="FF9E3C"/>
              <w:bottom w:val="nil"/>
              <w:right w:val="single" w:sz="12" w:space="0" w:color="FF9E3C"/>
            </w:tcBorders>
            <w:shd w:val="clear" w:color="000000" w:fill="FFFFFF"/>
            <w:vAlign w:val="center"/>
            <w:hideMark/>
          </w:tcPr>
          <w:p w14:paraId="2E2F89F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70CCFAC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4.2</w:t>
            </w:r>
          </w:p>
        </w:tc>
        <w:tc>
          <w:tcPr>
            <w:tcW w:w="1036" w:type="dxa"/>
            <w:tcBorders>
              <w:top w:val="nil"/>
              <w:left w:val="single" w:sz="12" w:space="0" w:color="FF9E3C"/>
              <w:bottom w:val="nil"/>
              <w:right w:val="single" w:sz="12" w:space="0" w:color="FF9E3C"/>
            </w:tcBorders>
            <w:shd w:val="clear" w:color="000000" w:fill="FFFFFF"/>
            <w:vAlign w:val="center"/>
            <w:hideMark/>
          </w:tcPr>
          <w:p w14:paraId="02BCD48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18.0</w:t>
            </w:r>
          </w:p>
        </w:tc>
        <w:tc>
          <w:tcPr>
            <w:tcW w:w="729" w:type="dxa"/>
            <w:tcBorders>
              <w:top w:val="nil"/>
              <w:left w:val="single" w:sz="12" w:space="0" w:color="FF9E3C"/>
              <w:bottom w:val="nil"/>
              <w:right w:val="single" w:sz="12" w:space="0" w:color="FF9E3C"/>
            </w:tcBorders>
            <w:shd w:val="clear" w:color="000000" w:fill="FFFFFF"/>
            <w:hideMark/>
          </w:tcPr>
          <w:p w14:paraId="2130D4E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.35</w:t>
            </w:r>
          </w:p>
        </w:tc>
        <w:tc>
          <w:tcPr>
            <w:tcW w:w="579" w:type="dxa"/>
            <w:tcBorders>
              <w:top w:val="nil"/>
              <w:left w:val="single" w:sz="12" w:space="0" w:color="FF9E3C"/>
              <w:bottom w:val="nil"/>
              <w:right w:val="single" w:sz="12" w:space="0" w:color="FF9E3C"/>
            </w:tcBorders>
            <w:shd w:val="clear" w:color="000000" w:fill="FFFFFF"/>
            <w:hideMark/>
          </w:tcPr>
          <w:p w14:paraId="696416F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.37</w:t>
            </w:r>
          </w:p>
        </w:tc>
        <w:tc>
          <w:tcPr>
            <w:tcW w:w="718" w:type="dxa"/>
            <w:tcBorders>
              <w:top w:val="nil"/>
              <w:left w:val="single" w:sz="12" w:space="0" w:color="FF9E3C"/>
              <w:bottom w:val="nil"/>
              <w:right w:val="single" w:sz="12" w:space="0" w:color="FF9E3C"/>
            </w:tcBorders>
            <w:shd w:val="clear" w:color="000000" w:fill="FFFFFF"/>
            <w:hideMark/>
          </w:tcPr>
          <w:p w14:paraId="3FD2781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.44</w:t>
            </w:r>
          </w:p>
        </w:tc>
      </w:tr>
      <w:tr w:rsidR="00A110B5" w:rsidRPr="00220AEA" w14:paraId="7D9A8EFA"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6938D21A"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43E10D08"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2BBDC0BA"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29976AB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(0.1,7.3)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30E61C2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06D352C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w:t>
            </w:r>
            <w:r>
              <w:rPr>
                <w:rFonts w:eastAsia="Cambria" w:cs="Arial"/>
                <w:color w:val="1C3158"/>
                <w:sz w:val="16"/>
                <w:szCs w:val="16"/>
                <w:lang w:eastAsia="ja-JP"/>
              </w:rPr>
              <w:t>(</w:t>
            </w:r>
            <w:r w:rsidRPr="00220AEA">
              <w:rPr>
                <w:rFonts w:eastAsia="Cambria" w:cs="Arial"/>
                <w:color w:val="1C3158"/>
                <w:sz w:val="16"/>
                <w:szCs w:val="16"/>
                <w:lang w:eastAsia="ja-JP"/>
              </w:rPr>
              <w:t>2.4,7.1)</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741A3AE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(14.5,22.2)</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2D52C81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5BD33D9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51EFF51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14FCCD83"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2D6C174A"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Inc. CC debt</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26C63F2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1.53</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1E70DF9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0.92</w:t>
            </w:r>
          </w:p>
        </w:tc>
        <w:tc>
          <w:tcPr>
            <w:tcW w:w="1002" w:type="dxa"/>
            <w:tcBorders>
              <w:top w:val="nil"/>
              <w:left w:val="single" w:sz="12" w:space="0" w:color="FF9E3C"/>
              <w:bottom w:val="nil"/>
              <w:right w:val="single" w:sz="12" w:space="0" w:color="FF9E3C"/>
            </w:tcBorders>
            <w:shd w:val="clear" w:color="000000" w:fill="FFFFFF"/>
            <w:vAlign w:val="center"/>
            <w:hideMark/>
          </w:tcPr>
          <w:p w14:paraId="6B3F187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4.7</w:t>
            </w:r>
          </w:p>
        </w:tc>
        <w:tc>
          <w:tcPr>
            <w:tcW w:w="1033" w:type="dxa"/>
            <w:tcBorders>
              <w:top w:val="nil"/>
              <w:left w:val="single" w:sz="12" w:space="0" w:color="FF9E3C"/>
              <w:bottom w:val="nil"/>
              <w:right w:val="single" w:sz="12" w:space="0" w:color="FF9E3C"/>
            </w:tcBorders>
            <w:shd w:val="clear" w:color="000000" w:fill="FFFFFF"/>
            <w:vAlign w:val="center"/>
            <w:hideMark/>
          </w:tcPr>
          <w:p w14:paraId="6E9B9C2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9.0</w:t>
            </w:r>
          </w:p>
        </w:tc>
        <w:tc>
          <w:tcPr>
            <w:tcW w:w="1072" w:type="dxa"/>
            <w:tcBorders>
              <w:top w:val="nil"/>
              <w:left w:val="single" w:sz="12" w:space="0" w:color="FF9E3C"/>
              <w:bottom w:val="nil"/>
              <w:right w:val="single" w:sz="12" w:space="0" w:color="FF9E3C"/>
            </w:tcBorders>
            <w:shd w:val="clear" w:color="000000" w:fill="FFFFFF"/>
            <w:vAlign w:val="center"/>
            <w:hideMark/>
          </w:tcPr>
          <w:p w14:paraId="62C239B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17.4</w:t>
            </w:r>
          </w:p>
        </w:tc>
        <w:tc>
          <w:tcPr>
            <w:tcW w:w="1036" w:type="dxa"/>
            <w:tcBorders>
              <w:top w:val="nil"/>
              <w:left w:val="single" w:sz="12" w:space="0" w:color="FF9E3C"/>
              <w:bottom w:val="nil"/>
              <w:right w:val="single" w:sz="12" w:space="0" w:color="FF9E3C"/>
            </w:tcBorders>
            <w:shd w:val="clear" w:color="000000" w:fill="FFFFFF"/>
            <w:vAlign w:val="center"/>
            <w:hideMark/>
          </w:tcPr>
          <w:p w14:paraId="502E031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35.6</w:t>
            </w:r>
          </w:p>
        </w:tc>
        <w:tc>
          <w:tcPr>
            <w:tcW w:w="729" w:type="dxa"/>
            <w:tcBorders>
              <w:top w:val="nil"/>
              <w:left w:val="single" w:sz="12" w:space="0" w:color="FF9E3C"/>
              <w:bottom w:val="nil"/>
              <w:right w:val="single" w:sz="12" w:space="0" w:color="FF9E3C"/>
            </w:tcBorders>
            <w:shd w:val="clear" w:color="000000" w:fill="FFFFFF"/>
            <w:hideMark/>
          </w:tcPr>
          <w:p w14:paraId="1038833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.33</w:t>
            </w:r>
          </w:p>
        </w:tc>
        <w:tc>
          <w:tcPr>
            <w:tcW w:w="579" w:type="dxa"/>
            <w:tcBorders>
              <w:top w:val="nil"/>
              <w:left w:val="single" w:sz="12" w:space="0" w:color="FF9E3C"/>
              <w:bottom w:val="nil"/>
              <w:right w:val="single" w:sz="12" w:space="0" w:color="FF9E3C"/>
            </w:tcBorders>
            <w:shd w:val="clear" w:color="000000" w:fill="FFFFFF"/>
            <w:hideMark/>
          </w:tcPr>
          <w:p w14:paraId="630F696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.35</w:t>
            </w:r>
          </w:p>
        </w:tc>
        <w:tc>
          <w:tcPr>
            <w:tcW w:w="718" w:type="dxa"/>
            <w:tcBorders>
              <w:top w:val="nil"/>
              <w:left w:val="single" w:sz="12" w:space="0" w:color="FF9E3C"/>
              <w:bottom w:val="nil"/>
              <w:right w:val="single" w:sz="12" w:space="0" w:color="FF9E3C"/>
            </w:tcBorders>
            <w:shd w:val="clear" w:color="000000" w:fill="FFFFFF"/>
            <w:hideMark/>
          </w:tcPr>
          <w:p w14:paraId="614AFDF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.31</w:t>
            </w:r>
          </w:p>
        </w:tc>
      </w:tr>
      <w:tr w:rsidR="00A110B5" w:rsidRPr="00220AEA" w14:paraId="605BCBE4"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4164CE97"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535652F1"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31B8CA75"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193BBB5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(1.5,12.3)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238F452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(4.8,15.9)</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4A5D0B1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13.5,22.0)</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6E7F38F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(31.0,40.5)</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21BA0E4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79C1FDC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2231822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5DAF9B73"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3CA9D7F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Sold Items</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5ACF45B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1.27</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5CB3858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2.09</w:t>
            </w:r>
          </w:p>
        </w:tc>
        <w:tc>
          <w:tcPr>
            <w:tcW w:w="1002" w:type="dxa"/>
            <w:tcBorders>
              <w:top w:val="nil"/>
              <w:left w:val="single" w:sz="12" w:space="0" w:color="FF9E3C"/>
              <w:bottom w:val="nil"/>
              <w:right w:val="single" w:sz="12" w:space="0" w:color="FF9E3C"/>
            </w:tcBorders>
            <w:shd w:val="clear" w:color="000000" w:fill="FFFFFF"/>
            <w:vAlign w:val="center"/>
            <w:hideMark/>
          </w:tcPr>
          <w:p w14:paraId="6E158CE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4BCAD74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4.9</w:t>
            </w:r>
          </w:p>
        </w:tc>
        <w:tc>
          <w:tcPr>
            <w:tcW w:w="1072" w:type="dxa"/>
            <w:tcBorders>
              <w:top w:val="nil"/>
              <w:left w:val="single" w:sz="12" w:space="0" w:color="FF9E3C"/>
              <w:bottom w:val="nil"/>
              <w:right w:val="single" w:sz="12" w:space="0" w:color="FF9E3C"/>
            </w:tcBorders>
            <w:shd w:val="clear" w:color="000000" w:fill="FFFFFF"/>
            <w:vAlign w:val="center"/>
            <w:hideMark/>
          </w:tcPr>
          <w:p w14:paraId="3FB2821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6.0</w:t>
            </w:r>
          </w:p>
        </w:tc>
        <w:tc>
          <w:tcPr>
            <w:tcW w:w="1036" w:type="dxa"/>
            <w:tcBorders>
              <w:top w:val="nil"/>
              <w:left w:val="single" w:sz="12" w:space="0" w:color="FF9E3C"/>
              <w:bottom w:val="nil"/>
              <w:right w:val="single" w:sz="12" w:space="0" w:color="FF9E3C"/>
            </w:tcBorders>
            <w:shd w:val="clear" w:color="000000" w:fill="FFFFFF"/>
            <w:vAlign w:val="center"/>
            <w:hideMark/>
          </w:tcPr>
          <w:p w14:paraId="3E363D8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31.7</w:t>
            </w:r>
          </w:p>
        </w:tc>
        <w:tc>
          <w:tcPr>
            <w:tcW w:w="729" w:type="dxa"/>
            <w:tcBorders>
              <w:top w:val="nil"/>
              <w:left w:val="single" w:sz="12" w:space="0" w:color="FF9E3C"/>
              <w:bottom w:val="nil"/>
              <w:right w:val="single" w:sz="12" w:space="0" w:color="FF9E3C"/>
            </w:tcBorders>
            <w:shd w:val="clear" w:color="000000" w:fill="FFFFFF"/>
            <w:hideMark/>
          </w:tcPr>
          <w:p w14:paraId="41E3E16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.44</w:t>
            </w:r>
          </w:p>
        </w:tc>
        <w:tc>
          <w:tcPr>
            <w:tcW w:w="579" w:type="dxa"/>
            <w:tcBorders>
              <w:top w:val="nil"/>
              <w:left w:val="single" w:sz="12" w:space="0" w:color="FF9E3C"/>
              <w:bottom w:val="nil"/>
              <w:right w:val="single" w:sz="12" w:space="0" w:color="FF9E3C"/>
            </w:tcBorders>
            <w:shd w:val="clear" w:color="000000" w:fill="FFFFFF"/>
            <w:hideMark/>
          </w:tcPr>
          <w:p w14:paraId="5E49FE9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.44</w:t>
            </w:r>
          </w:p>
        </w:tc>
        <w:tc>
          <w:tcPr>
            <w:tcW w:w="718" w:type="dxa"/>
            <w:tcBorders>
              <w:top w:val="nil"/>
              <w:left w:val="single" w:sz="12" w:space="0" w:color="FF9E3C"/>
              <w:bottom w:val="nil"/>
              <w:right w:val="single" w:sz="12" w:space="0" w:color="FF9E3C"/>
            </w:tcBorders>
            <w:shd w:val="clear" w:color="000000" w:fill="FFFFFF"/>
            <w:hideMark/>
          </w:tcPr>
          <w:p w14:paraId="57B88AB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.52</w:t>
            </w:r>
          </w:p>
        </w:tc>
      </w:tr>
      <w:tr w:rsidR="00A110B5" w:rsidRPr="00220AEA" w14:paraId="3D0D1CFC"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34EB715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47687D16"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0E938458"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4C48E52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238C0A6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(2.0,10.8)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4E78915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(3.8,9.2)</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026DD5F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(27.3,36.5)</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4AB5054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1D98F56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100C25A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731EA265"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3B1DB48E" w14:textId="099F208E"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 xml:space="preserve">Assist. </w:t>
            </w:r>
            <w:r w:rsidR="00B12BDA">
              <w:rPr>
                <w:rFonts w:eastAsia="Cambria" w:cs="Arial"/>
                <w:color w:val="1C3158"/>
                <w:sz w:val="16"/>
                <w:szCs w:val="16"/>
                <w:lang w:eastAsia="ja-JP"/>
              </w:rPr>
              <w:t>Whānau</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7DA4909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1.18</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2D4BC50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2.17</w:t>
            </w:r>
          </w:p>
        </w:tc>
        <w:tc>
          <w:tcPr>
            <w:tcW w:w="1002" w:type="dxa"/>
            <w:tcBorders>
              <w:top w:val="nil"/>
              <w:left w:val="single" w:sz="12" w:space="0" w:color="FF9E3C"/>
              <w:bottom w:val="nil"/>
              <w:right w:val="single" w:sz="12" w:space="0" w:color="FF9E3C"/>
            </w:tcBorders>
            <w:shd w:val="clear" w:color="000000" w:fill="FFFFFF"/>
            <w:vAlign w:val="center"/>
            <w:hideMark/>
          </w:tcPr>
          <w:p w14:paraId="4ED16A3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w:t>
            </w:r>
          </w:p>
        </w:tc>
        <w:tc>
          <w:tcPr>
            <w:tcW w:w="1033" w:type="dxa"/>
            <w:tcBorders>
              <w:top w:val="nil"/>
              <w:left w:val="single" w:sz="12" w:space="0" w:color="FF9E3C"/>
              <w:bottom w:val="nil"/>
              <w:right w:val="single" w:sz="12" w:space="0" w:color="FF9E3C"/>
            </w:tcBorders>
            <w:shd w:val="clear" w:color="000000" w:fill="FFFFFF"/>
            <w:vAlign w:val="center"/>
            <w:hideMark/>
          </w:tcPr>
          <w:p w14:paraId="52E58CD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1.6</w:t>
            </w:r>
          </w:p>
        </w:tc>
        <w:tc>
          <w:tcPr>
            <w:tcW w:w="1072" w:type="dxa"/>
            <w:tcBorders>
              <w:top w:val="nil"/>
              <w:left w:val="single" w:sz="12" w:space="0" w:color="FF9E3C"/>
              <w:bottom w:val="nil"/>
              <w:right w:val="single" w:sz="12" w:space="0" w:color="FF9E3C"/>
            </w:tcBorders>
            <w:shd w:val="clear" w:color="000000" w:fill="FFFFFF"/>
            <w:vAlign w:val="center"/>
            <w:hideMark/>
          </w:tcPr>
          <w:p w14:paraId="4B57DB8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6.3</w:t>
            </w:r>
          </w:p>
        </w:tc>
        <w:tc>
          <w:tcPr>
            <w:tcW w:w="1036" w:type="dxa"/>
            <w:tcBorders>
              <w:top w:val="nil"/>
              <w:left w:val="single" w:sz="12" w:space="0" w:color="FF9E3C"/>
              <w:bottom w:val="nil"/>
              <w:right w:val="single" w:sz="12" w:space="0" w:color="FF9E3C"/>
            </w:tcBorders>
            <w:shd w:val="clear" w:color="000000" w:fill="FFFFFF"/>
            <w:vAlign w:val="center"/>
            <w:hideMark/>
          </w:tcPr>
          <w:p w14:paraId="048EC82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35.4</w:t>
            </w:r>
          </w:p>
        </w:tc>
        <w:tc>
          <w:tcPr>
            <w:tcW w:w="729" w:type="dxa"/>
            <w:tcBorders>
              <w:top w:val="nil"/>
              <w:left w:val="single" w:sz="12" w:space="0" w:color="FF9E3C"/>
              <w:bottom w:val="nil"/>
              <w:right w:val="single" w:sz="12" w:space="0" w:color="FF9E3C"/>
            </w:tcBorders>
            <w:shd w:val="clear" w:color="000000" w:fill="FFFFFF"/>
            <w:hideMark/>
          </w:tcPr>
          <w:p w14:paraId="74A24E4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.49</w:t>
            </w:r>
          </w:p>
        </w:tc>
        <w:tc>
          <w:tcPr>
            <w:tcW w:w="579" w:type="dxa"/>
            <w:tcBorders>
              <w:top w:val="nil"/>
              <w:left w:val="single" w:sz="12" w:space="0" w:color="FF9E3C"/>
              <w:bottom w:val="nil"/>
              <w:right w:val="single" w:sz="12" w:space="0" w:color="FF9E3C"/>
            </w:tcBorders>
            <w:shd w:val="clear" w:color="000000" w:fill="FFFFFF"/>
            <w:hideMark/>
          </w:tcPr>
          <w:p w14:paraId="11A1AAC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.46</w:t>
            </w:r>
          </w:p>
        </w:tc>
        <w:tc>
          <w:tcPr>
            <w:tcW w:w="718" w:type="dxa"/>
            <w:tcBorders>
              <w:top w:val="nil"/>
              <w:left w:val="single" w:sz="12" w:space="0" w:color="FF9E3C"/>
              <w:bottom w:val="nil"/>
              <w:right w:val="single" w:sz="12" w:space="0" w:color="FF9E3C"/>
            </w:tcBorders>
            <w:shd w:val="clear" w:color="000000" w:fill="FFFFFF"/>
            <w:hideMark/>
          </w:tcPr>
          <w:p w14:paraId="0222262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.53</w:t>
            </w:r>
          </w:p>
        </w:tc>
      </w:tr>
      <w:tr w:rsidR="00A110B5" w:rsidRPr="00220AEA" w14:paraId="73C5EA00"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7949030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01067B44"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70B39114"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33D1A10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(0.1,7.3)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0C1A889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(0.3,6.4)</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70F6F1E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(4.0,9.6)</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4CAB1E1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(30.8,40.2)</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5BADEC8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3A57321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3E2A31D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0E200FB7"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0AAF025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Red. Ess. Exp.</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76FA166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1.02</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73395F5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2.82</w:t>
            </w:r>
          </w:p>
        </w:tc>
        <w:tc>
          <w:tcPr>
            <w:tcW w:w="1002" w:type="dxa"/>
            <w:tcBorders>
              <w:top w:val="nil"/>
              <w:left w:val="single" w:sz="12" w:space="0" w:color="FF9E3C"/>
              <w:bottom w:val="nil"/>
              <w:right w:val="single" w:sz="12" w:space="0" w:color="FF9E3C"/>
            </w:tcBorders>
            <w:shd w:val="clear" w:color="000000" w:fill="FFFFFF"/>
            <w:vAlign w:val="center"/>
            <w:hideMark/>
          </w:tcPr>
          <w:p w14:paraId="7B0BF0E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w:t>
            </w:r>
          </w:p>
        </w:tc>
        <w:tc>
          <w:tcPr>
            <w:tcW w:w="1033" w:type="dxa"/>
            <w:tcBorders>
              <w:top w:val="nil"/>
              <w:left w:val="single" w:sz="12" w:space="0" w:color="FF9E3C"/>
              <w:bottom w:val="nil"/>
              <w:right w:val="single" w:sz="12" w:space="0" w:color="FF9E3C"/>
            </w:tcBorders>
            <w:shd w:val="clear" w:color="000000" w:fill="FFFFFF"/>
            <w:vAlign w:val="center"/>
            <w:hideMark/>
          </w:tcPr>
          <w:p w14:paraId="1426062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11C76C4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14.1</w:t>
            </w:r>
          </w:p>
        </w:tc>
        <w:tc>
          <w:tcPr>
            <w:tcW w:w="1036" w:type="dxa"/>
            <w:tcBorders>
              <w:top w:val="nil"/>
              <w:left w:val="single" w:sz="12" w:space="0" w:color="FF9E3C"/>
              <w:bottom w:val="nil"/>
              <w:right w:val="single" w:sz="12" w:space="0" w:color="FF9E3C"/>
            </w:tcBorders>
            <w:shd w:val="clear" w:color="000000" w:fill="FFFFFF"/>
            <w:vAlign w:val="center"/>
            <w:hideMark/>
          </w:tcPr>
          <w:p w14:paraId="2A918C4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32.4</w:t>
            </w:r>
          </w:p>
        </w:tc>
        <w:tc>
          <w:tcPr>
            <w:tcW w:w="729" w:type="dxa"/>
            <w:tcBorders>
              <w:top w:val="nil"/>
              <w:left w:val="single" w:sz="12" w:space="0" w:color="FF9E3C"/>
              <w:bottom w:val="nil"/>
              <w:right w:val="single" w:sz="12" w:space="0" w:color="FF9E3C"/>
            </w:tcBorders>
            <w:shd w:val="clear" w:color="000000" w:fill="FFFFFF"/>
            <w:hideMark/>
          </w:tcPr>
          <w:p w14:paraId="2CC03BC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.40</w:t>
            </w:r>
          </w:p>
        </w:tc>
        <w:tc>
          <w:tcPr>
            <w:tcW w:w="579" w:type="dxa"/>
            <w:tcBorders>
              <w:top w:val="nil"/>
              <w:left w:val="single" w:sz="12" w:space="0" w:color="FF9E3C"/>
              <w:bottom w:val="nil"/>
              <w:right w:val="single" w:sz="12" w:space="0" w:color="FF9E3C"/>
            </w:tcBorders>
            <w:shd w:val="clear" w:color="000000" w:fill="FFFFFF"/>
            <w:hideMark/>
          </w:tcPr>
          <w:p w14:paraId="65C1A73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.43</w:t>
            </w:r>
          </w:p>
        </w:tc>
        <w:tc>
          <w:tcPr>
            <w:tcW w:w="718" w:type="dxa"/>
            <w:tcBorders>
              <w:top w:val="nil"/>
              <w:left w:val="single" w:sz="12" w:space="0" w:color="FF9E3C"/>
              <w:bottom w:val="nil"/>
              <w:right w:val="single" w:sz="12" w:space="0" w:color="FF9E3C"/>
            </w:tcBorders>
            <w:shd w:val="clear" w:color="000000" w:fill="FFFFFF"/>
            <w:hideMark/>
          </w:tcPr>
          <w:p w14:paraId="5138E11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.57</w:t>
            </w:r>
          </w:p>
        </w:tc>
      </w:tr>
      <w:tr w:rsidR="00A110B5" w:rsidRPr="00220AEA" w14:paraId="4DBA987A"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7F07A995"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6401AB9E"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2F21BB38"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3C181F9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(0.1,7.3)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0481ED2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0773DB9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w:t>
            </w:r>
            <w:r>
              <w:rPr>
                <w:rFonts w:eastAsia="Cambria" w:cs="Arial"/>
                <w:color w:val="1C3158"/>
                <w:sz w:val="16"/>
                <w:szCs w:val="16"/>
                <w:lang w:eastAsia="ja-JP"/>
              </w:rPr>
              <w:t>(</w:t>
            </w:r>
            <w:r w:rsidRPr="00220AEA">
              <w:rPr>
                <w:rFonts w:eastAsia="Cambria" w:cs="Arial"/>
                <w:color w:val="1C3158"/>
                <w:sz w:val="16"/>
                <w:szCs w:val="16"/>
                <w:lang w:eastAsia="ja-JP"/>
              </w:rPr>
              <w:t>10.6,18.4)</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02BB20D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(28.0,37.2)</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5FE6D54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3590FF7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16A4DCE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6E867EA3"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0A785A03"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Red. Ben. Exp.</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4621E8D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1.01</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1DEDC84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3.05</w:t>
            </w:r>
          </w:p>
        </w:tc>
        <w:tc>
          <w:tcPr>
            <w:tcW w:w="1002" w:type="dxa"/>
            <w:tcBorders>
              <w:top w:val="nil"/>
              <w:left w:val="single" w:sz="12" w:space="0" w:color="FF9E3C"/>
              <w:bottom w:val="nil"/>
              <w:right w:val="single" w:sz="12" w:space="0" w:color="FF9E3C"/>
            </w:tcBorders>
            <w:shd w:val="clear" w:color="000000" w:fill="FFFFFF"/>
            <w:vAlign w:val="center"/>
            <w:hideMark/>
          </w:tcPr>
          <w:p w14:paraId="462965F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3D3ABA6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110F032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12.6</w:t>
            </w:r>
          </w:p>
        </w:tc>
        <w:tc>
          <w:tcPr>
            <w:tcW w:w="1036" w:type="dxa"/>
            <w:tcBorders>
              <w:top w:val="nil"/>
              <w:left w:val="single" w:sz="12" w:space="0" w:color="FF9E3C"/>
              <w:bottom w:val="nil"/>
              <w:right w:val="single" w:sz="12" w:space="0" w:color="FF9E3C"/>
            </w:tcBorders>
            <w:shd w:val="clear" w:color="000000" w:fill="FFFFFF"/>
            <w:vAlign w:val="center"/>
            <w:hideMark/>
          </w:tcPr>
          <w:p w14:paraId="07F8A5F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33.4</w:t>
            </w:r>
          </w:p>
        </w:tc>
        <w:tc>
          <w:tcPr>
            <w:tcW w:w="729" w:type="dxa"/>
            <w:tcBorders>
              <w:top w:val="nil"/>
              <w:left w:val="single" w:sz="12" w:space="0" w:color="FF9E3C"/>
              <w:bottom w:val="nil"/>
              <w:right w:val="single" w:sz="12" w:space="0" w:color="FF9E3C"/>
            </w:tcBorders>
            <w:shd w:val="clear" w:color="000000" w:fill="FFFFFF"/>
            <w:hideMark/>
          </w:tcPr>
          <w:p w14:paraId="6902DFE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.41</w:t>
            </w:r>
          </w:p>
        </w:tc>
        <w:tc>
          <w:tcPr>
            <w:tcW w:w="579" w:type="dxa"/>
            <w:tcBorders>
              <w:top w:val="nil"/>
              <w:left w:val="single" w:sz="12" w:space="0" w:color="FF9E3C"/>
              <w:bottom w:val="nil"/>
              <w:right w:val="single" w:sz="12" w:space="0" w:color="FF9E3C"/>
            </w:tcBorders>
            <w:shd w:val="clear" w:color="000000" w:fill="FFFFFF"/>
            <w:hideMark/>
          </w:tcPr>
          <w:p w14:paraId="2E55449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.48</w:t>
            </w:r>
          </w:p>
        </w:tc>
        <w:tc>
          <w:tcPr>
            <w:tcW w:w="718" w:type="dxa"/>
            <w:tcBorders>
              <w:top w:val="nil"/>
              <w:left w:val="single" w:sz="12" w:space="0" w:color="FF9E3C"/>
              <w:bottom w:val="nil"/>
              <w:right w:val="single" w:sz="12" w:space="0" w:color="FF9E3C"/>
            </w:tcBorders>
            <w:shd w:val="clear" w:color="000000" w:fill="FFFFFF"/>
            <w:hideMark/>
          </w:tcPr>
          <w:p w14:paraId="183619B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.61</w:t>
            </w:r>
          </w:p>
        </w:tc>
      </w:tr>
      <w:tr w:rsidR="00A110B5" w:rsidRPr="00220AEA" w14:paraId="557CA0FD"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38B533A5"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1A8B014F"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61BDE84C"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4D85991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194E7C9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730D9A8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(9.3,16.7)</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6BEDC3F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(28.9,38.2)</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1B83F16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2FD12DC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06D5DC9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5CC961E9"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2938E7B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Late Bills</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071E679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0.74</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34780AD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2.94</w:t>
            </w:r>
          </w:p>
        </w:tc>
        <w:tc>
          <w:tcPr>
            <w:tcW w:w="1002" w:type="dxa"/>
            <w:tcBorders>
              <w:top w:val="nil"/>
              <w:left w:val="single" w:sz="12" w:space="0" w:color="FF9E3C"/>
              <w:bottom w:val="nil"/>
              <w:right w:val="single" w:sz="12" w:space="0" w:color="FF9E3C"/>
            </w:tcBorders>
            <w:shd w:val="clear" w:color="000000" w:fill="FFFFFF"/>
            <w:vAlign w:val="center"/>
            <w:hideMark/>
          </w:tcPr>
          <w:p w14:paraId="7C44491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62B5150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1.6</w:t>
            </w:r>
          </w:p>
        </w:tc>
        <w:tc>
          <w:tcPr>
            <w:tcW w:w="1072" w:type="dxa"/>
            <w:tcBorders>
              <w:top w:val="nil"/>
              <w:left w:val="single" w:sz="12" w:space="0" w:color="FF9E3C"/>
              <w:bottom w:val="nil"/>
              <w:right w:val="single" w:sz="12" w:space="0" w:color="FF9E3C"/>
            </w:tcBorders>
            <w:shd w:val="clear" w:color="000000" w:fill="FFFFFF"/>
            <w:vAlign w:val="center"/>
            <w:hideMark/>
          </w:tcPr>
          <w:p w14:paraId="57F3A7C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17.1</w:t>
            </w:r>
          </w:p>
        </w:tc>
        <w:tc>
          <w:tcPr>
            <w:tcW w:w="1036" w:type="dxa"/>
            <w:tcBorders>
              <w:top w:val="nil"/>
              <w:left w:val="single" w:sz="12" w:space="0" w:color="FF9E3C"/>
              <w:bottom w:val="nil"/>
              <w:right w:val="single" w:sz="12" w:space="0" w:color="FF9E3C"/>
            </w:tcBorders>
            <w:shd w:val="clear" w:color="000000" w:fill="FFFFFF"/>
            <w:vAlign w:val="center"/>
            <w:hideMark/>
          </w:tcPr>
          <w:p w14:paraId="39790E2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46.3</w:t>
            </w:r>
          </w:p>
        </w:tc>
        <w:tc>
          <w:tcPr>
            <w:tcW w:w="729" w:type="dxa"/>
            <w:tcBorders>
              <w:top w:val="nil"/>
              <w:left w:val="single" w:sz="12" w:space="0" w:color="FF9E3C"/>
              <w:bottom w:val="nil"/>
              <w:right w:val="single" w:sz="12" w:space="0" w:color="FF9E3C"/>
            </w:tcBorders>
            <w:shd w:val="clear" w:color="000000" w:fill="FFFFFF"/>
            <w:hideMark/>
          </w:tcPr>
          <w:p w14:paraId="7421E91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.46</w:t>
            </w:r>
          </w:p>
        </w:tc>
        <w:tc>
          <w:tcPr>
            <w:tcW w:w="579" w:type="dxa"/>
            <w:tcBorders>
              <w:top w:val="nil"/>
              <w:left w:val="single" w:sz="12" w:space="0" w:color="FF9E3C"/>
              <w:bottom w:val="nil"/>
              <w:right w:val="single" w:sz="12" w:space="0" w:color="FF9E3C"/>
            </w:tcBorders>
            <w:shd w:val="clear" w:color="000000" w:fill="FFFFFF"/>
            <w:hideMark/>
          </w:tcPr>
          <w:p w14:paraId="53F7937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.51</w:t>
            </w:r>
          </w:p>
        </w:tc>
        <w:tc>
          <w:tcPr>
            <w:tcW w:w="718" w:type="dxa"/>
            <w:tcBorders>
              <w:top w:val="nil"/>
              <w:left w:val="single" w:sz="12" w:space="0" w:color="FF9E3C"/>
              <w:bottom w:val="nil"/>
              <w:right w:val="single" w:sz="12" w:space="0" w:color="FF9E3C"/>
            </w:tcBorders>
            <w:shd w:val="clear" w:color="000000" w:fill="FFFFFF"/>
            <w:hideMark/>
          </w:tcPr>
          <w:p w14:paraId="5BE0DE9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.59</w:t>
            </w:r>
          </w:p>
        </w:tc>
      </w:tr>
      <w:tr w:rsidR="00A110B5" w:rsidRPr="00220AEA" w14:paraId="5601CF21"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34BE13E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7B0EE3E7"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054A0457"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039534F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0E1E3D9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(0.3,6.4)</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392D19A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w:t>
            </w:r>
            <w:r>
              <w:rPr>
                <w:rFonts w:eastAsia="Cambria" w:cs="Arial"/>
                <w:color w:val="1C3158"/>
                <w:sz w:val="16"/>
                <w:szCs w:val="16"/>
                <w:lang w:eastAsia="ja-JP"/>
              </w:rPr>
              <w:t>(</w:t>
            </w:r>
            <w:r w:rsidRPr="00220AEA">
              <w:rPr>
                <w:rFonts w:eastAsia="Cambria" w:cs="Arial"/>
                <w:color w:val="1C3158"/>
                <w:sz w:val="16"/>
                <w:szCs w:val="16"/>
                <w:lang w:eastAsia="ja-JP"/>
              </w:rPr>
              <w:t>13.3,21.6)</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123EE38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(41.5,51.3)</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11AC930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2491689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7965EB5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405D56CD"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1E74081F"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Red. Savings</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64684CA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0.16</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10516FC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1.18</w:t>
            </w:r>
          </w:p>
        </w:tc>
        <w:tc>
          <w:tcPr>
            <w:tcW w:w="1002" w:type="dxa"/>
            <w:tcBorders>
              <w:top w:val="nil"/>
              <w:left w:val="single" w:sz="12" w:space="0" w:color="FF9E3C"/>
              <w:bottom w:val="nil"/>
              <w:right w:val="single" w:sz="12" w:space="0" w:color="FF9E3C"/>
            </w:tcBorders>
            <w:shd w:val="clear" w:color="000000" w:fill="FFFFFF"/>
            <w:vAlign w:val="center"/>
            <w:hideMark/>
          </w:tcPr>
          <w:p w14:paraId="1F39AEE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4.7</w:t>
            </w:r>
          </w:p>
        </w:tc>
        <w:tc>
          <w:tcPr>
            <w:tcW w:w="1033" w:type="dxa"/>
            <w:tcBorders>
              <w:top w:val="nil"/>
              <w:left w:val="single" w:sz="12" w:space="0" w:color="FF9E3C"/>
              <w:bottom w:val="nil"/>
              <w:right w:val="single" w:sz="12" w:space="0" w:color="FF9E3C"/>
            </w:tcBorders>
            <w:shd w:val="clear" w:color="000000" w:fill="FFFFFF"/>
            <w:vAlign w:val="center"/>
            <w:hideMark/>
          </w:tcPr>
          <w:p w14:paraId="02F6F78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23.8</w:t>
            </w:r>
          </w:p>
        </w:tc>
        <w:tc>
          <w:tcPr>
            <w:tcW w:w="1072" w:type="dxa"/>
            <w:tcBorders>
              <w:top w:val="nil"/>
              <w:left w:val="single" w:sz="12" w:space="0" w:color="FF9E3C"/>
              <w:bottom w:val="nil"/>
              <w:right w:val="single" w:sz="12" w:space="0" w:color="FF9E3C"/>
            </w:tcBorders>
            <w:shd w:val="clear" w:color="000000" w:fill="FFFFFF"/>
            <w:vAlign w:val="center"/>
            <w:hideMark/>
          </w:tcPr>
          <w:p w14:paraId="5782F7A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42.5</w:t>
            </w:r>
          </w:p>
        </w:tc>
        <w:tc>
          <w:tcPr>
            <w:tcW w:w="1036" w:type="dxa"/>
            <w:tcBorders>
              <w:top w:val="nil"/>
              <w:left w:val="single" w:sz="12" w:space="0" w:color="FF9E3C"/>
              <w:bottom w:val="nil"/>
              <w:right w:val="single" w:sz="12" w:space="0" w:color="FF9E3C"/>
            </w:tcBorders>
            <w:shd w:val="clear" w:color="000000" w:fill="FFFFFF"/>
            <w:vAlign w:val="center"/>
            <w:hideMark/>
          </w:tcPr>
          <w:p w14:paraId="56643E1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64.9</w:t>
            </w:r>
          </w:p>
        </w:tc>
        <w:tc>
          <w:tcPr>
            <w:tcW w:w="729" w:type="dxa"/>
            <w:tcBorders>
              <w:top w:val="nil"/>
              <w:left w:val="single" w:sz="12" w:space="0" w:color="FF9E3C"/>
              <w:bottom w:val="nil"/>
              <w:right w:val="single" w:sz="12" w:space="0" w:color="FF9E3C"/>
            </w:tcBorders>
            <w:shd w:val="clear" w:color="000000" w:fill="FFFFFF"/>
            <w:hideMark/>
          </w:tcPr>
          <w:p w14:paraId="5EAF5A4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.35</w:t>
            </w:r>
          </w:p>
        </w:tc>
        <w:tc>
          <w:tcPr>
            <w:tcW w:w="579" w:type="dxa"/>
            <w:tcBorders>
              <w:top w:val="nil"/>
              <w:left w:val="single" w:sz="12" w:space="0" w:color="FF9E3C"/>
              <w:bottom w:val="nil"/>
              <w:right w:val="single" w:sz="12" w:space="0" w:color="FF9E3C"/>
            </w:tcBorders>
            <w:shd w:val="clear" w:color="000000" w:fill="FFFFFF"/>
            <w:hideMark/>
          </w:tcPr>
          <w:p w14:paraId="0826AEF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.40</w:t>
            </w:r>
          </w:p>
        </w:tc>
        <w:tc>
          <w:tcPr>
            <w:tcW w:w="718" w:type="dxa"/>
            <w:tcBorders>
              <w:top w:val="nil"/>
              <w:left w:val="single" w:sz="12" w:space="0" w:color="FF9E3C"/>
              <w:bottom w:val="nil"/>
              <w:right w:val="single" w:sz="12" w:space="0" w:color="FF9E3C"/>
            </w:tcBorders>
            <w:shd w:val="clear" w:color="000000" w:fill="FFFFFF"/>
            <w:hideMark/>
          </w:tcPr>
          <w:p w14:paraId="4F13A99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.40</w:t>
            </w:r>
          </w:p>
        </w:tc>
      </w:tr>
      <w:tr w:rsidR="00A110B5" w:rsidRPr="00220AEA" w14:paraId="286CD62B"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57D7CD9D"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0CF7E365"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1CDB47A0"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235785D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(1.5,12.3)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6FB746B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(16.7,32.5)</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6521266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(37.2,48.0)</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43CC5AA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(60.0,69.5)</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11BE627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4FD4C9C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314E6B0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4F253C1E"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7260F54D"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Red. Rec. Exp.</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0CAF885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0.15</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450DD40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1.05</w:t>
            </w:r>
          </w:p>
        </w:tc>
        <w:tc>
          <w:tcPr>
            <w:tcW w:w="1002" w:type="dxa"/>
            <w:tcBorders>
              <w:top w:val="nil"/>
              <w:left w:val="single" w:sz="12" w:space="0" w:color="FF9E3C"/>
              <w:bottom w:val="nil"/>
              <w:right w:val="single" w:sz="12" w:space="0" w:color="FF9E3C"/>
            </w:tcBorders>
            <w:shd w:val="clear" w:color="000000" w:fill="FFFFFF"/>
            <w:vAlign w:val="center"/>
            <w:hideMark/>
          </w:tcPr>
          <w:p w14:paraId="3E8B343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17.6</w:t>
            </w:r>
          </w:p>
        </w:tc>
        <w:tc>
          <w:tcPr>
            <w:tcW w:w="1033" w:type="dxa"/>
            <w:tcBorders>
              <w:top w:val="nil"/>
              <w:left w:val="single" w:sz="12" w:space="0" w:color="FF9E3C"/>
              <w:bottom w:val="nil"/>
              <w:right w:val="single" w:sz="12" w:space="0" w:color="FF9E3C"/>
            </w:tcBorders>
            <w:shd w:val="clear" w:color="000000" w:fill="FFFFFF"/>
            <w:vAlign w:val="center"/>
            <w:hideMark/>
          </w:tcPr>
          <w:p w14:paraId="7D5F9DA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24.6</w:t>
            </w:r>
          </w:p>
        </w:tc>
        <w:tc>
          <w:tcPr>
            <w:tcW w:w="1072" w:type="dxa"/>
            <w:tcBorders>
              <w:top w:val="nil"/>
              <w:left w:val="single" w:sz="12" w:space="0" w:color="FF9E3C"/>
              <w:bottom w:val="nil"/>
              <w:right w:val="single" w:sz="12" w:space="0" w:color="FF9E3C"/>
            </w:tcBorders>
            <w:shd w:val="clear" w:color="000000" w:fill="FFFFFF"/>
            <w:vAlign w:val="center"/>
            <w:hideMark/>
          </w:tcPr>
          <w:p w14:paraId="5830619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49.1</w:t>
            </w:r>
          </w:p>
        </w:tc>
        <w:tc>
          <w:tcPr>
            <w:tcW w:w="1036" w:type="dxa"/>
            <w:tcBorders>
              <w:top w:val="nil"/>
              <w:left w:val="single" w:sz="12" w:space="0" w:color="FF9E3C"/>
              <w:bottom w:val="nil"/>
              <w:right w:val="single" w:sz="12" w:space="0" w:color="FF9E3C"/>
            </w:tcBorders>
            <w:shd w:val="clear" w:color="000000" w:fill="FFFFFF"/>
            <w:vAlign w:val="center"/>
            <w:hideMark/>
          </w:tcPr>
          <w:p w14:paraId="531DC2B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57.8</w:t>
            </w:r>
          </w:p>
        </w:tc>
        <w:tc>
          <w:tcPr>
            <w:tcW w:w="729" w:type="dxa"/>
            <w:tcBorders>
              <w:top w:val="nil"/>
              <w:left w:val="single" w:sz="12" w:space="0" w:color="FF9E3C"/>
              <w:bottom w:val="nil"/>
              <w:right w:val="single" w:sz="12" w:space="0" w:color="FF9E3C"/>
            </w:tcBorders>
            <w:shd w:val="clear" w:color="000000" w:fill="FFFFFF"/>
            <w:hideMark/>
          </w:tcPr>
          <w:p w14:paraId="37C4AC6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.25</w:t>
            </w:r>
          </w:p>
        </w:tc>
        <w:tc>
          <w:tcPr>
            <w:tcW w:w="579" w:type="dxa"/>
            <w:tcBorders>
              <w:top w:val="nil"/>
              <w:left w:val="single" w:sz="12" w:space="0" w:color="FF9E3C"/>
              <w:bottom w:val="nil"/>
              <w:right w:val="single" w:sz="12" w:space="0" w:color="FF9E3C"/>
            </w:tcBorders>
            <w:shd w:val="clear" w:color="000000" w:fill="FFFFFF"/>
            <w:hideMark/>
          </w:tcPr>
          <w:p w14:paraId="0F1763F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.31</w:t>
            </w:r>
          </w:p>
        </w:tc>
        <w:tc>
          <w:tcPr>
            <w:tcW w:w="718" w:type="dxa"/>
            <w:tcBorders>
              <w:top w:val="nil"/>
              <w:left w:val="single" w:sz="12" w:space="0" w:color="FF9E3C"/>
              <w:bottom w:val="nil"/>
              <w:right w:val="single" w:sz="12" w:space="0" w:color="FF9E3C"/>
            </w:tcBorders>
            <w:shd w:val="clear" w:color="000000" w:fill="FFFFFF"/>
            <w:hideMark/>
          </w:tcPr>
          <w:p w14:paraId="0F6274B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.37</w:t>
            </w:r>
          </w:p>
        </w:tc>
      </w:tr>
      <w:tr w:rsidR="00A110B5" w:rsidRPr="00220AEA" w14:paraId="2D668F8E"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6280335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6B3EBF1C"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613696F2"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0649B2D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(10.5,27.8)</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545E64F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(17.4,33.4)</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4453BAB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(43.6,54.6)</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5B2F8CD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(52.9,62.6)</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4A3A3BE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371961D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63CC3DA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221B3DBD"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529E0A8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Red. Spending</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1406FC5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-0.72</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6B0B75E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1.09</w:t>
            </w:r>
          </w:p>
        </w:tc>
        <w:tc>
          <w:tcPr>
            <w:tcW w:w="1002" w:type="dxa"/>
            <w:tcBorders>
              <w:top w:val="nil"/>
              <w:left w:val="single" w:sz="12" w:space="0" w:color="FF9E3C"/>
              <w:bottom w:val="nil"/>
              <w:right w:val="single" w:sz="12" w:space="0" w:color="FF9E3C"/>
            </w:tcBorders>
            <w:shd w:val="clear" w:color="000000" w:fill="FFFFFF"/>
            <w:vAlign w:val="center"/>
            <w:hideMark/>
          </w:tcPr>
          <w:p w14:paraId="31B66EF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22.4</w:t>
            </w:r>
          </w:p>
        </w:tc>
        <w:tc>
          <w:tcPr>
            <w:tcW w:w="1033" w:type="dxa"/>
            <w:tcBorders>
              <w:top w:val="nil"/>
              <w:left w:val="single" w:sz="12" w:space="0" w:color="FF9E3C"/>
              <w:bottom w:val="nil"/>
              <w:right w:val="single" w:sz="12" w:space="0" w:color="FF9E3C"/>
            </w:tcBorders>
            <w:shd w:val="clear" w:color="000000" w:fill="FFFFFF"/>
            <w:vAlign w:val="center"/>
            <w:hideMark/>
          </w:tcPr>
          <w:p w14:paraId="3ECBC9F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45.1</w:t>
            </w:r>
          </w:p>
        </w:tc>
        <w:tc>
          <w:tcPr>
            <w:tcW w:w="1072" w:type="dxa"/>
            <w:tcBorders>
              <w:top w:val="nil"/>
              <w:left w:val="single" w:sz="12" w:space="0" w:color="FF9E3C"/>
              <w:bottom w:val="nil"/>
              <w:right w:val="single" w:sz="12" w:space="0" w:color="FF9E3C"/>
            </w:tcBorders>
            <w:shd w:val="clear" w:color="000000" w:fill="FFFFFF"/>
            <w:vAlign w:val="center"/>
            <w:hideMark/>
          </w:tcPr>
          <w:p w14:paraId="2B106A4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71.9</w:t>
            </w:r>
          </w:p>
        </w:tc>
        <w:tc>
          <w:tcPr>
            <w:tcW w:w="1036" w:type="dxa"/>
            <w:tcBorders>
              <w:top w:val="nil"/>
              <w:left w:val="single" w:sz="12" w:space="0" w:color="FF9E3C"/>
              <w:bottom w:val="nil"/>
              <w:right w:val="single" w:sz="12" w:space="0" w:color="FF9E3C"/>
            </w:tcBorders>
            <w:shd w:val="clear" w:color="000000" w:fill="FFFFFF"/>
            <w:vAlign w:val="center"/>
            <w:hideMark/>
          </w:tcPr>
          <w:p w14:paraId="2FC9828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75.4</w:t>
            </w:r>
          </w:p>
        </w:tc>
        <w:tc>
          <w:tcPr>
            <w:tcW w:w="729" w:type="dxa"/>
            <w:tcBorders>
              <w:top w:val="nil"/>
              <w:left w:val="single" w:sz="12" w:space="0" w:color="FF9E3C"/>
              <w:bottom w:val="nil"/>
              <w:right w:val="single" w:sz="12" w:space="0" w:color="FF9E3C"/>
            </w:tcBorders>
            <w:shd w:val="clear" w:color="000000" w:fill="FFFFFF"/>
            <w:hideMark/>
          </w:tcPr>
          <w:p w14:paraId="60A0537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.23</w:t>
            </w:r>
          </w:p>
        </w:tc>
        <w:tc>
          <w:tcPr>
            <w:tcW w:w="579" w:type="dxa"/>
            <w:tcBorders>
              <w:top w:val="nil"/>
              <w:left w:val="single" w:sz="12" w:space="0" w:color="FF9E3C"/>
              <w:bottom w:val="nil"/>
              <w:right w:val="single" w:sz="12" w:space="0" w:color="FF9E3C"/>
            </w:tcBorders>
            <w:shd w:val="clear" w:color="000000" w:fill="FFFFFF"/>
            <w:hideMark/>
          </w:tcPr>
          <w:p w14:paraId="01B017A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.34</w:t>
            </w:r>
          </w:p>
        </w:tc>
        <w:tc>
          <w:tcPr>
            <w:tcW w:w="718" w:type="dxa"/>
            <w:tcBorders>
              <w:top w:val="nil"/>
              <w:left w:val="single" w:sz="12" w:space="0" w:color="FF9E3C"/>
              <w:bottom w:val="nil"/>
              <w:right w:val="single" w:sz="12" w:space="0" w:color="FF9E3C"/>
            </w:tcBorders>
            <w:shd w:val="clear" w:color="000000" w:fill="FFFFFF"/>
            <w:hideMark/>
          </w:tcPr>
          <w:p w14:paraId="5B88972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.32</w:t>
            </w:r>
          </w:p>
        </w:tc>
      </w:tr>
      <w:tr w:rsidR="00A110B5" w:rsidRPr="00220AEA" w14:paraId="5CED15D6"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0A1C373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777F956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7494128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6F98554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(14.3,32.9)</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420B9B1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(36.1,54.3)</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5248D02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w:t>
            </w:r>
            <w:r>
              <w:rPr>
                <w:rFonts w:eastAsia="Cambria" w:cs="Arial"/>
                <w:color w:val="1C3158"/>
                <w:sz w:val="16"/>
                <w:szCs w:val="16"/>
                <w:lang w:eastAsia="ja-JP"/>
              </w:rPr>
              <w:t>(</w:t>
            </w:r>
            <w:r w:rsidRPr="00220AEA">
              <w:rPr>
                <w:rFonts w:eastAsia="Cambria" w:cs="Arial"/>
                <w:color w:val="1C3158"/>
                <w:sz w:val="16"/>
                <w:szCs w:val="16"/>
                <w:lang w:eastAsia="ja-JP"/>
              </w:rPr>
              <w:t>66.7,76.5)</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4E65BD4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(70.8,79.4)</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301C5D7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4B394E1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70753E8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53EDC8E5" w14:textId="77777777" w:rsidTr="00AC0C4B">
        <w:trPr>
          <w:trHeight w:val="208"/>
        </w:trPr>
        <w:tc>
          <w:tcPr>
            <w:tcW w:w="9670" w:type="dxa"/>
            <w:gridSpan w:val="10"/>
            <w:tcBorders>
              <w:top w:val="single" w:sz="12" w:space="0" w:color="FF9E3C"/>
              <w:left w:val="single" w:sz="12" w:space="0" w:color="FF9E3C"/>
              <w:bottom w:val="single" w:sz="12" w:space="0" w:color="FF9E3C"/>
              <w:right w:val="single" w:sz="12" w:space="0" w:color="FF9E3C"/>
            </w:tcBorders>
            <w:shd w:val="clear" w:color="000000" w:fill="FFCF8F"/>
            <w:vAlign w:val="center"/>
            <w:hideMark/>
          </w:tcPr>
          <w:p w14:paraId="0E6BAD8E" w14:textId="77777777" w:rsidR="00A110B5" w:rsidRPr="00220AEA"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220AEA">
              <w:rPr>
                <w:rFonts w:eastAsia="Cambria" w:cs="Arial"/>
                <w:b/>
                <w:bCs/>
                <w:i/>
                <w:iCs/>
                <w:color w:val="1C3158"/>
                <w:sz w:val="16"/>
                <w:szCs w:val="16"/>
                <w:lang w:eastAsia="ja-JP"/>
              </w:rPr>
              <w:t>Work/Study</w:t>
            </w:r>
          </w:p>
        </w:tc>
      </w:tr>
      <w:tr w:rsidR="00A110B5" w:rsidRPr="00220AEA" w14:paraId="30811564"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6440EEC1"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Exc. Study</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2A143BB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2.69</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654431B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1.75</w:t>
            </w:r>
          </w:p>
        </w:tc>
        <w:tc>
          <w:tcPr>
            <w:tcW w:w="1002" w:type="dxa"/>
            <w:tcBorders>
              <w:top w:val="nil"/>
              <w:left w:val="single" w:sz="12" w:space="0" w:color="FF9E3C"/>
              <w:bottom w:val="nil"/>
              <w:right w:val="single" w:sz="12" w:space="0" w:color="FF9E3C"/>
            </w:tcBorders>
            <w:shd w:val="clear" w:color="000000" w:fill="FFFFFF"/>
            <w:vAlign w:val="center"/>
            <w:hideMark/>
          </w:tcPr>
          <w:p w14:paraId="043385C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47A016C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2.5</w:t>
            </w:r>
          </w:p>
        </w:tc>
        <w:tc>
          <w:tcPr>
            <w:tcW w:w="1072" w:type="dxa"/>
            <w:tcBorders>
              <w:top w:val="nil"/>
              <w:left w:val="single" w:sz="12" w:space="0" w:color="FF9E3C"/>
              <w:bottom w:val="nil"/>
              <w:right w:val="single" w:sz="12" w:space="0" w:color="FF9E3C"/>
            </w:tcBorders>
            <w:shd w:val="clear" w:color="000000" w:fill="FFFFFF"/>
            <w:vAlign w:val="center"/>
            <w:hideMark/>
          </w:tcPr>
          <w:p w14:paraId="6395E6C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0.3</w:t>
            </w:r>
          </w:p>
        </w:tc>
        <w:tc>
          <w:tcPr>
            <w:tcW w:w="1036" w:type="dxa"/>
            <w:tcBorders>
              <w:top w:val="nil"/>
              <w:left w:val="single" w:sz="12" w:space="0" w:color="FF9E3C"/>
              <w:bottom w:val="nil"/>
              <w:right w:val="single" w:sz="12" w:space="0" w:color="FF9E3C"/>
            </w:tcBorders>
            <w:shd w:val="clear" w:color="000000" w:fill="FFFFFF"/>
            <w:vAlign w:val="center"/>
            <w:hideMark/>
          </w:tcPr>
          <w:p w14:paraId="08C3DD2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4.9</w:t>
            </w:r>
          </w:p>
        </w:tc>
        <w:tc>
          <w:tcPr>
            <w:tcW w:w="729" w:type="dxa"/>
            <w:tcBorders>
              <w:top w:val="nil"/>
              <w:left w:val="single" w:sz="12" w:space="0" w:color="FF9E3C"/>
              <w:bottom w:val="nil"/>
              <w:right w:val="single" w:sz="12" w:space="0" w:color="FF9E3C"/>
            </w:tcBorders>
            <w:shd w:val="clear" w:color="000000" w:fill="FFFFFF"/>
            <w:hideMark/>
          </w:tcPr>
          <w:p w14:paraId="5D08E29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w:t>
            </w:r>
          </w:p>
        </w:tc>
        <w:tc>
          <w:tcPr>
            <w:tcW w:w="579" w:type="dxa"/>
            <w:tcBorders>
              <w:top w:val="nil"/>
              <w:left w:val="single" w:sz="12" w:space="0" w:color="FF9E3C"/>
              <w:bottom w:val="nil"/>
              <w:right w:val="single" w:sz="12" w:space="0" w:color="FF9E3C"/>
            </w:tcBorders>
            <w:shd w:val="clear" w:color="000000" w:fill="FFFFFF"/>
            <w:hideMark/>
          </w:tcPr>
          <w:p w14:paraId="38EA5DA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.25</w:t>
            </w:r>
          </w:p>
        </w:tc>
        <w:tc>
          <w:tcPr>
            <w:tcW w:w="718" w:type="dxa"/>
            <w:tcBorders>
              <w:top w:val="nil"/>
              <w:left w:val="single" w:sz="12" w:space="0" w:color="FF9E3C"/>
              <w:bottom w:val="nil"/>
              <w:right w:val="single" w:sz="12" w:space="0" w:color="FF9E3C"/>
            </w:tcBorders>
            <w:shd w:val="clear" w:color="000000" w:fill="FFFFFF"/>
            <w:hideMark/>
          </w:tcPr>
          <w:p w14:paraId="1217A77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.28</w:t>
            </w:r>
          </w:p>
        </w:tc>
      </w:tr>
      <w:tr w:rsidR="00A110B5" w:rsidRPr="00220AEA" w14:paraId="33592B20" w14:textId="77777777" w:rsidTr="00AC0C4B">
        <w:trPr>
          <w:trHeight w:val="105"/>
        </w:trPr>
        <w:tc>
          <w:tcPr>
            <w:tcW w:w="1546" w:type="dxa"/>
            <w:vMerge/>
            <w:tcBorders>
              <w:top w:val="nil"/>
              <w:left w:val="single" w:sz="12" w:space="0" w:color="FF9E3C"/>
              <w:bottom w:val="single" w:sz="12" w:space="0" w:color="FF9E3C"/>
              <w:right w:val="single" w:sz="12" w:space="0" w:color="FF9E3C"/>
            </w:tcBorders>
            <w:vAlign w:val="center"/>
            <w:hideMark/>
          </w:tcPr>
          <w:p w14:paraId="631E72E5"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222AA5A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592248DE"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13524BE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5735F1C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(0.6,7.6)</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4B88F62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(0.0,1.9)</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6057D2A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(3.1,7.6)</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2438B85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2F03D3F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40E8859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54958EA4"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7ED8327A"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Lost Job</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471579F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2.44</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1DF3E3B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1.71</w:t>
            </w:r>
          </w:p>
        </w:tc>
        <w:tc>
          <w:tcPr>
            <w:tcW w:w="1002" w:type="dxa"/>
            <w:tcBorders>
              <w:top w:val="nil"/>
              <w:left w:val="single" w:sz="12" w:space="0" w:color="FF9E3C"/>
              <w:bottom w:val="nil"/>
              <w:right w:val="single" w:sz="12" w:space="0" w:color="FF9E3C"/>
            </w:tcBorders>
            <w:shd w:val="clear" w:color="000000" w:fill="FFFFFF"/>
            <w:vAlign w:val="center"/>
            <w:hideMark/>
          </w:tcPr>
          <w:p w14:paraId="3073190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w:t>
            </w:r>
          </w:p>
        </w:tc>
        <w:tc>
          <w:tcPr>
            <w:tcW w:w="1033" w:type="dxa"/>
            <w:tcBorders>
              <w:top w:val="nil"/>
              <w:left w:val="single" w:sz="12" w:space="0" w:color="FF9E3C"/>
              <w:bottom w:val="nil"/>
              <w:right w:val="single" w:sz="12" w:space="0" w:color="FF9E3C"/>
            </w:tcBorders>
            <w:shd w:val="clear" w:color="000000" w:fill="FFFFFF"/>
            <w:vAlign w:val="center"/>
            <w:hideMark/>
          </w:tcPr>
          <w:p w14:paraId="4A93001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72" w:type="dxa"/>
            <w:tcBorders>
              <w:top w:val="nil"/>
              <w:left w:val="single" w:sz="12" w:space="0" w:color="FF9E3C"/>
              <w:bottom w:val="nil"/>
              <w:right w:val="single" w:sz="12" w:space="0" w:color="FF9E3C"/>
            </w:tcBorders>
            <w:shd w:val="clear" w:color="000000" w:fill="FFFFFF"/>
            <w:vAlign w:val="center"/>
            <w:hideMark/>
          </w:tcPr>
          <w:p w14:paraId="0476A20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6" w:type="dxa"/>
            <w:tcBorders>
              <w:top w:val="nil"/>
              <w:left w:val="single" w:sz="12" w:space="0" w:color="FF9E3C"/>
              <w:bottom w:val="nil"/>
              <w:right w:val="single" w:sz="12" w:space="0" w:color="FF9E3C"/>
            </w:tcBorders>
            <w:shd w:val="clear" w:color="000000" w:fill="FFFFFF"/>
            <w:vAlign w:val="center"/>
            <w:hideMark/>
          </w:tcPr>
          <w:p w14:paraId="5632F18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8.5</w:t>
            </w:r>
          </w:p>
        </w:tc>
        <w:tc>
          <w:tcPr>
            <w:tcW w:w="729" w:type="dxa"/>
            <w:tcBorders>
              <w:top w:val="nil"/>
              <w:left w:val="single" w:sz="12" w:space="0" w:color="FF9E3C"/>
              <w:bottom w:val="nil"/>
              <w:right w:val="single" w:sz="12" w:space="0" w:color="FF9E3C"/>
            </w:tcBorders>
            <w:shd w:val="clear" w:color="000000" w:fill="FFFFFF"/>
            <w:hideMark/>
          </w:tcPr>
          <w:p w14:paraId="7B68EC6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.30</w:t>
            </w:r>
          </w:p>
        </w:tc>
        <w:tc>
          <w:tcPr>
            <w:tcW w:w="579" w:type="dxa"/>
            <w:tcBorders>
              <w:top w:val="nil"/>
              <w:left w:val="single" w:sz="12" w:space="0" w:color="FF9E3C"/>
              <w:bottom w:val="nil"/>
              <w:right w:val="single" w:sz="12" w:space="0" w:color="FF9E3C"/>
            </w:tcBorders>
            <w:shd w:val="clear" w:color="000000" w:fill="FFFFFF"/>
            <w:hideMark/>
          </w:tcPr>
          <w:p w14:paraId="03434C1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.40</w:t>
            </w:r>
          </w:p>
        </w:tc>
        <w:tc>
          <w:tcPr>
            <w:tcW w:w="718" w:type="dxa"/>
            <w:tcBorders>
              <w:top w:val="nil"/>
              <w:left w:val="single" w:sz="12" w:space="0" w:color="FF9E3C"/>
              <w:bottom w:val="nil"/>
              <w:right w:val="single" w:sz="12" w:space="0" w:color="FF9E3C"/>
            </w:tcBorders>
            <w:shd w:val="clear" w:color="000000" w:fill="FFFFFF"/>
            <w:hideMark/>
          </w:tcPr>
          <w:p w14:paraId="47CB129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.31</w:t>
            </w:r>
          </w:p>
        </w:tc>
      </w:tr>
      <w:tr w:rsidR="00A110B5" w:rsidRPr="00220AEA" w14:paraId="7FCC5D0D" w14:textId="77777777" w:rsidTr="00AC0C4B">
        <w:trPr>
          <w:trHeight w:val="46"/>
        </w:trPr>
        <w:tc>
          <w:tcPr>
            <w:tcW w:w="1546" w:type="dxa"/>
            <w:vMerge/>
            <w:tcBorders>
              <w:top w:val="nil"/>
              <w:left w:val="single" w:sz="12" w:space="0" w:color="FF9E3C"/>
              <w:bottom w:val="single" w:sz="12" w:space="0" w:color="FF9E3C"/>
              <w:right w:val="single" w:sz="12" w:space="0" w:color="FF9E3C"/>
            </w:tcBorders>
            <w:vAlign w:val="center"/>
            <w:hideMark/>
          </w:tcPr>
          <w:p w14:paraId="088DFB41"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49EC9FA4"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15B524CE"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6151BE9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(0.1,7.3)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180972D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(0.0,3.8)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3D87364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(0.0,1.4)</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07397CD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(6.1,11.8)</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4377D99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67E25AC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71C0781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364BCDE2"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5E1AB33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Conflict. Class.</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415AD3D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2.26</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547DF78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4.04</w:t>
            </w:r>
          </w:p>
        </w:tc>
        <w:tc>
          <w:tcPr>
            <w:tcW w:w="1002" w:type="dxa"/>
            <w:tcBorders>
              <w:top w:val="nil"/>
              <w:left w:val="single" w:sz="12" w:space="0" w:color="FF9E3C"/>
              <w:bottom w:val="nil"/>
              <w:right w:val="single" w:sz="12" w:space="0" w:color="FF9E3C"/>
            </w:tcBorders>
            <w:shd w:val="clear" w:color="000000" w:fill="FFFFFF"/>
            <w:vAlign w:val="center"/>
            <w:hideMark/>
          </w:tcPr>
          <w:p w14:paraId="7F8D219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644ECF9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72" w:type="dxa"/>
            <w:tcBorders>
              <w:top w:val="nil"/>
              <w:left w:val="single" w:sz="12" w:space="0" w:color="FF9E3C"/>
              <w:bottom w:val="nil"/>
              <w:right w:val="single" w:sz="12" w:space="0" w:color="FF9E3C"/>
            </w:tcBorders>
            <w:shd w:val="clear" w:color="000000" w:fill="FFFFFF"/>
            <w:vAlign w:val="center"/>
            <w:hideMark/>
          </w:tcPr>
          <w:p w14:paraId="3E7E81A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0.3</w:t>
            </w:r>
          </w:p>
        </w:tc>
        <w:tc>
          <w:tcPr>
            <w:tcW w:w="1036" w:type="dxa"/>
            <w:tcBorders>
              <w:top w:val="nil"/>
              <w:left w:val="single" w:sz="12" w:space="0" w:color="FF9E3C"/>
              <w:bottom w:val="nil"/>
              <w:right w:val="single" w:sz="12" w:space="0" w:color="FF9E3C"/>
            </w:tcBorders>
            <w:shd w:val="clear" w:color="000000" w:fill="FFFFFF"/>
            <w:vAlign w:val="center"/>
            <w:hideMark/>
          </w:tcPr>
          <w:p w14:paraId="1640236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2.4</w:t>
            </w:r>
          </w:p>
        </w:tc>
        <w:tc>
          <w:tcPr>
            <w:tcW w:w="729" w:type="dxa"/>
            <w:tcBorders>
              <w:top w:val="nil"/>
              <w:left w:val="single" w:sz="12" w:space="0" w:color="FF9E3C"/>
              <w:bottom w:val="nil"/>
              <w:right w:val="single" w:sz="12" w:space="0" w:color="FF9E3C"/>
            </w:tcBorders>
            <w:shd w:val="clear" w:color="000000" w:fill="FFFFFF"/>
            <w:hideMark/>
          </w:tcPr>
          <w:p w14:paraId="359A1FE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.21</w:t>
            </w:r>
          </w:p>
        </w:tc>
        <w:tc>
          <w:tcPr>
            <w:tcW w:w="579" w:type="dxa"/>
            <w:tcBorders>
              <w:top w:val="nil"/>
              <w:left w:val="single" w:sz="12" w:space="0" w:color="FF9E3C"/>
              <w:bottom w:val="nil"/>
              <w:right w:val="single" w:sz="12" w:space="0" w:color="FF9E3C"/>
            </w:tcBorders>
            <w:shd w:val="clear" w:color="000000" w:fill="FFFFFF"/>
            <w:hideMark/>
          </w:tcPr>
          <w:p w14:paraId="74C778D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.26</w:t>
            </w:r>
          </w:p>
        </w:tc>
        <w:tc>
          <w:tcPr>
            <w:tcW w:w="718" w:type="dxa"/>
            <w:tcBorders>
              <w:top w:val="nil"/>
              <w:left w:val="single" w:sz="12" w:space="0" w:color="FF9E3C"/>
              <w:bottom w:val="nil"/>
              <w:right w:val="single" w:sz="12" w:space="0" w:color="FF9E3C"/>
            </w:tcBorders>
            <w:shd w:val="clear" w:color="000000" w:fill="FFFFFF"/>
            <w:hideMark/>
          </w:tcPr>
          <w:p w14:paraId="23740E0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.48</w:t>
            </w:r>
          </w:p>
        </w:tc>
      </w:tr>
      <w:tr w:rsidR="00A110B5" w:rsidRPr="00220AEA" w14:paraId="16261C6A" w14:textId="77777777" w:rsidTr="00AC0C4B">
        <w:trPr>
          <w:trHeight w:val="77"/>
        </w:trPr>
        <w:tc>
          <w:tcPr>
            <w:tcW w:w="1546" w:type="dxa"/>
            <w:vMerge/>
            <w:tcBorders>
              <w:top w:val="nil"/>
              <w:left w:val="single" w:sz="12" w:space="0" w:color="FF9E3C"/>
              <w:bottom w:val="single" w:sz="12" w:space="0" w:color="FF9E3C"/>
              <w:right w:val="single" w:sz="12" w:space="0" w:color="FF9E3C"/>
            </w:tcBorders>
            <w:vAlign w:val="center"/>
            <w:hideMark/>
          </w:tcPr>
          <w:p w14:paraId="152623AE"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7333961C"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1D12B074"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7108046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5B9E522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(0.0,3.8)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63C1FDD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(0.0,1.9)</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2433842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(1.2,4.6)</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6762D49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5581A22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6937A0F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0EC76910"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4F1CC056"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Withdraw</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1D0B751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2.16</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5B96CE2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2.08</w:t>
            </w:r>
          </w:p>
        </w:tc>
        <w:tc>
          <w:tcPr>
            <w:tcW w:w="1002" w:type="dxa"/>
            <w:tcBorders>
              <w:top w:val="nil"/>
              <w:left w:val="single" w:sz="12" w:space="0" w:color="FF9E3C"/>
              <w:bottom w:val="nil"/>
              <w:right w:val="single" w:sz="12" w:space="0" w:color="FF9E3C"/>
            </w:tcBorders>
            <w:shd w:val="clear" w:color="000000" w:fill="FFFFFF"/>
            <w:vAlign w:val="center"/>
            <w:hideMark/>
          </w:tcPr>
          <w:p w14:paraId="436F011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14888F5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55EEDB5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0.6</w:t>
            </w:r>
          </w:p>
        </w:tc>
        <w:tc>
          <w:tcPr>
            <w:tcW w:w="1036" w:type="dxa"/>
            <w:tcBorders>
              <w:top w:val="nil"/>
              <w:left w:val="single" w:sz="12" w:space="0" w:color="FF9E3C"/>
              <w:bottom w:val="nil"/>
              <w:right w:val="single" w:sz="12" w:space="0" w:color="FF9E3C"/>
            </w:tcBorders>
            <w:shd w:val="clear" w:color="000000" w:fill="FFFFFF"/>
            <w:vAlign w:val="center"/>
            <w:hideMark/>
          </w:tcPr>
          <w:p w14:paraId="4762367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8.5</w:t>
            </w:r>
          </w:p>
        </w:tc>
        <w:tc>
          <w:tcPr>
            <w:tcW w:w="729" w:type="dxa"/>
            <w:tcBorders>
              <w:top w:val="nil"/>
              <w:left w:val="single" w:sz="12" w:space="0" w:color="FF9E3C"/>
              <w:bottom w:val="nil"/>
              <w:right w:val="single" w:sz="12" w:space="0" w:color="FF9E3C"/>
            </w:tcBorders>
            <w:shd w:val="clear" w:color="000000" w:fill="FFFFFF"/>
            <w:hideMark/>
          </w:tcPr>
          <w:p w14:paraId="1DCFFEC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.22</w:t>
            </w:r>
          </w:p>
        </w:tc>
        <w:tc>
          <w:tcPr>
            <w:tcW w:w="579" w:type="dxa"/>
            <w:tcBorders>
              <w:top w:val="nil"/>
              <w:left w:val="single" w:sz="12" w:space="0" w:color="FF9E3C"/>
              <w:bottom w:val="nil"/>
              <w:right w:val="single" w:sz="12" w:space="0" w:color="FF9E3C"/>
            </w:tcBorders>
            <w:shd w:val="clear" w:color="000000" w:fill="FFFFFF"/>
            <w:hideMark/>
          </w:tcPr>
          <w:p w14:paraId="4F6DA45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.34</w:t>
            </w:r>
          </w:p>
        </w:tc>
        <w:tc>
          <w:tcPr>
            <w:tcW w:w="718" w:type="dxa"/>
            <w:tcBorders>
              <w:top w:val="nil"/>
              <w:left w:val="single" w:sz="12" w:space="0" w:color="FF9E3C"/>
              <w:bottom w:val="nil"/>
              <w:right w:val="single" w:sz="12" w:space="0" w:color="FF9E3C"/>
            </w:tcBorders>
            <w:shd w:val="clear" w:color="000000" w:fill="FFFFFF"/>
            <w:hideMark/>
          </w:tcPr>
          <w:p w14:paraId="3C471A4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.34</w:t>
            </w:r>
          </w:p>
        </w:tc>
      </w:tr>
      <w:tr w:rsidR="00A110B5" w:rsidRPr="00220AEA" w14:paraId="29079531"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131653CC"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5A996970"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4A6ECD98"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17D22D3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751E620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29A2F9A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(0.1,2.4)</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6C50A9E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(6.1,11.8)</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6D91DC4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0FBC6AD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4A5B3B8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127AF996"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22F348E7"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Conflict Coll.</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6A40800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1.89</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477DBDD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2.29</w:t>
            </w:r>
          </w:p>
        </w:tc>
        <w:tc>
          <w:tcPr>
            <w:tcW w:w="1002" w:type="dxa"/>
            <w:tcBorders>
              <w:top w:val="nil"/>
              <w:left w:val="single" w:sz="12" w:space="0" w:color="FF9E3C"/>
              <w:bottom w:val="nil"/>
              <w:right w:val="single" w:sz="12" w:space="0" w:color="FF9E3C"/>
            </w:tcBorders>
            <w:shd w:val="clear" w:color="000000" w:fill="FFFFFF"/>
            <w:vAlign w:val="center"/>
            <w:hideMark/>
          </w:tcPr>
          <w:p w14:paraId="3DE93E7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380D649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74D9ECF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2.1</w:t>
            </w:r>
          </w:p>
        </w:tc>
        <w:tc>
          <w:tcPr>
            <w:tcW w:w="1036" w:type="dxa"/>
            <w:tcBorders>
              <w:top w:val="nil"/>
              <w:left w:val="single" w:sz="12" w:space="0" w:color="FF9E3C"/>
              <w:bottom w:val="nil"/>
              <w:right w:val="single" w:sz="12" w:space="0" w:color="FF9E3C"/>
            </w:tcBorders>
            <w:shd w:val="clear" w:color="000000" w:fill="FFFFFF"/>
            <w:vAlign w:val="center"/>
            <w:hideMark/>
          </w:tcPr>
          <w:p w14:paraId="6765C62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10.5</w:t>
            </w:r>
          </w:p>
        </w:tc>
        <w:tc>
          <w:tcPr>
            <w:tcW w:w="729" w:type="dxa"/>
            <w:tcBorders>
              <w:top w:val="nil"/>
              <w:left w:val="single" w:sz="12" w:space="0" w:color="FF9E3C"/>
              <w:bottom w:val="nil"/>
              <w:right w:val="single" w:sz="12" w:space="0" w:color="FF9E3C"/>
            </w:tcBorders>
            <w:shd w:val="clear" w:color="000000" w:fill="FFFFFF"/>
            <w:hideMark/>
          </w:tcPr>
          <w:p w14:paraId="4670C0E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.27</w:t>
            </w:r>
          </w:p>
        </w:tc>
        <w:tc>
          <w:tcPr>
            <w:tcW w:w="579" w:type="dxa"/>
            <w:tcBorders>
              <w:top w:val="nil"/>
              <w:left w:val="single" w:sz="12" w:space="0" w:color="FF9E3C"/>
              <w:bottom w:val="nil"/>
              <w:right w:val="single" w:sz="12" w:space="0" w:color="FF9E3C"/>
            </w:tcBorders>
            <w:shd w:val="clear" w:color="000000" w:fill="FFFFFF"/>
            <w:hideMark/>
          </w:tcPr>
          <w:p w14:paraId="6EA64BB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.43</w:t>
            </w:r>
          </w:p>
        </w:tc>
        <w:tc>
          <w:tcPr>
            <w:tcW w:w="718" w:type="dxa"/>
            <w:tcBorders>
              <w:top w:val="nil"/>
              <w:left w:val="single" w:sz="12" w:space="0" w:color="FF9E3C"/>
              <w:bottom w:val="nil"/>
              <w:right w:val="single" w:sz="12" w:space="0" w:color="FF9E3C"/>
            </w:tcBorders>
            <w:shd w:val="clear" w:color="000000" w:fill="FFFFFF"/>
            <w:hideMark/>
          </w:tcPr>
          <w:p w14:paraId="7CB3A2D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.37</w:t>
            </w:r>
          </w:p>
        </w:tc>
      </w:tr>
      <w:tr w:rsidR="00A110B5" w:rsidRPr="00220AEA" w14:paraId="42FF6C14" w14:textId="77777777" w:rsidTr="00AC0C4B">
        <w:trPr>
          <w:trHeight w:val="46"/>
        </w:trPr>
        <w:tc>
          <w:tcPr>
            <w:tcW w:w="1546" w:type="dxa"/>
            <w:vMerge/>
            <w:tcBorders>
              <w:top w:val="nil"/>
              <w:left w:val="single" w:sz="12" w:space="0" w:color="FF9E3C"/>
              <w:bottom w:val="single" w:sz="12" w:space="0" w:color="FF9E3C"/>
              <w:right w:val="single" w:sz="12" w:space="0" w:color="FF9E3C"/>
            </w:tcBorders>
            <w:vAlign w:val="center"/>
            <w:hideMark/>
          </w:tcPr>
          <w:p w14:paraId="12C59D20"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42299FDA"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51E6561F"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0C82BAA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0E3E846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0F6991E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(0.9,4.5)</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600EE66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w:t>
            </w:r>
            <w:r>
              <w:rPr>
                <w:rFonts w:eastAsia="Cambria" w:cs="Arial"/>
                <w:color w:val="1C3158"/>
                <w:sz w:val="16"/>
                <w:szCs w:val="16"/>
                <w:lang w:eastAsia="ja-JP"/>
              </w:rPr>
              <w:t>7</w:t>
            </w:r>
            <w:r w:rsidRPr="00220AEA">
              <w:rPr>
                <w:rFonts w:eastAsia="Cambria" w:cs="Arial"/>
                <w:color w:val="1C3158"/>
                <w:sz w:val="16"/>
                <w:szCs w:val="16"/>
                <w:lang w:eastAsia="ja-JP"/>
              </w:rPr>
              <w:t>.8,14.0)</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36AA63C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41C17E2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3711DAB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5A7D0161"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5BE20272"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Resources</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0884BEB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1.72</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67940F4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2.48</w:t>
            </w:r>
          </w:p>
        </w:tc>
        <w:tc>
          <w:tcPr>
            <w:tcW w:w="1002" w:type="dxa"/>
            <w:tcBorders>
              <w:top w:val="nil"/>
              <w:left w:val="single" w:sz="12" w:space="0" w:color="FF9E3C"/>
              <w:bottom w:val="nil"/>
              <w:right w:val="single" w:sz="12" w:space="0" w:color="FF9E3C"/>
            </w:tcBorders>
            <w:shd w:val="clear" w:color="000000" w:fill="FFFFFF"/>
            <w:vAlign w:val="center"/>
            <w:hideMark/>
          </w:tcPr>
          <w:p w14:paraId="361BBAA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w:t>
            </w:r>
          </w:p>
        </w:tc>
        <w:tc>
          <w:tcPr>
            <w:tcW w:w="1033" w:type="dxa"/>
            <w:tcBorders>
              <w:top w:val="nil"/>
              <w:left w:val="single" w:sz="12" w:space="0" w:color="FF9E3C"/>
              <w:bottom w:val="nil"/>
              <w:right w:val="single" w:sz="12" w:space="0" w:color="FF9E3C"/>
            </w:tcBorders>
            <w:shd w:val="clear" w:color="000000" w:fill="FFFFFF"/>
            <w:vAlign w:val="center"/>
            <w:hideMark/>
          </w:tcPr>
          <w:p w14:paraId="60D3EBD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4.1</w:t>
            </w:r>
          </w:p>
        </w:tc>
        <w:tc>
          <w:tcPr>
            <w:tcW w:w="1072" w:type="dxa"/>
            <w:tcBorders>
              <w:top w:val="nil"/>
              <w:left w:val="single" w:sz="12" w:space="0" w:color="FF9E3C"/>
              <w:bottom w:val="nil"/>
              <w:right w:val="single" w:sz="12" w:space="0" w:color="FF9E3C"/>
            </w:tcBorders>
            <w:shd w:val="clear" w:color="000000" w:fill="FFFFFF"/>
            <w:vAlign w:val="center"/>
            <w:hideMark/>
          </w:tcPr>
          <w:p w14:paraId="3D0C3F4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2.7</w:t>
            </w:r>
          </w:p>
        </w:tc>
        <w:tc>
          <w:tcPr>
            <w:tcW w:w="1036" w:type="dxa"/>
            <w:tcBorders>
              <w:top w:val="nil"/>
              <w:left w:val="single" w:sz="12" w:space="0" w:color="FF9E3C"/>
              <w:bottom w:val="nil"/>
              <w:right w:val="single" w:sz="12" w:space="0" w:color="FF9E3C"/>
            </w:tcBorders>
            <w:shd w:val="clear" w:color="000000" w:fill="FFFFFF"/>
            <w:vAlign w:val="center"/>
            <w:hideMark/>
          </w:tcPr>
          <w:p w14:paraId="19E5216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11.2</w:t>
            </w:r>
          </w:p>
        </w:tc>
        <w:tc>
          <w:tcPr>
            <w:tcW w:w="729" w:type="dxa"/>
            <w:tcBorders>
              <w:top w:val="nil"/>
              <w:left w:val="single" w:sz="12" w:space="0" w:color="FF9E3C"/>
              <w:bottom w:val="nil"/>
              <w:right w:val="single" w:sz="12" w:space="0" w:color="FF9E3C"/>
            </w:tcBorders>
            <w:shd w:val="clear" w:color="000000" w:fill="FFFFFF"/>
            <w:hideMark/>
          </w:tcPr>
          <w:p w14:paraId="06400BC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.26</w:t>
            </w:r>
          </w:p>
        </w:tc>
        <w:tc>
          <w:tcPr>
            <w:tcW w:w="579" w:type="dxa"/>
            <w:tcBorders>
              <w:top w:val="nil"/>
              <w:left w:val="single" w:sz="12" w:space="0" w:color="FF9E3C"/>
              <w:bottom w:val="nil"/>
              <w:right w:val="single" w:sz="12" w:space="0" w:color="FF9E3C"/>
            </w:tcBorders>
            <w:shd w:val="clear" w:color="000000" w:fill="FFFFFF"/>
            <w:hideMark/>
          </w:tcPr>
          <w:p w14:paraId="62104EB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.36</w:t>
            </w:r>
          </w:p>
        </w:tc>
        <w:tc>
          <w:tcPr>
            <w:tcW w:w="718" w:type="dxa"/>
            <w:tcBorders>
              <w:top w:val="nil"/>
              <w:left w:val="single" w:sz="12" w:space="0" w:color="FF9E3C"/>
              <w:bottom w:val="nil"/>
              <w:right w:val="single" w:sz="12" w:space="0" w:color="FF9E3C"/>
            </w:tcBorders>
            <w:shd w:val="clear" w:color="000000" w:fill="FFFFFF"/>
            <w:hideMark/>
          </w:tcPr>
          <w:p w14:paraId="26A9C87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.41</w:t>
            </w:r>
          </w:p>
        </w:tc>
      </w:tr>
      <w:tr w:rsidR="00A110B5" w:rsidRPr="00220AEA" w14:paraId="19488429"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08AAD942"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1D5D657D"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230B1BD8"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7C37E01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(0.1,7.3)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069DD70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(1.5,9.8)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704E482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(1.3,5.2)</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06331DF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(8.4,14.8)</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72117B3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23B21D0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0310097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74321B02"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0E02CF86"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 xml:space="preserve">Hinder. Job Efforts </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1CDFFBC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1.62</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57C9FE2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2.33</w:t>
            </w:r>
          </w:p>
        </w:tc>
        <w:tc>
          <w:tcPr>
            <w:tcW w:w="1002" w:type="dxa"/>
            <w:tcBorders>
              <w:top w:val="nil"/>
              <w:left w:val="single" w:sz="12" w:space="0" w:color="FF9E3C"/>
              <w:bottom w:val="nil"/>
              <w:right w:val="single" w:sz="12" w:space="0" w:color="FF9E3C"/>
            </w:tcBorders>
            <w:shd w:val="clear" w:color="000000" w:fill="FFFFFF"/>
            <w:vAlign w:val="center"/>
            <w:hideMark/>
          </w:tcPr>
          <w:p w14:paraId="7B28966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5F1EE50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3F442D4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3.3</w:t>
            </w:r>
          </w:p>
        </w:tc>
        <w:tc>
          <w:tcPr>
            <w:tcW w:w="1036" w:type="dxa"/>
            <w:tcBorders>
              <w:top w:val="nil"/>
              <w:left w:val="single" w:sz="12" w:space="0" w:color="FF9E3C"/>
              <w:bottom w:val="nil"/>
              <w:right w:val="single" w:sz="12" w:space="0" w:color="FF9E3C"/>
            </w:tcBorders>
            <w:shd w:val="clear" w:color="000000" w:fill="FFFFFF"/>
            <w:vAlign w:val="center"/>
            <w:hideMark/>
          </w:tcPr>
          <w:p w14:paraId="358AF04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15.9</w:t>
            </w:r>
          </w:p>
        </w:tc>
        <w:tc>
          <w:tcPr>
            <w:tcW w:w="729" w:type="dxa"/>
            <w:tcBorders>
              <w:top w:val="nil"/>
              <w:left w:val="single" w:sz="12" w:space="0" w:color="FF9E3C"/>
              <w:bottom w:val="nil"/>
              <w:right w:val="single" w:sz="12" w:space="0" w:color="FF9E3C"/>
            </w:tcBorders>
            <w:shd w:val="clear" w:color="000000" w:fill="FFFFFF"/>
            <w:hideMark/>
          </w:tcPr>
          <w:p w14:paraId="2E31106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.33</w:t>
            </w:r>
          </w:p>
        </w:tc>
        <w:tc>
          <w:tcPr>
            <w:tcW w:w="579" w:type="dxa"/>
            <w:tcBorders>
              <w:top w:val="nil"/>
              <w:left w:val="single" w:sz="12" w:space="0" w:color="FF9E3C"/>
              <w:bottom w:val="nil"/>
              <w:right w:val="single" w:sz="12" w:space="0" w:color="FF9E3C"/>
            </w:tcBorders>
            <w:shd w:val="clear" w:color="000000" w:fill="FFFFFF"/>
            <w:hideMark/>
          </w:tcPr>
          <w:p w14:paraId="2B4E871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.41</w:t>
            </w:r>
          </w:p>
        </w:tc>
        <w:tc>
          <w:tcPr>
            <w:tcW w:w="718" w:type="dxa"/>
            <w:tcBorders>
              <w:top w:val="nil"/>
              <w:left w:val="single" w:sz="12" w:space="0" w:color="FF9E3C"/>
              <w:bottom w:val="nil"/>
              <w:right w:val="single" w:sz="12" w:space="0" w:color="FF9E3C"/>
            </w:tcBorders>
            <w:shd w:val="clear" w:color="000000" w:fill="FFFFFF"/>
            <w:hideMark/>
          </w:tcPr>
          <w:p w14:paraId="7EA0A6F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.36</w:t>
            </w:r>
          </w:p>
        </w:tc>
      </w:tr>
      <w:tr w:rsidR="00A110B5" w:rsidRPr="00220AEA" w14:paraId="0E044AB8"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41430E71"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448DE27D"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12369C4C"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5416BCA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074FBFC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197D648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(1.7,6.0)</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7A87499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Pr>
                <w:rFonts w:eastAsia="Cambria" w:cs="Arial"/>
                <w:color w:val="1C3158"/>
                <w:sz w:val="16"/>
                <w:szCs w:val="16"/>
                <w:lang w:eastAsia="ja-JP"/>
              </w:rPr>
              <w:t>(</w:t>
            </w:r>
            <w:r w:rsidRPr="00220AEA">
              <w:rPr>
                <w:rFonts w:eastAsia="Cambria" w:cs="Arial"/>
                <w:color w:val="1C3158"/>
                <w:sz w:val="16"/>
                <w:szCs w:val="16"/>
                <w:lang w:eastAsia="ja-JP"/>
              </w:rPr>
              <w:t>12.5,19.8)</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331F13E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4A4C3E7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6A0647F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73704918"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55B322D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Lack Progress</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544CCCE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1.46</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215D8D3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3.03</w:t>
            </w:r>
          </w:p>
        </w:tc>
        <w:tc>
          <w:tcPr>
            <w:tcW w:w="1002" w:type="dxa"/>
            <w:tcBorders>
              <w:top w:val="nil"/>
              <w:left w:val="single" w:sz="12" w:space="0" w:color="FF9E3C"/>
              <w:bottom w:val="nil"/>
              <w:right w:val="single" w:sz="12" w:space="0" w:color="FF9E3C"/>
            </w:tcBorders>
            <w:shd w:val="clear" w:color="000000" w:fill="FFFFFF"/>
            <w:vAlign w:val="center"/>
            <w:hideMark/>
          </w:tcPr>
          <w:p w14:paraId="1D00366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2C33CDB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72" w:type="dxa"/>
            <w:tcBorders>
              <w:top w:val="nil"/>
              <w:left w:val="single" w:sz="12" w:space="0" w:color="FF9E3C"/>
              <w:bottom w:val="nil"/>
              <w:right w:val="single" w:sz="12" w:space="0" w:color="FF9E3C"/>
            </w:tcBorders>
            <w:shd w:val="clear" w:color="000000" w:fill="FFFFFF"/>
            <w:vAlign w:val="center"/>
            <w:hideMark/>
          </w:tcPr>
          <w:p w14:paraId="5A676CB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5.4</w:t>
            </w:r>
          </w:p>
        </w:tc>
        <w:tc>
          <w:tcPr>
            <w:tcW w:w="1036" w:type="dxa"/>
            <w:tcBorders>
              <w:top w:val="nil"/>
              <w:left w:val="single" w:sz="12" w:space="0" w:color="FF9E3C"/>
              <w:bottom w:val="nil"/>
              <w:right w:val="single" w:sz="12" w:space="0" w:color="FF9E3C"/>
            </w:tcBorders>
            <w:shd w:val="clear" w:color="000000" w:fill="FFFFFF"/>
            <w:vAlign w:val="center"/>
            <w:hideMark/>
          </w:tcPr>
          <w:p w14:paraId="4CC3CCF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15.1</w:t>
            </w:r>
          </w:p>
        </w:tc>
        <w:tc>
          <w:tcPr>
            <w:tcW w:w="729" w:type="dxa"/>
            <w:tcBorders>
              <w:top w:val="nil"/>
              <w:left w:val="single" w:sz="12" w:space="0" w:color="FF9E3C"/>
              <w:bottom w:val="nil"/>
              <w:right w:val="single" w:sz="12" w:space="0" w:color="FF9E3C"/>
            </w:tcBorders>
            <w:shd w:val="clear" w:color="000000" w:fill="FFFFFF"/>
            <w:hideMark/>
          </w:tcPr>
          <w:p w14:paraId="0E9B7AC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.31</w:t>
            </w:r>
          </w:p>
        </w:tc>
        <w:tc>
          <w:tcPr>
            <w:tcW w:w="579" w:type="dxa"/>
            <w:tcBorders>
              <w:top w:val="nil"/>
              <w:left w:val="single" w:sz="12" w:space="0" w:color="FF9E3C"/>
              <w:bottom w:val="nil"/>
              <w:right w:val="single" w:sz="12" w:space="0" w:color="FF9E3C"/>
            </w:tcBorders>
            <w:shd w:val="clear" w:color="000000" w:fill="FFFFFF"/>
            <w:hideMark/>
          </w:tcPr>
          <w:p w14:paraId="7DC0C8C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.47</w:t>
            </w:r>
          </w:p>
        </w:tc>
        <w:tc>
          <w:tcPr>
            <w:tcW w:w="718" w:type="dxa"/>
            <w:tcBorders>
              <w:top w:val="nil"/>
              <w:left w:val="single" w:sz="12" w:space="0" w:color="FF9E3C"/>
              <w:bottom w:val="nil"/>
              <w:right w:val="single" w:sz="12" w:space="0" w:color="FF9E3C"/>
            </w:tcBorders>
            <w:shd w:val="clear" w:color="000000" w:fill="FFFFFF"/>
            <w:hideMark/>
          </w:tcPr>
          <w:p w14:paraId="67E2660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.48</w:t>
            </w:r>
          </w:p>
        </w:tc>
      </w:tr>
      <w:tr w:rsidR="00A110B5" w:rsidRPr="00220AEA" w14:paraId="3747A83D"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35B10CEA"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644935C3"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67A061FD"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0EDC132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2BD8B79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(0.0,3.8)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3408A4B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(3.3,8.5)</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4AA4513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(11.9,19.0)</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1CCD203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0459F1B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099BC0F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60C1D284"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530E0F70"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Time</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5D732F6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1.35</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26ED611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2.47</w:t>
            </w:r>
          </w:p>
        </w:tc>
        <w:tc>
          <w:tcPr>
            <w:tcW w:w="1002" w:type="dxa"/>
            <w:tcBorders>
              <w:top w:val="nil"/>
              <w:left w:val="single" w:sz="12" w:space="0" w:color="FF9E3C"/>
              <w:bottom w:val="nil"/>
              <w:right w:val="single" w:sz="12" w:space="0" w:color="FF9E3C"/>
            </w:tcBorders>
            <w:shd w:val="clear" w:color="000000" w:fill="FFFFFF"/>
            <w:vAlign w:val="center"/>
            <w:hideMark/>
          </w:tcPr>
          <w:p w14:paraId="7BB2D32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w:t>
            </w:r>
          </w:p>
        </w:tc>
        <w:tc>
          <w:tcPr>
            <w:tcW w:w="1033" w:type="dxa"/>
            <w:tcBorders>
              <w:top w:val="nil"/>
              <w:left w:val="single" w:sz="12" w:space="0" w:color="FF9E3C"/>
              <w:bottom w:val="nil"/>
              <w:right w:val="single" w:sz="12" w:space="0" w:color="FF9E3C"/>
            </w:tcBorders>
            <w:shd w:val="clear" w:color="000000" w:fill="FFFFFF"/>
            <w:vAlign w:val="center"/>
            <w:hideMark/>
          </w:tcPr>
          <w:p w14:paraId="165B353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4.1</w:t>
            </w:r>
          </w:p>
        </w:tc>
        <w:tc>
          <w:tcPr>
            <w:tcW w:w="1072" w:type="dxa"/>
            <w:tcBorders>
              <w:top w:val="nil"/>
              <w:left w:val="single" w:sz="12" w:space="0" w:color="FF9E3C"/>
              <w:bottom w:val="nil"/>
              <w:right w:val="single" w:sz="12" w:space="0" w:color="FF9E3C"/>
            </w:tcBorders>
            <w:shd w:val="clear" w:color="000000" w:fill="FFFFFF"/>
            <w:vAlign w:val="center"/>
            <w:hideMark/>
          </w:tcPr>
          <w:p w14:paraId="4414714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9.3</w:t>
            </w:r>
          </w:p>
        </w:tc>
        <w:tc>
          <w:tcPr>
            <w:tcW w:w="1036" w:type="dxa"/>
            <w:tcBorders>
              <w:top w:val="nil"/>
              <w:left w:val="single" w:sz="12" w:space="0" w:color="FF9E3C"/>
              <w:bottom w:val="nil"/>
              <w:right w:val="single" w:sz="12" w:space="0" w:color="FF9E3C"/>
            </w:tcBorders>
            <w:shd w:val="clear" w:color="000000" w:fill="FFFFFF"/>
            <w:vAlign w:val="center"/>
            <w:hideMark/>
          </w:tcPr>
          <w:p w14:paraId="5F4B119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17.8</w:t>
            </w:r>
          </w:p>
        </w:tc>
        <w:tc>
          <w:tcPr>
            <w:tcW w:w="729" w:type="dxa"/>
            <w:tcBorders>
              <w:top w:val="nil"/>
              <w:left w:val="single" w:sz="12" w:space="0" w:color="FF9E3C"/>
              <w:bottom w:val="nil"/>
              <w:right w:val="single" w:sz="12" w:space="0" w:color="FF9E3C"/>
            </w:tcBorders>
            <w:shd w:val="clear" w:color="000000" w:fill="FFFFFF"/>
            <w:hideMark/>
          </w:tcPr>
          <w:p w14:paraId="5DEE319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.25</w:t>
            </w:r>
          </w:p>
        </w:tc>
        <w:tc>
          <w:tcPr>
            <w:tcW w:w="579" w:type="dxa"/>
            <w:tcBorders>
              <w:top w:val="nil"/>
              <w:left w:val="single" w:sz="12" w:space="0" w:color="FF9E3C"/>
              <w:bottom w:val="nil"/>
              <w:right w:val="single" w:sz="12" w:space="0" w:color="FF9E3C"/>
            </w:tcBorders>
            <w:shd w:val="clear" w:color="000000" w:fill="FFFFFF"/>
            <w:hideMark/>
          </w:tcPr>
          <w:p w14:paraId="15F1F52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.40</w:t>
            </w:r>
          </w:p>
        </w:tc>
        <w:tc>
          <w:tcPr>
            <w:tcW w:w="718" w:type="dxa"/>
            <w:tcBorders>
              <w:top w:val="nil"/>
              <w:left w:val="single" w:sz="12" w:space="0" w:color="FF9E3C"/>
              <w:bottom w:val="nil"/>
              <w:right w:val="single" w:sz="12" w:space="0" w:color="FF9E3C"/>
            </w:tcBorders>
            <w:shd w:val="clear" w:color="000000" w:fill="FFFFFF"/>
            <w:hideMark/>
          </w:tcPr>
          <w:p w14:paraId="7E56BDF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.31</w:t>
            </w:r>
          </w:p>
        </w:tc>
      </w:tr>
      <w:tr w:rsidR="00A110B5" w:rsidRPr="00220AEA" w14:paraId="61FD5FFF"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06B5F77C"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0DE4083F"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001D1535"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76C34E32"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(0.1,7.3)</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3D9BB9FE"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(1.5,9.8)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1A3B27C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(6.5,13.0)</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6A72DE3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(14.3,21.9)</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53C35EF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091ED6B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7F1EF72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2831233D"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5058B425"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Absent</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7603C89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1.27</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0A33C1F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3.48</w:t>
            </w:r>
          </w:p>
        </w:tc>
        <w:tc>
          <w:tcPr>
            <w:tcW w:w="1002" w:type="dxa"/>
            <w:tcBorders>
              <w:top w:val="nil"/>
              <w:left w:val="single" w:sz="12" w:space="0" w:color="FF9E3C"/>
              <w:bottom w:val="nil"/>
              <w:right w:val="single" w:sz="12" w:space="0" w:color="FF9E3C"/>
            </w:tcBorders>
            <w:shd w:val="clear" w:color="000000" w:fill="FFFFFF"/>
            <w:vAlign w:val="center"/>
            <w:hideMark/>
          </w:tcPr>
          <w:p w14:paraId="7EA6057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422C780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4.9</w:t>
            </w:r>
          </w:p>
        </w:tc>
        <w:tc>
          <w:tcPr>
            <w:tcW w:w="1072" w:type="dxa"/>
            <w:tcBorders>
              <w:top w:val="nil"/>
              <w:left w:val="single" w:sz="12" w:space="0" w:color="FF9E3C"/>
              <w:bottom w:val="nil"/>
              <w:right w:val="single" w:sz="12" w:space="0" w:color="FF9E3C"/>
            </w:tcBorders>
            <w:shd w:val="clear" w:color="000000" w:fill="FFFFFF"/>
            <w:vAlign w:val="center"/>
            <w:hideMark/>
          </w:tcPr>
          <w:p w14:paraId="3F06720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4.2</w:t>
            </w:r>
          </w:p>
        </w:tc>
        <w:tc>
          <w:tcPr>
            <w:tcW w:w="1036" w:type="dxa"/>
            <w:tcBorders>
              <w:top w:val="nil"/>
              <w:left w:val="single" w:sz="12" w:space="0" w:color="FF9E3C"/>
              <w:bottom w:val="nil"/>
              <w:right w:val="single" w:sz="12" w:space="0" w:color="FF9E3C"/>
            </w:tcBorders>
            <w:shd w:val="clear" w:color="000000" w:fill="FFFFFF"/>
            <w:vAlign w:val="center"/>
            <w:hideMark/>
          </w:tcPr>
          <w:p w14:paraId="755222B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19.8</w:t>
            </w:r>
          </w:p>
        </w:tc>
        <w:tc>
          <w:tcPr>
            <w:tcW w:w="729" w:type="dxa"/>
            <w:tcBorders>
              <w:top w:val="nil"/>
              <w:left w:val="single" w:sz="12" w:space="0" w:color="FF9E3C"/>
              <w:bottom w:val="nil"/>
              <w:right w:val="single" w:sz="12" w:space="0" w:color="FF9E3C"/>
            </w:tcBorders>
            <w:shd w:val="clear" w:color="000000" w:fill="FFFFFF"/>
            <w:hideMark/>
          </w:tcPr>
          <w:p w14:paraId="6B0A464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.33</w:t>
            </w:r>
          </w:p>
        </w:tc>
        <w:tc>
          <w:tcPr>
            <w:tcW w:w="579" w:type="dxa"/>
            <w:tcBorders>
              <w:top w:val="nil"/>
              <w:left w:val="single" w:sz="12" w:space="0" w:color="FF9E3C"/>
              <w:bottom w:val="nil"/>
              <w:right w:val="single" w:sz="12" w:space="0" w:color="FF9E3C"/>
            </w:tcBorders>
            <w:shd w:val="clear" w:color="000000" w:fill="FFFFFF"/>
            <w:hideMark/>
          </w:tcPr>
          <w:p w14:paraId="043616F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.47</w:t>
            </w:r>
          </w:p>
        </w:tc>
        <w:tc>
          <w:tcPr>
            <w:tcW w:w="718" w:type="dxa"/>
            <w:tcBorders>
              <w:top w:val="nil"/>
              <w:left w:val="single" w:sz="12" w:space="0" w:color="FF9E3C"/>
              <w:bottom w:val="nil"/>
              <w:right w:val="single" w:sz="12" w:space="0" w:color="FF9E3C"/>
            </w:tcBorders>
            <w:shd w:val="clear" w:color="000000" w:fill="FFFFFF"/>
            <w:hideMark/>
          </w:tcPr>
          <w:p w14:paraId="2A1CA6A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.52</w:t>
            </w:r>
          </w:p>
        </w:tc>
      </w:tr>
      <w:tr w:rsidR="00A110B5" w:rsidRPr="00220AEA" w14:paraId="6033D88C"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0021B035"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27719AF3"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4C5230DF"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0829C60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459E234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(2.0,10.8)</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5EBB370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(2.4,7.1)</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4F39D24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(16.1,24.0)</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7845522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166E546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21A8B4F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033C3E6B"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40076B1F"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 xml:space="preserve">Late </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77A54C3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1.25</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1B68DC0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3.59</w:t>
            </w:r>
          </w:p>
        </w:tc>
        <w:tc>
          <w:tcPr>
            <w:tcW w:w="1002" w:type="dxa"/>
            <w:tcBorders>
              <w:top w:val="nil"/>
              <w:left w:val="single" w:sz="12" w:space="0" w:color="FF9E3C"/>
              <w:bottom w:val="nil"/>
              <w:right w:val="single" w:sz="12" w:space="0" w:color="FF9E3C"/>
            </w:tcBorders>
            <w:shd w:val="clear" w:color="000000" w:fill="FFFFFF"/>
            <w:vAlign w:val="center"/>
            <w:hideMark/>
          </w:tcPr>
          <w:p w14:paraId="20CDC57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0.0</w:t>
            </w:r>
          </w:p>
        </w:tc>
        <w:tc>
          <w:tcPr>
            <w:tcW w:w="1033" w:type="dxa"/>
            <w:tcBorders>
              <w:top w:val="nil"/>
              <w:left w:val="single" w:sz="12" w:space="0" w:color="FF9E3C"/>
              <w:bottom w:val="nil"/>
              <w:right w:val="single" w:sz="12" w:space="0" w:color="FF9E3C"/>
            </w:tcBorders>
            <w:shd w:val="clear" w:color="000000" w:fill="FFFFFF"/>
            <w:vAlign w:val="center"/>
            <w:hideMark/>
          </w:tcPr>
          <w:p w14:paraId="111E618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558FF0A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7.5</w:t>
            </w:r>
          </w:p>
        </w:tc>
        <w:tc>
          <w:tcPr>
            <w:tcW w:w="1036" w:type="dxa"/>
            <w:tcBorders>
              <w:top w:val="nil"/>
              <w:left w:val="single" w:sz="12" w:space="0" w:color="FF9E3C"/>
              <w:bottom w:val="nil"/>
              <w:right w:val="single" w:sz="12" w:space="0" w:color="FF9E3C"/>
            </w:tcBorders>
            <w:shd w:val="clear" w:color="000000" w:fill="FFFFFF"/>
            <w:vAlign w:val="center"/>
            <w:hideMark/>
          </w:tcPr>
          <w:p w14:paraId="0E0F04A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18.8</w:t>
            </w:r>
          </w:p>
        </w:tc>
        <w:tc>
          <w:tcPr>
            <w:tcW w:w="729" w:type="dxa"/>
            <w:tcBorders>
              <w:top w:val="nil"/>
              <w:left w:val="single" w:sz="12" w:space="0" w:color="FF9E3C"/>
              <w:bottom w:val="nil"/>
              <w:right w:val="single" w:sz="12" w:space="0" w:color="FF9E3C"/>
            </w:tcBorders>
            <w:shd w:val="clear" w:color="000000" w:fill="FFFFFF"/>
            <w:hideMark/>
          </w:tcPr>
          <w:p w14:paraId="7131CB3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.30</w:t>
            </w:r>
          </w:p>
        </w:tc>
        <w:tc>
          <w:tcPr>
            <w:tcW w:w="579" w:type="dxa"/>
            <w:tcBorders>
              <w:top w:val="nil"/>
              <w:left w:val="single" w:sz="12" w:space="0" w:color="FF9E3C"/>
              <w:bottom w:val="nil"/>
              <w:right w:val="single" w:sz="12" w:space="0" w:color="FF9E3C"/>
            </w:tcBorders>
            <w:shd w:val="clear" w:color="000000" w:fill="FFFFFF"/>
            <w:hideMark/>
          </w:tcPr>
          <w:p w14:paraId="1E4EBDD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.46</w:t>
            </w:r>
          </w:p>
        </w:tc>
        <w:tc>
          <w:tcPr>
            <w:tcW w:w="718" w:type="dxa"/>
            <w:tcBorders>
              <w:top w:val="nil"/>
              <w:left w:val="single" w:sz="12" w:space="0" w:color="FF9E3C"/>
              <w:bottom w:val="nil"/>
              <w:right w:val="single" w:sz="12" w:space="0" w:color="FF9E3C"/>
            </w:tcBorders>
            <w:shd w:val="clear" w:color="000000" w:fill="FFFFFF"/>
            <w:hideMark/>
          </w:tcPr>
          <w:p w14:paraId="4DD5196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.49</w:t>
            </w:r>
          </w:p>
        </w:tc>
      </w:tr>
      <w:tr w:rsidR="00A110B5" w:rsidRPr="00220AEA" w14:paraId="23E3E6D5"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3933329D"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7C297D29"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5EB393B7"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2A36BD3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(0.0,5.4)</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1105590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1535DD1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(5.0,11.0)</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4E6F1930"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(15.2,23.0)</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172626D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2DAE0A1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08C5B60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r w:rsidR="00A110B5" w:rsidRPr="00220AEA" w14:paraId="0DA205CA" w14:textId="77777777" w:rsidTr="00AC0C4B">
        <w:trPr>
          <w:trHeight w:val="182"/>
        </w:trPr>
        <w:tc>
          <w:tcPr>
            <w:tcW w:w="1546" w:type="dxa"/>
            <w:vMerge w:val="restart"/>
            <w:tcBorders>
              <w:top w:val="nil"/>
              <w:left w:val="single" w:sz="12" w:space="0" w:color="FF9E3C"/>
              <w:bottom w:val="single" w:sz="12" w:space="0" w:color="FF9E3C"/>
              <w:right w:val="single" w:sz="12" w:space="0" w:color="FF9E3C"/>
            </w:tcBorders>
            <w:shd w:val="clear" w:color="000000" w:fill="FFFFFF"/>
            <w:hideMark/>
          </w:tcPr>
          <w:p w14:paraId="791B4222"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r w:rsidRPr="00220AEA">
              <w:rPr>
                <w:rFonts w:eastAsia="Cambria" w:cs="Arial"/>
                <w:color w:val="1C3158"/>
                <w:sz w:val="16"/>
                <w:szCs w:val="16"/>
                <w:lang w:eastAsia="ja-JP"/>
              </w:rPr>
              <w:t>Red. Perform.</w:t>
            </w:r>
          </w:p>
        </w:tc>
        <w:tc>
          <w:tcPr>
            <w:tcW w:w="1039" w:type="dxa"/>
            <w:vMerge w:val="restart"/>
            <w:tcBorders>
              <w:top w:val="nil"/>
              <w:left w:val="single" w:sz="12" w:space="0" w:color="FF9E3C"/>
              <w:bottom w:val="single" w:sz="12" w:space="0" w:color="FF9E3C"/>
              <w:right w:val="single" w:sz="12" w:space="0" w:color="FF9E3C"/>
            </w:tcBorders>
            <w:shd w:val="clear" w:color="000000" w:fill="FFFFFF"/>
            <w:hideMark/>
          </w:tcPr>
          <w:p w14:paraId="25C4FA8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0.85</w:t>
            </w:r>
          </w:p>
        </w:tc>
        <w:tc>
          <w:tcPr>
            <w:tcW w:w="912" w:type="dxa"/>
            <w:vMerge w:val="restart"/>
            <w:tcBorders>
              <w:top w:val="nil"/>
              <w:left w:val="single" w:sz="12" w:space="0" w:color="FF9E3C"/>
              <w:bottom w:val="single" w:sz="12" w:space="0" w:color="FF9E3C"/>
              <w:right w:val="single" w:sz="12" w:space="0" w:color="FF9E3C"/>
            </w:tcBorders>
            <w:shd w:val="clear" w:color="000000" w:fill="FFFFFF"/>
            <w:hideMark/>
          </w:tcPr>
          <w:p w14:paraId="10CAECED"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4.01</w:t>
            </w:r>
          </w:p>
        </w:tc>
        <w:tc>
          <w:tcPr>
            <w:tcW w:w="1002" w:type="dxa"/>
            <w:tcBorders>
              <w:top w:val="nil"/>
              <w:left w:val="single" w:sz="12" w:space="0" w:color="FF9E3C"/>
              <w:bottom w:val="nil"/>
              <w:right w:val="single" w:sz="12" w:space="0" w:color="FF9E3C"/>
            </w:tcBorders>
            <w:shd w:val="clear" w:color="000000" w:fill="FFFFFF"/>
            <w:vAlign w:val="center"/>
            <w:hideMark/>
          </w:tcPr>
          <w:p w14:paraId="53EFED34"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3.5</w:t>
            </w:r>
          </w:p>
        </w:tc>
        <w:tc>
          <w:tcPr>
            <w:tcW w:w="1033" w:type="dxa"/>
            <w:tcBorders>
              <w:top w:val="nil"/>
              <w:left w:val="single" w:sz="12" w:space="0" w:color="FF9E3C"/>
              <w:bottom w:val="nil"/>
              <w:right w:val="single" w:sz="12" w:space="0" w:color="FF9E3C"/>
            </w:tcBorders>
            <w:shd w:val="clear" w:color="000000" w:fill="FFFFFF"/>
            <w:vAlign w:val="center"/>
            <w:hideMark/>
          </w:tcPr>
          <w:p w14:paraId="366BCB11"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0.8</w:t>
            </w:r>
          </w:p>
        </w:tc>
        <w:tc>
          <w:tcPr>
            <w:tcW w:w="1072" w:type="dxa"/>
            <w:tcBorders>
              <w:top w:val="nil"/>
              <w:left w:val="single" w:sz="12" w:space="0" w:color="FF9E3C"/>
              <w:bottom w:val="nil"/>
              <w:right w:val="single" w:sz="12" w:space="0" w:color="FF9E3C"/>
            </w:tcBorders>
            <w:shd w:val="clear" w:color="000000" w:fill="FFFFFF"/>
            <w:vAlign w:val="center"/>
            <w:hideMark/>
          </w:tcPr>
          <w:p w14:paraId="605A2995"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11.7</w:t>
            </w:r>
          </w:p>
        </w:tc>
        <w:tc>
          <w:tcPr>
            <w:tcW w:w="1036" w:type="dxa"/>
            <w:tcBorders>
              <w:top w:val="nil"/>
              <w:left w:val="single" w:sz="12" w:space="0" w:color="FF9E3C"/>
              <w:bottom w:val="nil"/>
              <w:right w:val="single" w:sz="12" w:space="0" w:color="FF9E3C"/>
            </w:tcBorders>
            <w:shd w:val="clear" w:color="000000" w:fill="FFFFFF"/>
            <w:vAlign w:val="center"/>
            <w:hideMark/>
          </w:tcPr>
          <w:p w14:paraId="7DFA343C"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35.1</w:t>
            </w:r>
          </w:p>
        </w:tc>
        <w:tc>
          <w:tcPr>
            <w:tcW w:w="729" w:type="dxa"/>
            <w:tcBorders>
              <w:top w:val="nil"/>
              <w:left w:val="single" w:sz="12" w:space="0" w:color="FF9E3C"/>
              <w:bottom w:val="nil"/>
              <w:right w:val="single" w:sz="12" w:space="0" w:color="FF9E3C"/>
            </w:tcBorders>
            <w:shd w:val="clear" w:color="000000" w:fill="FFFFFF"/>
            <w:hideMark/>
          </w:tcPr>
          <w:p w14:paraId="02B2CC59"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.38</w:t>
            </w:r>
          </w:p>
        </w:tc>
        <w:tc>
          <w:tcPr>
            <w:tcW w:w="579" w:type="dxa"/>
            <w:tcBorders>
              <w:top w:val="nil"/>
              <w:left w:val="single" w:sz="12" w:space="0" w:color="FF9E3C"/>
              <w:bottom w:val="nil"/>
              <w:right w:val="single" w:sz="12" w:space="0" w:color="FF9E3C"/>
            </w:tcBorders>
            <w:shd w:val="clear" w:color="000000" w:fill="FFFFFF"/>
            <w:hideMark/>
          </w:tcPr>
          <w:p w14:paraId="20563133"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.58</w:t>
            </w:r>
          </w:p>
        </w:tc>
        <w:tc>
          <w:tcPr>
            <w:tcW w:w="718" w:type="dxa"/>
            <w:tcBorders>
              <w:top w:val="nil"/>
              <w:left w:val="single" w:sz="12" w:space="0" w:color="FF9E3C"/>
              <w:bottom w:val="nil"/>
              <w:right w:val="single" w:sz="12" w:space="0" w:color="FF9E3C"/>
            </w:tcBorders>
            <w:shd w:val="clear" w:color="000000" w:fill="FFFFFF"/>
            <w:hideMark/>
          </w:tcPr>
          <w:p w14:paraId="25AA3438"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.36</w:t>
            </w:r>
          </w:p>
        </w:tc>
      </w:tr>
      <w:tr w:rsidR="00A110B5" w:rsidRPr="00220AEA" w14:paraId="17A4DAB3" w14:textId="77777777" w:rsidTr="00AC0C4B">
        <w:trPr>
          <w:trHeight w:val="182"/>
        </w:trPr>
        <w:tc>
          <w:tcPr>
            <w:tcW w:w="1546" w:type="dxa"/>
            <w:vMerge/>
            <w:tcBorders>
              <w:top w:val="nil"/>
              <w:left w:val="single" w:sz="12" w:space="0" w:color="FF9E3C"/>
              <w:bottom w:val="single" w:sz="12" w:space="0" w:color="FF9E3C"/>
              <w:right w:val="single" w:sz="12" w:space="0" w:color="FF9E3C"/>
            </w:tcBorders>
            <w:vAlign w:val="center"/>
            <w:hideMark/>
          </w:tcPr>
          <w:p w14:paraId="1BC4C7C3"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39" w:type="dxa"/>
            <w:vMerge/>
            <w:tcBorders>
              <w:top w:val="nil"/>
              <w:left w:val="single" w:sz="12" w:space="0" w:color="FF9E3C"/>
              <w:bottom w:val="single" w:sz="12" w:space="0" w:color="FF9E3C"/>
              <w:right w:val="single" w:sz="12" w:space="0" w:color="FF9E3C"/>
            </w:tcBorders>
            <w:vAlign w:val="center"/>
            <w:hideMark/>
          </w:tcPr>
          <w:p w14:paraId="67305236"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912" w:type="dxa"/>
            <w:vMerge/>
            <w:tcBorders>
              <w:top w:val="nil"/>
              <w:left w:val="single" w:sz="12" w:space="0" w:color="FF9E3C"/>
              <w:bottom w:val="single" w:sz="12" w:space="0" w:color="FF9E3C"/>
              <w:right w:val="single" w:sz="12" w:space="0" w:color="FF9E3C"/>
            </w:tcBorders>
            <w:vAlign w:val="center"/>
            <w:hideMark/>
          </w:tcPr>
          <w:p w14:paraId="43CEE1AB" w14:textId="77777777" w:rsidR="00A110B5" w:rsidRPr="00220AEA" w:rsidRDefault="00A110B5" w:rsidP="00406FB4">
            <w:pPr>
              <w:tabs>
                <w:tab w:val="clear" w:pos="426"/>
              </w:tabs>
              <w:spacing w:before="0" w:after="0" w:line="240" w:lineRule="auto"/>
              <w:ind w:left="0" w:right="0"/>
              <w:rPr>
                <w:rFonts w:cs="Arial"/>
                <w:color w:val="1C3158"/>
                <w:sz w:val="16"/>
                <w:szCs w:val="16"/>
                <w:lang w:eastAsia="ja-JP"/>
              </w:rPr>
            </w:pPr>
          </w:p>
        </w:tc>
        <w:tc>
          <w:tcPr>
            <w:tcW w:w="1002" w:type="dxa"/>
            <w:tcBorders>
              <w:top w:val="nil"/>
              <w:left w:val="single" w:sz="12" w:space="0" w:color="FF9E3C"/>
              <w:bottom w:val="single" w:sz="12" w:space="0" w:color="FF9E3C"/>
              <w:right w:val="single" w:sz="12" w:space="0" w:color="FF9E3C"/>
            </w:tcBorders>
            <w:shd w:val="clear" w:color="000000" w:fill="FFFFFF"/>
            <w:vAlign w:val="center"/>
            <w:hideMark/>
          </w:tcPr>
          <w:p w14:paraId="72B4473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(0.9,10.7)</w:t>
            </w:r>
          </w:p>
        </w:tc>
        <w:tc>
          <w:tcPr>
            <w:tcW w:w="1033" w:type="dxa"/>
            <w:tcBorders>
              <w:top w:val="nil"/>
              <w:left w:val="single" w:sz="12" w:space="0" w:color="FF9E3C"/>
              <w:bottom w:val="single" w:sz="12" w:space="0" w:color="FF9E3C"/>
              <w:right w:val="single" w:sz="12" w:space="0" w:color="FF9E3C"/>
            </w:tcBorders>
            <w:shd w:val="clear" w:color="000000" w:fill="FFFFFF"/>
            <w:vAlign w:val="center"/>
            <w:hideMark/>
          </w:tcPr>
          <w:p w14:paraId="091D10FB"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(0.0,5.2)</w:t>
            </w:r>
          </w:p>
        </w:tc>
        <w:tc>
          <w:tcPr>
            <w:tcW w:w="1072" w:type="dxa"/>
            <w:tcBorders>
              <w:top w:val="nil"/>
              <w:left w:val="single" w:sz="12" w:space="0" w:color="FF9E3C"/>
              <w:bottom w:val="single" w:sz="12" w:space="0" w:color="FF9E3C"/>
              <w:right w:val="single" w:sz="12" w:space="0" w:color="FF9E3C"/>
            </w:tcBorders>
            <w:shd w:val="clear" w:color="000000" w:fill="FFFFFF"/>
            <w:vAlign w:val="center"/>
            <w:hideMark/>
          </w:tcPr>
          <w:p w14:paraId="3B21145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xml:space="preserve"> (8.5,15.7)</w:t>
            </w:r>
          </w:p>
        </w:tc>
        <w:tc>
          <w:tcPr>
            <w:tcW w:w="1036" w:type="dxa"/>
            <w:tcBorders>
              <w:top w:val="nil"/>
              <w:left w:val="single" w:sz="12" w:space="0" w:color="FF9E3C"/>
              <w:bottom w:val="single" w:sz="12" w:space="0" w:color="FF9E3C"/>
              <w:right w:val="single" w:sz="12" w:space="0" w:color="FF9E3C"/>
            </w:tcBorders>
            <w:shd w:val="clear" w:color="000000" w:fill="FFFFFF"/>
            <w:vAlign w:val="center"/>
            <w:hideMark/>
          </w:tcPr>
          <w:p w14:paraId="7F175A46"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(30.5,40.0)</w:t>
            </w:r>
          </w:p>
        </w:tc>
        <w:tc>
          <w:tcPr>
            <w:tcW w:w="729" w:type="dxa"/>
            <w:tcBorders>
              <w:top w:val="nil"/>
              <w:left w:val="single" w:sz="12" w:space="0" w:color="FF9E3C"/>
              <w:bottom w:val="single" w:sz="12" w:space="0" w:color="FF9E3C"/>
              <w:right w:val="single" w:sz="12" w:space="0" w:color="FF9E3C"/>
            </w:tcBorders>
            <w:shd w:val="clear" w:color="000000" w:fill="FFFFFF"/>
            <w:hideMark/>
          </w:tcPr>
          <w:p w14:paraId="3DEF207F"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579" w:type="dxa"/>
            <w:tcBorders>
              <w:top w:val="nil"/>
              <w:left w:val="single" w:sz="12" w:space="0" w:color="FF9E3C"/>
              <w:bottom w:val="single" w:sz="12" w:space="0" w:color="FF9E3C"/>
              <w:right w:val="single" w:sz="12" w:space="0" w:color="FF9E3C"/>
            </w:tcBorders>
            <w:shd w:val="clear" w:color="000000" w:fill="FFFFFF"/>
            <w:hideMark/>
          </w:tcPr>
          <w:p w14:paraId="19BE85BA"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c>
          <w:tcPr>
            <w:tcW w:w="718" w:type="dxa"/>
            <w:tcBorders>
              <w:top w:val="nil"/>
              <w:left w:val="single" w:sz="12" w:space="0" w:color="FF9E3C"/>
              <w:bottom w:val="single" w:sz="12" w:space="0" w:color="FF9E3C"/>
              <w:right w:val="single" w:sz="12" w:space="0" w:color="FF9E3C"/>
            </w:tcBorders>
            <w:shd w:val="clear" w:color="000000" w:fill="FFFFFF"/>
            <w:hideMark/>
          </w:tcPr>
          <w:p w14:paraId="3D1CDF07" w14:textId="77777777" w:rsidR="00A110B5" w:rsidRPr="00220AEA" w:rsidRDefault="00A110B5" w:rsidP="00406FB4">
            <w:pPr>
              <w:tabs>
                <w:tab w:val="clear" w:pos="426"/>
              </w:tabs>
              <w:spacing w:before="0" w:after="0" w:line="240" w:lineRule="auto"/>
              <w:ind w:left="0" w:right="0"/>
              <w:jc w:val="center"/>
              <w:rPr>
                <w:rFonts w:cs="Arial"/>
                <w:color w:val="1C3158"/>
                <w:sz w:val="16"/>
                <w:szCs w:val="16"/>
                <w:lang w:eastAsia="ja-JP"/>
              </w:rPr>
            </w:pPr>
            <w:r w:rsidRPr="00220AEA">
              <w:rPr>
                <w:rFonts w:eastAsia="Cambria" w:cs="Arial"/>
                <w:color w:val="1C3158"/>
                <w:sz w:val="16"/>
                <w:szCs w:val="16"/>
                <w:lang w:eastAsia="ja-JP"/>
              </w:rPr>
              <w:t> </w:t>
            </w:r>
          </w:p>
        </w:tc>
      </w:tr>
    </w:tbl>
    <w:p w14:paraId="78BD62DE" w14:textId="77777777" w:rsidR="00697797" w:rsidRDefault="00697797" w:rsidP="005F4A77">
      <w:pPr>
        <w:spacing w:before="0" w:after="0" w:line="240" w:lineRule="auto"/>
        <w:ind w:left="0"/>
        <w:rPr>
          <w:b/>
          <w:iCs/>
          <w:color w:val="1C3158"/>
          <w:sz w:val="18"/>
        </w:rPr>
      </w:pPr>
    </w:p>
    <w:p w14:paraId="2A66BF9F" w14:textId="0679B4F5" w:rsidR="00A110B5" w:rsidRPr="00D60D18" w:rsidRDefault="00697797" w:rsidP="0040753B">
      <w:pPr>
        <w:pStyle w:val="Caption"/>
        <w:spacing w:after="0"/>
        <w:rPr>
          <w:iCs w:val="0"/>
          <w:color w:val="1C3158"/>
        </w:rPr>
      </w:pPr>
      <w:r>
        <w:rPr>
          <w:b w:val="0"/>
          <w:iCs w:val="0"/>
          <w:color w:val="1C3158"/>
        </w:rPr>
        <w:br w:type="column"/>
      </w:r>
      <w:bookmarkStart w:id="215" w:name="_Toc462738114"/>
      <w:r w:rsidR="00D60D18" w:rsidRPr="00D60D18">
        <w:lastRenderedPageBreak/>
        <w:t xml:space="preserve">Table </w:t>
      </w:r>
      <w:fldSimple w:instr=" SEQ Table \* ARABIC ">
        <w:r w:rsidR="0006479A">
          <w:rPr>
            <w:noProof/>
          </w:rPr>
          <w:t>11</w:t>
        </w:r>
      </w:fldSimple>
      <w:r w:rsidR="00D60D18" w:rsidRPr="00D60D18">
        <w:t>.</w:t>
      </w:r>
      <w:r w:rsidR="00A110B5" w:rsidRPr="00D60D18">
        <w:rPr>
          <w:iCs w:val="0"/>
          <w:color w:val="1C3158"/>
        </w:rPr>
        <w:t xml:space="preserve"> Health and Emotional/Psychological (Gamblers)</w:t>
      </w:r>
      <w:bookmarkEnd w:id="215"/>
    </w:p>
    <w:tbl>
      <w:tblPr>
        <w:tblW w:w="9574" w:type="dxa"/>
        <w:tblInd w:w="-15" w:type="dxa"/>
        <w:tblLook w:val="04A0" w:firstRow="1" w:lastRow="0" w:firstColumn="1" w:lastColumn="0" w:noHBand="0" w:noVBand="1"/>
      </w:tblPr>
      <w:tblGrid>
        <w:gridCol w:w="1701"/>
        <w:gridCol w:w="851"/>
        <w:gridCol w:w="900"/>
        <w:gridCol w:w="1084"/>
        <w:gridCol w:w="1020"/>
        <w:gridCol w:w="1020"/>
        <w:gridCol w:w="1020"/>
        <w:gridCol w:w="626"/>
        <w:gridCol w:w="572"/>
        <w:gridCol w:w="780"/>
      </w:tblGrid>
      <w:tr w:rsidR="00A110B5" w:rsidRPr="00AD79EE" w14:paraId="1494548C" w14:textId="77777777" w:rsidTr="00406FB4">
        <w:trPr>
          <w:trHeight w:val="285"/>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42D21240" w14:textId="77777777" w:rsidR="00A110B5" w:rsidRPr="00AD79EE" w:rsidRDefault="00A110B5" w:rsidP="00406FB4">
            <w:pPr>
              <w:tabs>
                <w:tab w:val="clear" w:pos="426"/>
              </w:tabs>
              <w:spacing w:before="0" w:after="0" w:line="240" w:lineRule="auto"/>
              <w:ind w:left="0" w:right="0"/>
              <w:rPr>
                <w:rFonts w:cs="Arial"/>
                <w:b/>
                <w:bCs/>
                <w:color w:val="1C3158"/>
                <w:sz w:val="16"/>
                <w:szCs w:val="16"/>
                <w:lang w:eastAsia="ja-JP"/>
              </w:rPr>
            </w:pPr>
            <w:r w:rsidRPr="00AD79EE">
              <w:rPr>
                <w:rFonts w:eastAsia="Cambria" w:cs="Arial"/>
                <w:b/>
                <w:bCs/>
                <w:color w:val="1C3158"/>
                <w:sz w:val="16"/>
                <w:szCs w:val="16"/>
                <w:lang w:eastAsia="ja-JP"/>
              </w:rPr>
              <w:t>Item abb.</w:t>
            </w:r>
          </w:p>
        </w:tc>
        <w:tc>
          <w:tcPr>
            <w:tcW w:w="1751"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1012F2C6"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IRT parameters</w:t>
            </w:r>
          </w:p>
        </w:tc>
        <w:tc>
          <w:tcPr>
            <w:tcW w:w="4144" w:type="dxa"/>
            <w:gridSpan w:val="4"/>
            <w:tcBorders>
              <w:top w:val="single" w:sz="12" w:space="0" w:color="FF9E3C"/>
              <w:left w:val="nil"/>
              <w:bottom w:val="single" w:sz="12" w:space="0" w:color="FF9E3C"/>
              <w:right w:val="single" w:sz="12" w:space="0" w:color="FF9E3C"/>
            </w:tcBorders>
            <w:shd w:val="clear" w:color="000000" w:fill="FFBC64"/>
            <w:vAlign w:val="center"/>
            <w:hideMark/>
          </w:tcPr>
          <w:p w14:paraId="41F86162"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PGSI category</w:t>
            </w:r>
          </w:p>
        </w:tc>
        <w:tc>
          <w:tcPr>
            <w:tcW w:w="1978" w:type="dxa"/>
            <w:gridSpan w:val="3"/>
            <w:tcBorders>
              <w:top w:val="single" w:sz="12" w:space="0" w:color="FF9E3C"/>
              <w:left w:val="nil"/>
              <w:bottom w:val="single" w:sz="12" w:space="0" w:color="FF9E3C"/>
              <w:right w:val="single" w:sz="12" w:space="0" w:color="FF9E3C"/>
            </w:tcBorders>
            <w:shd w:val="clear" w:color="000000" w:fill="FFBC64"/>
            <w:vAlign w:val="center"/>
            <w:hideMark/>
          </w:tcPr>
          <w:p w14:paraId="70BCC311"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Correlations</w:t>
            </w:r>
          </w:p>
        </w:tc>
      </w:tr>
      <w:tr w:rsidR="00A110B5" w:rsidRPr="00AD79EE" w14:paraId="7CC2AE21" w14:textId="77777777" w:rsidTr="00406FB4">
        <w:trPr>
          <w:trHeight w:val="390"/>
        </w:trPr>
        <w:tc>
          <w:tcPr>
            <w:tcW w:w="1701" w:type="dxa"/>
            <w:vMerge/>
            <w:tcBorders>
              <w:top w:val="single" w:sz="12" w:space="0" w:color="FF9E3C"/>
              <w:left w:val="single" w:sz="12" w:space="0" w:color="FF9E3C"/>
              <w:bottom w:val="single" w:sz="12" w:space="0" w:color="FF9E3C"/>
              <w:right w:val="single" w:sz="12" w:space="0" w:color="FF9E3C"/>
            </w:tcBorders>
            <w:vAlign w:val="center"/>
            <w:hideMark/>
          </w:tcPr>
          <w:p w14:paraId="197C2B98" w14:textId="77777777" w:rsidR="00A110B5" w:rsidRPr="00AD79EE" w:rsidRDefault="00A110B5" w:rsidP="00406FB4">
            <w:pPr>
              <w:tabs>
                <w:tab w:val="clear" w:pos="426"/>
              </w:tabs>
              <w:spacing w:before="0" w:after="0" w:line="240" w:lineRule="auto"/>
              <w:ind w:left="0" w:right="0"/>
              <w:rPr>
                <w:rFonts w:cs="Arial"/>
                <w:b/>
                <w:bCs/>
                <w:color w:val="1C3158"/>
                <w:sz w:val="16"/>
                <w:szCs w:val="16"/>
                <w:lang w:eastAsia="ja-JP"/>
              </w:rPr>
            </w:pPr>
          </w:p>
        </w:tc>
        <w:tc>
          <w:tcPr>
            <w:tcW w:w="851" w:type="dxa"/>
            <w:tcBorders>
              <w:top w:val="nil"/>
              <w:left w:val="nil"/>
              <w:bottom w:val="single" w:sz="12" w:space="0" w:color="FF9E3C"/>
              <w:right w:val="single" w:sz="12" w:space="0" w:color="FF9E3C"/>
            </w:tcBorders>
            <w:shd w:val="clear" w:color="000000" w:fill="FFBC64"/>
            <w:vAlign w:val="center"/>
            <w:hideMark/>
          </w:tcPr>
          <w:p w14:paraId="4BA12A8E"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Severity</w:t>
            </w:r>
          </w:p>
        </w:tc>
        <w:tc>
          <w:tcPr>
            <w:tcW w:w="900" w:type="dxa"/>
            <w:tcBorders>
              <w:top w:val="nil"/>
              <w:left w:val="nil"/>
              <w:bottom w:val="single" w:sz="12" w:space="0" w:color="FF9E3C"/>
              <w:right w:val="single" w:sz="12" w:space="0" w:color="FF9E3C"/>
            </w:tcBorders>
            <w:shd w:val="clear" w:color="000000" w:fill="FFBC64"/>
            <w:vAlign w:val="center"/>
            <w:hideMark/>
          </w:tcPr>
          <w:p w14:paraId="00EA563E"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Dscrm</w:t>
            </w:r>
          </w:p>
        </w:tc>
        <w:tc>
          <w:tcPr>
            <w:tcW w:w="1084" w:type="dxa"/>
            <w:tcBorders>
              <w:top w:val="nil"/>
              <w:left w:val="nil"/>
              <w:bottom w:val="single" w:sz="12" w:space="0" w:color="FF9E3C"/>
              <w:right w:val="single" w:sz="12" w:space="0" w:color="FF9E3C"/>
            </w:tcBorders>
            <w:shd w:val="clear" w:color="000000" w:fill="FFBC64"/>
            <w:vAlign w:val="center"/>
            <w:hideMark/>
          </w:tcPr>
          <w:p w14:paraId="38FB3508"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Non Problem</w:t>
            </w:r>
          </w:p>
        </w:tc>
        <w:tc>
          <w:tcPr>
            <w:tcW w:w="1020" w:type="dxa"/>
            <w:tcBorders>
              <w:top w:val="nil"/>
              <w:left w:val="nil"/>
              <w:bottom w:val="single" w:sz="12" w:space="0" w:color="FF9E3C"/>
              <w:right w:val="single" w:sz="12" w:space="0" w:color="FF9E3C"/>
            </w:tcBorders>
            <w:shd w:val="clear" w:color="000000" w:fill="FFBC64"/>
            <w:vAlign w:val="center"/>
            <w:hideMark/>
          </w:tcPr>
          <w:p w14:paraId="182E49B4"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Low Risk</w:t>
            </w:r>
          </w:p>
        </w:tc>
        <w:tc>
          <w:tcPr>
            <w:tcW w:w="1020" w:type="dxa"/>
            <w:tcBorders>
              <w:top w:val="nil"/>
              <w:left w:val="nil"/>
              <w:bottom w:val="single" w:sz="12" w:space="0" w:color="FF9E3C"/>
              <w:right w:val="single" w:sz="12" w:space="0" w:color="FF9E3C"/>
            </w:tcBorders>
            <w:shd w:val="clear" w:color="000000" w:fill="FFBC64"/>
            <w:vAlign w:val="center"/>
            <w:hideMark/>
          </w:tcPr>
          <w:p w14:paraId="42CE3C82"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Moderate Risk</w:t>
            </w:r>
          </w:p>
        </w:tc>
        <w:tc>
          <w:tcPr>
            <w:tcW w:w="1020" w:type="dxa"/>
            <w:tcBorders>
              <w:top w:val="nil"/>
              <w:left w:val="nil"/>
              <w:bottom w:val="single" w:sz="12" w:space="0" w:color="FF9E3C"/>
              <w:right w:val="single" w:sz="12" w:space="0" w:color="FF9E3C"/>
            </w:tcBorders>
            <w:shd w:val="clear" w:color="000000" w:fill="FFBC64"/>
            <w:vAlign w:val="center"/>
            <w:hideMark/>
          </w:tcPr>
          <w:p w14:paraId="7CF410F4"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Problem</w:t>
            </w:r>
          </w:p>
        </w:tc>
        <w:tc>
          <w:tcPr>
            <w:tcW w:w="626" w:type="dxa"/>
            <w:tcBorders>
              <w:top w:val="nil"/>
              <w:left w:val="nil"/>
              <w:bottom w:val="single" w:sz="12" w:space="0" w:color="FF9E3C"/>
              <w:right w:val="single" w:sz="12" w:space="0" w:color="FF9E3C"/>
            </w:tcBorders>
            <w:shd w:val="clear" w:color="000000" w:fill="FFBC64"/>
            <w:vAlign w:val="center"/>
            <w:hideMark/>
          </w:tcPr>
          <w:p w14:paraId="3A3B56A7"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PGSI</w:t>
            </w:r>
          </w:p>
        </w:tc>
        <w:tc>
          <w:tcPr>
            <w:tcW w:w="572" w:type="dxa"/>
            <w:tcBorders>
              <w:top w:val="nil"/>
              <w:left w:val="nil"/>
              <w:bottom w:val="single" w:sz="12" w:space="0" w:color="FF9E3C"/>
              <w:right w:val="single" w:sz="12" w:space="0" w:color="FF9E3C"/>
            </w:tcBorders>
            <w:shd w:val="clear" w:color="000000" w:fill="FFBC64"/>
            <w:vAlign w:val="center"/>
            <w:hideMark/>
          </w:tcPr>
          <w:p w14:paraId="117821CF"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Gen.</w:t>
            </w:r>
          </w:p>
        </w:tc>
        <w:tc>
          <w:tcPr>
            <w:tcW w:w="780" w:type="dxa"/>
            <w:tcBorders>
              <w:top w:val="nil"/>
              <w:left w:val="nil"/>
              <w:bottom w:val="single" w:sz="12" w:space="0" w:color="FF9E3C"/>
              <w:right w:val="single" w:sz="12" w:space="0" w:color="FF9E3C"/>
            </w:tcBorders>
            <w:shd w:val="clear" w:color="000000" w:fill="FFBC64"/>
            <w:vAlign w:val="center"/>
            <w:hideMark/>
          </w:tcPr>
          <w:p w14:paraId="48B5AD35"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Tot.</w:t>
            </w:r>
          </w:p>
        </w:tc>
      </w:tr>
      <w:tr w:rsidR="00A110B5" w:rsidRPr="00AD79EE" w14:paraId="1C908912" w14:textId="77777777" w:rsidTr="00F812A7">
        <w:trPr>
          <w:trHeight w:val="285"/>
        </w:trPr>
        <w:tc>
          <w:tcPr>
            <w:tcW w:w="9574" w:type="dxa"/>
            <w:gridSpan w:val="10"/>
            <w:tcBorders>
              <w:top w:val="single" w:sz="12" w:space="0" w:color="FF9E3C"/>
              <w:left w:val="single" w:sz="12" w:space="0" w:color="FF9E3C"/>
              <w:right w:val="single" w:sz="12" w:space="0" w:color="FF9E3C"/>
            </w:tcBorders>
            <w:shd w:val="clear" w:color="000000" w:fill="FFCF8F"/>
            <w:vAlign w:val="center"/>
            <w:hideMark/>
          </w:tcPr>
          <w:p w14:paraId="539F2D0F" w14:textId="77777777" w:rsidR="00A110B5" w:rsidRPr="00AD79EE"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AD79EE">
              <w:rPr>
                <w:rFonts w:cs="Arial"/>
                <w:b/>
                <w:bCs/>
                <w:i/>
                <w:iCs/>
                <w:color w:val="1C3158"/>
                <w:sz w:val="16"/>
                <w:szCs w:val="16"/>
                <w:lang w:eastAsia="ja-JP"/>
              </w:rPr>
              <w:t>Health</w:t>
            </w:r>
          </w:p>
        </w:tc>
      </w:tr>
      <w:tr w:rsidR="00A110B5" w:rsidRPr="00AD79EE" w14:paraId="249FAC4C"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FE72B3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Emerg. Treat.</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272A9B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2.97</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3E684C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1.38</w:t>
            </w:r>
          </w:p>
        </w:tc>
        <w:tc>
          <w:tcPr>
            <w:tcW w:w="1084" w:type="dxa"/>
            <w:tcBorders>
              <w:top w:val="nil"/>
              <w:left w:val="single" w:sz="12" w:space="0" w:color="FF9E3C"/>
              <w:bottom w:val="nil"/>
              <w:right w:val="single" w:sz="12" w:space="0" w:color="FF9E3C"/>
            </w:tcBorders>
            <w:shd w:val="clear" w:color="000000" w:fill="FFFFFF"/>
            <w:vAlign w:val="center"/>
            <w:hideMark/>
          </w:tcPr>
          <w:p w14:paraId="4D80032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305F8F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572CD0A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0.9</w:t>
            </w:r>
          </w:p>
        </w:tc>
        <w:tc>
          <w:tcPr>
            <w:tcW w:w="1020" w:type="dxa"/>
            <w:tcBorders>
              <w:top w:val="nil"/>
              <w:left w:val="single" w:sz="12" w:space="0" w:color="FF9E3C"/>
              <w:bottom w:val="nil"/>
              <w:right w:val="single" w:sz="12" w:space="0" w:color="FF9E3C"/>
            </w:tcBorders>
            <w:shd w:val="clear" w:color="000000" w:fill="FFFFFF"/>
            <w:vAlign w:val="center"/>
            <w:hideMark/>
          </w:tcPr>
          <w:p w14:paraId="6D4C937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7.3</w:t>
            </w:r>
          </w:p>
        </w:tc>
        <w:tc>
          <w:tcPr>
            <w:tcW w:w="626" w:type="dxa"/>
            <w:tcBorders>
              <w:top w:val="nil"/>
              <w:left w:val="single" w:sz="12" w:space="0" w:color="FF9E3C"/>
              <w:bottom w:val="nil"/>
              <w:right w:val="single" w:sz="12" w:space="0" w:color="FF9E3C"/>
            </w:tcBorders>
            <w:shd w:val="clear" w:color="000000" w:fill="FFFFFF"/>
            <w:hideMark/>
          </w:tcPr>
          <w:p w14:paraId="2DC23A6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.19</w:t>
            </w:r>
          </w:p>
        </w:tc>
        <w:tc>
          <w:tcPr>
            <w:tcW w:w="572" w:type="dxa"/>
            <w:tcBorders>
              <w:top w:val="nil"/>
              <w:left w:val="single" w:sz="12" w:space="0" w:color="FF9E3C"/>
              <w:bottom w:val="nil"/>
              <w:right w:val="single" w:sz="12" w:space="0" w:color="FF9E3C"/>
            </w:tcBorders>
            <w:shd w:val="clear" w:color="000000" w:fill="FFFFFF"/>
            <w:hideMark/>
          </w:tcPr>
          <w:p w14:paraId="0F47A37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.28</w:t>
            </w:r>
          </w:p>
        </w:tc>
        <w:tc>
          <w:tcPr>
            <w:tcW w:w="780" w:type="dxa"/>
            <w:tcBorders>
              <w:top w:val="nil"/>
              <w:left w:val="single" w:sz="12" w:space="0" w:color="FF9E3C"/>
              <w:bottom w:val="nil"/>
              <w:right w:val="single" w:sz="12" w:space="0" w:color="FF9E3C"/>
            </w:tcBorders>
            <w:shd w:val="clear" w:color="000000" w:fill="FFFFFF"/>
            <w:hideMark/>
          </w:tcPr>
          <w:p w14:paraId="4A57C7F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.23</w:t>
            </w:r>
          </w:p>
        </w:tc>
      </w:tr>
      <w:tr w:rsidR="00A110B5" w:rsidRPr="00AD79EE" w14:paraId="5FC58393"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1CA1975C"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E385D4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35FDAE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F5E26B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A00F16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13B01D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(0.2, 2.8)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FC1AEA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(5.1,10.4)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457176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7C2AEF7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16308E0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02B571FA"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375580DC"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Self-Harm</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63D455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2.72</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7994CF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2.15</w:t>
            </w:r>
          </w:p>
        </w:tc>
        <w:tc>
          <w:tcPr>
            <w:tcW w:w="1084" w:type="dxa"/>
            <w:tcBorders>
              <w:top w:val="nil"/>
              <w:left w:val="single" w:sz="12" w:space="0" w:color="FF9E3C"/>
              <w:bottom w:val="nil"/>
              <w:right w:val="single" w:sz="12" w:space="0" w:color="FF9E3C"/>
            </w:tcBorders>
            <w:shd w:val="clear" w:color="000000" w:fill="FFFFFF"/>
            <w:vAlign w:val="center"/>
            <w:hideMark/>
          </w:tcPr>
          <w:p w14:paraId="2F2B0C2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17D2AC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9DDDCA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0.3</w:t>
            </w:r>
          </w:p>
        </w:tc>
        <w:tc>
          <w:tcPr>
            <w:tcW w:w="1020" w:type="dxa"/>
            <w:tcBorders>
              <w:top w:val="nil"/>
              <w:left w:val="single" w:sz="12" w:space="0" w:color="FF9E3C"/>
              <w:bottom w:val="nil"/>
              <w:right w:val="single" w:sz="12" w:space="0" w:color="FF9E3C"/>
            </w:tcBorders>
            <w:shd w:val="clear" w:color="000000" w:fill="FFFFFF"/>
            <w:vAlign w:val="center"/>
            <w:hideMark/>
          </w:tcPr>
          <w:p w14:paraId="2F66781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4.1</w:t>
            </w:r>
          </w:p>
        </w:tc>
        <w:tc>
          <w:tcPr>
            <w:tcW w:w="626" w:type="dxa"/>
            <w:tcBorders>
              <w:top w:val="nil"/>
              <w:left w:val="single" w:sz="12" w:space="0" w:color="FF9E3C"/>
              <w:bottom w:val="nil"/>
              <w:right w:val="single" w:sz="12" w:space="0" w:color="FF9E3C"/>
            </w:tcBorders>
            <w:shd w:val="clear" w:color="000000" w:fill="FFFFFF"/>
            <w:hideMark/>
          </w:tcPr>
          <w:p w14:paraId="0918DAA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.20</w:t>
            </w:r>
          </w:p>
        </w:tc>
        <w:tc>
          <w:tcPr>
            <w:tcW w:w="572" w:type="dxa"/>
            <w:tcBorders>
              <w:top w:val="nil"/>
              <w:left w:val="single" w:sz="12" w:space="0" w:color="FF9E3C"/>
              <w:bottom w:val="nil"/>
              <w:right w:val="single" w:sz="12" w:space="0" w:color="FF9E3C"/>
            </w:tcBorders>
            <w:shd w:val="clear" w:color="000000" w:fill="FFFFFF"/>
            <w:hideMark/>
          </w:tcPr>
          <w:p w14:paraId="1988EE2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.26</w:t>
            </w:r>
          </w:p>
        </w:tc>
        <w:tc>
          <w:tcPr>
            <w:tcW w:w="780" w:type="dxa"/>
            <w:tcBorders>
              <w:top w:val="nil"/>
              <w:left w:val="single" w:sz="12" w:space="0" w:color="FF9E3C"/>
              <w:bottom w:val="nil"/>
              <w:right w:val="single" w:sz="12" w:space="0" w:color="FF9E3C"/>
            </w:tcBorders>
            <w:shd w:val="clear" w:color="000000" w:fill="FFFFFF"/>
            <w:hideMark/>
          </w:tcPr>
          <w:p w14:paraId="3525B59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.29</w:t>
            </w:r>
          </w:p>
        </w:tc>
      </w:tr>
      <w:tr w:rsidR="00A110B5" w:rsidRPr="00AD79EE" w14:paraId="423C3F40"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05E235C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236B2D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778E4B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3EB885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DD94F9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4CFF8C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(0.0, 1.9)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986B8D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(2.5, 6.7)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206ECB5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557B359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2C31CF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15B814CA"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C53413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Suicide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0F9689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2.70</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B2F517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1.67</w:t>
            </w:r>
          </w:p>
        </w:tc>
        <w:tc>
          <w:tcPr>
            <w:tcW w:w="1084" w:type="dxa"/>
            <w:tcBorders>
              <w:top w:val="nil"/>
              <w:left w:val="single" w:sz="12" w:space="0" w:color="FF9E3C"/>
              <w:bottom w:val="nil"/>
              <w:right w:val="single" w:sz="12" w:space="0" w:color="FF9E3C"/>
            </w:tcBorders>
            <w:shd w:val="clear" w:color="000000" w:fill="FFFFFF"/>
            <w:vAlign w:val="center"/>
            <w:hideMark/>
          </w:tcPr>
          <w:p w14:paraId="2155E4F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73D357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0239D5E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0.3</w:t>
            </w:r>
          </w:p>
        </w:tc>
        <w:tc>
          <w:tcPr>
            <w:tcW w:w="1020" w:type="dxa"/>
            <w:tcBorders>
              <w:top w:val="nil"/>
              <w:left w:val="single" w:sz="12" w:space="0" w:color="FF9E3C"/>
              <w:bottom w:val="nil"/>
              <w:right w:val="single" w:sz="12" w:space="0" w:color="FF9E3C"/>
            </w:tcBorders>
            <w:shd w:val="clear" w:color="000000" w:fill="FFFFFF"/>
            <w:vAlign w:val="center"/>
            <w:hideMark/>
          </w:tcPr>
          <w:p w14:paraId="7FCEC7B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7.3</w:t>
            </w:r>
          </w:p>
        </w:tc>
        <w:tc>
          <w:tcPr>
            <w:tcW w:w="626" w:type="dxa"/>
            <w:tcBorders>
              <w:top w:val="nil"/>
              <w:left w:val="single" w:sz="12" w:space="0" w:color="FF9E3C"/>
              <w:bottom w:val="nil"/>
              <w:right w:val="single" w:sz="12" w:space="0" w:color="FF9E3C"/>
            </w:tcBorders>
            <w:shd w:val="clear" w:color="000000" w:fill="FFFFFF"/>
            <w:hideMark/>
          </w:tcPr>
          <w:p w14:paraId="3AD0B36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.24</w:t>
            </w:r>
          </w:p>
        </w:tc>
        <w:tc>
          <w:tcPr>
            <w:tcW w:w="572" w:type="dxa"/>
            <w:tcBorders>
              <w:top w:val="nil"/>
              <w:left w:val="single" w:sz="12" w:space="0" w:color="FF9E3C"/>
              <w:bottom w:val="nil"/>
              <w:right w:val="single" w:sz="12" w:space="0" w:color="FF9E3C"/>
            </w:tcBorders>
            <w:shd w:val="clear" w:color="000000" w:fill="FFFFFF"/>
            <w:hideMark/>
          </w:tcPr>
          <w:p w14:paraId="737FC4B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.33</w:t>
            </w:r>
          </w:p>
        </w:tc>
        <w:tc>
          <w:tcPr>
            <w:tcW w:w="780" w:type="dxa"/>
            <w:tcBorders>
              <w:top w:val="nil"/>
              <w:left w:val="single" w:sz="12" w:space="0" w:color="FF9E3C"/>
              <w:bottom w:val="nil"/>
              <w:right w:val="single" w:sz="12" w:space="0" w:color="FF9E3C"/>
            </w:tcBorders>
            <w:shd w:val="clear" w:color="000000" w:fill="FFFFFF"/>
            <w:hideMark/>
          </w:tcPr>
          <w:p w14:paraId="07A9BCA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.29</w:t>
            </w:r>
          </w:p>
        </w:tc>
      </w:tr>
      <w:tr w:rsidR="00A110B5" w:rsidRPr="00AD79EE" w14:paraId="188A5331"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20237F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A2ABE0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4C7DEB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2B7EEB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54DD35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5B0DFC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(0.0, 1.9)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D84EFC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(5.1,10.4)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5FEF075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6FF8BBD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44A116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6BB70868"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0DA6502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Overeating</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05E8BD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2.61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06287C0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0.90</w:t>
            </w:r>
          </w:p>
        </w:tc>
        <w:tc>
          <w:tcPr>
            <w:tcW w:w="1084" w:type="dxa"/>
            <w:tcBorders>
              <w:top w:val="nil"/>
              <w:left w:val="single" w:sz="12" w:space="0" w:color="FF9E3C"/>
              <w:bottom w:val="nil"/>
              <w:right w:val="single" w:sz="12" w:space="0" w:color="FF9E3C"/>
            </w:tcBorders>
            <w:shd w:val="clear" w:color="000000" w:fill="FFFFFF"/>
            <w:vAlign w:val="center"/>
            <w:hideMark/>
          </w:tcPr>
          <w:p w14:paraId="5A29AFE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C4D97E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5.7</w:t>
            </w:r>
          </w:p>
        </w:tc>
        <w:tc>
          <w:tcPr>
            <w:tcW w:w="1020" w:type="dxa"/>
            <w:tcBorders>
              <w:top w:val="nil"/>
              <w:left w:val="single" w:sz="12" w:space="0" w:color="FF9E3C"/>
              <w:bottom w:val="nil"/>
              <w:right w:val="single" w:sz="12" w:space="0" w:color="FF9E3C"/>
            </w:tcBorders>
            <w:shd w:val="clear" w:color="000000" w:fill="FFFFFF"/>
            <w:vAlign w:val="center"/>
            <w:hideMark/>
          </w:tcPr>
          <w:p w14:paraId="17C8EC6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9.3</w:t>
            </w:r>
          </w:p>
        </w:tc>
        <w:tc>
          <w:tcPr>
            <w:tcW w:w="1020" w:type="dxa"/>
            <w:tcBorders>
              <w:top w:val="nil"/>
              <w:left w:val="single" w:sz="12" w:space="0" w:color="FF9E3C"/>
              <w:bottom w:val="nil"/>
              <w:right w:val="single" w:sz="12" w:space="0" w:color="FF9E3C"/>
            </w:tcBorders>
            <w:shd w:val="clear" w:color="000000" w:fill="FFFFFF"/>
            <w:vAlign w:val="center"/>
            <w:hideMark/>
          </w:tcPr>
          <w:p w14:paraId="12221ED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17.1</w:t>
            </w:r>
          </w:p>
        </w:tc>
        <w:tc>
          <w:tcPr>
            <w:tcW w:w="626" w:type="dxa"/>
            <w:tcBorders>
              <w:top w:val="nil"/>
              <w:left w:val="single" w:sz="12" w:space="0" w:color="FF9E3C"/>
              <w:bottom w:val="nil"/>
              <w:right w:val="single" w:sz="12" w:space="0" w:color="FF9E3C"/>
            </w:tcBorders>
            <w:shd w:val="clear" w:color="000000" w:fill="FFFFFF"/>
            <w:hideMark/>
          </w:tcPr>
          <w:p w14:paraId="4204BA8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.22</w:t>
            </w:r>
          </w:p>
        </w:tc>
        <w:tc>
          <w:tcPr>
            <w:tcW w:w="572" w:type="dxa"/>
            <w:tcBorders>
              <w:top w:val="nil"/>
              <w:left w:val="single" w:sz="12" w:space="0" w:color="FF9E3C"/>
              <w:bottom w:val="nil"/>
              <w:right w:val="single" w:sz="12" w:space="0" w:color="FF9E3C"/>
            </w:tcBorders>
            <w:shd w:val="clear" w:color="000000" w:fill="FFFFFF"/>
            <w:hideMark/>
          </w:tcPr>
          <w:p w14:paraId="4A75746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.25</w:t>
            </w:r>
          </w:p>
        </w:tc>
        <w:tc>
          <w:tcPr>
            <w:tcW w:w="780" w:type="dxa"/>
            <w:tcBorders>
              <w:top w:val="nil"/>
              <w:left w:val="single" w:sz="12" w:space="0" w:color="FF9E3C"/>
              <w:bottom w:val="nil"/>
              <w:right w:val="single" w:sz="12" w:space="0" w:color="FF9E3C"/>
            </w:tcBorders>
            <w:shd w:val="clear" w:color="000000" w:fill="FFFFFF"/>
            <w:hideMark/>
          </w:tcPr>
          <w:p w14:paraId="16FFBB0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.23</w:t>
            </w:r>
          </w:p>
        </w:tc>
      </w:tr>
      <w:tr w:rsidR="00A110B5" w:rsidRPr="00AD79EE" w14:paraId="3B1597F1"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67CA6A3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B59206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53E307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DD645E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043C43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(2.5,11.9)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2CB7F5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(6.5,13.0)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3E22FF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(13.6,21.1)</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757B38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0A8F524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75460E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643A0639"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4672CA3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Service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3CC4C61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2.50</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3F07B4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2.11</w:t>
            </w:r>
          </w:p>
        </w:tc>
        <w:tc>
          <w:tcPr>
            <w:tcW w:w="1084" w:type="dxa"/>
            <w:tcBorders>
              <w:top w:val="nil"/>
              <w:left w:val="single" w:sz="12" w:space="0" w:color="FF9E3C"/>
              <w:bottom w:val="nil"/>
              <w:right w:val="single" w:sz="12" w:space="0" w:color="FF9E3C"/>
            </w:tcBorders>
            <w:shd w:val="clear" w:color="000000" w:fill="FFFFFF"/>
            <w:vAlign w:val="center"/>
            <w:hideMark/>
          </w:tcPr>
          <w:p w14:paraId="1BB7517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2BC9B1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7897AEC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0.3</w:t>
            </w:r>
          </w:p>
        </w:tc>
        <w:tc>
          <w:tcPr>
            <w:tcW w:w="1020" w:type="dxa"/>
            <w:tcBorders>
              <w:top w:val="nil"/>
              <w:left w:val="single" w:sz="12" w:space="0" w:color="FF9E3C"/>
              <w:bottom w:val="nil"/>
              <w:right w:val="single" w:sz="12" w:space="0" w:color="FF9E3C"/>
            </w:tcBorders>
            <w:shd w:val="clear" w:color="000000" w:fill="FFFFFF"/>
            <w:vAlign w:val="center"/>
            <w:hideMark/>
          </w:tcPr>
          <w:p w14:paraId="6E19032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6.1</w:t>
            </w:r>
          </w:p>
        </w:tc>
        <w:tc>
          <w:tcPr>
            <w:tcW w:w="626" w:type="dxa"/>
            <w:tcBorders>
              <w:top w:val="nil"/>
              <w:left w:val="single" w:sz="12" w:space="0" w:color="FF9E3C"/>
              <w:bottom w:val="nil"/>
              <w:right w:val="single" w:sz="12" w:space="0" w:color="FF9E3C"/>
            </w:tcBorders>
            <w:shd w:val="clear" w:color="000000" w:fill="FFFFFF"/>
            <w:hideMark/>
          </w:tcPr>
          <w:p w14:paraId="509BAAF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.26</w:t>
            </w:r>
          </w:p>
        </w:tc>
        <w:tc>
          <w:tcPr>
            <w:tcW w:w="572" w:type="dxa"/>
            <w:tcBorders>
              <w:top w:val="nil"/>
              <w:left w:val="single" w:sz="12" w:space="0" w:color="FF9E3C"/>
              <w:bottom w:val="nil"/>
              <w:right w:val="single" w:sz="12" w:space="0" w:color="FF9E3C"/>
            </w:tcBorders>
            <w:shd w:val="clear" w:color="000000" w:fill="FFFFFF"/>
            <w:hideMark/>
          </w:tcPr>
          <w:p w14:paraId="7EFB9D6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.29</w:t>
            </w:r>
          </w:p>
        </w:tc>
        <w:tc>
          <w:tcPr>
            <w:tcW w:w="780" w:type="dxa"/>
            <w:tcBorders>
              <w:top w:val="nil"/>
              <w:left w:val="single" w:sz="12" w:space="0" w:color="FF9E3C"/>
              <w:bottom w:val="nil"/>
              <w:right w:val="single" w:sz="12" w:space="0" w:color="FF9E3C"/>
            </w:tcBorders>
            <w:shd w:val="clear" w:color="000000" w:fill="FFFFFF"/>
            <w:hideMark/>
          </w:tcPr>
          <w:p w14:paraId="15D33F8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.31</w:t>
            </w:r>
          </w:p>
        </w:tc>
      </w:tr>
      <w:tr w:rsidR="00A110B5" w:rsidRPr="00AD79EE" w14:paraId="60801D75"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210D982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1936CD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FC2FE9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6ADF78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AFE5FA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BA90A9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(0.0, 1.9)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F08638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(4.1, 9.0)</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FDE101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351D614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32AEAD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19784F8C"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DF70C2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Living Cond.</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799A67F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2.03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394791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1.66</w:t>
            </w:r>
          </w:p>
        </w:tc>
        <w:tc>
          <w:tcPr>
            <w:tcW w:w="1084" w:type="dxa"/>
            <w:tcBorders>
              <w:top w:val="nil"/>
              <w:left w:val="single" w:sz="12" w:space="0" w:color="FF9E3C"/>
              <w:bottom w:val="nil"/>
              <w:right w:val="single" w:sz="12" w:space="0" w:color="FF9E3C"/>
            </w:tcBorders>
            <w:shd w:val="clear" w:color="000000" w:fill="FFFFFF"/>
            <w:vAlign w:val="center"/>
            <w:hideMark/>
          </w:tcPr>
          <w:p w14:paraId="61F5CD3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2.4</w:t>
            </w:r>
          </w:p>
        </w:tc>
        <w:tc>
          <w:tcPr>
            <w:tcW w:w="1020" w:type="dxa"/>
            <w:tcBorders>
              <w:top w:val="nil"/>
              <w:left w:val="single" w:sz="12" w:space="0" w:color="FF9E3C"/>
              <w:bottom w:val="nil"/>
              <w:right w:val="single" w:sz="12" w:space="0" w:color="FF9E3C"/>
            </w:tcBorders>
            <w:shd w:val="clear" w:color="000000" w:fill="FFFFFF"/>
            <w:vAlign w:val="center"/>
            <w:hideMark/>
          </w:tcPr>
          <w:p w14:paraId="2DCE350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2.5</w:t>
            </w:r>
          </w:p>
        </w:tc>
        <w:tc>
          <w:tcPr>
            <w:tcW w:w="1020" w:type="dxa"/>
            <w:tcBorders>
              <w:top w:val="nil"/>
              <w:left w:val="single" w:sz="12" w:space="0" w:color="FF9E3C"/>
              <w:bottom w:val="nil"/>
              <w:right w:val="single" w:sz="12" w:space="0" w:color="FF9E3C"/>
            </w:tcBorders>
            <w:shd w:val="clear" w:color="000000" w:fill="FFFFFF"/>
            <w:vAlign w:val="center"/>
            <w:hideMark/>
          </w:tcPr>
          <w:p w14:paraId="5AD5586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3.9</w:t>
            </w:r>
          </w:p>
        </w:tc>
        <w:tc>
          <w:tcPr>
            <w:tcW w:w="1020" w:type="dxa"/>
            <w:tcBorders>
              <w:top w:val="nil"/>
              <w:left w:val="single" w:sz="12" w:space="0" w:color="FF9E3C"/>
              <w:bottom w:val="nil"/>
              <w:right w:val="single" w:sz="12" w:space="0" w:color="FF9E3C"/>
            </w:tcBorders>
            <w:shd w:val="clear" w:color="000000" w:fill="FFFFFF"/>
            <w:vAlign w:val="center"/>
            <w:hideMark/>
          </w:tcPr>
          <w:p w14:paraId="45AC97B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14.6</w:t>
            </w:r>
          </w:p>
        </w:tc>
        <w:tc>
          <w:tcPr>
            <w:tcW w:w="626" w:type="dxa"/>
            <w:tcBorders>
              <w:top w:val="nil"/>
              <w:left w:val="single" w:sz="12" w:space="0" w:color="FF9E3C"/>
              <w:bottom w:val="nil"/>
              <w:right w:val="single" w:sz="12" w:space="0" w:color="FF9E3C"/>
            </w:tcBorders>
            <w:shd w:val="clear" w:color="000000" w:fill="FFFFFF"/>
            <w:hideMark/>
          </w:tcPr>
          <w:p w14:paraId="0944575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.30</w:t>
            </w:r>
          </w:p>
        </w:tc>
        <w:tc>
          <w:tcPr>
            <w:tcW w:w="572" w:type="dxa"/>
            <w:tcBorders>
              <w:top w:val="nil"/>
              <w:left w:val="single" w:sz="12" w:space="0" w:color="FF9E3C"/>
              <w:bottom w:val="nil"/>
              <w:right w:val="single" w:sz="12" w:space="0" w:color="FF9E3C"/>
            </w:tcBorders>
            <w:shd w:val="clear" w:color="000000" w:fill="FFFFFF"/>
            <w:hideMark/>
          </w:tcPr>
          <w:p w14:paraId="1DD6752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.37</w:t>
            </w:r>
          </w:p>
        </w:tc>
        <w:tc>
          <w:tcPr>
            <w:tcW w:w="780" w:type="dxa"/>
            <w:tcBorders>
              <w:top w:val="nil"/>
              <w:left w:val="single" w:sz="12" w:space="0" w:color="FF9E3C"/>
              <w:bottom w:val="nil"/>
              <w:right w:val="single" w:sz="12" w:space="0" w:color="FF9E3C"/>
            </w:tcBorders>
            <w:shd w:val="clear" w:color="000000" w:fill="FFFFFF"/>
            <w:hideMark/>
          </w:tcPr>
          <w:p w14:paraId="4758170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.38</w:t>
            </w:r>
          </w:p>
        </w:tc>
      </w:tr>
      <w:tr w:rsidR="00A110B5" w:rsidRPr="00AD79EE" w14:paraId="285B955A"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79065D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99F6A2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33B848D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FCF1E7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(0.4, 9.0)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7CFDA0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(0.6, 7.6)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BECE80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(2.2, 6.7)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A8D72E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(11.4,18.5)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F7E3AD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28A4676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61ED84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0ACC6B0A"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5C7D5FB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Medical Needs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0CD7D9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1.86</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7657033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2.29</w:t>
            </w:r>
          </w:p>
        </w:tc>
        <w:tc>
          <w:tcPr>
            <w:tcW w:w="1084" w:type="dxa"/>
            <w:tcBorders>
              <w:top w:val="nil"/>
              <w:left w:val="single" w:sz="12" w:space="0" w:color="FF9E3C"/>
              <w:bottom w:val="nil"/>
              <w:right w:val="single" w:sz="12" w:space="0" w:color="FF9E3C"/>
            </w:tcBorders>
            <w:shd w:val="clear" w:color="000000" w:fill="FFFFFF"/>
            <w:vAlign w:val="center"/>
            <w:hideMark/>
          </w:tcPr>
          <w:p w14:paraId="0322F8C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FAF7D5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A68DE5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2.4</w:t>
            </w:r>
          </w:p>
        </w:tc>
        <w:tc>
          <w:tcPr>
            <w:tcW w:w="1020" w:type="dxa"/>
            <w:tcBorders>
              <w:top w:val="nil"/>
              <w:left w:val="single" w:sz="12" w:space="0" w:color="FF9E3C"/>
              <w:bottom w:val="nil"/>
              <w:right w:val="single" w:sz="12" w:space="0" w:color="FF9E3C"/>
            </w:tcBorders>
            <w:shd w:val="clear" w:color="000000" w:fill="FFFFFF"/>
            <w:vAlign w:val="center"/>
            <w:hideMark/>
          </w:tcPr>
          <w:p w14:paraId="64263E5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14.4</w:t>
            </w:r>
          </w:p>
        </w:tc>
        <w:tc>
          <w:tcPr>
            <w:tcW w:w="626" w:type="dxa"/>
            <w:tcBorders>
              <w:top w:val="nil"/>
              <w:left w:val="single" w:sz="12" w:space="0" w:color="FF9E3C"/>
              <w:bottom w:val="nil"/>
              <w:right w:val="single" w:sz="12" w:space="0" w:color="FF9E3C"/>
            </w:tcBorders>
            <w:shd w:val="clear" w:color="000000" w:fill="FFFFFF"/>
            <w:hideMark/>
          </w:tcPr>
          <w:p w14:paraId="2A336DA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.34</w:t>
            </w:r>
          </w:p>
        </w:tc>
        <w:tc>
          <w:tcPr>
            <w:tcW w:w="572" w:type="dxa"/>
            <w:tcBorders>
              <w:top w:val="nil"/>
              <w:left w:val="single" w:sz="12" w:space="0" w:color="FF9E3C"/>
              <w:bottom w:val="nil"/>
              <w:right w:val="single" w:sz="12" w:space="0" w:color="FF9E3C"/>
            </w:tcBorders>
            <w:shd w:val="clear" w:color="000000" w:fill="FFFFFF"/>
            <w:hideMark/>
          </w:tcPr>
          <w:p w14:paraId="12032AF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.39</w:t>
            </w:r>
          </w:p>
        </w:tc>
        <w:tc>
          <w:tcPr>
            <w:tcW w:w="780" w:type="dxa"/>
            <w:tcBorders>
              <w:top w:val="nil"/>
              <w:left w:val="single" w:sz="12" w:space="0" w:color="FF9E3C"/>
              <w:bottom w:val="nil"/>
              <w:right w:val="single" w:sz="12" w:space="0" w:color="FF9E3C"/>
            </w:tcBorders>
            <w:shd w:val="clear" w:color="000000" w:fill="FFFFFF"/>
            <w:hideMark/>
          </w:tcPr>
          <w:p w14:paraId="1E930FA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.45</w:t>
            </w:r>
          </w:p>
        </w:tc>
      </w:tr>
      <w:tr w:rsidR="00A110B5" w:rsidRPr="00AD79EE" w14:paraId="1B5353EA"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F330B4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4444F99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528CCC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945F3B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BA2CCF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F9E807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(1.1, 4.8)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EB23EF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(11.2,18.3)</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727B59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596D827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9332D0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05AA055F"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6C700D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Hygiene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7B7800D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1.83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5C5E01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2.22</w:t>
            </w:r>
          </w:p>
        </w:tc>
        <w:tc>
          <w:tcPr>
            <w:tcW w:w="1084" w:type="dxa"/>
            <w:tcBorders>
              <w:top w:val="nil"/>
              <w:left w:val="single" w:sz="12" w:space="0" w:color="FF9E3C"/>
              <w:bottom w:val="nil"/>
              <w:right w:val="single" w:sz="12" w:space="0" w:color="FF9E3C"/>
            </w:tcBorders>
            <w:shd w:val="clear" w:color="000000" w:fill="FFFFFF"/>
            <w:vAlign w:val="center"/>
            <w:hideMark/>
          </w:tcPr>
          <w:p w14:paraId="5331FEF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00EF6D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192056E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4.2</w:t>
            </w:r>
          </w:p>
        </w:tc>
        <w:tc>
          <w:tcPr>
            <w:tcW w:w="1020" w:type="dxa"/>
            <w:tcBorders>
              <w:top w:val="nil"/>
              <w:left w:val="single" w:sz="12" w:space="0" w:color="FF9E3C"/>
              <w:bottom w:val="nil"/>
              <w:right w:val="single" w:sz="12" w:space="0" w:color="FF9E3C"/>
            </w:tcBorders>
            <w:shd w:val="clear" w:color="000000" w:fill="FFFFFF"/>
            <w:vAlign w:val="center"/>
            <w:hideMark/>
          </w:tcPr>
          <w:p w14:paraId="08B353C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13.9</w:t>
            </w:r>
          </w:p>
        </w:tc>
        <w:tc>
          <w:tcPr>
            <w:tcW w:w="626" w:type="dxa"/>
            <w:tcBorders>
              <w:top w:val="nil"/>
              <w:left w:val="single" w:sz="12" w:space="0" w:color="FF9E3C"/>
              <w:bottom w:val="nil"/>
              <w:right w:val="single" w:sz="12" w:space="0" w:color="FF9E3C"/>
            </w:tcBorders>
            <w:shd w:val="clear" w:color="000000" w:fill="FFFFFF"/>
            <w:hideMark/>
          </w:tcPr>
          <w:p w14:paraId="62A1F46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.31</w:t>
            </w:r>
          </w:p>
        </w:tc>
        <w:tc>
          <w:tcPr>
            <w:tcW w:w="572" w:type="dxa"/>
            <w:tcBorders>
              <w:top w:val="nil"/>
              <w:left w:val="single" w:sz="12" w:space="0" w:color="FF9E3C"/>
              <w:bottom w:val="nil"/>
              <w:right w:val="single" w:sz="12" w:space="0" w:color="FF9E3C"/>
            </w:tcBorders>
            <w:shd w:val="clear" w:color="000000" w:fill="FFFFFF"/>
            <w:hideMark/>
          </w:tcPr>
          <w:p w14:paraId="7A29D79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.35</w:t>
            </w:r>
          </w:p>
        </w:tc>
        <w:tc>
          <w:tcPr>
            <w:tcW w:w="780" w:type="dxa"/>
            <w:tcBorders>
              <w:top w:val="nil"/>
              <w:left w:val="single" w:sz="12" w:space="0" w:color="FF9E3C"/>
              <w:bottom w:val="nil"/>
              <w:right w:val="single" w:sz="12" w:space="0" w:color="FF9E3C"/>
            </w:tcBorders>
            <w:shd w:val="clear" w:color="000000" w:fill="FFFFFF"/>
            <w:hideMark/>
          </w:tcPr>
          <w:p w14:paraId="3241140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.45</w:t>
            </w:r>
          </w:p>
        </w:tc>
      </w:tr>
      <w:tr w:rsidR="00A110B5" w:rsidRPr="00AD79EE" w14:paraId="2027AEC9"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669CC32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6F7D7D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D1FDB5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A2EBE6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E4C0DF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6BFFF8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(2.4, 7.1)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EBA356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(10.8,17.7)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28A0ABE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36F0A3A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8C3F1F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02CF2447"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D69251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Alcohol</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35C1D06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1.59</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764FDD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1.04</w:t>
            </w:r>
          </w:p>
        </w:tc>
        <w:tc>
          <w:tcPr>
            <w:tcW w:w="1084" w:type="dxa"/>
            <w:tcBorders>
              <w:top w:val="nil"/>
              <w:left w:val="single" w:sz="12" w:space="0" w:color="FF9E3C"/>
              <w:bottom w:val="nil"/>
              <w:right w:val="single" w:sz="12" w:space="0" w:color="FF9E3C"/>
            </w:tcBorders>
            <w:shd w:val="clear" w:color="000000" w:fill="FFFFFF"/>
            <w:vAlign w:val="center"/>
            <w:hideMark/>
          </w:tcPr>
          <w:p w14:paraId="286A4B8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7.1</w:t>
            </w:r>
          </w:p>
        </w:tc>
        <w:tc>
          <w:tcPr>
            <w:tcW w:w="1020" w:type="dxa"/>
            <w:tcBorders>
              <w:top w:val="nil"/>
              <w:left w:val="single" w:sz="12" w:space="0" w:color="FF9E3C"/>
              <w:bottom w:val="nil"/>
              <w:right w:val="single" w:sz="12" w:space="0" w:color="FF9E3C"/>
            </w:tcBorders>
            <w:shd w:val="clear" w:color="000000" w:fill="FFFFFF"/>
            <w:vAlign w:val="center"/>
            <w:hideMark/>
          </w:tcPr>
          <w:p w14:paraId="10E0B65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5.7</w:t>
            </w:r>
          </w:p>
        </w:tc>
        <w:tc>
          <w:tcPr>
            <w:tcW w:w="1020" w:type="dxa"/>
            <w:tcBorders>
              <w:top w:val="nil"/>
              <w:left w:val="single" w:sz="12" w:space="0" w:color="FF9E3C"/>
              <w:bottom w:val="nil"/>
              <w:right w:val="single" w:sz="12" w:space="0" w:color="FF9E3C"/>
            </w:tcBorders>
            <w:shd w:val="clear" w:color="000000" w:fill="FFFFFF"/>
            <w:vAlign w:val="center"/>
            <w:hideMark/>
          </w:tcPr>
          <w:p w14:paraId="17BFECD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18.6</w:t>
            </w:r>
          </w:p>
        </w:tc>
        <w:tc>
          <w:tcPr>
            <w:tcW w:w="1020" w:type="dxa"/>
            <w:tcBorders>
              <w:top w:val="nil"/>
              <w:left w:val="single" w:sz="12" w:space="0" w:color="FF9E3C"/>
              <w:bottom w:val="nil"/>
              <w:right w:val="single" w:sz="12" w:space="0" w:color="FF9E3C"/>
            </w:tcBorders>
            <w:shd w:val="clear" w:color="000000" w:fill="FFFFFF"/>
            <w:vAlign w:val="center"/>
            <w:hideMark/>
          </w:tcPr>
          <w:p w14:paraId="38EDC7A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28.8</w:t>
            </w:r>
          </w:p>
        </w:tc>
        <w:tc>
          <w:tcPr>
            <w:tcW w:w="626" w:type="dxa"/>
            <w:tcBorders>
              <w:top w:val="nil"/>
              <w:left w:val="single" w:sz="12" w:space="0" w:color="FF9E3C"/>
              <w:bottom w:val="nil"/>
              <w:right w:val="single" w:sz="12" w:space="0" w:color="FF9E3C"/>
            </w:tcBorders>
            <w:shd w:val="clear" w:color="000000" w:fill="FFFFFF"/>
            <w:hideMark/>
          </w:tcPr>
          <w:p w14:paraId="1511197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.24</w:t>
            </w:r>
          </w:p>
        </w:tc>
        <w:tc>
          <w:tcPr>
            <w:tcW w:w="572" w:type="dxa"/>
            <w:tcBorders>
              <w:top w:val="nil"/>
              <w:left w:val="single" w:sz="12" w:space="0" w:color="FF9E3C"/>
              <w:bottom w:val="nil"/>
              <w:right w:val="single" w:sz="12" w:space="0" w:color="FF9E3C"/>
            </w:tcBorders>
            <w:shd w:val="clear" w:color="000000" w:fill="FFFFFF"/>
            <w:hideMark/>
          </w:tcPr>
          <w:p w14:paraId="4C0A2B1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.32</w:t>
            </w:r>
          </w:p>
        </w:tc>
        <w:tc>
          <w:tcPr>
            <w:tcW w:w="780" w:type="dxa"/>
            <w:tcBorders>
              <w:top w:val="nil"/>
              <w:left w:val="single" w:sz="12" w:space="0" w:color="FF9E3C"/>
              <w:bottom w:val="nil"/>
              <w:right w:val="single" w:sz="12" w:space="0" w:color="FF9E3C"/>
            </w:tcBorders>
            <w:shd w:val="clear" w:color="000000" w:fill="FFFFFF"/>
            <w:hideMark/>
          </w:tcPr>
          <w:p w14:paraId="3D23004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.33</w:t>
            </w:r>
          </w:p>
        </w:tc>
      </w:tr>
      <w:tr w:rsidR="00A110B5" w:rsidRPr="00AD79EE" w14:paraId="085823A9"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FAF61E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664BB7E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1DB19B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D768AE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(2.9,15.3)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7BB785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(2.5,11.9)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E0489D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(14.6,23.2)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F287D4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(24.5,33.5)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F5A0E6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6CE6DBC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6F897B9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752243B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385CB3F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Tobacco</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77176C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1.41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6E5AA6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1.25</w:t>
            </w:r>
          </w:p>
        </w:tc>
        <w:tc>
          <w:tcPr>
            <w:tcW w:w="1084" w:type="dxa"/>
            <w:tcBorders>
              <w:top w:val="nil"/>
              <w:left w:val="single" w:sz="12" w:space="0" w:color="FF9E3C"/>
              <w:bottom w:val="nil"/>
              <w:right w:val="single" w:sz="12" w:space="0" w:color="FF9E3C"/>
            </w:tcBorders>
            <w:shd w:val="clear" w:color="000000" w:fill="FFFFFF"/>
            <w:vAlign w:val="center"/>
            <w:hideMark/>
          </w:tcPr>
          <w:p w14:paraId="23C6CE3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7.1</w:t>
            </w:r>
          </w:p>
        </w:tc>
        <w:tc>
          <w:tcPr>
            <w:tcW w:w="1020" w:type="dxa"/>
            <w:tcBorders>
              <w:top w:val="nil"/>
              <w:left w:val="single" w:sz="12" w:space="0" w:color="FF9E3C"/>
              <w:bottom w:val="nil"/>
              <w:right w:val="single" w:sz="12" w:space="0" w:color="FF9E3C"/>
            </w:tcBorders>
            <w:shd w:val="clear" w:color="000000" w:fill="FFFFFF"/>
            <w:vAlign w:val="center"/>
            <w:hideMark/>
          </w:tcPr>
          <w:p w14:paraId="1CE0FE0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3.3</w:t>
            </w:r>
          </w:p>
        </w:tc>
        <w:tc>
          <w:tcPr>
            <w:tcW w:w="1020" w:type="dxa"/>
            <w:tcBorders>
              <w:top w:val="nil"/>
              <w:left w:val="single" w:sz="12" w:space="0" w:color="FF9E3C"/>
              <w:bottom w:val="nil"/>
              <w:right w:val="single" w:sz="12" w:space="0" w:color="FF9E3C"/>
            </w:tcBorders>
            <w:shd w:val="clear" w:color="000000" w:fill="FFFFFF"/>
            <w:vAlign w:val="center"/>
            <w:hideMark/>
          </w:tcPr>
          <w:p w14:paraId="7E7F00C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15.9</w:t>
            </w:r>
          </w:p>
        </w:tc>
        <w:tc>
          <w:tcPr>
            <w:tcW w:w="1020" w:type="dxa"/>
            <w:tcBorders>
              <w:top w:val="nil"/>
              <w:left w:val="single" w:sz="12" w:space="0" w:color="FF9E3C"/>
              <w:bottom w:val="nil"/>
              <w:right w:val="single" w:sz="12" w:space="0" w:color="FF9E3C"/>
            </w:tcBorders>
            <w:shd w:val="clear" w:color="000000" w:fill="FFFFFF"/>
            <w:vAlign w:val="center"/>
            <w:hideMark/>
          </w:tcPr>
          <w:p w14:paraId="694EAEA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31.7</w:t>
            </w:r>
          </w:p>
        </w:tc>
        <w:tc>
          <w:tcPr>
            <w:tcW w:w="626" w:type="dxa"/>
            <w:tcBorders>
              <w:top w:val="nil"/>
              <w:left w:val="single" w:sz="12" w:space="0" w:color="FF9E3C"/>
              <w:bottom w:val="nil"/>
              <w:right w:val="single" w:sz="12" w:space="0" w:color="FF9E3C"/>
            </w:tcBorders>
            <w:shd w:val="clear" w:color="000000" w:fill="FFFFFF"/>
            <w:hideMark/>
          </w:tcPr>
          <w:p w14:paraId="0A8E67E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.32</w:t>
            </w:r>
          </w:p>
        </w:tc>
        <w:tc>
          <w:tcPr>
            <w:tcW w:w="572" w:type="dxa"/>
            <w:tcBorders>
              <w:top w:val="nil"/>
              <w:left w:val="single" w:sz="12" w:space="0" w:color="FF9E3C"/>
              <w:bottom w:val="nil"/>
              <w:right w:val="single" w:sz="12" w:space="0" w:color="FF9E3C"/>
            </w:tcBorders>
            <w:shd w:val="clear" w:color="000000" w:fill="FFFFFF"/>
            <w:hideMark/>
          </w:tcPr>
          <w:p w14:paraId="1435B83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.35</w:t>
            </w:r>
          </w:p>
        </w:tc>
        <w:tc>
          <w:tcPr>
            <w:tcW w:w="780" w:type="dxa"/>
            <w:tcBorders>
              <w:top w:val="nil"/>
              <w:left w:val="single" w:sz="12" w:space="0" w:color="FF9E3C"/>
              <w:bottom w:val="nil"/>
              <w:right w:val="single" w:sz="12" w:space="0" w:color="FF9E3C"/>
            </w:tcBorders>
            <w:shd w:val="clear" w:color="000000" w:fill="FFFFFF"/>
            <w:hideMark/>
          </w:tcPr>
          <w:p w14:paraId="6BE96DB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.39</w:t>
            </w:r>
          </w:p>
        </w:tc>
      </w:tr>
      <w:tr w:rsidR="00A110B5" w:rsidRPr="00AD79EE" w14:paraId="49C58ECC"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E8BCB3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4000F2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6152A6B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AD24F8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(2.9,15.3)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142162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(1.1, 8.7)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F59D3A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(12.2,20.3)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418971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(27.3,36.5)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E6816E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7A4390C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0D17167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2874755E"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3B04117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Malnutrition</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61E9E2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1.33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7FA71B0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1.75</w:t>
            </w:r>
          </w:p>
        </w:tc>
        <w:tc>
          <w:tcPr>
            <w:tcW w:w="1084" w:type="dxa"/>
            <w:tcBorders>
              <w:top w:val="nil"/>
              <w:left w:val="single" w:sz="12" w:space="0" w:color="FF9E3C"/>
              <w:bottom w:val="nil"/>
              <w:right w:val="single" w:sz="12" w:space="0" w:color="FF9E3C"/>
            </w:tcBorders>
            <w:shd w:val="clear" w:color="000000" w:fill="FFFFFF"/>
            <w:vAlign w:val="center"/>
            <w:hideMark/>
          </w:tcPr>
          <w:p w14:paraId="48C4F75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750D08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4.1</w:t>
            </w:r>
          </w:p>
        </w:tc>
        <w:tc>
          <w:tcPr>
            <w:tcW w:w="1020" w:type="dxa"/>
            <w:tcBorders>
              <w:top w:val="nil"/>
              <w:left w:val="single" w:sz="12" w:space="0" w:color="FF9E3C"/>
              <w:bottom w:val="nil"/>
              <w:right w:val="single" w:sz="12" w:space="0" w:color="FF9E3C"/>
            </w:tcBorders>
            <w:shd w:val="clear" w:color="000000" w:fill="FFFFFF"/>
            <w:vAlign w:val="center"/>
            <w:hideMark/>
          </w:tcPr>
          <w:p w14:paraId="025D307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12.0</w:t>
            </w:r>
          </w:p>
        </w:tc>
        <w:tc>
          <w:tcPr>
            <w:tcW w:w="1020" w:type="dxa"/>
            <w:tcBorders>
              <w:top w:val="nil"/>
              <w:left w:val="single" w:sz="12" w:space="0" w:color="FF9E3C"/>
              <w:bottom w:val="nil"/>
              <w:right w:val="single" w:sz="12" w:space="0" w:color="FF9E3C"/>
            </w:tcBorders>
            <w:shd w:val="clear" w:color="000000" w:fill="FFFFFF"/>
            <w:vAlign w:val="center"/>
            <w:hideMark/>
          </w:tcPr>
          <w:p w14:paraId="4C1972D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29.3</w:t>
            </w:r>
          </w:p>
        </w:tc>
        <w:tc>
          <w:tcPr>
            <w:tcW w:w="626" w:type="dxa"/>
            <w:tcBorders>
              <w:top w:val="nil"/>
              <w:left w:val="single" w:sz="12" w:space="0" w:color="FF9E3C"/>
              <w:bottom w:val="nil"/>
              <w:right w:val="single" w:sz="12" w:space="0" w:color="FF9E3C"/>
            </w:tcBorders>
            <w:shd w:val="clear" w:color="000000" w:fill="FFFFFF"/>
            <w:hideMark/>
          </w:tcPr>
          <w:p w14:paraId="075776A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.34</w:t>
            </w:r>
          </w:p>
        </w:tc>
        <w:tc>
          <w:tcPr>
            <w:tcW w:w="572" w:type="dxa"/>
            <w:tcBorders>
              <w:top w:val="nil"/>
              <w:left w:val="single" w:sz="12" w:space="0" w:color="FF9E3C"/>
              <w:bottom w:val="nil"/>
              <w:right w:val="single" w:sz="12" w:space="0" w:color="FF9E3C"/>
            </w:tcBorders>
            <w:shd w:val="clear" w:color="000000" w:fill="FFFFFF"/>
            <w:hideMark/>
          </w:tcPr>
          <w:p w14:paraId="416EC4C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.39</w:t>
            </w:r>
          </w:p>
        </w:tc>
        <w:tc>
          <w:tcPr>
            <w:tcW w:w="780" w:type="dxa"/>
            <w:tcBorders>
              <w:top w:val="nil"/>
              <w:left w:val="single" w:sz="12" w:space="0" w:color="FF9E3C"/>
              <w:bottom w:val="nil"/>
              <w:right w:val="single" w:sz="12" w:space="0" w:color="FF9E3C"/>
            </w:tcBorders>
            <w:shd w:val="clear" w:color="000000" w:fill="FFFFFF"/>
            <w:hideMark/>
          </w:tcPr>
          <w:p w14:paraId="517FA1F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.45</w:t>
            </w:r>
          </w:p>
        </w:tc>
      </w:tr>
      <w:tr w:rsidR="00A110B5" w:rsidRPr="00AD79EE" w14:paraId="7D84DFD9"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16C7505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76123F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64ADB43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76E6803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3D16B3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(1.5, 9.8)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40BD1E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(8.8,16.1)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480ADD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(25.0,34.0)</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798DA0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3DF22E9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0EF2391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0AF4F0A7"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D8C866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Depression</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30C55D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1.17</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B46C74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1.93</w:t>
            </w:r>
          </w:p>
        </w:tc>
        <w:tc>
          <w:tcPr>
            <w:tcW w:w="1084" w:type="dxa"/>
            <w:tcBorders>
              <w:top w:val="nil"/>
              <w:left w:val="single" w:sz="12" w:space="0" w:color="FF9E3C"/>
              <w:bottom w:val="nil"/>
              <w:right w:val="single" w:sz="12" w:space="0" w:color="FF9E3C"/>
            </w:tcBorders>
            <w:shd w:val="clear" w:color="000000" w:fill="FFFFFF"/>
            <w:vAlign w:val="center"/>
            <w:hideMark/>
          </w:tcPr>
          <w:p w14:paraId="7558511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82B350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0C9DE90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12.6</w:t>
            </w:r>
          </w:p>
        </w:tc>
        <w:tc>
          <w:tcPr>
            <w:tcW w:w="1020" w:type="dxa"/>
            <w:tcBorders>
              <w:top w:val="nil"/>
              <w:left w:val="single" w:sz="12" w:space="0" w:color="FF9E3C"/>
              <w:bottom w:val="nil"/>
              <w:right w:val="single" w:sz="12" w:space="0" w:color="FF9E3C"/>
            </w:tcBorders>
            <w:shd w:val="clear" w:color="000000" w:fill="FFFFFF"/>
            <w:vAlign w:val="center"/>
            <w:hideMark/>
          </w:tcPr>
          <w:p w14:paraId="210217E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34.4</w:t>
            </w:r>
          </w:p>
        </w:tc>
        <w:tc>
          <w:tcPr>
            <w:tcW w:w="626" w:type="dxa"/>
            <w:tcBorders>
              <w:top w:val="nil"/>
              <w:left w:val="single" w:sz="12" w:space="0" w:color="FF9E3C"/>
              <w:bottom w:val="nil"/>
              <w:right w:val="single" w:sz="12" w:space="0" w:color="FF9E3C"/>
            </w:tcBorders>
            <w:shd w:val="clear" w:color="000000" w:fill="FFFFFF"/>
            <w:hideMark/>
          </w:tcPr>
          <w:p w14:paraId="685AADC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.41</w:t>
            </w:r>
          </w:p>
        </w:tc>
        <w:tc>
          <w:tcPr>
            <w:tcW w:w="572" w:type="dxa"/>
            <w:tcBorders>
              <w:top w:val="nil"/>
              <w:left w:val="single" w:sz="12" w:space="0" w:color="FF9E3C"/>
              <w:bottom w:val="nil"/>
              <w:right w:val="single" w:sz="12" w:space="0" w:color="FF9E3C"/>
            </w:tcBorders>
            <w:shd w:val="clear" w:color="000000" w:fill="FFFFFF"/>
            <w:hideMark/>
          </w:tcPr>
          <w:p w14:paraId="79C9E7C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.51</w:t>
            </w:r>
          </w:p>
        </w:tc>
        <w:tc>
          <w:tcPr>
            <w:tcW w:w="780" w:type="dxa"/>
            <w:tcBorders>
              <w:top w:val="nil"/>
              <w:left w:val="single" w:sz="12" w:space="0" w:color="FF9E3C"/>
              <w:bottom w:val="nil"/>
              <w:right w:val="single" w:sz="12" w:space="0" w:color="FF9E3C"/>
            </w:tcBorders>
            <w:shd w:val="clear" w:color="000000" w:fill="FFFFFF"/>
            <w:hideMark/>
          </w:tcPr>
          <w:p w14:paraId="51CEF0B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.50</w:t>
            </w:r>
          </w:p>
        </w:tc>
      </w:tr>
      <w:tr w:rsidR="00A110B5" w:rsidRPr="00AD79EE" w14:paraId="56AEFAF0"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1C0E02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0F65105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332FB18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7BAEB3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8DEDFB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93972E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(9.3,16.7)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BF9F8B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(29.8,39.2)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FC6399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729B9AB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68C128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0DE58417"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1DDB0BE"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Physical Activity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00D21D8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1.11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7C46A5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1.45</w:t>
            </w:r>
          </w:p>
        </w:tc>
        <w:tc>
          <w:tcPr>
            <w:tcW w:w="1084" w:type="dxa"/>
            <w:tcBorders>
              <w:top w:val="nil"/>
              <w:left w:val="single" w:sz="12" w:space="0" w:color="FF9E3C"/>
              <w:bottom w:val="nil"/>
              <w:right w:val="single" w:sz="12" w:space="0" w:color="FF9E3C"/>
            </w:tcBorders>
            <w:shd w:val="clear" w:color="000000" w:fill="FFFFFF"/>
            <w:vAlign w:val="center"/>
            <w:hideMark/>
          </w:tcPr>
          <w:p w14:paraId="653137D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2C38387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7.4</w:t>
            </w:r>
          </w:p>
        </w:tc>
        <w:tc>
          <w:tcPr>
            <w:tcW w:w="1020" w:type="dxa"/>
            <w:tcBorders>
              <w:top w:val="nil"/>
              <w:left w:val="single" w:sz="12" w:space="0" w:color="FF9E3C"/>
              <w:bottom w:val="nil"/>
              <w:right w:val="single" w:sz="12" w:space="0" w:color="FF9E3C"/>
            </w:tcBorders>
            <w:shd w:val="clear" w:color="000000" w:fill="FFFFFF"/>
            <w:vAlign w:val="center"/>
            <w:hideMark/>
          </w:tcPr>
          <w:p w14:paraId="03DA167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17.7</w:t>
            </w:r>
          </w:p>
        </w:tc>
        <w:tc>
          <w:tcPr>
            <w:tcW w:w="1020" w:type="dxa"/>
            <w:tcBorders>
              <w:top w:val="nil"/>
              <w:left w:val="single" w:sz="12" w:space="0" w:color="FF9E3C"/>
              <w:bottom w:val="nil"/>
              <w:right w:val="single" w:sz="12" w:space="0" w:color="FF9E3C"/>
            </w:tcBorders>
            <w:shd w:val="clear" w:color="000000" w:fill="FFFFFF"/>
            <w:vAlign w:val="center"/>
            <w:hideMark/>
          </w:tcPr>
          <w:p w14:paraId="609D0E7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38.3</w:t>
            </w:r>
          </w:p>
        </w:tc>
        <w:tc>
          <w:tcPr>
            <w:tcW w:w="626" w:type="dxa"/>
            <w:tcBorders>
              <w:top w:val="nil"/>
              <w:left w:val="single" w:sz="12" w:space="0" w:color="FF9E3C"/>
              <w:bottom w:val="nil"/>
              <w:right w:val="single" w:sz="12" w:space="0" w:color="FF9E3C"/>
            </w:tcBorders>
            <w:shd w:val="clear" w:color="000000" w:fill="FFFFFF"/>
            <w:hideMark/>
          </w:tcPr>
          <w:p w14:paraId="0441351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.36</w:t>
            </w:r>
          </w:p>
        </w:tc>
        <w:tc>
          <w:tcPr>
            <w:tcW w:w="572" w:type="dxa"/>
            <w:tcBorders>
              <w:top w:val="nil"/>
              <w:left w:val="single" w:sz="12" w:space="0" w:color="FF9E3C"/>
              <w:bottom w:val="nil"/>
              <w:right w:val="single" w:sz="12" w:space="0" w:color="FF9E3C"/>
            </w:tcBorders>
            <w:shd w:val="clear" w:color="000000" w:fill="FFFFFF"/>
            <w:hideMark/>
          </w:tcPr>
          <w:p w14:paraId="549E73D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.39</w:t>
            </w:r>
          </w:p>
        </w:tc>
        <w:tc>
          <w:tcPr>
            <w:tcW w:w="780" w:type="dxa"/>
            <w:tcBorders>
              <w:top w:val="nil"/>
              <w:left w:val="single" w:sz="12" w:space="0" w:color="FF9E3C"/>
              <w:bottom w:val="nil"/>
              <w:right w:val="single" w:sz="12" w:space="0" w:color="FF9E3C"/>
            </w:tcBorders>
            <w:shd w:val="clear" w:color="000000" w:fill="FFFFFF"/>
            <w:hideMark/>
          </w:tcPr>
          <w:p w14:paraId="5DCFF48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.44</w:t>
            </w:r>
          </w:p>
        </w:tc>
      </w:tr>
      <w:tr w:rsidR="00A110B5" w:rsidRPr="00AD79EE" w14:paraId="24E02C43"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909290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F7857C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36CD0DE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739BBDE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8D1E08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(3.6,13.9)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69E595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(13.8,22.3)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3D6BD2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(33.6,43.2)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022FA0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18DF94C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45A3CE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44798EC8"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470EC9D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Stress Problems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D627CE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1.02</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65F439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2.57</w:t>
            </w:r>
          </w:p>
        </w:tc>
        <w:tc>
          <w:tcPr>
            <w:tcW w:w="1084" w:type="dxa"/>
            <w:tcBorders>
              <w:top w:val="nil"/>
              <w:left w:val="single" w:sz="12" w:space="0" w:color="FF9E3C"/>
              <w:bottom w:val="nil"/>
              <w:right w:val="single" w:sz="12" w:space="0" w:color="FF9E3C"/>
            </w:tcBorders>
            <w:shd w:val="clear" w:color="000000" w:fill="FFFFFF"/>
            <w:vAlign w:val="center"/>
            <w:hideMark/>
          </w:tcPr>
          <w:p w14:paraId="6FB0301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5531224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2.5</w:t>
            </w:r>
          </w:p>
        </w:tc>
        <w:tc>
          <w:tcPr>
            <w:tcW w:w="1020" w:type="dxa"/>
            <w:tcBorders>
              <w:top w:val="nil"/>
              <w:left w:val="single" w:sz="12" w:space="0" w:color="FF9E3C"/>
              <w:bottom w:val="nil"/>
              <w:right w:val="single" w:sz="12" w:space="0" w:color="FF9E3C"/>
            </w:tcBorders>
            <w:shd w:val="clear" w:color="000000" w:fill="FFFFFF"/>
            <w:vAlign w:val="center"/>
            <w:hideMark/>
          </w:tcPr>
          <w:p w14:paraId="58FD658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12.3</w:t>
            </w:r>
          </w:p>
        </w:tc>
        <w:tc>
          <w:tcPr>
            <w:tcW w:w="1020" w:type="dxa"/>
            <w:tcBorders>
              <w:top w:val="nil"/>
              <w:left w:val="single" w:sz="12" w:space="0" w:color="FF9E3C"/>
              <w:bottom w:val="nil"/>
              <w:right w:val="single" w:sz="12" w:space="0" w:color="FF9E3C"/>
            </w:tcBorders>
            <w:shd w:val="clear" w:color="000000" w:fill="FFFFFF"/>
            <w:vAlign w:val="center"/>
            <w:hideMark/>
          </w:tcPr>
          <w:p w14:paraId="0C2D7E9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35.9</w:t>
            </w:r>
          </w:p>
        </w:tc>
        <w:tc>
          <w:tcPr>
            <w:tcW w:w="626" w:type="dxa"/>
            <w:tcBorders>
              <w:top w:val="nil"/>
              <w:left w:val="single" w:sz="12" w:space="0" w:color="FF9E3C"/>
              <w:bottom w:val="nil"/>
              <w:right w:val="single" w:sz="12" w:space="0" w:color="FF9E3C"/>
            </w:tcBorders>
            <w:shd w:val="clear" w:color="000000" w:fill="FFFFFF"/>
            <w:hideMark/>
          </w:tcPr>
          <w:p w14:paraId="485DE1F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.42</w:t>
            </w:r>
          </w:p>
        </w:tc>
        <w:tc>
          <w:tcPr>
            <w:tcW w:w="572" w:type="dxa"/>
            <w:tcBorders>
              <w:top w:val="nil"/>
              <w:left w:val="single" w:sz="12" w:space="0" w:color="FF9E3C"/>
              <w:bottom w:val="nil"/>
              <w:right w:val="single" w:sz="12" w:space="0" w:color="FF9E3C"/>
            </w:tcBorders>
            <w:shd w:val="clear" w:color="000000" w:fill="FFFFFF"/>
            <w:hideMark/>
          </w:tcPr>
          <w:p w14:paraId="54B361C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.52</w:t>
            </w:r>
          </w:p>
        </w:tc>
        <w:tc>
          <w:tcPr>
            <w:tcW w:w="780" w:type="dxa"/>
            <w:tcBorders>
              <w:top w:val="nil"/>
              <w:left w:val="single" w:sz="12" w:space="0" w:color="FF9E3C"/>
              <w:bottom w:val="nil"/>
              <w:right w:val="single" w:sz="12" w:space="0" w:color="FF9E3C"/>
            </w:tcBorders>
            <w:shd w:val="clear" w:color="000000" w:fill="FFFFFF"/>
            <w:hideMark/>
          </w:tcPr>
          <w:p w14:paraId="00BBECD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.56</w:t>
            </w:r>
          </w:p>
        </w:tc>
      </w:tr>
      <w:tr w:rsidR="00A110B5" w:rsidRPr="00AD79EE" w14:paraId="11832713"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06675B9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4632438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155029C"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0551E47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1B6F2F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(0.6, 7.6)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292BA2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(9.0,16.4)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1FB4EC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(31.2,40.7)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010999B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6859984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034B7F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7B400ECD"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F7EC64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Red. Sleep Gamb.</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D89DC2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1.01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CD0755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2.05</w:t>
            </w:r>
          </w:p>
        </w:tc>
        <w:tc>
          <w:tcPr>
            <w:tcW w:w="1084" w:type="dxa"/>
            <w:tcBorders>
              <w:top w:val="nil"/>
              <w:left w:val="single" w:sz="12" w:space="0" w:color="FF9E3C"/>
              <w:bottom w:val="nil"/>
              <w:right w:val="single" w:sz="12" w:space="0" w:color="FF9E3C"/>
            </w:tcBorders>
            <w:shd w:val="clear" w:color="000000" w:fill="FFFFFF"/>
            <w:vAlign w:val="center"/>
            <w:hideMark/>
          </w:tcPr>
          <w:p w14:paraId="4432D0C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4.7</w:t>
            </w:r>
          </w:p>
        </w:tc>
        <w:tc>
          <w:tcPr>
            <w:tcW w:w="1020" w:type="dxa"/>
            <w:tcBorders>
              <w:top w:val="nil"/>
              <w:left w:val="single" w:sz="12" w:space="0" w:color="FF9E3C"/>
              <w:bottom w:val="nil"/>
              <w:right w:val="single" w:sz="12" w:space="0" w:color="FF9E3C"/>
            </w:tcBorders>
            <w:shd w:val="clear" w:color="000000" w:fill="FFFFFF"/>
            <w:vAlign w:val="center"/>
            <w:hideMark/>
          </w:tcPr>
          <w:p w14:paraId="6C80C01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5.7</w:t>
            </w:r>
          </w:p>
        </w:tc>
        <w:tc>
          <w:tcPr>
            <w:tcW w:w="1020" w:type="dxa"/>
            <w:tcBorders>
              <w:top w:val="nil"/>
              <w:left w:val="single" w:sz="12" w:space="0" w:color="FF9E3C"/>
              <w:bottom w:val="nil"/>
              <w:right w:val="single" w:sz="12" w:space="0" w:color="FF9E3C"/>
            </w:tcBorders>
            <w:shd w:val="clear" w:color="000000" w:fill="FFFFFF"/>
            <w:vAlign w:val="center"/>
            <w:hideMark/>
          </w:tcPr>
          <w:p w14:paraId="2255B24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12.3</w:t>
            </w:r>
          </w:p>
        </w:tc>
        <w:tc>
          <w:tcPr>
            <w:tcW w:w="1020" w:type="dxa"/>
            <w:tcBorders>
              <w:top w:val="nil"/>
              <w:left w:val="single" w:sz="12" w:space="0" w:color="FF9E3C"/>
              <w:bottom w:val="nil"/>
              <w:right w:val="single" w:sz="12" w:space="0" w:color="FF9E3C"/>
            </w:tcBorders>
            <w:shd w:val="clear" w:color="000000" w:fill="FFFFFF"/>
            <w:vAlign w:val="center"/>
            <w:hideMark/>
          </w:tcPr>
          <w:p w14:paraId="4CA5471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39.0</w:t>
            </w:r>
          </w:p>
        </w:tc>
        <w:tc>
          <w:tcPr>
            <w:tcW w:w="626" w:type="dxa"/>
            <w:tcBorders>
              <w:top w:val="nil"/>
              <w:left w:val="single" w:sz="12" w:space="0" w:color="FF9E3C"/>
              <w:bottom w:val="nil"/>
              <w:right w:val="single" w:sz="12" w:space="0" w:color="FF9E3C"/>
            </w:tcBorders>
            <w:shd w:val="clear" w:color="000000" w:fill="FFFFFF"/>
            <w:hideMark/>
          </w:tcPr>
          <w:p w14:paraId="7BA58D3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.40</w:t>
            </w:r>
          </w:p>
        </w:tc>
        <w:tc>
          <w:tcPr>
            <w:tcW w:w="572" w:type="dxa"/>
            <w:tcBorders>
              <w:top w:val="nil"/>
              <w:left w:val="single" w:sz="12" w:space="0" w:color="FF9E3C"/>
              <w:bottom w:val="nil"/>
              <w:right w:val="single" w:sz="12" w:space="0" w:color="FF9E3C"/>
            </w:tcBorders>
            <w:shd w:val="clear" w:color="000000" w:fill="FFFFFF"/>
            <w:hideMark/>
          </w:tcPr>
          <w:p w14:paraId="1926FF2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.49</w:t>
            </w:r>
          </w:p>
        </w:tc>
        <w:tc>
          <w:tcPr>
            <w:tcW w:w="780" w:type="dxa"/>
            <w:tcBorders>
              <w:top w:val="nil"/>
              <w:left w:val="single" w:sz="12" w:space="0" w:color="FF9E3C"/>
              <w:bottom w:val="nil"/>
              <w:right w:val="single" w:sz="12" w:space="0" w:color="FF9E3C"/>
            </w:tcBorders>
            <w:shd w:val="clear" w:color="000000" w:fill="FFFFFF"/>
            <w:hideMark/>
          </w:tcPr>
          <w:p w14:paraId="0817270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.52</w:t>
            </w:r>
          </w:p>
        </w:tc>
      </w:tr>
      <w:tr w:rsidR="00A110B5" w:rsidRPr="00AD79EE" w14:paraId="17008851"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6384CC9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8A9183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A12D6A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0FC1115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(1.5,12.3)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CC3268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(2.5,11.9)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5AAB0E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(9.0,16.4)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052A63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(34.3,44.0)</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5DBEE98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0011318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EA5502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12531477"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0A7A499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Red. Sleep Worry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067031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AEEA19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2.23</w:t>
            </w:r>
          </w:p>
        </w:tc>
        <w:tc>
          <w:tcPr>
            <w:tcW w:w="1084" w:type="dxa"/>
            <w:tcBorders>
              <w:top w:val="nil"/>
              <w:left w:val="single" w:sz="12" w:space="0" w:color="FF9E3C"/>
              <w:bottom w:val="nil"/>
              <w:right w:val="single" w:sz="12" w:space="0" w:color="FF9E3C"/>
            </w:tcBorders>
            <w:shd w:val="clear" w:color="000000" w:fill="FFFFFF"/>
            <w:vAlign w:val="center"/>
            <w:hideMark/>
          </w:tcPr>
          <w:p w14:paraId="0FBABB1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9A8E80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2.5</w:t>
            </w:r>
          </w:p>
        </w:tc>
        <w:tc>
          <w:tcPr>
            <w:tcW w:w="1020" w:type="dxa"/>
            <w:tcBorders>
              <w:top w:val="nil"/>
              <w:left w:val="single" w:sz="12" w:space="0" w:color="FF9E3C"/>
              <w:bottom w:val="nil"/>
              <w:right w:val="single" w:sz="12" w:space="0" w:color="FF9E3C"/>
            </w:tcBorders>
            <w:shd w:val="clear" w:color="000000" w:fill="FFFFFF"/>
            <w:vAlign w:val="center"/>
            <w:hideMark/>
          </w:tcPr>
          <w:p w14:paraId="2FDB347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13.8</w:t>
            </w:r>
          </w:p>
        </w:tc>
        <w:tc>
          <w:tcPr>
            <w:tcW w:w="1020" w:type="dxa"/>
            <w:tcBorders>
              <w:top w:val="nil"/>
              <w:left w:val="single" w:sz="12" w:space="0" w:color="FF9E3C"/>
              <w:bottom w:val="nil"/>
              <w:right w:val="single" w:sz="12" w:space="0" w:color="FF9E3C"/>
            </w:tcBorders>
            <w:shd w:val="clear" w:color="000000" w:fill="FFFFFF"/>
            <w:vAlign w:val="center"/>
            <w:hideMark/>
          </w:tcPr>
          <w:p w14:paraId="077932E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48.3</w:t>
            </w:r>
          </w:p>
        </w:tc>
        <w:tc>
          <w:tcPr>
            <w:tcW w:w="626" w:type="dxa"/>
            <w:tcBorders>
              <w:top w:val="nil"/>
              <w:left w:val="single" w:sz="12" w:space="0" w:color="FF9E3C"/>
              <w:bottom w:val="nil"/>
              <w:right w:val="single" w:sz="12" w:space="0" w:color="FF9E3C"/>
            </w:tcBorders>
            <w:shd w:val="clear" w:color="000000" w:fill="FFFFFF"/>
            <w:hideMark/>
          </w:tcPr>
          <w:p w14:paraId="4FA2375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.52</w:t>
            </w:r>
          </w:p>
        </w:tc>
        <w:tc>
          <w:tcPr>
            <w:tcW w:w="572" w:type="dxa"/>
            <w:tcBorders>
              <w:top w:val="nil"/>
              <w:left w:val="single" w:sz="12" w:space="0" w:color="FF9E3C"/>
              <w:bottom w:val="nil"/>
              <w:right w:val="single" w:sz="12" w:space="0" w:color="FF9E3C"/>
            </w:tcBorders>
            <w:shd w:val="clear" w:color="000000" w:fill="FFFFFF"/>
            <w:hideMark/>
          </w:tcPr>
          <w:p w14:paraId="1D3298C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.56</w:t>
            </w:r>
          </w:p>
        </w:tc>
        <w:tc>
          <w:tcPr>
            <w:tcW w:w="780" w:type="dxa"/>
            <w:tcBorders>
              <w:top w:val="nil"/>
              <w:left w:val="single" w:sz="12" w:space="0" w:color="FF9E3C"/>
              <w:bottom w:val="nil"/>
              <w:right w:val="single" w:sz="12" w:space="0" w:color="FF9E3C"/>
            </w:tcBorders>
            <w:shd w:val="clear" w:color="000000" w:fill="FFFFFF"/>
            <w:hideMark/>
          </w:tcPr>
          <w:p w14:paraId="391C6B7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.54</w:t>
            </w:r>
          </w:p>
        </w:tc>
      </w:tr>
      <w:tr w:rsidR="00A110B5" w:rsidRPr="00AD79EE" w14:paraId="3A08FA7B"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1844CC1C"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2570E7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0D298DE"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A3F218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2F5868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(0.6, 7.6)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03658D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lang w:eastAsia="ja-JP"/>
              </w:rPr>
              <w:t>(</w:t>
            </w:r>
            <w:r w:rsidRPr="00AD79EE">
              <w:rPr>
                <w:rFonts w:cs="Arial"/>
                <w:color w:val="1C3158"/>
                <w:sz w:val="16"/>
                <w:szCs w:val="16"/>
                <w:lang w:eastAsia="ja-JP"/>
              </w:rPr>
              <w:t>10.4,18.0)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FFA50C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(43.4,53.2)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30FA7A2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142CEE0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1AB5584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50DAE337" w14:textId="77777777" w:rsidTr="00F812A7">
        <w:trPr>
          <w:trHeight w:val="285"/>
        </w:trPr>
        <w:tc>
          <w:tcPr>
            <w:tcW w:w="9574" w:type="dxa"/>
            <w:gridSpan w:val="10"/>
            <w:tcBorders>
              <w:top w:val="single" w:sz="12" w:space="0" w:color="FF9E3C"/>
              <w:left w:val="single" w:sz="12" w:space="0" w:color="FF9E3C"/>
              <w:right w:val="single" w:sz="12" w:space="0" w:color="FF9E3C"/>
            </w:tcBorders>
            <w:shd w:val="clear" w:color="000000" w:fill="FFCF8F"/>
            <w:vAlign w:val="center"/>
            <w:hideMark/>
          </w:tcPr>
          <w:p w14:paraId="057E143C" w14:textId="11D2134D" w:rsidR="00A110B5" w:rsidRPr="00AD79EE"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AD79EE">
              <w:rPr>
                <w:rFonts w:cs="Arial"/>
                <w:b/>
                <w:bCs/>
                <w:i/>
                <w:iCs/>
                <w:color w:val="1C3158"/>
                <w:sz w:val="16"/>
                <w:szCs w:val="16"/>
                <w:lang w:eastAsia="ja-JP"/>
              </w:rPr>
              <w:t>Emo</w:t>
            </w:r>
            <w:r w:rsidR="00ED537A">
              <w:rPr>
                <w:rFonts w:cs="Arial"/>
                <w:b/>
                <w:bCs/>
                <w:i/>
                <w:iCs/>
                <w:color w:val="1C3158"/>
                <w:sz w:val="16"/>
                <w:szCs w:val="16"/>
                <w:lang w:eastAsia="ja-JP"/>
              </w:rPr>
              <w:t>tional</w:t>
            </w:r>
            <w:r w:rsidRPr="00AD79EE">
              <w:rPr>
                <w:rFonts w:cs="Arial"/>
                <w:b/>
                <w:bCs/>
                <w:i/>
                <w:iCs/>
                <w:color w:val="1C3158"/>
                <w:sz w:val="16"/>
                <w:szCs w:val="16"/>
                <w:lang w:eastAsia="ja-JP"/>
              </w:rPr>
              <w:t>/Psy</w:t>
            </w:r>
            <w:r w:rsidR="00ED537A">
              <w:rPr>
                <w:rFonts w:cs="Arial"/>
                <w:b/>
                <w:bCs/>
                <w:i/>
                <w:iCs/>
                <w:color w:val="1C3158"/>
                <w:sz w:val="16"/>
                <w:szCs w:val="16"/>
                <w:lang w:eastAsia="ja-JP"/>
              </w:rPr>
              <w:t>chological</w:t>
            </w:r>
          </w:p>
        </w:tc>
      </w:tr>
      <w:tr w:rsidR="00A110B5" w:rsidRPr="00AD79EE" w14:paraId="42164B02"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84B8F4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Mental Illness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05C41F3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1.68</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FED351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2.15</w:t>
            </w:r>
          </w:p>
        </w:tc>
        <w:tc>
          <w:tcPr>
            <w:tcW w:w="1084" w:type="dxa"/>
            <w:tcBorders>
              <w:top w:val="nil"/>
              <w:left w:val="single" w:sz="12" w:space="0" w:color="FF9E3C"/>
              <w:bottom w:val="nil"/>
              <w:right w:val="single" w:sz="12" w:space="0" w:color="FF9E3C"/>
            </w:tcBorders>
            <w:shd w:val="clear" w:color="000000" w:fill="FFFFFF"/>
            <w:vAlign w:val="center"/>
            <w:hideMark/>
          </w:tcPr>
          <w:p w14:paraId="5A1AF6E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77F725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4F52F6D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3.6</w:t>
            </w:r>
          </w:p>
        </w:tc>
        <w:tc>
          <w:tcPr>
            <w:tcW w:w="1020" w:type="dxa"/>
            <w:tcBorders>
              <w:top w:val="nil"/>
              <w:left w:val="single" w:sz="12" w:space="0" w:color="FF9E3C"/>
              <w:bottom w:val="nil"/>
              <w:right w:val="single" w:sz="12" w:space="0" w:color="FF9E3C"/>
            </w:tcBorders>
            <w:shd w:val="clear" w:color="000000" w:fill="FFFFFF"/>
            <w:vAlign w:val="center"/>
            <w:hideMark/>
          </w:tcPr>
          <w:p w14:paraId="3CD51BA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18.5</w:t>
            </w:r>
          </w:p>
        </w:tc>
        <w:tc>
          <w:tcPr>
            <w:tcW w:w="626" w:type="dxa"/>
            <w:tcBorders>
              <w:top w:val="nil"/>
              <w:left w:val="single" w:sz="12" w:space="0" w:color="FF9E3C"/>
              <w:bottom w:val="nil"/>
              <w:right w:val="single" w:sz="12" w:space="0" w:color="FF9E3C"/>
            </w:tcBorders>
            <w:shd w:val="clear" w:color="000000" w:fill="FFFFFF"/>
            <w:hideMark/>
          </w:tcPr>
          <w:p w14:paraId="5693C02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.38</w:t>
            </w:r>
          </w:p>
        </w:tc>
        <w:tc>
          <w:tcPr>
            <w:tcW w:w="572" w:type="dxa"/>
            <w:tcBorders>
              <w:top w:val="nil"/>
              <w:left w:val="single" w:sz="12" w:space="0" w:color="FF9E3C"/>
              <w:bottom w:val="nil"/>
              <w:right w:val="single" w:sz="12" w:space="0" w:color="FF9E3C"/>
            </w:tcBorders>
            <w:shd w:val="clear" w:color="000000" w:fill="FFFFFF"/>
            <w:hideMark/>
          </w:tcPr>
          <w:p w14:paraId="7D40294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.38</w:t>
            </w:r>
          </w:p>
        </w:tc>
        <w:tc>
          <w:tcPr>
            <w:tcW w:w="780" w:type="dxa"/>
            <w:tcBorders>
              <w:top w:val="nil"/>
              <w:left w:val="single" w:sz="12" w:space="0" w:color="FF9E3C"/>
              <w:bottom w:val="nil"/>
              <w:right w:val="single" w:sz="12" w:space="0" w:color="FF9E3C"/>
            </w:tcBorders>
            <w:shd w:val="clear" w:color="000000" w:fill="FFFFFF"/>
            <w:hideMark/>
          </w:tcPr>
          <w:p w14:paraId="217C8C1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.48</w:t>
            </w:r>
          </w:p>
        </w:tc>
      </w:tr>
      <w:tr w:rsidR="00A110B5" w:rsidRPr="00AD79EE" w14:paraId="70A154F7"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6C48559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E08F8E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9413E1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6F7A41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55FC96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6BD1D5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(2.0, 6.4)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01CB9E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(15.0,22.7)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913A39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317789D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1EF9E8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01D9018E"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845833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Escape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DC795A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1.31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0CC4AB7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1.86</w:t>
            </w:r>
          </w:p>
        </w:tc>
        <w:tc>
          <w:tcPr>
            <w:tcW w:w="1084" w:type="dxa"/>
            <w:tcBorders>
              <w:top w:val="nil"/>
              <w:left w:val="single" w:sz="12" w:space="0" w:color="FF9E3C"/>
              <w:bottom w:val="nil"/>
              <w:right w:val="single" w:sz="12" w:space="0" w:color="FF9E3C"/>
            </w:tcBorders>
            <w:shd w:val="clear" w:color="000000" w:fill="FFFFFF"/>
            <w:vAlign w:val="center"/>
            <w:hideMark/>
          </w:tcPr>
          <w:p w14:paraId="6FF3BE5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74DADB7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B222A7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6.0</w:t>
            </w:r>
          </w:p>
        </w:tc>
        <w:tc>
          <w:tcPr>
            <w:tcW w:w="1020" w:type="dxa"/>
            <w:tcBorders>
              <w:top w:val="nil"/>
              <w:left w:val="single" w:sz="12" w:space="0" w:color="FF9E3C"/>
              <w:bottom w:val="nil"/>
              <w:right w:val="single" w:sz="12" w:space="0" w:color="FF9E3C"/>
            </w:tcBorders>
            <w:shd w:val="clear" w:color="000000" w:fill="FFFFFF"/>
            <w:vAlign w:val="center"/>
            <w:hideMark/>
          </w:tcPr>
          <w:p w14:paraId="38C2EC2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32.7</w:t>
            </w:r>
          </w:p>
        </w:tc>
        <w:tc>
          <w:tcPr>
            <w:tcW w:w="626" w:type="dxa"/>
            <w:tcBorders>
              <w:top w:val="nil"/>
              <w:left w:val="single" w:sz="12" w:space="0" w:color="FF9E3C"/>
              <w:bottom w:val="nil"/>
              <w:right w:val="single" w:sz="12" w:space="0" w:color="FF9E3C"/>
            </w:tcBorders>
            <w:shd w:val="clear" w:color="000000" w:fill="FFFFFF"/>
            <w:hideMark/>
          </w:tcPr>
          <w:p w14:paraId="28EB138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.47</w:t>
            </w:r>
          </w:p>
        </w:tc>
        <w:tc>
          <w:tcPr>
            <w:tcW w:w="572" w:type="dxa"/>
            <w:tcBorders>
              <w:top w:val="nil"/>
              <w:left w:val="single" w:sz="12" w:space="0" w:color="FF9E3C"/>
              <w:bottom w:val="nil"/>
              <w:right w:val="single" w:sz="12" w:space="0" w:color="FF9E3C"/>
            </w:tcBorders>
            <w:shd w:val="clear" w:color="000000" w:fill="FFFFFF"/>
            <w:hideMark/>
          </w:tcPr>
          <w:p w14:paraId="5D58D6B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.51</w:t>
            </w:r>
          </w:p>
        </w:tc>
        <w:tc>
          <w:tcPr>
            <w:tcW w:w="780" w:type="dxa"/>
            <w:tcBorders>
              <w:top w:val="nil"/>
              <w:left w:val="single" w:sz="12" w:space="0" w:color="FF9E3C"/>
              <w:bottom w:val="nil"/>
              <w:right w:val="single" w:sz="12" w:space="0" w:color="FF9E3C"/>
            </w:tcBorders>
            <w:shd w:val="clear" w:color="000000" w:fill="FFFFFF"/>
            <w:hideMark/>
          </w:tcPr>
          <w:p w14:paraId="34321EE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.50</w:t>
            </w:r>
          </w:p>
        </w:tc>
      </w:tr>
      <w:tr w:rsidR="00A110B5" w:rsidRPr="00AD79EE" w14:paraId="0A61C89D"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D1D527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68F0992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713192A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5D36D0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B09878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7A0D01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(3.8, 9.2)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F5B9CA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lang w:eastAsia="ja-JP"/>
              </w:rPr>
              <w:t>(</w:t>
            </w:r>
            <w:r w:rsidRPr="00AD79EE">
              <w:rPr>
                <w:rFonts w:cs="Arial"/>
                <w:color w:val="1C3158"/>
                <w:sz w:val="16"/>
                <w:szCs w:val="16"/>
                <w:lang w:eastAsia="ja-JP"/>
              </w:rPr>
              <w:t>28.2,37.5)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895A98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409496D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1F6BECA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6CF48245"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459E6A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Worthless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7F1A62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1.13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C7FDCB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3.52</w:t>
            </w:r>
          </w:p>
        </w:tc>
        <w:tc>
          <w:tcPr>
            <w:tcW w:w="1084" w:type="dxa"/>
            <w:tcBorders>
              <w:top w:val="nil"/>
              <w:left w:val="single" w:sz="12" w:space="0" w:color="FF9E3C"/>
              <w:bottom w:val="nil"/>
              <w:right w:val="single" w:sz="12" w:space="0" w:color="FF9E3C"/>
            </w:tcBorders>
            <w:shd w:val="clear" w:color="000000" w:fill="FFFFFF"/>
            <w:vAlign w:val="center"/>
            <w:hideMark/>
          </w:tcPr>
          <w:p w14:paraId="10433B5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7E4735F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1.6</w:t>
            </w:r>
          </w:p>
        </w:tc>
        <w:tc>
          <w:tcPr>
            <w:tcW w:w="1020" w:type="dxa"/>
            <w:tcBorders>
              <w:top w:val="nil"/>
              <w:left w:val="single" w:sz="12" w:space="0" w:color="FF9E3C"/>
              <w:bottom w:val="nil"/>
              <w:right w:val="single" w:sz="12" w:space="0" w:color="FF9E3C"/>
            </w:tcBorders>
            <w:shd w:val="clear" w:color="000000" w:fill="FFFFFF"/>
            <w:vAlign w:val="center"/>
            <w:hideMark/>
          </w:tcPr>
          <w:p w14:paraId="0CED3C2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5.1</w:t>
            </w:r>
          </w:p>
        </w:tc>
        <w:tc>
          <w:tcPr>
            <w:tcW w:w="1020" w:type="dxa"/>
            <w:tcBorders>
              <w:top w:val="nil"/>
              <w:left w:val="single" w:sz="12" w:space="0" w:color="FF9E3C"/>
              <w:bottom w:val="nil"/>
              <w:right w:val="single" w:sz="12" w:space="0" w:color="FF9E3C"/>
            </w:tcBorders>
            <w:shd w:val="clear" w:color="000000" w:fill="FFFFFF"/>
            <w:vAlign w:val="center"/>
            <w:hideMark/>
          </w:tcPr>
          <w:p w14:paraId="0428DF9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28.5</w:t>
            </w:r>
          </w:p>
        </w:tc>
        <w:tc>
          <w:tcPr>
            <w:tcW w:w="626" w:type="dxa"/>
            <w:tcBorders>
              <w:top w:val="nil"/>
              <w:left w:val="single" w:sz="12" w:space="0" w:color="FF9E3C"/>
              <w:bottom w:val="nil"/>
              <w:right w:val="single" w:sz="12" w:space="0" w:color="FF9E3C"/>
            </w:tcBorders>
            <w:shd w:val="clear" w:color="000000" w:fill="FFFFFF"/>
            <w:hideMark/>
          </w:tcPr>
          <w:p w14:paraId="2F1735C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.45</w:t>
            </w:r>
          </w:p>
        </w:tc>
        <w:tc>
          <w:tcPr>
            <w:tcW w:w="572" w:type="dxa"/>
            <w:tcBorders>
              <w:top w:val="nil"/>
              <w:left w:val="single" w:sz="12" w:space="0" w:color="FF9E3C"/>
              <w:bottom w:val="nil"/>
              <w:right w:val="single" w:sz="12" w:space="0" w:color="FF9E3C"/>
            </w:tcBorders>
            <w:shd w:val="clear" w:color="000000" w:fill="FFFFFF"/>
            <w:hideMark/>
          </w:tcPr>
          <w:p w14:paraId="2877899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.50</w:t>
            </w:r>
          </w:p>
        </w:tc>
        <w:tc>
          <w:tcPr>
            <w:tcW w:w="780" w:type="dxa"/>
            <w:tcBorders>
              <w:top w:val="nil"/>
              <w:left w:val="single" w:sz="12" w:space="0" w:color="FF9E3C"/>
              <w:bottom w:val="nil"/>
              <w:right w:val="single" w:sz="12" w:space="0" w:color="FF9E3C"/>
            </w:tcBorders>
            <w:shd w:val="clear" w:color="000000" w:fill="FFFFFF"/>
            <w:hideMark/>
          </w:tcPr>
          <w:p w14:paraId="0CE5F4F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.65</w:t>
            </w:r>
          </w:p>
        </w:tc>
      </w:tr>
      <w:tr w:rsidR="00A110B5" w:rsidRPr="00AD79EE" w14:paraId="576DFA57"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B3694A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7F12FE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7AC82A3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C07F30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802D07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(0.3, 6.4)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F047AB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(3.1, 8.2)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9E4804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(24.3,33.2)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E199D1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67ADA81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0C16880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7CA80CA4"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3129CE7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Ext. Distress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BE2BCE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1.05</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47554D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2.43</w:t>
            </w:r>
          </w:p>
        </w:tc>
        <w:tc>
          <w:tcPr>
            <w:tcW w:w="1084" w:type="dxa"/>
            <w:tcBorders>
              <w:top w:val="nil"/>
              <w:left w:val="single" w:sz="12" w:space="0" w:color="FF9E3C"/>
              <w:bottom w:val="nil"/>
              <w:right w:val="single" w:sz="12" w:space="0" w:color="FF9E3C"/>
            </w:tcBorders>
            <w:shd w:val="clear" w:color="000000" w:fill="FFFFFF"/>
            <w:vAlign w:val="center"/>
            <w:hideMark/>
          </w:tcPr>
          <w:p w14:paraId="14457A8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87B4C0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3D1FF24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5.4</w:t>
            </w:r>
          </w:p>
        </w:tc>
        <w:tc>
          <w:tcPr>
            <w:tcW w:w="1020" w:type="dxa"/>
            <w:tcBorders>
              <w:top w:val="nil"/>
              <w:left w:val="single" w:sz="12" w:space="0" w:color="FF9E3C"/>
              <w:bottom w:val="nil"/>
              <w:right w:val="single" w:sz="12" w:space="0" w:color="FF9E3C"/>
            </w:tcBorders>
            <w:shd w:val="clear" w:color="000000" w:fill="FFFFFF"/>
            <w:vAlign w:val="center"/>
            <w:hideMark/>
          </w:tcPr>
          <w:p w14:paraId="0D9F13F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38.5</w:t>
            </w:r>
          </w:p>
        </w:tc>
        <w:tc>
          <w:tcPr>
            <w:tcW w:w="626" w:type="dxa"/>
            <w:tcBorders>
              <w:top w:val="nil"/>
              <w:left w:val="single" w:sz="12" w:space="0" w:color="FF9E3C"/>
              <w:bottom w:val="nil"/>
              <w:right w:val="single" w:sz="12" w:space="0" w:color="FF9E3C"/>
            </w:tcBorders>
            <w:shd w:val="clear" w:color="000000" w:fill="FFFFFF"/>
            <w:hideMark/>
          </w:tcPr>
          <w:p w14:paraId="2ACDDA1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.54</w:t>
            </w:r>
          </w:p>
        </w:tc>
        <w:tc>
          <w:tcPr>
            <w:tcW w:w="572" w:type="dxa"/>
            <w:tcBorders>
              <w:top w:val="nil"/>
              <w:left w:val="single" w:sz="12" w:space="0" w:color="FF9E3C"/>
              <w:bottom w:val="nil"/>
              <w:right w:val="single" w:sz="12" w:space="0" w:color="FF9E3C"/>
            </w:tcBorders>
            <w:shd w:val="clear" w:color="000000" w:fill="FFFFFF"/>
            <w:hideMark/>
          </w:tcPr>
          <w:p w14:paraId="3633E19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.60</w:t>
            </w:r>
          </w:p>
        </w:tc>
        <w:tc>
          <w:tcPr>
            <w:tcW w:w="780" w:type="dxa"/>
            <w:tcBorders>
              <w:top w:val="nil"/>
              <w:left w:val="single" w:sz="12" w:space="0" w:color="FF9E3C"/>
              <w:bottom w:val="nil"/>
              <w:right w:val="single" w:sz="12" w:space="0" w:color="FF9E3C"/>
            </w:tcBorders>
            <w:shd w:val="clear" w:color="000000" w:fill="FFFFFF"/>
            <w:hideMark/>
          </w:tcPr>
          <w:p w14:paraId="7F62642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.59</w:t>
            </w:r>
          </w:p>
        </w:tc>
      </w:tr>
      <w:tr w:rsidR="00A110B5" w:rsidRPr="00AD79EE" w14:paraId="40F83DBA"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5F9FADE"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21A0A4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6C08909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F9FF28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6291B9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2150A5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(3.3, 8.5)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C3A56D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(33.8,43.5)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522488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6F454C7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09360D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24FC73F5"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0E64E5E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Vulnerable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FD5C1B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0.91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676472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2.91</w:t>
            </w:r>
          </w:p>
        </w:tc>
        <w:tc>
          <w:tcPr>
            <w:tcW w:w="1084" w:type="dxa"/>
            <w:tcBorders>
              <w:top w:val="nil"/>
              <w:left w:val="single" w:sz="12" w:space="0" w:color="FF9E3C"/>
              <w:bottom w:val="nil"/>
              <w:right w:val="single" w:sz="12" w:space="0" w:color="FF9E3C"/>
            </w:tcBorders>
            <w:shd w:val="clear" w:color="000000" w:fill="FFFFFF"/>
            <w:vAlign w:val="center"/>
            <w:hideMark/>
          </w:tcPr>
          <w:p w14:paraId="1295692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8F0EFC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2.5</w:t>
            </w:r>
          </w:p>
        </w:tc>
        <w:tc>
          <w:tcPr>
            <w:tcW w:w="1020" w:type="dxa"/>
            <w:tcBorders>
              <w:top w:val="nil"/>
              <w:left w:val="single" w:sz="12" w:space="0" w:color="FF9E3C"/>
              <w:bottom w:val="nil"/>
              <w:right w:val="single" w:sz="12" w:space="0" w:color="FF9E3C"/>
            </w:tcBorders>
            <w:shd w:val="clear" w:color="000000" w:fill="FFFFFF"/>
            <w:vAlign w:val="center"/>
            <w:hideMark/>
          </w:tcPr>
          <w:p w14:paraId="1E2AF4D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11.4</w:t>
            </w:r>
          </w:p>
        </w:tc>
        <w:tc>
          <w:tcPr>
            <w:tcW w:w="1020" w:type="dxa"/>
            <w:tcBorders>
              <w:top w:val="nil"/>
              <w:left w:val="single" w:sz="12" w:space="0" w:color="FF9E3C"/>
              <w:bottom w:val="nil"/>
              <w:right w:val="single" w:sz="12" w:space="0" w:color="FF9E3C"/>
            </w:tcBorders>
            <w:shd w:val="clear" w:color="000000" w:fill="FFFFFF"/>
            <w:vAlign w:val="center"/>
            <w:hideMark/>
          </w:tcPr>
          <w:p w14:paraId="70FEBBC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37.6</w:t>
            </w:r>
          </w:p>
        </w:tc>
        <w:tc>
          <w:tcPr>
            <w:tcW w:w="626" w:type="dxa"/>
            <w:tcBorders>
              <w:top w:val="nil"/>
              <w:left w:val="single" w:sz="12" w:space="0" w:color="FF9E3C"/>
              <w:bottom w:val="nil"/>
              <w:right w:val="single" w:sz="12" w:space="0" w:color="FF9E3C"/>
            </w:tcBorders>
            <w:shd w:val="clear" w:color="000000" w:fill="FFFFFF"/>
            <w:hideMark/>
          </w:tcPr>
          <w:p w14:paraId="7775E66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.45</w:t>
            </w:r>
          </w:p>
        </w:tc>
        <w:tc>
          <w:tcPr>
            <w:tcW w:w="572" w:type="dxa"/>
            <w:tcBorders>
              <w:top w:val="nil"/>
              <w:left w:val="single" w:sz="12" w:space="0" w:color="FF9E3C"/>
              <w:bottom w:val="nil"/>
              <w:right w:val="single" w:sz="12" w:space="0" w:color="FF9E3C"/>
            </w:tcBorders>
            <w:shd w:val="clear" w:color="000000" w:fill="FFFFFF"/>
            <w:hideMark/>
          </w:tcPr>
          <w:p w14:paraId="0114F10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.51</w:t>
            </w:r>
          </w:p>
        </w:tc>
        <w:tc>
          <w:tcPr>
            <w:tcW w:w="780" w:type="dxa"/>
            <w:tcBorders>
              <w:top w:val="nil"/>
              <w:left w:val="single" w:sz="12" w:space="0" w:color="FF9E3C"/>
              <w:bottom w:val="nil"/>
              <w:right w:val="single" w:sz="12" w:space="0" w:color="FF9E3C"/>
            </w:tcBorders>
            <w:shd w:val="clear" w:color="000000" w:fill="FFFFFF"/>
            <w:hideMark/>
          </w:tcPr>
          <w:p w14:paraId="1B6FA43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.64</w:t>
            </w:r>
          </w:p>
        </w:tc>
      </w:tr>
      <w:tr w:rsidR="00A110B5" w:rsidRPr="00AD79EE" w14:paraId="589ABFE2"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03F93B0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0B5A8CD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BDAF28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09963CD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3A974A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(0.6, 7.6)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6ED6A7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(8.3,15.4)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D1980E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(32.9,42.5)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2673614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3366E90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0E07B44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49693FE3"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43C029A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Failure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3E09C7E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845B3A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2.47</w:t>
            </w:r>
          </w:p>
        </w:tc>
        <w:tc>
          <w:tcPr>
            <w:tcW w:w="1084" w:type="dxa"/>
            <w:tcBorders>
              <w:top w:val="nil"/>
              <w:left w:val="single" w:sz="12" w:space="0" w:color="FF9E3C"/>
              <w:bottom w:val="nil"/>
              <w:right w:val="single" w:sz="12" w:space="0" w:color="FF9E3C"/>
            </w:tcBorders>
            <w:shd w:val="clear" w:color="000000" w:fill="FFFFFF"/>
            <w:vAlign w:val="center"/>
            <w:hideMark/>
          </w:tcPr>
          <w:p w14:paraId="450A720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4.7</w:t>
            </w:r>
          </w:p>
        </w:tc>
        <w:tc>
          <w:tcPr>
            <w:tcW w:w="1020" w:type="dxa"/>
            <w:tcBorders>
              <w:top w:val="nil"/>
              <w:left w:val="single" w:sz="12" w:space="0" w:color="FF9E3C"/>
              <w:bottom w:val="nil"/>
              <w:right w:val="single" w:sz="12" w:space="0" w:color="FF9E3C"/>
            </w:tcBorders>
            <w:shd w:val="clear" w:color="000000" w:fill="FFFFFF"/>
            <w:vAlign w:val="center"/>
            <w:hideMark/>
          </w:tcPr>
          <w:p w14:paraId="3CC628C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2.5</w:t>
            </w:r>
          </w:p>
        </w:tc>
        <w:tc>
          <w:tcPr>
            <w:tcW w:w="1020" w:type="dxa"/>
            <w:tcBorders>
              <w:top w:val="nil"/>
              <w:left w:val="single" w:sz="12" w:space="0" w:color="FF9E3C"/>
              <w:bottom w:val="nil"/>
              <w:right w:val="single" w:sz="12" w:space="0" w:color="FF9E3C"/>
            </w:tcBorders>
            <w:shd w:val="clear" w:color="000000" w:fill="FFFFFF"/>
            <w:vAlign w:val="center"/>
            <w:hideMark/>
          </w:tcPr>
          <w:p w14:paraId="19171BC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12.6</w:t>
            </w:r>
          </w:p>
        </w:tc>
        <w:tc>
          <w:tcPr>
            <w:tcW w:w="1020" w:type="dxa"/>
            <w:tcBorders>
              <w:top w:val="nil"/>
              <w:left w:val="single" w:sz="12" w:space="0" w:color="FF9E3C"/>
              <w:bottom w:val="nil"/>
              <w:right w:val="single" w:sz="12" w:space="0" w:color="FF9E3C"/>
            </w:tcBorders>
            <w:shd w:val="clear" w:color="000000" w:fill="FFFFFF"/>
            <w:vAlign w:val="center"/>
            <w:hideMark/>
          </w:tcPr>
          <w:p w14:paraId="2691980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43.2</w:t>
            </w:r>
          </w:p>
        </w:tc>
        <w:tc>
          <w:tcPr>
            <w:tcW w:w="626" w:type="dxa"/>
            <w:tcBorders>
              <w:top w:val="nil"/>
              <w:left w:val="single" w:sz="12" w:space="0" w:color="FF9E3C"/>
              <w:bottom w:val="nil"/>
              <w:right w:val="single" w:sz="12" w:space="0" w:color="FF9E3C"/>
            </w:tcBorders>
            <w:shd w:val="clear" w:color="000000" w:fill="FFFFFF"/>
            <w:hideMark/>
          </w:tcPr>
          <w:p w14:paraId="3A83271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.47</w:t>
            </w:r>
          </w:p>
        </w:tc>
        <w:tc>
          <w:tcPr>
            <w:tcW w:w="572" w:type="dxa"/>
            <w:tcBorders>
              <w:top w:val="nil"/>
              <w:left w:val="single" w:sz="12" w:space="0" w:color="FF9E3C"/>
              <w:bottom w:val="nil"/>
              <w:right w:val="single" w:sz="12" w:space="0" w:color="FF9E3C"/>
            </w:tcBorders>
            <w:shd w:val="clear" w:color="000000" w:fill="FFFFFF"/>
            <w:hideMark/>
          </w:tcPr>
          <w:p w14:paraId="547FFE5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.49</w:t>
            </w:r>
          </w:p>
        </w:tc>
        <w:tc>
          <w:tcPr>
            <w:tcW w:w="780" w:type="dxa"/>
            <w:tcBorders>
              <w:top w:val="nil"/>
              <w:left w:val="single" w:sz="12" w:space="0" w:color="FF9E3C"/>
              <w:bottom w:val="nil"/>
              <w:right w:val="single" w:sz="12" w:space="0" w:color="FF9E3C"/>
            </w:tcBorders>
            <w:shd w:val="clear" w:color="000000" w:fill="FFFFFF"/>
            <w:hideMark/>
          </w:tcPr>
          <w:p w14:paraId="4D4E218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.60</w:t>
            </w:r>
          </w:p>
        </w:tc>
      </w:tr>
      <w:tr w:rsidR="00A110B5" w:rsidRPr="00AD79EE" w14:paraId="7BB501B4"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65C4CD5E"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4A076A3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981818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85262C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(1.5,12.3)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BA3F3C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(0.6, 7.6)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BCC462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(9.3,16.7)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6AC21B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(38.3,48.1)</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496DB6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6A6CAC0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660F802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7B8089E7"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A0F61E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Hopeless.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B2BE38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0.82</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0DC3F77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1.96</w:t>
            </w:r>
          </w:p>
        </w:tc>
        <w:tc>
          <w:tcPr>
            <w:tcW w:w="1084" w:type="dxa"/>
            <w:tcBorders>
              <w:top w:val="nil"/>
              <w:left w:val="single" w:sz="12" w:space="0" w:color="FF9E3C"/>
              <w:bottom w:val="nil"/>
              <w:right w:val="single" w:sz="12" w:space="0" w:color="FF9E3C"/>
            </w:tcBorders>
            <w:shd w:val="clear" w:color="000000" w:fill="FFFFFF"/>
            <w:vAlign w:val="center"/>
            <w:hideMark/>
          </w:tcPr>
          <w:p w14:paraId="31F8CF1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3.5</w:t>
            </w:r>
          </w:p>
        </w:tc>
        <w:tc>
          <w:tcPr>
            <w:tcW w:w="1020" w:type="dxa"/>
            <w:tcBorders>
              <w:top w:val="nil"/>
              <w:left w:val="single" w:sz="12" w:space="0" w:color="FF9E3C"/>
              <w:bottom w:val="nil"/>
              <w:right w:val="single" w:sz="12" w:space="0" w:color="FF9E3C"/>
            </w:tcBorders>
            <w:shd w:val="clear" w:color="000000" w:fill="FFFFFF"/>
            <w:vAlign w:val="center"/>
            <w:hideMark/>
          </w:tcPr>
          <w:p w14:paraId="312E91A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6.6</w:t>
            </w:r>
          </w:p>
        </w:tc>
        <w:tc>
          <w:tcPr>
            <w:tcW w:w="1020" w:type="dxa"/>
            <w:tcBorders>
              <w:top w:val="nil"/>
              <w:left w:val="single" w:sz="12" w:space="0" w:color="FF9E3C"/>
              <w:bottom w:val="nil"/>
              <w:right w:val="single" w:sz="12" w:space="0" w:color="FF9E3C"/>
            </w:tcBorders>
            <w:shd w:val="clear" w:color="000000" w:fill="FFFFFF"/>
            <w:vAlign w:val="center"/>
            <w:hideMark/>
          </w:tcPr>
          <w:p w14:paraId="6296B91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14.1</w:t>
            </w:r>
          </w:p>
        </w:tc>
        <w:tc>
          <w:tcPr>
            <w:tcW w:w="1020" w:type="dxa"/>
            <w:tcBorders>
              <w:top w:val="nil"/>
              <w:left w:val="single" w:sz="12" w:space="0" w:color="FF9E3C"/>
              <w:bottom w:val="nil"/>
              <w:right w:val="single" w:sz="12" w:space="0" w:color="FF9E3C"/>
            </w:tcBorders>
            <w:shd w:val="clear" w:color="000000" w:fill="FFFFFF"/>
            <w:vAlign w:val="center"/>
            <w:hideMark/>
          </w:tcPr>
          <w:p w14:paraId="4B487AA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45.9</w:t>
            </w:r>
          </w:p>
        </w:tc>
        <w:tc>
          <w:tcPr>
            <w:tcW w:w="626" w:type="dxa"/>
            <w:tcBorders>
              <w:top w:val="nil"/>
              <w:left w:val="single" w:sz="12" w:space="0" w:color="FF9E3C"/>
              <w:bottom w:val="nil"/>
              <w:right w:val="single" w:sz="12" w:space="0" w:color="FF9E3C"/>
            </w:tcBorders>
            <w:shd w:val="clear" w:color="000000" w:fill="FFFFFF"/>
            <w:hideMark/>
          </w:tcPr>
          <w:p w14:paraId="36955E5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.46</w:t>
            </w:r>
          </w:p>
        </w:tc>
        <w:tc>
          <w:tcPr>
            <w:tcW w:w="572" w:type="dxa"/>
            <w:tcBorders>
              <w:top w:val="nil"/>
              <w:left w:val="single" w:sz="12" w:space="0" w:color="FF9E3C"/>
              <w:bottom w:val="nil"/>
              <w:right w:val="single" w:sz="12" w:space="0" w:color="FF9E3C"/>
            </w:tcBorders>
            <w:shd w:val="clear" w:color="000000" w:fill="FFFFFF"/>
            <w:hideMark/>
          </w:tcPr>
          <w:p w14:paraId="1B4FE52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.50</w:t>
            </w:r>
          </w:p>
        </w:tc>
        <w:tc>
          <w:tcPr>
            <w:tcW w:w="780" w:type="dxa"/>
            <w:tcBorders>
              <w:top w:val="nil"/>
              <w:left w:val="single" w:sz="12" w:space="0" w:color="FF9E3C"/>
              <w:bottom w:val="nil"/>
              <w:right w:val="single" w:sz="12" w:space="0" w:color="FF9E3C"/>
            </w:tcBorders>
            <w:shd w:val="clear" w:color="000000" w:fill="FFFFFF"/>
            <w:hideMark/>
          </w:tcPr>
          <w:p w14:paraId="6316C49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.54</w:t>
            </w:r>
          </w:p>
        </w:tc>
      </w:tr>
      <w:tr w:rsidR="00A110B5" w:rsidRPr="00AD79EE" w14:paraId="45CA3EC6"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0D3753D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E98086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4986C16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1B5E3B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(0.9,10.7)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9EE64E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(3.1,12.9)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9A3032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(10.6,18.4)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DBD09A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(41.0,50.8)</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3828D3C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1151D11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0ACF17A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59038AE6"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AD7101C"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Distress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7920EB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0.57</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294C393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2.87</w:t>
            </w:r>
          </w:p>
        </w:tc>
        <w:tc>
          <w:tcPr>
            <w:tcW w:w="1084" w:type="dxa"/>
            <w:tcBorders>
              <w:top w:val="nil"/>
              <w:left w:val="single" w:sz="12" w:space="0" w:color="FF9E3C"/>
              <w:bottom w:val="nil"/>
              <w:right w:val="single" w:sz="12" w:space="0" w:color="FF9E3C"/>
            </w:tcBorders>
            <w:shd w:val="clear" w:color="000000" w:fill="FFFFFF"/>
            <w:vAlign w:val="center"/>
            <w:hideMark/>
          </w:tcPr>
          <w:p w14:paraId="6C3B8A3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4331F8E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1.6</w:t>
            </w:r>
          </w:p>
        </w:tc>
        <w:tc>
          <w:tcPr>
            <w:tcW w:w="1020" w:type="dxa"/>
            <w:tcBorders>
              <w:top w:val="nil"/>
              <w:left w:val="single" w:sz="12" w:space="0" w:color="FF9E3C"/>
              <w:bottom w:val="nil"/>
              <w:right w:val="single" w:sz="12" w:space="0" w:color="FF9E3C"/>
            </w:tcBorders>
            <w:shd w:val="clear" w:color="000000" w:fill="FFFFFF"/>
            <w:vAlign w:val="center"/>
            <w:hideMark/>
          </w:tcPr>
          <w:p w14:paraId="6F27AF0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19.2</w:t>
            </w:r>
          </w:p>
        </w:tc>
        <w:tc>
          <w:tcPr>
            <w:tcW w:w="1020" w:type="dxa"/>
            <w:tcBorders>
              <w:top w:val="nil"/>
              <w:left w:val="single" w:sz="12" w:space="0" w:color="FF9E3C"/>
              <w:bottom w:val="nil"/>
              <w:right w:val="single" w:sz="12" w:space="0" w:color="FF9E3C"/>
            </w:tcBorders>
            <w:shd w:val="clear" w:color="000000" w:fill="FFFFFF"/>
            <w:vAlign w:val="center"/>
            <w:hideMark/>
          </w:tcPr>
          <w:p w14:paraId="6072A75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52.9</w:t>
            </w:r>
          </w:p>
        </w:tc>
        <w:tc>
          <w:tcPr>
            <w:tcW w:w="626" w:type="dxa"/>
            <w:tcBorders>
              <w:top w:val="nil"/>
              <w:left w:val="single" w:sz="12" w:space="0" w:color="FF9E3C"/>
              <w:bottom w:val="nil"/>
              <w:right w:val="single" w:sz="12" w:space="0" w:color="FF9E3C"/>
            </w:tcBorders>
            <w:shd w:val="clear" w:color="000000" w:fill="FFFFFF"/>
            <w:hideMark/>
          </w:tcPr>
          <w:p w14:paraId="2989870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.48</w:t>
            </w:r>
          </w:p>
        </w:tc>
        <w:tc>
          <w:tcPr>
            <w:tcW w:w="572" w:type="dxa"/>
            <w:tcBorders>
              <w:top w:val="nil"/>
              <w:left w:val="single" w:sz="12" w:space="0" w:color="FF9E3C"/>
              <w:bottom w:val="nil"/>
              <w:right w:val="single" w:sz="12" w:space="0" w:color="FF9E3C"/>
            </w:tcBorders>
            <w:shd w:val="clear" w:color="000000" w:fill="FFFFFF"/>
            <w:hideMark/>
          </w:tcPr>
          <w:p w14:paraId="1C0CC3C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.51</w:t>
            </w:r>
          </w:p>
        </w:tc>
        <w:tc>
          <w:tcPr>
            <w:tcW w:w="780" w:type="dxa"/>
            <w:tcBorders>
              <w:top w:val="nil"/>
              <w:left w:val="single" w:sz="12" w:space="0" w:color="FF9E3C"/>
              <w:bottom w:val="nil"/>
              <w:right w:val="single" w:sz="12" w:space="0" w:color="FF9E3C"/>
            </w:tcBorders>
            <w:shd w:val="clear" w:color="000000" w:fill="FFFFFF"/>
            <w:hideMark/>
          </w:tcPr>
          <w:p w14:paraId="30C036D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.64</w:t>
            </w:r>
          </w:p>
        </w:tc>
      </w:tr>
      <w:tr w:rsidR="00A110B5" w:rsidRPr="00AD79EE" w14:paraId="6C4E8002"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7F4826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A3AA17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3652727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3FDCCF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w:t>
            </w:r>
            <w:r>
              <w:rPr>
                <w:rFonts w:cs="Arial"/>
                <w:color w:val="1C3158"/>
                <w:sz w:val="16"/>
                <w:szCs w:val="16"/>
                <w:lang w:eastAsia="ja-JP"/>
              </w:rPr>
              <w:t>(</w:t>
            </w:r>
            <w:r w:rsidRPr="00AD79EE">
              <w:rPr>
                <w:rFonts w:cs="Arial"/>
                <w:color w:val="1C3158"/>
                <w:sz w:val="16"/>
                <w:szCs w:val="16"/>
                <w:lang w:eastAsia="ja-JP"/>
              </w:rPr>
              <w:t>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AAC1C9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(0.3, 6.4)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7D2451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(15.2,23.9)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8B17AF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(48.0,57.8)</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3BC6457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4064D9B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8017E1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093FFD17"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A91B62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Anger</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305BF8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0.51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E914AD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2.26</w:t>
            </w:r>
          </w:p>
        </w:tc>
        <w:tc>
          <w:tcPr>
            <w:tcW w:w="1084" w:type="dxa"/>
            <w:tcBorders>
              <w:top w:val="nil"/>
              <w:left w:val="single" w:sz="12" w:space="0" w:color="FF9E3C"/>
              <w:bottom w:val="nil"/>
              <w:right w:val="single" w:sz="12" w:space="0" w:color="FF9E3C"/>
            </w:tcBorders>
            <w:shd w:val="clear" w:color="000000" w:fill="FFFFFF"/>
            <w:vAlign w:val="center"/>
            <w:hideMark/>
          </w:tcPr>
          <w:p w14:paraId="56F1587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3DCEF1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5.7</w:t>
            </w:r>
          </w:p>
        </w:tc>
        <w:tc>
          <w:tcPr>
            <w:tcW w:w="1020" w:type="dxa"/>
            <w:tcBorders>
              <w:top w:val="nil"/>
              <w:left w:val="single" w:sz="12" w:space="0" w:color="FF9E3C"/>
              <w:bottom w:val="nil"/>
              <w:right w:val="single" w:sz="12" w:space="0" w:color="FF9E3C"/>
            </w:tcBorders>
            <w:shd w:val="clear" w:color="000000" w:fill="FFFFFF"/>
            <w:vAlign w:val="center"/>
            <w:hideMark/>
          </w:tcPr>
          <w:p w14:paraId="4DCDB90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22.5</w:t>
            </w:r>
          </w:p>
        </w:tc>
        <w:tc>
          <w:tcPr>
            <w:tcW w:w="1020" w:type="dxa"/>
            <w:tcBorders>
              <w:top w:val="nil"/>
              <w:left w:val="single" w:sz="12" w:space="0" w:color="FF9E3C"/>
              <w:bottom w:val="nil"/>
              <w:right w:val="single" w:sz="12" w:space="0" w:color="FF9E3C"/>
            </w:tcBorders>
            <w:shd w:val="clear" w:color="000000" w:fill="FFFFFF"/>
            <w:vAlign w:val="center"/>
            <w:hideMark/>
          </w:tcPr>
          <w:p w14:paraId="683FE95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56.6</w:t>
            </w:r>
          </w:p>
        </w:tc>
        <w:tc>
          <w:tcPr>
            <w:tcW w:w="626" w:type="dxa"/>
            <w:tcBorders>
              <w:top w:val="nil"/>
              <w:left w:val="single" w:sz="12" w:space="0" w:color="FF9E3C"/>
              <w:bottom w:val="nil"/>
              <w:right w:val="single" w:sz="12" w:space="0" w:color="FF9E3C"/>
            </w:tcBorders>
            <w:shd w:val="clear" w:color="000000" w:fill="FFFFFF"/>
            <w:hideMark/>
          </w:tcPr>
          <w:p w14:paraId="76E726A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.49</w:t>
            </w:r>
          </w:p>
        </w:tc>
        <w:tc>
          <w:tcPr>
            <w:tcW w:w="572" w:type="dxa"/>
            <w:tcBorders>
              <w:top w:val="nil"/>
              <w:left w:val="single" w:sz="12" w:space="0" w:color="FF9E3C"/>
              <w:bottom w:val="nil"/>
              <w:right w:val="single" w:sz="12" w:space="0" w:color="FF9E3C"/>
            </w:tcBorders>
            <w:shd w:val="clear" w:color="000000" w:fill="FFFFFF"/>
            <w:hideMark/>
          </w:tcPr>
          <w:p w14:paraId="1CC317D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.52</w:t>
            </w:r>
          </w:p>
        </w:tc>
        <w:tc>
          <w:tcPr>
            <w:tcW w:w="780" w:type="dxa"/>
            <w:tcBorders>
              <w:top w:val="nil"/>
              <w:left w:val="single" w:sz="12" w:space="0" w:color="FF9E3C"/>
              <w:bottom w:val="nil"/>
              <w:right w:val="single" w:sz="12" w:space="0" w:color="FF9E3C"/>
            </w:tcBorders>
            <w:shd w:val="clear" w:color="000000" w:fill="FFFFFF"/>
            <w:hideMark/>
          </w:tcPr>
          <w:p w14:paraId="03770D2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.58</w:t>
            </w:r>
          </w:p>
        </w:tc>
      </w:tr>
      <w:tr w:rsidR="00A110B5" w:rsidRPr="00AD79EE" w14:paraId="517C3FAC"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6DD1B1E"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B663DD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3C5F495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E8D0EC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47BE9E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(2.5,11.9)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0C8994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(18.2,27.4)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AAC531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(51.6,61.4)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FFD6D1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384E878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7B2629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4B7EC61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6A3920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Shame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C253F7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0.40</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C01029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1.84</w:t>
            </w:r>
          </w:p>
        </w:tc>
        <w:tc>
          <w:tcPr>
            <w:tcW w:w="1084" w:type="dxa"/>
            <w:tcBorders>
              <w:top w:val="nil"/>
              <w:left w:val="single" w:sz="12" w:space="0" w:color="FF9E3C"/>
              <w:bottom w:val="nil"/>
              <w:right w:val="single" w:sz="12" w:space="0" w:color="FF9E3C"/>
            </w:tcBorders>
            <w:shd w:val="clear" w:color="000000" w:fill="FFFFFF"/>
            <w:vAlign w:val="center"/>
            <w:hideMark/>
          </w:tcPr>
          <w:p w14:paraId="7DCE0C0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3.5</w:t>
            </w:r>
          </w:p>
        </w:tc>
        <w:tc>
          <w:tcPr>
            <w:tcW w:w="1020" w:type="dxa"/>
            <w:tcBorders>
              <w:top w:val="nil"/>
              <w:left w:val="single" w:sz="12" w:space="0" w:color="FF9E3C"/>
              <w:bottom w:val="nil"/>
              <w:right w:val="single" w:sz="12" w:space="0" w:color="FF9E3C"/>
            </w:tcBorders>
            <w:shd w:val="clear" w:color="000000" w:fill="FFFFFF"/>
            <w:vAlign w:val="center"/>
            <w:hideMark/>
          </w:tcPr>
          <w:p w14:paraId="64B0AEB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11.5</w:t>
            </w:r>
          </w:p>
        </w:tc>
        <w:tc>
          <w:tcPr>
            <w:tcW w:w="1020" w:type="dxa"/>
            <w:tcBorders>
              <w:top w:val="nil"/>
              <w:left w:val="single" w:sz="12" w:space="0" w:color="FF9E3C"/>
              <w:bottom w:val="nil"/>
              <w:right w:val="single" w:sz="12" w:space="0" w:color="FF9E3C"/>
            </w:tcBorders>
            <w:shd w:val="clear" w:color="000000" w:fill="FFFFFF"/>
            <w:vAlign w:val="center"/>
            <w:hideMark/>
          </w:tcPr>
          <w:p w14:paraId="692C005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32.9</w:t>
            </w:r>
          </w:p>
        </w:tc>
        <w:tc>
          <w:tcPr>
            <w:tcW w:w="1020" w:type="dxa"/>
            <w:tcBorders>
              <w:top w:val="nil"/>
              <w:left w:val="single" w:sz="12" w:space="0" w:color="FF9E3C"/>
              <w:bottom w:val="nil"/>
              <w:right w:val="single" w:sz="12" w:space="0" w:color="FF9E3C"/>
            </w:tcBorders>
            <w:shd w:val="clear" w:color="000000" w:fill="FFFFFF"/>
            <w:vAlign w:val="center"/>
            <w:hideMark/>
          </w:tcPr>
          <w:p w14:paraId="5816039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56.1</w:t>
            </w:r>
          </w:p>
        </w:tc>
        <w:tc>
          <w:tcPr>
            <w:tcW w:w="626" w:type="dxa"/>
            <w:tcBorders>
              <w:top w:val="nil"/>
              <w:left w:val="single" w:sz="12" w:space="0" w:color="FF9E3C"/>
              <w:bottom w:val="nil"/>
              <w:right w:val="single" w:sz="12" w:space="0" w:color="FF9E3C"/>
            </w:tcBorders>
            <w:shd w:val="clear" w:color="000000" w:fill="FFFFFF"/>
            <w:hideMark/>
          </w:tcPr>
          <w:p w14:paraId="5F94869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.41</w:t>
            </w:r>
          </w:p>
        </w:tc>
        <w:tc>
          <w:tcPr>
            <w:tcW w:w="572" w:type="dxa"/>
            <w:tcBorders>
              <w:top w:val="nil"/>
              <w:left w:val="single" w:sz="12" w:space="0" w:color="FF9E3C"/>
              <w:bottom w:val="nil"/>
              <w:right w:val="single" w:sz="12" w:space="0" w:color="FF9E3C"/>
            </w:tcBorders>
            <w:shd w:val="clear" w:color="000000" w:fill="FFFFFF"/>
            <w:hideMark/>
          </w:tcPr>
          <w:p w14:paraId="5FFCBE7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.45</w:t>
            </w:r>
          </w:p>
        </w:tc>
        <w:tc>
          <w:tcPr>
            <w:tcW w:w="780" w:type="dxa"/>
            <w:tcBorders>
              <w:top w:val="nil"/>
              <w:left w:val="single" w:sz="12" w:space="0" w:color="FF9E3C"/>
              <w:bottom w:val="nil"/>
              <w:right w:val="single" w:sz="12" w:space="0" w:color="FF9E3C"/>
            </w:tcBorders>
            <w:shd w:val="clear" w:color="000000" w:fill="FFFFFF"/>
            <w:hideMark/>
          </w:tcPr>
          <w:p w14:paraId="7E2423C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.52</w:t>
            </w:r>
          </w:p>
        </w:tc>
      </w:tr>
      <w:tr w:rsidR="00A110B5" w:rsidRPr="00AD79EE" w14:paraId="180C5C86"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9815C6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2C2E0A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930CBC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0006166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(0.9,10.7)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495BB4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(6.6,18.8)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F3EF23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(28.0,38.3)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CDF9B9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(51.1,60.9)</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960D5B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32F26EA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198B822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r w:rsidR="00A110B5" w:rsidRPr="00AD79EE" w14:paraId="2D0FBF9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D46320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sidRPr="00AD79EE">
              <w:rPr>
                <w:rFonts w:cs="Arial"/>
                <w:color w:val="1C3158"/>
                <w:sz w:val="16"/>
                <w:szCs w:val="16"/>
                <w:lang w:eastAsia="ja-JP"/>
              </w:rPr>
              <w:t>Regret</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78FB37D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0.30</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899735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1.19</w:t>
            </w:r>
          </w:p>
        </w:tc>
        <w:tc>
          <w:tcPr>
            <w:tcW w:w="1084" w:type="dxa"/>
            <w:tcBorders>
              <w:top w:val="nil"/>
              <w:left w:val="single" w:sz="12" w:space="0" w:color="FF9E3C"/>
              <w:bottom w:val="nil"/>
              <w:right w:val="single" w:sz="12" w:space="0" w:color="FF9E3C"/>
            </w:tcBorders>
            <w:shd w:val="clear" w:color="000000" w:fill="FFFFFF"/>
            <w:vAlign w:val="center"/>
            <w:hideMark/>
          </w:tcPr>
          <w:p w14:paraId="11EABAC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5.9</w:t>
            </w:r>
          </w:p>
        </w:tc>
        <w:tc>
          <w:tcPr>
            <w:tcW w:w="1020" w:type="dxa"/>
            <w:tcBorders>
              <w:top w:val="nil"/>
              <w:left w:val="single" w:sz="12" w:space="0" w:color="FF9E3C"/>
              <w:bottom w:val="nil"/>
              <w:right w:val="single" w:sz="12" w:space="0" w:color="FF9E3C"/>
            </w:tcBorders>
            <w:shd w:val="clear" w:color="000000" w:fill="FFFFFF"/>
            <w:vAlign w:val="center"/>
            <w:hideMark/>
          </w:tcPr>
          <w:p w14:paraId="750C4CE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14.8</w:t>
            </w:r>
          </w:p>
        </w:tc>
        <w:tc>
          <w:tcPr>
            <w:tcW w:w="1020" w:type="dxa"/>
            <w:tcBorders>
              <w:top w:val="nil"/>
              <w:left w:val="single" w:sz="12" w:space="0" w:color="FF9E3C"/>
              <w:bottom w:val="nil"/>
              <w:right w:val="single" w:sz="12" w:space="0" w:color="FF9E3C"/>
            </w:tcBorders>
            <w:shd w:val="clear" w:color="000000" w:fill="FFFFFF"/>
            <w:vAlign w:val="center"/>
            <w:hideMark/>
          </w:tcPr>
          <w:p w14:paraId="73EEB68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42.8</w:t>
            </w:r>
          </w:p>
        </w:tc>
        <w:tc>
          <w:tcPr>
            <w:tcW w:w="1020" w:type="dxa"/>
            <w:tcBorders>
              <w:top w:val="nil"/>
              <w:left w:val="single" w:sz="12" w:space="0" w:color="FF9E3C"/>
              <w:bottom w:val="nil"/>
              <w:right w:val="single" w:sz="12" w:space="0" w:color="FF9E3C"/>
            </w:tcBorders>
            <w:shd w:val="clear" w:color="000000" w:fill="FFFFFF"/>
            <w:vAlign w:val="center"/>
            <w:hideMark/>
          </w:tcPr>
          <w:p w14:paraId="27DDEC1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57.8</w:t>
            </w:r>
          </w:p>
        </w:tc>
        <w:tc>
          <w:tcPr>
            <w:tcW w:w="626" w:type="dxa"/>
            <w:tcBorders>
              <w:top w:val="nil"/>
              <w:left w:val="single" w:sz="12" w:space="0" w:color="FF9E3C"/>
              <w:bottom w:val="nil"/>
              <w:right w:val="single" w:sz="12" w:space="0" w:color="FF9E3C"/>
            </w:tcBorders>
            <w:shd w:val="clear" w:color="000000" w:fill="FFFFFF"/>
            <w:hideMark/>
          </w:tcPr>
          <w:p w14:paraId="07B79A2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.36</w:t>
            </w:r>
          </w:p>
        </w:tc>
        <w:tc>
          <w:tcPr>
            <w:tcW w:w="572" w:type="dxa"/>
            <w:tcBorders>
              <w:top w:val="nil"/>
              <w:left w:val="single" w:sz="12" w:space="0" w:color="FF9E3C"/>
              <w:bottom w:val="nil"/>
              <w:right w:val="single" w:sz="12" w:space="0" w:color="FF9E3C"/>
            </w:tcBorders>
            <w:shd w:val="clear" w:color="000000" w:fill="FFFFFF"/>
            <w:hideMark/>
          </w:tcPr>
          <w:p w14:paraId="29A1BBE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.43</w:t>
            </w:r>
          </w:p>
        </w:tc>
        <w:tc>
          <w:tcPr>
            <w:tcW w:w="780" w:type="dxa"/>
            <w:tcBorders>
              <w:top w:val="nil"/>
              <w:left w:val="single" w:sz="12" w:space="0" w:color="FF9E3C"/>
              <w:bottom w:val="nil"/>
              <w:right w:val="single" w:sz="12" w:space="0" w:color="FF9E3C"/>
            </w:tcBorders>
            <w:shd w:val="clear" w:color="000000" w:fill="FFFFFF"/>
            <w:hideMark/>
          </w:tcPr>
          <w:p w14:paraId="3CB2A92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.43</w:t>
            </w:r>
          </w:p>
        </w:tc>
      </w:tr>
      <w:tr w:rsidR="00A110B5" w:rsidRPr="00AD79EE" w14:paraId="62AFD28C"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034F05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9F4610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4F3BA20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DC31DB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xml:space="preserve"> (2.2,13.8)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157BA0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(9.2,22.6)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D88F33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(37.5,48.3)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9E6655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(52.9,62.6)</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06C96A1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572" w:type="dxa"/>
            <w:tcBorders>
              <w:top w:val="nil"/>
              <w:left w:val="single" w:sz="12" w:space="0" w:color="FF9E3C"/>
              <w:bottom w:val="single" w:sz="12" w:space="0" w:color="FF9E3C"/>
              <w:right w:val="single" w:sz="12" w:space="0" w:color="FF9E3C"/>
            </w:tcBorders>
            <w:shd w:val="clear" w:color="000000" w:fill="FFFFFF"/>
            <w:hideMark/>
          </w:tcPr>
          <w:p w14:paraId="77F8DDF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16960B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sidRPr="00AD79EE">
              <w:rPr>
                <w:rFonts w:cs="Arial"/>
                <w:color w:val="1C3158"/>
                <w:sz w:val="16"/>
                <w:szCs w:val="16"/>
                <w:lang w:eastAsia="ja-JP"/>
              </w:rPr>
              <w:t> </w:t>
            </w:r>
          </w:p>
        </w:tc>
      </w:tr>
    </w:tbl>
    <w:p w14:paraId="0E2D3A0D" w14:textId="2DE1C219" w:rsidR="00A110B5" w:rsidRPr="00D60D18" w:rsidRDefault="00D60D18" w:rsidP="0040753B">
      <w:pPr>
        <w:pStyle w:val="Caption"/>
        <w:spacing w:after="0"/>
        <w:rPr>
          <w:iCs w:val="0"/>
          <w:color w:val="1C3158"/>
        </w:rPr>
      </w:pPr>
      <w:bookmarkStart w:id="216" w:name="_Toc462738115"/>
      <w:r w:rsidRPr="00D60D18">
        <w:lastRenderedPageBreak/>
        <w:t xml:space="preserve">Table </w:t>
      </w:r>
      <w:fldSimple w:instr=" SEQ Table \* ARABIC ">
        <w:r w:rsidR="0006479A">
          <w:rPr>
            <w:noProof/>
          </w:rPr>
          <w:t>12</w:t>
        </w:r>
      </w:fldSimple>
      <w:r w:rsidRPr="00D60D18">
        <w:t xml:space="preserve">. </w:t>
      </w:r>
      <w:r w:rsidR="00A110B5" w:rsidRPr="00D60D18">
        <w:rPr>
          <w:iCs w:val="0"/>
          <w:color w:val="1C3158"/>
        </w:rPr>
        <w:t>Relationships and Other (Gamblers)</w:t>
      </w:r>
      <w:bookmarkEnd w:id="216"/>
    </w:p>
    <w:tbl>
      <w:tblPr>
        <w:tblW w:w="9781" w:type="dxa"/>
        <w:tblInd w:w="-15" w:type="dxa"/>
        <w:tblLayout w:type="fixed"/>
        <w:tblLook w:val="04A0" w:firstRow="1" w:lastRow="0" w:firstColumn="1" w:lastColumn="0" w:noHBand="0" w:noVBand="1"/>
      </w:tblPr>
      <w:tblGrid>
        <w:gridCol w:w="1701"/>
        <w:gridCol w:w="851"/>
        <w:gridCol w:w="900"/>
        <w:gridCol w:w="1084"/>
        <w:gridCol w:w="1020"/>
        <w:gridCol w:w="1020"/>
        <w:gridCol w:w="1020"/>
        <w:gridCol w:w="626"/>
        <w:gridCol w:w="709"/>
        <w:gridCol w:w="850"/>
      </w:tblGrid>
      <w:tr w:rsidR="00A110B5" w:rsidRPr="00B054FD" w14:paraId="06B10D5B" w14:textId="77777777" w:rsidTr="00406FB4">
        <w:trPr>
          <w:trHeight w:val="178"/>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7818BB7E" w14:textId="77777777" w:rsidR="00A110B5" w:rsidRPr="00B054FD" w:rsidRDefault="00A110B5" w:rsidP="00406FB4">
            <w:pPr>
              <w:tabs>
                <w:tab w:val="clear" w:pos="426"/>
              </w:tabs>
              <w:spacing w:before="0" w:after="0" w:line="240" w:lineRule="auto"/>
              <w:ind w:left="0" w:right="0"/>
              <w:rPr>
                <w:rFonts w:cs="Arial"/>
                <w:b/>
                <w:bCs/>
                <w:color w:val="1C3158"/>
                <w:sz w:val="16"/>
                <w:szCs w:val="16"/>
                <w:lang w:eastAsia="ja-JP"/>
              </w:rPr>
            </w:pPr>
            <w:r w:rsidRPr="00B054FD">
              <w:rPr>
                <w:rFonts w:eastAsia="Cambria" w:cs="Arial"/>
                <w:b/>
                <w:bCs/>
                <w:color w:val="1C3158"/>
                <w:sz w:val="16"/>
                <w:szCs w:val="16"/>
                <w:lang w:eastAsia="ja-JP"/>
              </w:rPr>
              <w:t>Item abb.</w:t>
            </w:r>
          </w:p>
        </w:tc>
        <w:tc>
          <w:tcPr>
            <w:tcW w:w="1751"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67DDC882"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IRT parameters</w:t>
            </w:r>
          </w:p>
        </w:tc>
        <w:tc>
          <w:tcPr>
            <w:tcW w:w="4144" w:type="dxa"/>
            <w:gridSpan w:val="4"/>
            <w:tcBorders>
              <w:top w:val="single" w:sz="12" w:space="0" w:color="FF9E3C"/>
              <w:left w:val="nil"/>
              <w:bottom w:val="single" w:sz="12" w:space="0" w:color="FF9E3C"/>
              <w:right w:val="single" w:sz="12" w:space="0" w:color="FF9E3C"/>
            </w:tcBorders>
            <w:shd w:val="clear" w:color="000000" w:fill="FFBC64"/>
            <w:vAlign w:val="center"/>
            <w:hideMark/>
          </w:tcPr>
          <w:p w14:paraId="42620742"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PGSI category</w:t>
            </w:r>
          </w:p>
        </w:tc>
        <w:tc>
          <w:tcPr>
            <w:tcW w:w="2185" w:type="dxa"/>
            <w:gridSpan w:val="3"/>
            <w:tcBorders>
              <w:top w:val="single" w:sz="12" w:space="0" w:color="FF9E3C"/>
              <w:left w:val="nil"/>
              <w:bottom w:val="single" w:sz="12" w:space="0" w:color="FF9E3C"/>
              <w:right w:val="single" w:sz="12" w:space="0" w:color="FF9E3C"/>
            </w:tcBorders>
            <w:shd w:val="clear" w:color="000000" w:fill="FFBC64"/>
            <w:vAlign w:val="center"/>
            <w:hideMark/>
          </w:tcPr>
          <w:p w14:paraId="45BD3542"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Correlations</w:t>
            </w:r>
          </w:p>
        </w:tc>
      </w:tr>
      <w:tr w:rsidR="00A110B5" w:rsidRPr="00B054FD" w14:paraId="5D463A1B" w14:textId="77777777" w:rsidTr="00406FB4">
        <w:trPr>
          <w:trHeight w:val="322"/>
        </w:trPr>
        <w:tc>
          <w:tcPr>
            <w:tcW w:w="1701" w:type="dxa"/>
            <w:vMerge/>
            <w:tcBorders>
              <w:top w:val="single" w:sz="12" w:space="0" w:color="FF9E3C"/>
              <w:left w:val="single" w:sz="12" w:space="0" w:color="FF9E3C"/>
              <w:bottom w:val="single" w:sz="12" w:space="0" w:color="FF9E3C"/>
              <w:right w:val="single" w:sz="12" w:space="0" w:color="FF9E3C"/>
            </w:tcBorders>
            <w:vAlign w:val="center"/>
            <w:hideMark/>
          </w:tcPr>
          <w:p w14:paraId="515A1082" w14:textId="77777777" w:rsidR="00A110B5" w:rsidRPr="00B054FD" w:rsidRDefault="00A110B5" w:rsidP="00406FB4">
            <w:pPr>
              <w:tabs>
                <w:tab w:val="clear" w:pos="426"/>
              </w:tabs>
              <w:spacing w:before="0" w:after="0" w:line="240" w:lineRule="auto"/>
              <w:ind w:left="0" w:right="0"/>
              <w:rPr>
                <w:rFonts w:cs="Arial"/>
                <w:b/>
                <w:bCs/>
                <w:color w:val="1C3158"/>
                <w:sz w:val="16"/>
                <w:szCs w:val="16"/>
                <w:lang w:eastAsia="ja-JP"/>
              </w:rPr>
            </w:pPr>
          </w:p>
        </w:tc>
        <w:tc>
          <w:tcPr>
            <w:tcW w:w="851" w:type="dxa"/>
            <w:tcBorders>
              <w:top w:val="nil"/>
              <w:left w:val="nil"/>
              <w:bottom w:val="single" w:sz="12" w:space="0" w:color="FF9E3C"/>
              <w:right w:val="single" w:sz="12" w:space="0" w:color="FF9E3C"/>
            </w:tcBorders>
            <w:shd w:val="clear" w:color="000000" w:fill="FFBC64"/>
            <w:vAlign w:val="center"/>
            <w:hideMark/>
          </w:tcPr>
          <w:p w14:paraId="07382AC4"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Severity</w:t>
            </w:r>
          </w:p>
        </w:tc>
        <w:tc>
          <w:tcPr>
            <w:tcW w:w="900" w:type="dxa"/>
            <w:tcBorders>
              <w:top w:val="nil"/>
              <w:left w:val="nil"/>
              <w:bottom w:val="single" w:sz="12" w:space="0" w:color="FF9E3C"/>
              <w:right w:val="single" w:sz="12" w:space="0" w:color="FF9E3C"/>
            </w:tcBorders>
            <w:shd w:val="clear" w:color="000000" w:fill="FFBC64"/>
            <w:vAlign w:val="center"/>
            <w:hideMark/>
          </w:tcPr>
          <w:p w14:paraId="10CD4506"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Dscrm</w:t>
            </w:r>
          </w:p>
        </w:tc>
        <w:tc>
          <w:tcPr>
            <w:tcW w:w="1084" w:type="dxa"/>
            <w:tcBorders>
              <w:top w:val="nil"/>
              <w:left w:val="nil"/>
              <w:bottom w:val="single" w:sz="12" w:space="0" w:color="FF9E3C"/>
              <w:right w:val="single" w:sz="12" w:space="0" w:color="FF9E3C"/>
            </w:tcBorders>
            <w:shd w:val="clear" w:color="000000" w:fill="FFBC64"/>
            <w:vAlign w:val="center"/>
            <w:hideMark/>
          </w:tcPr>
          <w:p w14:paraId="2DDDA3EA"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Non Problem</w:t>
            </w:r>
          </w:p>
        </w:tc>
        <w:tc>
          <w:tcPr>
            <w:tcW w:w="1020" w:type="dxa"/>
            <w:tcBorders>
              <w:top w:val="nil"/>
              <w:left w:val="nil"/>
              <w:bottom w:val="single" w:sz="12" w:space="0" w:color="FF9E3C"/>
              <w:right w:val="single" w:sz="12" w:space="0" w:color="FF9E3C"/>
            </w:tcBorders>
            <w:shd w:val="clear" w:color="000000" w:fill="FFBC64"/>
            <w:vAlign w:val="center"/>
            <w:hideMark/>
          </w:tcPr>
          <w:p w14:paraId="2AE60C58"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Low Risk</w:t>
            </w:r>
          </w:p>
        </w:tc>
        <w:tc>
          <w:tcPr>
            <w:tcW w:w="1020" w:type="dxa"/>
            <w:tcBorders>
              <w:top w:val="nil"/>
              <w:left w:val="nil"/>
              <w:bottom w:val="single" w:sz="12" w:space="0" w:color="FF9E3C"/>
              <w:right w:val="single" w:sz="12" w:space="0" w:color="FF9E3C"/>
            </w:tcBorders>
            <w:shd w:val="clear" w:color="000000" w:fill="FFBC64"/>
            <w:vAlign w:val="center"/>
            <w:hideMark/>
          </w:tcPr>
          <w:p w14:paraId="5674589F"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Moderate Risk</w:t>
            </w:r>
          </w:p>
        </w:tc>
        <w:tc>
          <w:tcPr>
            <w:tcW w:w="1020" w:type="dxa"/>
            <w:tcBorders>
              <w:top w:val="nil"/>
              <w:left w:val="nil"/>
              <w:bottom w:val="single" w:sz="12" w:space="0" w:color="FF9E3C"/>
              <w:right w:val="single" w:sz="12" w:space="0" w:color="FF9E3C"/>
            </w:tcBorders>
            <w:shd w:val="clear" w:color="000000" w:fill="FFBC64"/>
            <w:vAlign w:val="center"/>
            <w:hideMark/>
          </w:tcPr>
          <w:p w14:paraId="48789EA2"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Problem</w:t>
            </w:r>
          </w:p>
        </w:tc>
        <w:tc>
          <w:tcPr>
            <w:tcW w:w="626" w:type="dxa"/>
            <w:tcBorders>
              <w:top w:val="nil"/>
              <w:left w:val="nil"/>
              <w:bottom w:val="single" w:sz="12" w:space="0" w:color="FF9E3C"/>
              <w:right w:val="single" w:sz="12" w:space="0" w:color="FF9E3C"/>
            </w:tcBorders>
            <w:shd w:val="clear" w:color="000000" w:fill="FFBC64"/>
            <w:vAlign w:val="center"/>
            <w:hideMark/>
          </w:tcPr>
          <w:p w14:paraId="566A82A5"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PGSI</w:t>
            </w:r>
          </w:p>
        </w:tc>
        <w:tc>
          <w:tcPr>
            <w:tcW w:w="709" w:type="dxa"/>
            <w:tcBorders>
              <w:top w:val="nil"/>
              <w:left w:val="nil"/>
              <w:bottom w:val="single" w:sz="12" w:space="0" w:color="FF9E3C"/>
              <w:right w:val="single" w:sz="12" w:space="0" w:color="FF9E3C"/>
            </w:tcBorders>
            <w:shd w:val="clear" w:color="000000" w:fill="FFBC64"/>
            <w:vAlign w:val="center"/>
            <w:hideMark/>
          </w:tcPr>
          <w:p w14:paraId="4F22CCF5"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Gen.</w:t>
            </w:r>
          </w:p>
        </w:tc>
        <w:tc>
          <w:tcPr>
            <w:tcW w:w="850" w:type="dxa"/>
            <w:tcBorders>
              <w:top w:val="nil"/>
              <w:left w:val="nil"/>
              <w:bottom w:val="single" w:sz="12" w:space="0" w:color="FF9E3C"/>
              <w:right w:val="single" w:sz="12" w:space="0" w:color="FF9E3C"/>
            </w:tcBorders>
            <w:shd w:val="clear" w:color="000000" w:fill="FFBC64"/>
            <w:vAlign w:val="center"/>
            <w:hideMark/>
          </w:tcPr>
          <w:p w14:paraId="051DA4C1"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Tot.</w:t>
            </w:r>
          </w:p>
        </w:tc>
      </w:tr>
      <w:tr w:rsidR="00A110B5" w:rsidRPr="00B054FD" w14:paraId="50A085EB" w14:textId="77777777" w:rsidTr="00F812A7">
        <w:trPr>
          <w:trHeight w:val="160"/>
        </w:trPr>
        <w:tc>
          <w:tcPr>
            <w:tcW w:w="9781" w:type="dxa"/>
            <w:gridSpan w:val="10"/>
            <w:tcBorders>
              <w:top w:val="single" w:sz="12" w:space="0" w:color="FF9E3C"/>
              <w:left w:val="single" w:sz="12" w:space="0" w:color="FF9E3C"/>
              <w:right w:val="single" w:sz="12" w:space="0" w:color="FF9E3C"/>
            </w:tcBorders>
            <w:shd w:val="clear" w:color="000000" w:fill="FFCF8F"/>
            <w:vAlign w:val="center"/>
            <w:hideMark/>
          </w:tcPr>
          <w:p w14:paraId="6A300E46" w14:textId="77777777" w:rsidR="00A110B5" w:rsidRPr="00B054FD"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B054FD">
              <w:rPr>
                <w:rFonts w:cs="Arial"/>
                <w:b/>
                <w:bCs/>
                <w:i/>
                <w:iCs/>
                <w:color w:val="1C3158"/>
                <w:sz w:val="16"/>
                <w:szCs w:val="16"/>
                <w:lang w:eastAsia="ja-JP"/>
              </w:rPr>
              <w:t>Relationships</w:t>
            </w:r>
          </w:p>
        </w:tc>
      </w:tr>
      <w:tr w:rsidR="00A110B5" w:rsidRPr="00B054FD" w14:paraId="58AC2EB4"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393E773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Actual Ending</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C6F5F1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2.14</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79F58A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1.76</w:t>
            </w:r>
          </w:p>
        </w:tc>
        <w:tc>
          <w:tcPr>
            <w:tcW w:w="1084" w:type="dxa"/>
            <w:tcBorders>
              <w:top w:val="nil"/>
              <w:left w:val="single" w:sz="12" w:space="0" w:color="FF9E3C"/>
              <w:bottom w:val="nil"/>
              <w:right w:val="single" w:sz="12" w:space="0" w:color="FF9E3C"/>
            </w:tcBorders>
            <w:shd w:val="clear" w:color="000000" w:fill="FFFFFF"/>
            <w:vAlign w:val="center"/>
            <w:hideMark/>
          </w:tcPr>
          <w:p w14:paraId="47190F6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771C61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52C9B6C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2.4</w:t>
            </w:r>
          </w:p>
        </w:tc>
        <w:tc>
          <w:tcPr>
            <w:tcW w:w="1020" w:type="dxa"/>
            <w:tcBorders>
              <w:top w:val="nil"/>
              <w:left w:val="single" w:sz="12" w:space="0" w:color="FF9E3C"/>
              <w:bottom w:val="nil"/>
              <w:right w:val="single" w:sz="12" w:space="0" w:color="FF9E3C"/>
            </w:tcBorders>
            <w:shd w:val="clear" w:color="000000" w:fill="FFFFFF"/>
            <w:vAlign w:val="center"/>
            <w:hideMark/>
          </w:tcPr>
          <w:p w14:paraId="1F76AAC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13.2</w:t>
            </w:r>
          </w:p>
        </w:tc>
        <w:tc>
          <w:tcPr>
            <w:tcW w:w="626" w:type="dxa"/>
            <w:tcBorders>
              <w:top w:val="nil"/>
              <w:left w:val="single" w:sz="12" w:space="0" w:color="FF9E3C"/>
              <w:bottom w:val="nil"/>
              <w:right w:val="single" w:sz="12" w:space="0" w:color="FF9E3C"/>
            </w:tcBorders>
            <w:shd w:val="clear" w:color="000000" w:fill="FFFFFF"/>
            <w:hideMark/>
          </w:tcPr>
          <w:p w14:paraId="2682084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w:t>
            </w:r>
          </w:p>
        </w:tc>
        <w:tc>
          <w:tcPr>
            <w:tcW w:w="709" w:type="dxa"/>
            <w:tcBorders>
              <w:top w:val="nil"/>
              <w:left w:val="single" w:sz="12" w:space="0" w:color="FF9E3C"/>
              <w:bottom w:val="nil"/>
              <w:right w:val="single" w:sz="12" w:space="0" w:color="FF9E3C"/>
            </w:tcBorders>
            <w:shd w:val="clear" w:color="000000" w:fill="FFFFFF"/>
            <w:hideMark/>
          </w:tcPr>
          <w:p w14:paraId="65856FC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.39</w:t>
            </w:r>
          </w:p>
        </w:tc>
        <w:tc>
          <w:tcPr>
            <w:tcW w:w="850" w:type="dxa"/>
            <w:tcBorders>
              <w:top w:val="nil"/>
              <w:left w:val="single" w:sz="12" w:space="0" w:color="FF9E3C"/>
              <w:bottom w:val="nil"/>
              <w:right w:val="single" w:sz="12" w:space="0" w:color="FF9E3C"/>
            </w:tcBorders>
            <w:shd w:val="clear" w:color="000000" w:fill="FFFFFF"/>
            <w:hideMark/>
          </w:tcPr>
          <w:p w14:paraId="4B1DFE2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.38</w:t>
            </w:r>
          </w:p>
        </w:tc>
      </w:tr>
      <w:tr w:rsidR="00A110B5" w:rsidRPr="00B054FD" w14:paraId="77916D17" w14:textId="77777777" w:rsidTr="00F812A7">
        <w:trPr>
          <w:trHeight w:val="50"/>
        </w:trPr>
        <w:tc>
          <w:tcPr>
            <w:tcW w:w="1701" w:type="dxa"/>
            <w:vMerge/>
            <w:tcBorders>
              <w:top w:val="nil"/>
              <w:left w:val="single" w:sz="12" w:space="0" w:color="FF9E3C"/>
              <w:bottom w:val="single" w:sz="12" w:space="0" w:color="FF9E3C"/>
              <w:right w:val="single" w:sz="12" w:space="0" w:color="FF9E3C"/>
            </w:tcBorders>
            <w:vAlign w:val="center"/>
            <w:hideMark/>
          </w:tcPr>
          <w:p w14:paraId="608897F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33BB4A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48D57A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D68B9D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5AE904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4E2A4F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( 1.1, 4.8)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5DFDDD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(10.1,16.9)</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84E64D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027F368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655B387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04A3F2E4"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1130FFB"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Exp. Violence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7358D72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1.89</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2425A7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2.55</w:t>
            </w:r>
          </w:p>
        </w:tc>
        <w:tc>
          <w:tcPr>
            <w:tcW w:w="1084" w:type="dxa"/>
            <w:tcBorders>
              <w:top w:val="nil"/>
              <w:left w:val="single" w:sz="12" w:space="0" w:color="FF9E3C"/>
              <w:bottom w:val="nil"/>
              <w:right w:val="single" w:sz="12" w:space="0" w:color="FF9E3C"/>
            </w:tcBorders>
            <w:shd w:val="clear" w:color="000000" w:fill="FFFFFF"/>
            <w:vAlign w:val="center"/>
            <w:hideMark/>
          </w:tcPr>
          <w:p w14:paraId="36947D4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9974A5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C0C9A6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4A8BC89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13.2</w:t>
            </w:r>
          </w:p>
        </w:tc>
        <w:tc>
          <w:tcPr>
            <w:tcW w:w="626" w:type="dxa"/>
            <w:tcBorders>
              <w:top w:val="nil"/>
              <w:left w:val="single" w:sz="12" w:space="0" w:color="FF9E3C"/>
              <w:bottom w:val="nil"/>
              <w:right w:val="single" w:sz="12" w:space="0" w:color="FF9E3C"/>
            </w:tcBorders>
            <w:shd w:val="clear" w:color="000000" w:fill="FFFFFF"/>
            <w:hideMark/>
          </w:tcPr>
          <w:p w14:paraId="6F9C2A8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.34</w:t>
            </w:r>
          </w:p>
        </w:tc>
        <w:tc>
          <w:tcPr>
            <w:tcW w:w="709" w:type="dxa"/>
            <w:tcBorders>
              <w:top w:val="nil"/>
              <w:left w:val="single" w:sz="12" w:space="0" w:color="FF9E3C"/>
              <w:bottom w:val="nil"/>
              <w:right w:val="single" w:sz="12" w:space="0" w:color="FF9E3C"/>
            </w:tcBorders>
            <w:shd w:val="clear" w:color="000000" w:fill="FFFFFF"/>
            <w:hideMark/>
          </w:tcPr>
          <w:p w14:paraId="5517F0F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.42</w:t>
            </w:r>
          </w:p>
        </w:tc>
        <w:tc>
          <w:tcPr>
            <w:tcW w:w="850" w:type="dxa"/>
            <w:tcBorders>
              <w:top w:val="nil"/>
              <w:left w:val="single" w:sz="12" w:space="0" w:color="FF9E3C"/>
              <w:bottom w:val="nil"/>
              <w:right w:val="single" w:sz="12" w:space="0" w:color="FF9E3C"/>
            </w:tcBorders>
            <w:shd w:val="clear" w:color="000000" w:fill="FFFFFF"/>
            <w:hideMark/>
          </w:tcPr>
          <w:p w14:paraId="12849DB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.48</w:t>
            </w:r>
          </w:p>
        </w:tc>
      </w:tr>
      <w:tr w:rsidR="00A110B5" w:rsidRPr="00B054FD" w14:paraId="3EFC25E5"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20A9D42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E3C559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BABC2D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75E952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28D24A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BC4F86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( 0.4, 3.2)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E7B904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(10.1,16.9)</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55A67B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584A417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33BEEFA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10B4718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A46885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Belittled</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EE8B29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1.83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0182DE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1.98</w:t>
            </w:r>
          </w:p>
        </w:tc>
        <w:tc>
          <w:tcPr>
            <w:tcW w:w="1084" w:type="dxa"/>
            <w:tcBorders>
              <w:top w:val="nil"/>
              <w:left w:val="single" w:sz="12" w:space="0" w:color="FF9E3C"/>
              <w:bottom w:val="nil"/>
              <w:right w:val="single" w:sz="12" w:space="0" w:color="FF9E3C"/>
            </w:tcBorders>
            <w:shd w:val="clear" w:color="000000" w:fill="FFFFFF"/>
            <w:vAlign w:val="center"/>
            <w:hideMark/>
          </w:tcPr>
          <w:p w14:paraId="2AA6226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283A72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4FB18C0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4.2</w:t>
            </w:r>
          </w:p>
        </w:tc>
        <w:tc>
          <w:tcPr>
            <w:tcW w:w="1020" w:type="dxa"/>
            <w:tcBorders>
              <w:top w:val="nil"/>
              <w:left w:val="single" w:sz="12" w:space="0" w:color="FF9E3C"/>
              <w:bottom w:val="nil"/>
              <w:right w:val="single" w:sz="12" w:space="0" w:color="FF9E3C"/>
            </w:tcBorders>
            <w:shd w:val="clear" w:color="000000" w:fill="FFFFFF"/>
            <w:vAlign w:val="center"/>
            <w:hideMark/>
          </w:tcPr>
          <w:p w14:paraId="69555C6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16.3</w:t>
            </w:r>
          </w:p>
        </w:tc>
        <w:tc>
          <w:tcPr>
            <w:tcW w:w="626" w:type="dxa"/>
            <w:tcBorders>
              <w:top w:val="nil"/>
              <w:left w:val="single" w:sz="12" w:space="0" w:color="FF9E3C"/>
              <w:bottom w:val="nil"/>
              <w:right w:val="single" w:sz="12" w:space="0" w:color="FF9E3C"/>
            </w:tcBorders>
            <w:shd w:val="clear" w:color="000000" w:fill="FFFFFF"/>
            <w:hideMark/>
          </w:tcPr>
          <w:p w14:paraId="0AC6CB4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.33</w:t>
            </w:r>
          </w:p>
        </w:tc>
        <w:tc>
          <w:tcPr>
            <w:tcW w:w="709" w:type="dxa"/>
            <w:tcBorders>
              <w:top w:val="nil"/>
              <w:left w:val="single" w:sz="12" w:space="0" w:color="FF9E3C"/>
              <w:bottom w:val="nil"/>
              <w:right w:val="single" w:sz="12" w:space="0" w:color="FF9E3C"/>
            </w:tcBorders>
            <w:shd w:val="clear" w:color="000000" w:fill="FFFFFF"/>
            <w:hideMark/>
          </w:tcPr>
          <w:p w14:paraId="077190A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.39</w:t>
            </w:r>
          </w:p>
        </w:tc>
        <w:tc>
          <w:tcPr>
            <w:tcW w:w="850" w:type="dxa"/>
            <w:tcBorders>
              <w:top w:val="nil"/>
              <w:left w:val="single" w:sz="12" w:space="0" w:color="FF9E3C"/>
              <w:bottom w:val="nil"/>
              <w:right w:val="single" w:sz="12" w:space="0" w:color="FF9E3C"/>
            </w:tcBorders>
            <w:shd w:val="clear" w:color="000000" w:fill="FFFFFF"/>
            <w:hideMark/>
          </w:tcPr>
          <w:p w14:paraId="2AC6338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.46</w:t>
            </w:r>
          </w:p>
        </w:tc>
      </w:tr>
      <w:tr w:rsidR="00A110B5" w:rsidRPr="00B054FD" w14:paraId="73579F73"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5732E1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EBB119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499F091A"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752D013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A945B7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886D9C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( 2.4, 7.1)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85C609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(13.0,20.4)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AF2190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44B821A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66EED46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4A344569"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038D00C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Threat Ending</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363B1D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1.41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2A9DC3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2.42</w:t>
            </w:r>
          </w:p>
        </w:tc>
        <w:tc>
          <w:tcPr>
            <w:tcW w:w="1084" w:type="dxa"/>
            <w:tcBorders>
              <w:top w:val="nil"/>
              <w:left w:val="single" w:sz="12" w:space="0" w:color="FF9E3C"/>
              <w:bottom w:val="nil"/>
              <w:right w:val="single" w:sz="12" w:space="0" w:color="FF9E3C"/>
            </w:tcBorders>
            <w:shd w:val="clear" w:color="000000" w:fill="FFFFFF"/>
            <w:vAlign w:val="center"/>
            <w:hideMark/>
          </w:tcPr>
          <w:p w14:paraId="39713D4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2.4</w:t>
            </w:r>
          </w:p>
        </w:tc>
        <w:tc>
          <w:tcPr>
            <w:tcW w:w="1020" w:type="dxa"/>
            <w:tcBorders>
              <w:top w:val="nil"/>
              <w:left w:val="single" w:sz="12" w:space="0" w:color="FF9E3C"/>
              <w:bottom w:val="nil"/>
              <w:right w:val="single" w:sz="12" w:space="0" w:color="FF9E3C"/>
            </w:tcBorders>
            <w:shd w:val="clear" w:color="000000" w:fill="FFFFFF"/>
            <w:vAlign w:val="center"/>
            <w:hideMark/>
          </w:tcPr>
          <w:p w14:paraId="4847F7A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0BF5748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3.6</w:t>
            </w:r>
          </w:p>
        </w:tc>
        <w:tc>
          <w:tcPr>
            <w:tcW w:w="1020" w:type="dxa"/>
            <w:tcBorders>
              <w:top w:val="nil"/>
              <w:left w:val="single" w:sz="12" w:space="0" w:color="FF9E3C"/>
              <w:bottom w:val="nil"/>
              <w:right w:val="single" w:sz="12" w:space="0" w:color="FF9E3C"/>
            </w:tcBorders>
            <w:shd w:val="clear" w:color="000000" w:fill="FFFFFF"/>
            <w:vAlign w:val="center"/>
            <w:hideMark/>
          </w:tcPr>
          <w:p w14:paraId="6283255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26.1</w:t>
            </w:r>
          </w:p>
        </w:tc>
        <w:tc>
          <w:tcPr>
            <w:tcW w:w="626" w:type="dxa"/>
            <w:tcBorders>
              <w:top w:val="nil"/>
              <w:left w:val="single" w:sz="12" w:space="0" w:color="FF9E3C"/>
              <w:bottom w:val="nil"/>
              <w:right w:val="single" w:sz="12" w:space="0" w:color="FF9E3C"/>
            </w:tcBorders>
            <w:shd w:val="clear" w:color="000000" w:fill="FFFFFF"/>
            <w:hideMark/>
          </w:tcPr>
          <w:p w14:paraId="5C3D834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.38</w:t>
            </w:r>
          </w:p>
        </w:tc>
        <w:tc>
          <w:tcPr>
            <w:tcW w:w="709" w:type="dxa"/>
            <w:tcBorders>
              <w:top w:val="nil"/>
              <w:left w:val="single" w:sz="12" w:space="0" w:color="FF9E3C"/>
              <w:bottom w:val="nil"/>
              <w:right w:val="single" w:sz="12" w:space="0" w:color="FF9E3C"/>
            </w:tcBorders>
            <w:shd w:val="clear" w:color="000000" w:fill="FFFFFF"/>
            <w:hideMark/>
          </w:tcPr>
          <w:p w14:paraId="3EE3205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.57</w:t>
            </w:r>
          </w:p>
        </w:tc>
        <w:tc>
          <w:tcPr>
            <w:tcW w:w="850" w:type="dxa"/>
            <w:tcBorders>
              <w:top w:val="nil"/>
              <w:left w:val="single" w:sz="12" w:space="0" w:color="FF9E3C"/>
              <w:bottom w:val="nil"/>
              <w:right w:val="single" w:sz="12" w:space="0" w:color="FF9E3C"/>
            </w:tcBorders>
            <w:shd w:val="clear" w:color="000000" w:fill="FFFFFF"/>
            <w:hideMark/>
          </w:tcPr>
          <w:p w14:paraId="2A5CEE7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.53</w:t>
            </w:r>
          </w:p>
        </w:tc>
      </w:tr>
      <w:tr w:rsidR="00A110B5" w:rsidRPr="00B054FD" w14:paraId="779BD8C6"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257973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05523E6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3F2FD7B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97293F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( 0.4, 9.0)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BA25AF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E87B9F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( 2.0, 6.4)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7F5766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(22.0,30.7)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ECCCA3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4176E75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0996C1F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28BEBC0E"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30D81F0A"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Isolation</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E2B86E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1.29</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6E2C4E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1.69</w:t>
            </w:r>
          </w:p>
        </w:tc>
        <w:tc>
          <w:tcPr>
            <w:tcW w:w="1084" w:type="dxa"/>
            <w:tcBorders>
              <w:top w:val="nil"/>
              <w:left w:val="single" w:sz="12" w:space="0" w:color="FF9E3C"/>
              <w:bottom w:val="nil"/>
              <w:right w:val="single" w:sz="12" w:space="0" w:color="FF9E3C"/>
            </w:tcBorders>
            <w:shd w:val="clear" w:color="000000" w:fill="FFFFFF"/>
            <w:vAlign w:val="center"/>
            <w:hideMark/>
          </w:tcPr>
          <w:p w14:paraId="14A79C8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7D2C574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w:t>
            </w:r>
          </w:p>
        </w:tc>
        <w:tc>
          <w:tcPr>
            <w:tcW w:w="1020" w:type="dxa"/>
            <w:tcBorders>
              <w:top w:val="nil"/>
              <w:left w:val="single" w:sz="12" w:space="0" w:color="FF9E3C"/>
              <w:bottom w:val="nil"/>
              <w:right w:val="single" w:sz="12" w:space="0" w:color="FF9E3C"/>
            </w:tcBorders>
            <w:shd w:val="clear" w:color="000000" w:fill="FFFFFF"/>
            <w:vAlign w:val="center"/>
            <w:hideMark/>
          </w:tcPr>
          <w:p w14:paraId="291E45F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10.5</w:t>
            </w:r>
          </w:p>
        </w:tc>
        <w:tc>
          <w:tcPr>
            <w:tcW w:w="1020" w:type="dxa"/>
            <w:tcBorders>
              <w:top w:val="nil"/>
              <w:left w:val="single" w:sz="12" w:space="0" w:color="FF9E3C"/>
              <w:bottom w:val="nil"/>
              <w:right w:val="single" w:sz="12" w:space="0" w:color="FF9E3C"/>
            </w:tcBorders>
            <w:shd w:val="clear" w:color="000000" w:fill="FFFFFF"/>
            <w:vAlign w:val="center"/>
            <w:hideMark/>
          </w:tcPr>
          <w:p w14:paraId="0970087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33.2</w:t>
            </w:r>
          </w:p>
        </w:tc>
        <w:tc>
          <w:tcPr>
            <w:tcW w:w="626" w:type="dxa"/>
            <w:tcBorders>
              <w:top w:val="nil"/>
              <w:left w:val="single" w:sz="12" w:space="0" w:color="FF9E3C"/>
              <w:bottom w:val="nil"/>
              <w:right w:val="single" w:sz="12" w:space="0" w:color="FF9E3C"/>
            </w:tcBorders>
            <w:shd w:val="clear" w:color="000000" w:fill="FFFFFF"/>
            <w:hideMark/>
          </w:tcPr>
          <w:p w14:paraId="2A01023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.44</w:t>
            </w:r>
          </w:p>
        </w:tc>
        <w:tc>
          <w:tcPr>
            <w:tcW w:w="709" w:type="dxa"/>
            <w:tcBorders>
              <w:top w:val="nil"/>
              <w:left w:val="single" w:sz="12" w:space="0" w:color="FF9E3C"/>
              <w:bottom w:val="nil"/>
              <w:right w:val="single" w:sz="12" w:space="0" w:color="FF9E3C"/>
            </w:tcBorders>
            <w:shd w:val="clear" w:color="000000" w:fill="FFFFFF"/>
            <w:hideMark/>
          </w:tcPr>
          <w:p w14:paraId="03BDC02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.50</w:t>
            </w:r>
          </w:p>
        </w:tc>
        <w:tc>
          <w:tcPr>
            <w:tcW w:w="850" w:type="dxa"/>
            <w:tcBorders>
              <w:top w:val="nil"/>
              <w:left w:val="single" w:sz="12" w:space="0" w:color="FF9E3C"/>
              <w:bottom w:val="nil"/>
              <w:right w:val="single" w:sz="12" w:space="0" w:color="FF9E3C"/>
            </w:tcBorders>
            <w:shd w:val="clear" w:color="000000" w:fill="FFFFFF"/>
            <w:hideMark/>
          </w:tcPr>
          <w:p w14:paraId="21828F4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.49</w:t>
            </w:r>
          </w:p>
        </w:tc>
      </w:tr>
      <w:tr w:rsidR="00A110B5" w:rsidRPr="00B054FD" w14:paraId="404205A6"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841403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A48B99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303F61A"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A04F1A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AB8567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( 0.6, 7.6)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CD9B3D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( 7.5,14.4)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6D4800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(28.7,38.0)</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013FF58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0DBB920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6FDE5A7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214FBFC3"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3FDF952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Red. Enjoyment</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7F6B0AC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1.22</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8898B4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1.98</w:t>
            </w:r>
          </w:p>
        </w:tc>
        <w:tc>
          <w:tcPr>
            <w:tcW w:w="1084" w:type="dxa"/>
            <w:tcBorders>
              <w:top w:val="nil"/>
              <w:left w:val="single" w:sz="12" w:space="0" w:color="FF9E3C"/>
              <w:bottom w:val="nil"/>
              <w:right w:val="single" w:sz="12" w:space="0" w:color="FF9E3C"/>
            </w:tcBorders>
            <w:shd w:val="clear" w:color="000000" w:fill="FFFFFF"/>
            <w:vAlign w:val="center"/>
            <w:hideMark/>
          </w:tcPr>
          <w:p w14:paraId="5FB0D69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1E24663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3.3</w:t>
            </w:r>
          </w:p>
        </w:tc>
        <w:tc>
          <w:tcPr>
            <w:tcW w:w="1020" w:type="dxa"/>
            <w:tcBorders>
              <w:top w:val="nil"/>
              <w:left w:val="single" w:sz="12" w:space="0" w:color="FF9E3C"/>
              <w:bottom w:val="nil"/>
              <w:right w:val="single" w:sz="12" w:space="0" w:color="FF9E3C"/>
            </w:tcBorders>
            <w:shd w:val="clear" w:color="000000" w:fill="FFFFFF"/>
            <w:vAlign w:val="center"/>
            <w:hideMark/>
          </w:tcPr>
          <w:p w14:paraId="7572619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8.7</w:t>
            </w:r>
          </w:p>
        </w:tc>
        <w:tc>
          <w:tcPr>
            <w:tcW w:w="1020" w:type="dxa"/>
            <w:tcBorders>
              <w:top w:val="nil"/>
              <w:left w:val="single" w:sz="12" w:space="0" w:color="FF9E3C"/>
              <w:bottom w:val="nil"/>
              <w:right w:val="single" w:sz="12" w:space="0" w:color="FF9E3C"/>
            </w:tcBorders>
            <w:shd w:val="clear" w:color="000000" w:fill="FFFFFF"/>
            <w:vAlign w:val="center"/>
            <w:hideMark/>
          </w:tcPr>
          <w:p w14:paraId="401793C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33.4</w:t>
            </w:r>
          </w:p>
        </w:tc>
        <w:tc>
          <w:tcPr>
            <w:tcW w:w="626" w:type="dxa"/>
            <w:tcBorders>
              <w:top w:val="nil"/>
              <w:left w:val="single" w:sz="12" w:space="0" w:color="FF9E3C"/>
              <w:bottom w:val="nil"/>
              <w:right w:val="single" w:sz="12" w:space="0" w:color="FF9E3C"/>
            </w:tcBorders>
            <w:shd w:val="clear" w:color="000000" w:fill="FFFFFF"/>
            <w:hideMark/>
          </w:tcPr>
          <w:p w14:paraId="638C5D8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.40</w:t>
            </w:r>
          </w:p>
        </w:tc>
        <w:tc>
          <w:tcPr>
            <w:tcW w:w="709" w:type="dxa"/>
            <w:tcBorders>
              <w:top w:val="nil"/>
              <w:left w:val="single" w:sz="12" w:space="0" w:color="FF9E3C"/>
              <w:bottom w:val="nil"/>
              <w:right w:val="single" w:sz="12" w:space="0" w:color="FF9E3C"/>
            </w:tcBorders>
            <w:shd w:val="clear" w:color="000000" w:fill="FFFFFF"/>
            <w:hideMark/>
          </w:tcPr>
          <w:p w14:paraId="1AEC0A8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.42</w:t>
            </w:r>
          </w:p>
        </w:tc>
        <w:tc>
          <w:tcPr>
            <w:tcW w:w="850" w:type="dxa"/>
            <w:tcBorders>
              <w:top w:val="nil"/>
              <w:left w:val="single" w:sz="12" w:space="0" w:color="FF9E3C"/>
              <w:bottom w:val="nil"/>
              <w:right w:val="single" w:sz="12" w:space="0" w:color="FF9E3C"/>
            </w:tcBorders>
            <w:shd w:val="clear" w:color="000000" w:fill="FFFFFF"/>
            <w:hideMark/>
          </w:tcPr>
          <w:p w14:paraId="6C5C059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.53</w:t>
            </w:r>
          </w:p>
        </w:tc>
      </w:tr>
      <w:tr w:rsidR="00A110B5" w:rsidRPr="00B054FD" w14:paraId="34402287"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0B7C550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BD61E4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054102A"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3FCDF9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71A96D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( 1.1, 8.7)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21ABBE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( 6.0,12.4)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6A6A2E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(28.9,38.2)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1C4043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27E2370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2C64DB5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4AC64BD0"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B79612C" w14:textId="6A61C4AC"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 xml:space="preserve">Neg. Resp. </w:t>
            </w:r>
            <w:r w:rsidR="00B12BDA">
              <w:rPr>
                <w:rFonts w:cs="Arial"/>
                <w:color w:val="1C3158"/>
                <w:sz w:val="16"/>
                <w:szCs w:val="16"/>
                <w:lang w:eastAsia="ja-JP"/>
              </w:rPr>
              <w:t>Whānau</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A919D7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1.16</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F51C45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2.90</w:t>
            </w:r>
          </w:p>
        </w:tc>
        <w:tc>
          <w:tcPr>
            <w:tcW w:w="1084" w:type="dxa"/>
            <w:tcBorders>
              <w:top w:val="nil"/>
              <w:left w:val="single" w:sz="12" w:space="0" w:color="FF9E3C"/>
              <w:bottom w:val="nil"/>
              <w:right w:val="single" w:sz="12" w:space="0" w:color="FF9E3C"/>
            </w:tcBorders>
            <w:shd w:val="clear" w:color="000000" w:fill="FFFFFF"/>
            <w:vAlign w:val="center"/>
            <w:hideMark/>
          </w:tcPr>
          <w:p w14:paraId="5EE5A0E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2A5ACEA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w:t>
            </w:r>
          </w:p>
        </w:tc>
        <w:tc>
          <w:tcPr>
            <w:tcW w:w="1020" w:type="dxa"/>
            <w:tcBorders>
              <w:top w:val="nil"/>
              <w:left w:val="single" w:sz="12" w:space="0" w:color="FF9E3C"/>
              <w:bottom w:val="nil"/>
              <w:right w:val="single" w:sz="12" w:space="0" w:color="FF9E3C"/>
            </w:tcBorders>
            <w:shd w:val="clear" w:color="000000" w:fill="FFFFFF"/>
            <w:vAlign w:val="center"/>
            <w:hideMark/>
          </w:tcPr>
          <w:p w14:paraId="78B7C05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7.5</w:t>
            </w:r>
          </w:p>
        </w:tc>
        <w:tc>
          <w:tcPr>
            <w:tcW w:w="1020" w:type="dxa"/>
            <w:tcBorders>
              <w:top w:val="nil"/>
              <w:left w:val="single" w:sz="12" w:space="0" w:color="FF9E3C"/>
              <w:bottom w:val="nil"/>
              <w:right w:val="single" w:sz="12" w:space="0" w:color="FF9E3C"/>
            </w:tcBorders>
            <w:shd w:val="clear" w:color="000000" w:fill="FFFFFF"/>
            <w:vAlign w:val="center"/>
            <w:hideMark/>
          </w:tcPr>
          <w:p w14:paraId="3C5B200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30.5</w:t>
            </w:r>
          </w:p>
        </w:tc>
        <w:tc>
          <w:tcPr>
            <w:tcW w:w="626" w:type="dxa"/>
            <w:tcBorders>
              <w:top w:val="nil"/>
              <w:left w:val="single" w:sz="12" w:space="0" w:color="FF9E3C"/>
              <w:bottom w:val="nil"/>
              <w:right w:val="single" w:sz="12" w:space="0" w:color="FF9E3C"/>
            </w:tcBorders>
            <w:shd w:val="clear" w:color="000000" w:fill="FFFFFF"/>
            <w:hideMark/>
          </w:tcPr>
          <w:p w14:paraId="0EE9672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.43</w:t>
            </w:r>
          </w:p>
        </w:tc>
        <w:tc>
          <w:tcPr>
            <w:tcW w:w="709" w:type="dxa"/>
            <w:tcBorders>
              <w:top w:val="nil"/>
              <w:left w:val="single" w:sz="12" w:space="0" w:color="FF9E3C"/>
              <w:bottom w:val="nil"/>
              <w:right w:val="single" w:sz="12" w:space="0" w:color="FF9E3C"/>
            </w:tcBorders>
            <w:shd w:val="clear" w:color="000000" w:fill="FFFFFF"/>
            <w:hideMark/>
          </w:tcPr>
          <w:p w14:paraId="2B27AB4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.57</w:t>
            </w:r>
          </w:p>
        </w:tc>
        <w:tc>
          <w:tcPr>
            <w:tcW w:w="850" w:type="dxa"/>
            <w:tcBorders>
              <w:top w:val="nil"/>
              <w:left w:val="single" w:sz="12" w:space="0" w:color="FF9E3C"/>
              <w:bottom w:val="nil"/>
              <w:right w:val="single" w:sz="12" w:space="0" w:color="FF9E3C"/>
            </w:tcBorders>
            <w:shd w:val="clear" w:color="000000" w:fill="FFFFFF"/>
            <w:hideMark/>
          </w:tcPr>
          <w:p w14:paraId="2BE351C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.63</w:t>
            </w:r>
          </w:p>
        </w:tc>
      </w:tr>
      <w:tr w:rsidR="00A110B5" w:rsidRPr="00B054FD" w14:paraId="65633AD8"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4574DB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44C650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1CD973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72DE2C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660E98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( 0.6, 7.6)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EEC54C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( 5.0,11.0)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B7C797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(26.1,35.2)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214C555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0872002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187BEDE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797996A6"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AD54E9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Reduced Events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434630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1.14</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78C6CBA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1.67</w:t>
            </w:r>
          </w:p>
        </w:tc>
        <w:tc>
          <w:tcPr>
            <w:tcW w:w="1084" w:type="dxa"/>
            <w:tcBorders>
              <w:top w:val="nil"/>
              <w:left w:val="single" w:sz="12" w:space="0" w:color="FF9E3C"/>
              <w:bottom w:val="nil"/>
              <w:right w:val="single" w:sz="12" w:space="0" w:color="FF9E3C"/>
            </w:tcBorders>
            <w:shd w:val="clear" w:color="000000" w:fill="FFFFFF"/>
            <w:vAlign w:val="center"/>
            <w:hideMark/>
          </w:tcPr>
          <w:p w14:paraId="7D8042B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3C8BB64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7.4</w:t>
            </w:r>
          </w:p>
        </w:tc>
        <w:tc>
          <w:tcPr>
            <w:tcW w:w="1020" w:type="dxa"/>
            <w:tcBorders>
              <w:top w:val="nil"/>
              <w:left w:val="single" w:sz="12" w:space="0" w:color="FF9E3C"/>
              <w:bottom w:val="nil"/>
              <w:right w:val="single" w:sz="12" w:space="0" w:color="FF9E3C"/>
            </w:tcBorders>
            <w:shd w:val="clear" w:color="000000" w:fill="FFFFFF"/>
            <w:vAlign w:val="center"/>
            <w:hideMark/>
          </w:tcPr>
          <w:p w14:paraId="56DD89C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15.0</w:t>
            </w:r>
          </w:p>
        </w:tc>
        <w:tc>
          <w:tcPr>
            <w:tcW w:w="1020" w:type="dxa"/>
            <w:tcBorders>
              <w:top w:val="nil"/>
              <w:left w:val="single" w:sz="12" w:space="0" w:color="FF9E3C"/>
              <w:bottom w:val="nil"/>
              <w:right w:val="single" w:sz="12" w:space="0" w:color="FF9E3C"/>
            </w:tcBorders>
            <w:shd w:val="clear" w:color="000000" w:fill="FFFFFF"/>
            <w:vAlign w:val="center"/>
            <w:hideMark/>
          </w:tcPr>
          <w:p w14:paraId="0BFA8C8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35.4</w:t>
            </w:r>
          </w:p>
        </w:tc>
        <w:tc>
          <w:tcPr>
            <w:tcW w:w="626" w:type="dxa"/>
            <w:tcBorders>
              <w:top w:val="nil"/>
              <w:left w:val="single" w:sz="12" w:space="0" w:color="FF9E3C"/>
              <w:bottom w:val="nil"/>
              <w:right w:val="single" w:sz="12" w:space="0" w:color="FF9E3C"/>
            </w:tcBorders>
            <w:shd w:val="clear" w:color="000000" w:fill="FFFFFF"/>
            <w:hideMark/>
          </w:tcPr>
          <w:p w14:paraId="25EDE19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.35</w:t>
            </w:r>
          </w:p>
        </w:tc>
        <w:tc>
          <w:tcPr>
            <w:tcW w:w="709" w:type="dxa"/>
            <w:tcBorders>
              <w:top w:val="nil"/>
              <w:left w:val="single" w:sz="12" w:space="0" w:color="FF9E3C"/>
              <w:bottom w:val="nil"/>
              <w:right w:val="single" w:sz="12" w:space="0" w:color="FF9E3C"/>
            </w:tcBorders>
            <w:shd w:val="clear" w:color="000000" w:fill="FFFFFF"/>
            <w:hideMark/>
          </w:tcPr>
          <w:p w14:paraId="31F47A2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.38</w:t>
            </w:r>
          </w:p>
        </w:tc>
        <w:tc>
          <w:tcPr>
            <w:tcW w:w="850" w:type="dxa"/>
            <w:tcBorders>
              <w:top w:val="nil"/>
              <w:left w:val="single" w:sz="12" w:space="0" w:color="FF9E3C"/>
              <w:bottom w:val="nil"/>
              <w:right w:val="single" w:sz="12" w:space="0" w:color="FF9E3C"/>
            </w:tcBorders>
            <w:shd w:val="clear" w:color="000000" w:fill="FFFFFF"/>
            <w:hideMark/>
          </w:tcPr>
          <w:p w14:paraId="0AFF26A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.50</w:t>
            </w:r>
          </w:p>
        </w:tc>
      </w:tr>
      <w:tr w:rsidR="00A110B5" w:rsidRPr="00B054FD" w14:paraId="5FDE369E"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489545E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1A89D6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CAAEEA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4934B8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1C5240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(3.6,13.9)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303096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(11.4,19.4)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68CF32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(30.8,40.2)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85A3D7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48F4236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58FF940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15016DF8"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AE22B1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Increased Conflict</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019B9CC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1.11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9D9163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3.31</w:t>
            </w:r>
          </w:p>
        </w:tc>
        <w:tc>
          <w:tcPr>
            <w:tcW w:w="1084" w:type="dxa"/>
            <w:tcBorders>
              <w:top w:val="nil"/>
              <w:left w:val="single" w:sz="12" w:space="0" w:color="FF9E3C"/>
              <w:bottom w:val="nil"/>
              <w:right w:val="single" w:sz="12" w:space="0" w:color="FF9E3C"/>
            </w:tcBorders>
            <w:shd w:val="clear" w:color="000000" w:fill="FFFFFF"/>
            <w:vAlign w:val="center"/>
            <w:hideMark/>
          </w:tcPr>
          <w:p w14:paraId="28370D9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311EAB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4167696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7.5</w:t>
            </w:r>
          </w:p>
        </w:tc>
        <w:tc>
          <w:tcPr>
            <w:tcW w:w="1020" w:type="dxa"/>
            <w:tcBorders>
              <w:top w:val="nil"/>
              <w:left w:val="single" w:sz="12" w:space="0" w:color="FF9E3C"/>
              <w:bottom w:val="nil"/>
              <w:right w:val="single" w:sz="12" w:space="0" w:color="FF9E3C"/>
            </w:tcBorders>
            <w:shd w:val="clear" w:color="000000" w:fill="FFFFFF"/>
            <w:vAlign w:val="center"/>
            <w:hideMark/>
          </w:tcPr>
          <w:p w14:paraId="3743108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32.0</w:t>
            </w:r>
          </w:p>
        </w:tc>
        <w:tc>
          <w:tcPr>
            <w:tcW w:w="626" w:type="dxa"/>
            <w:tcBorders>
              <w:top w:val="nil"/>
              <w:left w:val="single" w:sz="12" w:space="0" w:color="FF9E3C"/>
              <w:bottom w:val="nil"/>
              <w:right w:val="single" w:sz="12" w:space="0" w:color="FF9E3C"/>
            </w:tcBorders>
            <w:shd w:val="clear" w:color="000000" w:fill="FFFFFF"/>
            <w:hideMark/>
          </w:tcPr>
          <w:p w14:paraId="22DDAD7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.44</w:t>
            </w:r>
          </w:p>
        </w:tc>
        <w:tc>
          <w:tcPr>
            <w:tcW w:w="709" w:type="dxa"/>
            <w:tcBorders>
              <w:top w:val="nil"/>
              <w:left w:val="single" w:sz="12" w:space="0" w:color="FF9E3C"/>
              <w:bottom w:val="nil"/>
              <w:right w:val="single" w:sz="12" w:space="0" w:color="FF9E3C"/>
            </w:tcBorders>
            <w:shd w:val="clear" w:color="000000" w:fill="FFFFFF"/>
            <w:hideMark/>
          </w:tcPr>
          <w:p w14:paraId="2D53637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.60</w:t>
            </w:r>
          </w:p>
        </w:tc>
        <w:tc>
          <w:tcPr>
            <w:tcW w:w="850" w:type="dxa"/>
            <w:tcBorders>
              <w:top w:val="nil"/>
              <w:left w:val="single" w:sz="12" w:space="0" w:color="FF9E3C"/>
              <w:bottom w:val="nil"/>
              <w:right w:val="single" w:sz="12" w:space="0" w:color="FF9E3C"/>
            </w:tcBorders>
            <w:shd w:val="clear" w:color="000000" w:fill="FFFFFF"/>
            <w:hideMark/>
          </w:tcPr>
          <w:p w14:paraId="731C053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.64</w:t>
            </w:r>
          </w:p>
        </w:tc>
      </w:tr>
      <w:tr w:rsidR="00A110B5" w:rsidRPr="00B054FD" w14:paraId="44A223BC"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2E48C2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44E16B7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6E4902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97B969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54CF7F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4D0D7A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( 5.0,11.0)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AED17B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(27.5,36.7)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4B4050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39328C7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63440C8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4185128A"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B41CB1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Neg. Resp.</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618615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0.89</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05AD40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2.69</w:t>
            </w:r>
          </w:p>
        </w:tc>
        <w:tc>
          <w:tcPr>
            <w:tcW w:w="1084" w:type="dxa"/>
            <w:tcBorders>
              <w:top w:val="nil"/>
              <w:left w:val="single" w:sz="12" w:space="0" w:color="FF9E3C"/>
              <w:bottom w:val="nil"/>
              <w:right w:val="single" w:sz="12" w:space="0" w:color="FF9E3C"/>
            </w:tcBorders>
            <w:shd w:val="clear" w:color="000000" w:fill="FFFFFF"/>
            <w:vAlign w:val="center"/>
            <w:hideMark/>
          </w:tcPr>
          <w:p w14:paraId="27848B0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22D547E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3.3</w:t>
            </w:r>
          </w:p>
        </w:tc>
        <w:tc>
          <w:tcPr>
            <w:tcW w:w="1020" w:type="dxa"/>
            <w:tcBorders>
              <w:top w:val="nil"/>
              <w:left w:val="single" w:sz="12" w:space="0" w:color="FF9E3C"/>
              <w:bottom w:val="nil"/>
              <w:right w:val="single" w:sz="12" w:space="0" w:color="FF9E3C"/>
            </w:tcBorders>
            <w:shd w:val="clear" w:color="000000" w:fill="FFFFFF"/>
            <w:vAlign w:val="center"/>
            <w:hideMark/>
          </w:tcPr>
          <w:p w14:paraId="6B345F0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15.0</w:t>
            </w:r>
          </w:p>
        </w:tc>
        <w:tc>
          <w:tcPr>
            <w:tcW w:w="1020" w:type="dxa"/>
            <w:tcBorders>
              <w:top w:val="nil"/>
              <w:left w:val="single" w:sz="12" w:space="0" w:color="FF9E3C"/>
              <w:bottom w:val="nil"/>
              <w:right w:val="single" w:sz="12" w:space="0" w:color="FF9E3C"/>
            </w:tcBorders>
            <w:shd w:val="clear" w:color="000000" w:fill="FFFFFF"/>
            <w:vAlign w:val="center"/>
            <w:hideMark/>
          </w:tcPr>
          <w:p w14:paraId="532D8D6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39.8</w:t>
            </w:r>
          </w:p>
        </w:tc>
        <w:tc>
          <w:tcPr>
            <w:tcW w:w="626" w:type="dxa"/>
            <w:tcBorders>
              <w:top w:val="nil"/>
              <w:left w:val="single" w:sz="12" w:space="0" w:color="FF9E3C"/>
              <w:bottom w:val="nil"/>
              <w:right w:val="single" w:sz="12" w:space="0" w:color="FF9E3C"/>
            </w:tcBorders>
            <w:shd w:val="clear" w:color="000000" w:fill="FFFFFF"/>
            <w:hideMark/>
          </w:tcPr>
          <w:p w14:paraId="1596220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.39</w:t>
            </w:r>
          </w:p>
        </w:tc>
        <w:tc>
          <w:tcPr>
            <w:tcW w:w="709" w:type="dxa"/>
            <w:tcBorders>
              <w:top w:val="nil"/>
              <w:left w:val="single" w:sz="12" w:space="0" w:color="FF9E3C"/>
              <w:bottom w:val="nil"/>
              <w:right w:val="single" w:sz="12" w:space="0" w:color="FF9E3C"/>
            </w:tcBorders>
            <w:shd w:val="clear" w:color="000000" w:fill="FFFFFF"/>
            <w:hideMark/>
          </w:tcPr>
          <w:p w14:paraId="3BA515B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.54</w:t>
            </w:r>
          </w:p>
        </w:tc>
        <w:tc>
          <w:tcPr>
            <w:tcW w:w="850" w:type="dxa"/>
            <w:tcBorders>
              <w:top w:val="nil"/>
              <w:left w:val="single" w:sz="12" w:space="0" w:color="FF9E3C"/>
              <w:bottom w:val="nil"/>
              <w:right w:val="single" w:sz="12" w:space="0" w:color="FF9E3C"/>
            </w:tcBorders>
            <w:shd w:val="clear" w:color="000000" w:fill="FFFFFF"/>
            <w:hideMark/>
          </w:tcPr>
          <w:p w14:paraId="473E711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.62</w:t>
            </w:r>
          </w:p>
        </w:tc>
      </w:tr>
      <w:tr w:rsidR="00A110B5" w:rsidRPr="00B054FD" w14:paraId="17CA69F9"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2924FECB"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0B4F703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1919A5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9DBE98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49BCB8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( 1.1, 8.7)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7DB97F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(11.4,19.4)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E60BE3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(35.0,44.7)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06EDAC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17CC4CE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13AE10E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40B73D5A"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4B502DF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Increased Tension</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DFFC1D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7BBDA3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3.84</w:t>
            </w:r>
          </w:p>
        </w:tc>
        <w:tc>
          <w:tcPr>
            <w:tcW w:w="1084" w:type="dxa"/>
            <w:tcBorders>
              <w:top w:val="nil"/>
              <w:left w:val="single" w:sz="12" w:space="0" w:color="FF9E3C"/>
              <w:bottom w:val="nil"/>
              <w:right w:val="single" w:sz="12" w:space="0" w:color="FF9E3C"/>
            </w:tcBorders>
            <w:shd w:val="clear" w:color="000000" w:fill="FFFFFF"/>
            <w:vAlign w:val="center"/>
            <w:hideMark/>
          </w:tcPr>
          <w:p w14:paraId="3CAEBDD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16B6408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3.3</w:t>
            </w:r>
          </w:p>
        </w:tc>
        <w:tc>
          <w:tcPr>
            <w:tcW w:w="1020" w:type="dxa"/>
            <w:tcBorders>
              <w:top w:val="nil"/>
              <w:left w:val="single" w:sz="12" w:space="0" w:color="FF9E3C"/>
              <w:bottom w:val="nil"/>
              <w:right w:val="single" w:sz="12" w:space="0" w:color="FF9E3C"/>
            </w:tcBorders>
            <w:shd w:val="clear" w:color="000000" w:fill="FFFFFF"/>
            <w:vAlign w:val="center"/>
            <w:hideMark/>
          </w:tcPr>
          <w:p w14:paraId="68D6E0F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12.9</w:t>
            </w:r>
          </w:p>
        </w:tc>
        <w:tc>
          <w:tcPr>
            <w:tcW w:w="1020" w:type="dxa"/>
            <w:tcBorders>
              <w:top w:val="nil"/>
              <w:left w:val="single" w:sz="12" w:space="0" w:color="FF9E3C"/>
              <w:bottom w:val="nil"/>
              <w:right w:val="single" w:sz="12" w:space="0" w:color="FF9E3C"/>
            </w:tcBorders>
            <w:shd w:val="clear" w:color="000000" w:fill="FFFFFF"/>
            <w:vAlign w:val="center"/>
            <w:hideMark/>
          </w:tcPr>
          <w:p w14:paraId="168281F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42.9</w:t>
            </w:r>
          </w:p>
        </w:tc>
        <w:tc>
          <w:tcPr>
            <w:tcW w:w="626" w:type="dxa"/>
            <w:tcBorders>
              <w:top w:val="nil"/>
              <w:left w:val="single" w:sz="12" w:space="0" w:color="FF9E3C"/>
              <w:bottom w:val="nil"/>
              <w:right w:val="single" w:sz="12" w:space="0" w:color="FF9E3C"/>
            </w:tcBorders>
            <w:shd w:val="clear" w:color="000000" w:fill="FFFFFF"/>
            <w:hideMark/>
          </w:tcPr>
          <w:p w14:paraId="27BF8BD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.48</w:t>
            </w:r>
          </w:p>
        </w:tc>
        <w:tc>
          <w:tcPr>
            <w:tcW w:w="709" w:type="dxa"/>
            <w:tcBorders>
              <w:top w:val="nil"/>
              <w:left w:val="single" w:sz="12" w:space="0" w:color="FF9E3C"/>
              <w:bottom w:val="nil"/>
              <w:right w:val="single" w:sz="12" w:space="0" w:color="FF9E3C"/>
            </w:tcBorders>
            <w:shd w:val="clear" w:color="000000" w:fill="FFFFFF"/>
            <w:hideMark/>
          </w:tcPr>
          <w:p w14:paraId="7A654F2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.61</w:t>
            </w:r>
          </w:p>
        </w:tc>
        <w:tc>
          <w:tcPr>
            <w:tcW w:w="850" w:type="dxa"/>
            <w:tcBorders>
              <w:top w:val="nil"/>
              <w:left w:val="single" w:sz="12" w:space="0" w:color="FF9E3C"/>
              <w:bottom w:val="nil"/>
              <w:right w:val="single" w:sz="12" w:space="0" w:color="FF9E3C"/>
            </w:tcBorders>
            <w:shd w:val="clear" w:color="000000" w:fill="FFFFFF"/>
            <w:hideMark/>
          </w:tcPr>
          <w:p w14:paraId="1B9BBD3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.67</w:t>
            </w:r>
          </w:p>
        </w:tc>
      </w:tr>
      <w:tr w:rsidR="00A110B5" w:rsidRPr="00B054FD" w14:paraId="27066FBE"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0B9730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57E720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EE9C0B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8926F9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4CECDA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( 1.1, 8.7)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CB4D13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( 9.6,17.1)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FCC133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(38.1,47.9)</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030ACB3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50232F3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70D7EF5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1416516F" w14:textId="77777777" w:rsidTr="00F812A7">
        <w:trPr>
          <w:trHeight w:val="195"/>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FFFF"/>
            <w:hideMark/>
          </w:tcPr>
          <w:p w14:paraId="3CF9A54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Reduced Time</w:t>
            </w:r>
          </w:p>
        </w:tc>
        <w:tc>
          <w:tcPr>
            <w:tcW w:w="851" w:type="dxa"/>
            <w:vMerge w:val="restart"/>
            <w:tcBorders>
              <w:top w:val="single" w:sz="12" w:space="0" w:color="FF9E3C"/>
              <w:left w:val="single" w:sz="12" w:space="0" w:color="FF9E3C"/>
              <w:bottom w:val="single" w:sz="12" w:space="0" w:color="FF9E3C"/>
              <w:right w:val="single" w:sz="12" w:space="0" w:color="FF9E3C"/>
            </w:tcBorders>
            <w:shd w:val="clear" w:color="000000" w:fill="FFFFFF"/>
            <w:hideMark/>
          </w:tcPr>
          <w:p w14:paraId="5045E1F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0.58</w:t>
            </w:r>
          </w:p>
        </w:tc>
        <w:tc>
          <w:tcPr>
            <w:tcW w:w="900" w:type="dxa"/>
            <w:vMerge w:val="restart"/>
            <w:tcBorders>
              <w:top w:val="single" w:sz="12" w:space="0" w:color="FF9E3C"/>
              <w:left w:val="single" w:sz="12" w:space="0" w:color="FF9E3C"/>
              <w:bottom w:val="single" w:sz="12" w:space="0" w:color="FF9E3C"/>
              <w:right w:val="single" w:sz="12" w:space="0" w:color="FF9E3C"/>
            </w:tcBorders>
            <w:shd w:val="clear" w:color="000000" w:fill="FFFFFF"/>
            <w:hideMark/>
          </w:tcPr>
          <w:p w14:paraId="23FBA14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2.00</w:t>
            </w:r>
          </w:p>
        </w:tc>
        <w:tc>
          <w:tcPr>
            <w:tcW w:w="1084" w:type="dxa"/>
            <w:tcBorders>
              <w:top w:val="single" w:sz="12" w:space="0" w:color="FF9E3C"/>
              <w:left w:val="single" w:sz="12" w:space="0" w:color="FF9E3C"/>
              <w:bottom w:val="nil"/>
              <w:right w:val="single" w:sz="12" w:space="0" w:color="FF9E3C"/>
            </w:tcBorders>
            <w:shd w:val="clear" w:color="000000" w:fill="FFFFFF"/>
            <w:vAlign w:val="center"/>
            <w:hideMark/>
          </w:tcPr>
          <w:p w14:paraId="07669F4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5.9</w:t>
            </w:r>
          </w:p>
        </w:tc>
        <w:tc>
          <w:tcPr>
            <w:tcW w:w="1020" w:type="dxa"/>
            <w:tcBorders>
              <w:top w:val="single" w:sz="12" w:space="0" w:color="FF9E3C"/>
              <w:left w:val="single" w:sz="12" w:space="0" w:color="FF9E3C"/>
              <w:bottom w:val="nil"/>
              <w:right w:val="single" w:sz="12" w:space="0" w:color="FF9E3C"/>
            </w:tcBorders>
            <w:shd w:val="clear" w:color="000000" w:fill="FFFFFF"/>
            <w:vAlign w:val="center"/>
            <w:hideMark/>
          </w:tcPr>
          <w:p w14:paraId="06F9E82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10.7</w:t>
            </w:r>
          </w:p>
        </w:tc>
        <w:tc>
          <w:tcPr>
            <w:tcW w:w="1020" w:type="dxa"/>
            <w:tcBorders>
              <w:top w:val="single" w:sz="12" w:space="0" w:color="FF9E3C"/>
              <w:left w:val="single" w:sz="12" w:space="0" w:color="FF9E3C"/>
              <w:bottom w:val="nil"/>
              <w:right w:val="single" w:sz="12" w:space="0" w:color="FF9E3C"/>
            </w:tcBorders>
            <w:shd w:val="clear" w:color="000000" w:fill="FFFFFF"/>
            <w:vAlign w:val="center"/>
            <w:hideMark/>
          </w:tcPr>
          <w:p w14:paraId="3C4CB75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23.7</w:t>
            </w:r>
          </w:p>
        </w:tc>
        <w:tc>
          <w:tcPr>
            <w:tcW w:w="1020" w:type="dxa"/>
            <w:tcBorders>
              <w:top w:val="single" w:sz="12" w:space="0" w:color="FF9E3C"/>
              <w:left w:val="single" w:sz="12" w:space="0" w:color="FF9E3C"/>
              <w:bottom w:val="nil"/>
              <w:right w:val="single" w:sz="12" w:space="0" w:color="FF9E3C"/>
            </w:tcBorders>
            <w:shd w:val="clear" w:color="000000" w:fill="FFFFFF"/>
            <w:vAlign w:val="center"/>
            <w:hideMark/>
          </w:tcPr>
          <w:p w14:paraId="6622C99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53.7</w:t>
            </w:r>
          </w:p>
        </w:tc>
        <w:tc>
          <w:tcPr>
            <w:tcW w:w="626" w:type="dxa"/>
            <w:tcBorders>
              <w:top w:val="single" w:sz="12" w:space="0" w:color="FF9E3C"/>
              <w:left w:val="single" w:sz="12" w:space="0" w:color="FF9E3C"/>
              <w:bottom w:val="nil"/>
              <w:right w:val="single" w:sz="12" w:space="0" w:color="FF9E3C"/>
            </w:tcBorders>
            <w:shd w:val="clear" w:color="000000" w:fill="FFFFFF"/>
            <w:hideMark/>
          </w:tcPr>
          <w:p w14:paraId="5F9C942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.45</w:t>
            </w:r>
          </w:p>
        </w:tc>
        <w:tc>
          <w:tcPr>
            <w:tcW w:w="709" w:type="dxa"/>
            <w:tcBorders>
              <w:top w:val="single" w:sz="12" w:space="0" w:color="FF9E3C"/>
              <w:left w:val="single" w:sz="12" w:space="0" w:color="FF9E3C"/>
              <w:bottom w:val="nil"/>
              <w:right w:val="single" w:sz="12" w:space="0" w:color="FF9E3C"/>
            </w:tcBorders>
            <w:shd w:val="clear" w:color="000000" w:fill="FFFFFF"/>
            <w:hideMark/>
          </w:tcPr>
          <w:p w14:paraId="14EC5E0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.53</w:t>
            </w:r>
          </w:p>
        </w:tc>
        <w:tc>
          <w:tcPr>
            <w:tcW w:w="850" w:type="dxa"/>
            <w:tcBorders>
              <w:top w:val="single" w:sz="12" w:space="0" w:color="FF9E3C"/>
              <w:left w:val="single" w:sz="12" w:space="0" w:color="FF9E3C"/>
              <w:bottom w:val="nil"/>
              <w:right w:val="single" w:sz="12" w:space="0" w:color="FF9E3C"/>
            </w:tcBorders>
            <w:shd w:val="clear" w:color="000000" w:fill="FFFFFF"/>
            <w:hideMark/>
          </w:tcPr>
          <w:p w14:paraId="4AE025C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.54</w:t>
            </w:r>
          </w:p>
        </w:tc>
      </w:tr>
      <w:tr w:rsidR="00A110B5" w:rsidRPr="00B054FD" w14:paraId="56D10D2D"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73ED8C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010E3E4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A770AC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3E5FD0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( 2.2,13.8)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9285DA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(6.0,17.9)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C9EA87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(19.3,28.7)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DB299C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(48.7,58.5)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7C337F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47461D0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67D44E6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0EF41F4D" w14:textId="77777777" w:rsidTr="00CC2D44">
        <w:trPr>
          <w:trHeight w:val="113"/>
        </w:trPr>
        <w:tc>
          <w:tcPr>
            <w:tcW w:w="9781" w:type="dxa"/>
            <w:gridSpan w:val="10"/>
            <w:tcBorders>
              <w:top w:val="single" w:sz="12" w:space="0" w:color="FF9E3C"/>
              <w:left w:val="single" w:sz="12" w:space="0" w:color="FF9E3C"/>
              <w:right w:val="single" w:sz="12" w:space="0" w:color="FF9E3C"/>
            </w:tcBorders>
            <w:shd w:val="clear" w:color="000000" w:fill="FFCF8F"/>
            <w:vAlign w:val="center"/>
            <w:hideMark/>
          </w:tcPr>
          <w:p w14:paraId="2CF35AEE" w14:textId="77777777" w:rsidR="00A110B5" w:rsidRPr="00B054FD"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B054FD">
              <w:rPr>
                <w:rFonts w:cs="Arial"/>
                <w:b/>
                <w:bCs/>
                <w:i/>
                <w:iCs/>
                <w:color w:val="1C3158"/>
                <w:sz w:val="16"/>
                <w:szCs w:val="16"/>
                <w:lang w:eastAsia="ja-JP"/>
              </w:rPr>
              <w:t>Other</w:t>
            </w:r>
          </w:p>
        </w:tc>
      </w:tr>
      <w:tr w:rsidR="00A110B5" w:rsidRPr="00B054FD" w14:paraId="173E4F15"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4661815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Arrested. Driving</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5AC0BE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2.86</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45144D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2.12</w:t>
            </w:r>
          </w:p>
        </w:tc>
        <w:tc>
          <w:tcPr>
            <w:tcW w:w="1084" w:type="dxa"/>
            <w:tcBorders>
              <w:top w:val="nil"/>
              <w:left w:val="single" w:sz="12" w:space="0" w:color="FF9E3C"/>
              <w:bottom w:val="nil"/>
              <w:right w:val="single" w:sz="12" w:space="0" w:color="FF9E3C"/>
            </w:tcBorders>
            <w:shd w:val="clear" w:color="000000" w:fill="FFFFFF"/>
            <w:vAlign w:val="center"/>
            <w:hideMark/>
          </w:tcPr>
          <w:p w14:paraId="4CCB584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0068A0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5E9765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0.3</w:t>
            </w:r>
          </w:p>
        </w:tc>
        <w:tc>
          <w:tcPr>
            <w:tcW w:w="1020" w:type="dxa"/>
            <w:tcBorders>
              <w:top w:val="nil"/>
              <w:left w:val="single" w:sz="12" w:space="0" w:color="FF9E3C"/>
              <w:bottom w:val="nil"/>
              <w:right w:val="single" w:sz="12" w:space="0" w:color="FF9E3C"/>
            </w:tcBorders>
            <w:shd w:val="clear" w:color="000000" w:fill="FFFFFF"/>
            <w:vAlign w:val="center"/>
            <w:hideMark/>
          </w:tcPr>
          <w:p w14:paraId="686E055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3.7</w:t>
            </w:r>
          </w:p>
        </w:tc>
        <w:tc>
          <w:tcPr>
            <w:tcW w:w="626" w:type="dxa"/>
            <w:tcBorders>
              <w:top w:val="nil"/>
              <w:left w:val="single" w:sz="12" w:space="0" w:color="FF9E3C"/>
              <w:bottom w:val="nil"/>
              <w:right w:val="single" w:sz="12" w:space="0" w:color="FF9E3C"/>
            </w:tcBorders>
            <w:shd w:val="clear" w:color="000000" w:fill="FFFFFF"/>
            <w:hideMark/>
          </w:tcPr>
          <w:p w14:paraId="5FCF4EE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w:t>
            </w:r>
          </w:p>
        </w:tc>
        <w:tc>
          <w:tcPr>
            <w:tcW w:w="709" w:type="dxa"/>
            <w:tcBorders>
              <w:top w:val="nil"/>
              <w:left w:val="single" w:sz="12" w:space="0" w:color="FF9E3C"/>
              <w:bottom w:val="nil"/>
              <w:right w:val="single" w:sz="12" w:space="0" w:color="FF9E3C"/>
            </w:tcBorders>
            <w:shd w:val="clear" w:color="000000" w:fill="FFFFFF"/>
            <w:hideMark/>
          </w:tcPr>
          <w:p w14:paraId="2F135A5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w:t>
            </w:r>
          </w:p>
        </w:tc>
        <w:tc>
          <w:tcPr>
            <w:tcW w:w="850" w:type="dxa"/>
            <w:tcBorders>
              <w:top w:val="nil"/>
              <w:left w:val="single" w:sz="12" w:space="0" w:color="FF9E3C"/>
              <w:bottom w:val="nil"/>
              <w:right w:val="single" w:sz="12" w:space="0" w:color="FF9E3C"/>
            </w:tcBorders>
            <w:shd w:val="clear" w:color="000000" w:fill="FFFFFF"/>
            <w:hideMark/>
          </w:tcPr>
          <w:p w14:paraId="147CEA8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.37</w:t>
            </w:r>
          </w:p>
        </w:tc>
      </w:tr>
      <w:tr w:rsidR="00A110B5" w:rsidRPr="00B054FD" w14:paraId="312ECD85" w14:textId="77777777" w:rsidTr="00CC2D44">
        <w:trPr>
          <w:trHeight w:val="50"/>
        </w:trPr>
        <w:tc>
          <w:tcPr>
            <w:tcW w:w="1701" w:type="dxa"/>
            <w:vMerge/>
            <w:tcBorders>
              <w:top w:val="nil"/>
              <w:left w:val="single" w:sz="12" w:space="0" w:color="FF9E3C"/>
              <w:bottom w:val="single" w:sz="12" w:space="0" w:color="FF9E3C"/>
              <w:right w:val="single" w:sz="12" w:space="0" w:color="FF9E3C"/>
            </w:tcBorders>
            <w:vAlign w:val="center"/>
            <w:hideMark/>
          </w:tcPr>
          <w:p w14:paraId="4C6C8CC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B61985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6A1D361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7DB0E21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5DEDFC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23CAC1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1.9)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CA2C86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( 2.1, 6.1)</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0BEF977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0191E3E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54E0050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23A9FED4"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B8F27A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Children Unsup.</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DF2192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2.83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7BBC9A9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1.90</w:t>
            </w:r>
          </w:p>
        </w:tc>
        <w:tc>
          <w:tcPr>
            <w:tcW w:w="1084" w:type="dxa"/>
            <w:tcBorders>
              <w:top w:val="nil"/>
              <w:left w:val="single" w:sz="12" w:space="0" w:color="FF9E3C"/>
              <w:bottom w:val="nil"/>
              <w:right w:val="single" w:sz="12" w:space="0" w:color="FF9E3C"/>
            </w:tcBorders>
            <w:shd w:val="clear" w:color="000000" w:fill="FFFFFF"/>
            <w:vAlign w:val="center"/>
            <w:hideMark/>
          </w:tcPr>
          <w:p w14:paraId="0D83FC4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1B7142A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6315B50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0.9</w:t>
            </w:r>
          </w:p>
        </w:tc>
        <w:tc>
          <w:tcPr>
            <w:tcW w:w="1020" w:type="dxa"/>
            <w:tcBorders>
              <w:top w:val="nil"/>
              <w:left w:val="single" w:sz="12" w:space="0" w:color="FF9E3C"/>
              <w:bottom w:val="nil"/>
              <w:right w:val="single" w:sz="12" w:space="0" w:color="FF9E3C"/>
            </w:tcBorders>
            <w:shd w:val="clear" w:color="000000" w:fill="FFFFFF"/>
            <w:vAlign w:val="center"/>
            <w:hideMark/>
          </w:tcPr>
          <w:p w14:paraId="52CE197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3.9</w:t>
            </w:r>
          </w:p>
        </w:tc>
        <w:tc>
          <w:tcPr>
            <w:tcW w:w="626" w:type="dxa"/>
            <w:tcBorders>
              <w:top w:val="nil"/>
              <w:left w:val="single" w:sz="12" w:space="0" w:color="FF9E3C"/>
              <w:bottom w:val="nil"/>
              <w:right w:val="single" w:sz="12" w:space="0" w:color="FF9E3C"/>
            </w:tcBorders>
            <w:shd w:val="clear" w:color="000000" w:fill="FFFFFF"/>
            <w:hideMark/>
          </w:tcPr>
          <w:p w14:paraId="47B3E13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.16</w:t>
            </w:r>
          </w:p>
        </w:tc>
        <w:tc>
          <w:tcPr>
            <w:tcW w:w="709" w:type="dxa"/>
            <w:tcBorders>
              <w:top w:val="nil"/>
              <w:left w:val="single" w:sz="12" w:space="0" w:color="FF9E3C"/>
              <w:bottom w:val="nil"/>
              <w:right w:val="single" w:sz="12" w:space="0" w:color="FF9E3C"/>
            </w:tcBorders>
            <w:shd w:val="clear" w:color="000000" w:fill="FFFFFF"/>
            <w:hideMark/>
          </w:tcPr>
          <w:p w14:paraId="5AD3E5E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w:t>
            </w:r>
          </w:p>
        </w:tc>
        <w:tc>
          <w:tcPr>
            <w:tcW w:w="850" w:type="dxa"/>
            <w:tcBorders>
              <w:top w:val="nil"/>
              <w:left w:val="single" w:sz="12" w:space="0" w:color="FF9E3C"/>
              <w:bottom w:val="nil"/>
              <w:right w:val="single" w:sz="12" w:space="0" w:color="FF9E3C"/>
            </w:tcBorders>
            <w:shd w:val="clear" w:color="000000" w:fill="FFFFFF"/>
            <w:hideMark/>
          </w:tcPr>
          <w:p w14:paraId="0E27B07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.36</w:t>
            </w:r>
          </w:p>
        </w:tc>
      </w:tr>
      <w:tr w:rsidR="00A110B5" w:rsidRPr="00B054FD" w14:paraId="7F903A92"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4BA1E1E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C655C4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7791CA1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F0293F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0F3732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696564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( 0.2, 2.8)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078758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( 2.3, 6.4)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840809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7D914F6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4AA037F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1266343B" w14:textId="77777777" w:rsidTr="00CC2D44">
        <w:trPr>
          <w:trHeight w:val="195"/>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FFFF"/>
            <w:hideMark/>
          </w:tcPr>
          <w:p w14:paraId="5B24018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Outcast Church</w:t>
            </w:r>
          </w:p>
        </w:tc>
        <w:tc>
          <w:tcPr>
            <w:tcW w:w="851" w:type="dxa"/>
            <w:vMerge w:val="restart"/>
            <w:tcBorders>
              <w:top w:val="single" w:sz="12" w:space="0" w:color="FF9E3C"/>
              <w:left w:val="single" w:sz="12" w:space="0" w:color="FF9E3C"/>
              <w:bottom w:val="single" w:sz="12" w:space="0" w:color="FF9E3C"/>
              <w:right w:val="single" w:sz="12" w:space="0" w:color="FF9E3C"/>
            </w:tcBorders>
            <w:shd w:val="clear" w:color="000000" w:fill="FFFFFF"/>
            <w:hideMark/>
          </w:tcPr>
          <w:p w14:paraId="0F5C6AA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2.59</w:t>
            </w:r>
          </w:p>
        </w:tc>
        <w:tc>
          <w:tcPr>
            <w:tcW w:w="900" w:type="dxa"/>
            <w:vMerge w:val="restart"/>
            <w:tcBorders>
              <w:top w:val="single" w:sz="12" w:space="0" w:color="FF9E3C"/>
              <w:left w:val="single" w:sz="12" w:space="0" w:color="FF9E3C"/>
              <w:bottom w:val="single" w:sz="12" w:space="0" w:color="FF9E3C"/>
              <w:right w:val="single" w:sz="12" w:space="0" w:color="FF9E3C"/>
            </w:tcBorders>
            <w:shd w:val="clear" w:color="000000" w:fill="FFFFFF"/>
            <w:hideMark/>
          </w:tcPr>
          <w:p w14:paraId="67740F6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2.40</w:t>
            </w:r>
          </w:p>
        </w:tc>
        <w:tc>
          <w:tcPr>
            <w:tcW w:w="1084" w:type="dxa"/>
            <w:tcBorders>
              <w:top w:val="single" w:sz="12" w:space="0" w:color="FF9E3C"/>
              <w:left w:val="single" w:sz="12" w:space="0" w:color="FF9E3C"/>
              <w:bottom w:val="nil"/>
              <w:right w:val="single" w:sz="12" w:space="0" w:color="FF9E3C"/>
            </w:tcBorders>
            <w:shd w:val="clear" w:color="000000" w:fill="FFFFFF"/>
            <w:vAlign w:val="center"/>
            <w:hideMark/>
          </w:tcPr>
          <w:p w14:paraId="6A80165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w:t>
            </w:r>
          </w:p>
        </w:tc>
        <w:tc>
          <w:tcPr>
            <w:tcW w:w="1020" w:type="dxa"/>
            <w:tcBorders>
              <w:top w:val="single" w:sz="12" w:space="0" w:color="FF9E3C"/>
              <w:left w:val="single" w:sz="12" w:space="0" w:color="FF9E3C"/>
              <w:bottom w:val="nil"/>
              <w:right w:val="single" w:sz="12" w:space="0" w:color="FF9E3C"/>
            </w:tcBorders>
            <w:shd w:val="clear" w:color="000000" w:fill="FFFFFF"/>
            <w:vAlign w:val="center"/>
            <w:hideMark/>
          </w:tcPr>
          <w:p w14:paraId="4EE5263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single" w:sz="12" w:space="0" w:color="FF9E3C"/>
              <w:left w:val="single" w:sz="12" w:space="0" w:color="FF9E3C"/>
              <w:bottom w:val="nil"/>
              <w:right w:val="single" w:sz="12" w:space="0" w:color="FF9E3C"/>
            </w:tcBorders>
            <w:shd w:val="clear" w:color="000000" w:fill="FFFFFF"/>
            <w:vAlign w:val="center"/>
            <w:hideMark/>
          </w:tcPr>
          <w:p w14:paraId="47F7474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single" w:sz="12" w:space="0" w:color="FF9E3C"/>
              <w:left w:val="single" w:sz="12" w:space="0" w:color="FF9E3C"/>
              <w:bottom w:val="nil"/>
              <w:right w:val="single" w:sz="12" w:space="0" w:color="FF9E3C"/>
            </w:tcBorders>
            <w:shd w:val="clear" w:color="000000" w:fill="FFFFFF"/>
            <w:vAlign w:val="center"/>
            <w:hideMark/>
          </w:tcPr>
          <w:p w14:paraId="74760C9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4.6</w:t>
            </w:r>
          </w:p>
        </w:tc>
        <w:tc>
          <w:tcPr>
            <w:tcW w:w="626" w:type="dxa"/>
            <w:tcBorders>
              <w:top w:val="single" w:sz="12" w:space="0" w:color="FF9E3C"/>
              <w:left w:val="single" w:sz="12" w:space="0" w:color="FF9E3C"/>
              <w:bottom w:val="nil"/>
              <w:right w:val="single" w:sz="12" w:space="0" w:color="FF9E3C"/>
            </w:tcBorders>
            <w:shd w:val="clear" w:color="000000" w:fill="FFFFFF"/>
            <w:hideMark/>
          </w:tcPr>
          <w:p w14:paraId="6FCEC81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.23</w:t>
            </w:r>
          </w:p>
        </w:tc>
        <w:tc>
          <w:tcPr>
            <w:tcW w:w="709" w:type="dxa"/>
            <w:tcBorders>
              <w:top w:val="single" w:sz="12" w:space="0" w:color="FF9E3C"/>
              <w:left w:val="single" w:sz="12" w:space="0" w:color="FF9E3C"/>
              <w:bottom w:val="nil"/>
              <w:right w:val="single" w:sz="12" w:space="0" w:color="FF9E3C"/>
            </w:tcBorders>
            <w:shd w:val="clear" w:color="000000" w:fill="FFFFFF"/>
            <w:hideMark/>
          </w:tcPr>
          <w:p w14:paraId="6ADFDBB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.23</w:t>
            </w:r>
          </w:p>
        </w:tc>
        <w:tc>
          <w:tcPr>
            <w:tcW w:w="850" w:type="dxa"/>
            <w:tcBorders>
              <w:top w:val="single" w:sz="12" w:space="0" w:color="FF9E3C"/>
              <w:left w:val="single" w:sz="12" w:space="0" w:color="FF9E3C"/>
              <w:bottom w:val="nil"/>
              <w:right w:val="single" w:sz="12" w:space="0" w:color="FF9E3C"/>
            </w:tcBorders>
            <w:shd w:val="clear" w:color="000000" w:fill="FFFFFF"/>
            <w:hideMark/>
          </w:tcPr>
          <w:p w14:paraId="28FD244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.44</w:t>
            </w:r>
          </w:p>
        </w:tc>
      </w:tr>
      <w:tr w:rsidR="00A110B5" w:rsidRPr="00B054FD" w14:paraId="6E007608"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5EE6CE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6D415C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1557BD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77CD88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B8C4CD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06D007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1.4)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0B6C03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( 2.9, 7.3)</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3DF8338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75DCA09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2C08F08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1F4543C3" w14:textId="77777777" w:rsidTr="00CC2D44">
        <w:trPr>
          <w:trHeight w:val="195"/>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FFFF"/>
            <w:hideMark/>
          </w:tcPr>
          <w:p w14:paraId="22BD0EF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Violence</w:t>
            </w:r>
          </w:p>
        </w:tc>
        <w:tc>
          <w:tcPr>
            <w:tcW w:w="851" w:type="dxa"/>
            <w:vMerge w:val="restart"/>
            <w:tcBorders>
              <w:top w:val="single" w:sz="12" w:space="0" w:color="FF9E3C"/>
              <w:left w:val="single" w:sz="12" w:space="0" w:color="FF9E3C"/>
              <w:bottom w:val="single" w:sz="12" w:space="0" w:color="FF9E3C"/>
              <w:right w:val="single" w:sz="12" w:space="0" w:color="FF9E3C"/>
            </w:tcBorders>
            <w:shd w:val="clear" w:color="000000" w:fill="FFFFFF"/>
            <w:hideMark/>
          </w:tcPr>
          <w:p w14:paraId="49F2D4B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2.56</w:t>
            </w:r>
          </w:p>
        </w:tc>
        <w:tc>
          <w:tcPr>
            <w:tcW w:w="900" w:type="dxa"/>
            <w:vMerge w:val="restart"/>
            <w:tcBorders>
              <w:top w:val="single" w:sz="12" w:space="0" w:color="FF9E3C"/>
              <w:left w:val="single" w:sz="12" w:space="0" w:color="FF9E3C"/>
              <w:bottom w:val="single" w:sz="12" w:space="0" w:color="FF9E3C"/>
              <w:right w:val="single" w:sz="12" w:space="0" w:color="FF9E3C"/>
            </w:tcBorders>
            <w:shd w:val="clear" w:color="000000" w:fill="FFFFFF"/>
            <w:hideMark/>
          </w:tcPr>
          <w:p w14:paraId="03D868C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1.53</w:t>
            </w:r>
          </w:p>
        </w:tc>
        <w:tc>
          <w:tcPr>
            <w:tcW w:w="1084" w:type="dxa"/>
            <w:tcBorders>
              <w:top w:val="single" w:sz="12" w:space="0" w:color="FF9E3C"/>
              <w:left w:val="single" w:sz="12" w:space="0" w:color="FF9E3C"/>
              <w:bottom w:val="nil"/>
              <w:right w:val="single" w:sz="12" w:space="0" w:color="FF9E3C"/>
            </w:tcBorders>
            <w:shd w:val="clear" w:color="000000" w:fill="FFFFFF"/>
            <w:vAlign w:val="center"/>
            <w:hideMark/>
          </w:tcPr>
          <w:p w14:paraId="20382F0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single" w:sz="12" w:space="0" w:color="FF9E3C"/>
              <w:left w:val="single" w:sz="12" w:space="0" w:color="FF9E3C"/>
              <w:bottom w:val="nil"/>
              <w:right w:val="single" w:sz="12" w:space="0" w:color="FF9E3C"/>
            </w:tcBorders>
            <w:shd w:val="clear" w:color="000000" w:fill="FFFFFF"/>
            <w:vAlign w:val="center"/>
            <w:hideMark/>
          </w:tcPr>
          <w:p w14:paraId="2671C54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single" w:sz="12" w:space="0" w:color="FF9E3C"/>
              <w:left w:val="single" w:sz="12" w:space="0" w:color="FF9E3C"/>
              <w:bottom w:val="nil"/>
              <w:right w:val="single" w:sz="12" w:space="0" w:color="FF9E3C"/>
            </w:tcBorders>
            <w:shd w:val="clear" w:color="000000" w:fill="FFFFFF"/>
            <w:vAlign w:val="center"/>
            <w:hideMark/>
          </w:tcPr>
          <w:p w14:paraId="75A9766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3.0</w:t>
            </w:r>
          </w:p>
        </w:tc>
        <w:tc>
          <w:tcPr>
            <w:tcW w:w="1020" w:type="dxa"/>
            <w:tcBorders>
              <w:top w:val="single" w:sz="12" w:space="0" w:color="FF9E3C"/>
              <w:left w:val="single" w:sz="12" w:space="0" w:color="FF9E3C"/>
              <w:bottom w:val="nil"/>
              <w:right w:val="single" w:sz="12" w:space="0" w:color="FF9E3C"/>
            </w:tcBorders>
            <w:shd w:val="clear" w:color="000000" w:fill="FFFFFF"/>
            <w:vAlign w:val="center"/>
            <w:hideMark/>
          </w:tcPr>
          <w:p w14:paraId="012F355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8.8</w:t>
            </w:r>
          </w:p>
        </w:tc>
        <w:tc>
          <w:tcPr>
            <w:tcW w:w="626" w:type="dxa"/>
            <w:tcBorders>
              <w:top w:val="single" w:sz="12" w:space="0" w:color="FF9E3C"/>
              <w:left w:val="single" w:sz="12" w:space="0" w:color="FF9E3C"/>
              <w:bottom w:val="nil"/>
              <w:right w:val="single" w:sz="12" w:space="0" w:color="FF9E3C"/>
            </w:tcBorders>
            <w:shd w:val="clear" w:color="000000" w:fill="FFFFFF"/>
            <w:hideMark/>
          </w:tcPr>
          <w:p w14:paraId="0B1D226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w:t>
            </w:r>
          </w:p>
        </w:tc>
        <w:tc>
          <w:tcPr>
            <w:tcW w:w="709" w:type="dxa"/>
            <w:tcBorders>
              <w:top w:val="single" w:sz="12" w:space="0" w:color="FF9E3C"/>
              <w:left w:val="single" w:sz="12" w:space="0" w:color="FF9E3C"/>
              <w:bottom w:val="nil"/>
              <w:right w:val="single" w:sz="12" w:space="0" w:color="FF9E3C"/>
            </w:tcBorders>
            <w:shd w:val="clear" w:color="000000" w:fill="FFFFFF"/>
            <w:hideMark/>
          </w:tcPr>
          <w:p w14:paraId="77BD387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.39</w:t>
            </w:r>
          </w:p>
        </w:tc>
        <w:tc>
          <w:tcPr>
            <w:tcW w:w="850" w:type="dxa"/>
            <w:tcBorders>
              <w:top w:val="single" w:sz="12" w:space="0" w:color="FF9E3C"/>
              <w:left w:val="single" w:sz="12" w:space="0" w:color="FF9E3C"/>
              <w:bottom w:val="nil"/>
              <w:right w:val="single" w:sz="12" w:space="0" w:color="FF9E3C"/>
            </w:tcBorders>
            <w:shd w:val="clear" w:color="000000" w:fill="FFFFFF"/>
            <w:hideMark/>
          </w:tcPr>
          <w:p w14:paraId="312CD07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.38</w:t>
            </w:r>
          </w:p>
        </w:tc>
      </w:tr>
      <w:tr w:rsidR="00A110B5" w:rsidRPr="00B054FD" w14:paraId="2A1604FE"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F4558F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627306B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71D5BED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0085EC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C28FC8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B6D2AD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( 1.5, 5.6)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610C1B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( 6.3,12.1)</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BE3390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670FB54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60AB638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4CF2CF32"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9CA3AA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Shame Church</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E39AD6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2.26</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5BD345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3.54</w:t>
            </w:r>
          </w:p>
        </w:tc>
        <w:tc>
          <w:tcPr>
            <w:tcW w:w="1084" w:type="dxa"/>
            <w:tcBorders>
              <w:top w:val="nil"/>
              <w:left w:val="single" w:sz="12" w:space="0" w:color="FF9E3C"/>
              <w:bottom w:val="nil"/>
              <w:right w:val="single" w:sz="12" w:space="0" w:color="FF9E3C"/>
            </w:tcBorders>
            <w:shd w:val="clear" w:color="000000" w:fill="FFFFFF"/>
            <w:vAlign w:val="center"/>
            <w:hideMark/>
          </w:tcPr>
          <w:p w14:paraId="168E8A4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55AE1D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A96C31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0.9</w:t>
            </w:r>
          </w:p>
        </w:tc>
        <w:tc>
          <w:tcPr>
            <w:tcW w:w="1020" w:type="dxa"/>
            <w:tcBorders>
              <w:top w:val="nil"/>
              <w:left w:val="single" w:sz="12" w:space="0" w:color="FF9E3C"/>
              <w:bottom w:val="nil"/>
              <w:right w:val="single" w:sz="12" w:space="0" w:color="FF9E3C"/>
            </w:tcBorders>
            <w:shd w:val="clear" w:color="000000" w:fill="FFFFFF"/>
            <w:vAlign w:val="center"/>
            <w:hideMark/>
          </w:tcPr>
          <w:p w14:paraId="44C7C01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4.6</w:t>
            </w:r>
          </w:p>
        </w:tc>
        <w:tc>
          <w:tcPr>
            <w:tcW w:w="626" w:type="dxa"/>
            <w:tcBorders>
              <w:top w:val="nil"/>
              <w:left w:val="single" w:sz="12" w:space="0" w:color="FF9E3C"/>
              <w:bottom w:val="nil"/>
              <w:right w:val="single" w:sz="12" w:space="0" w:color="FF9E3C"/>
            </w:tcBorders>
            <w:shd w:val="clear" w:color="000000" w:fill="FFFFFF"/>
            <w:hideMark/>
          </w:tcPr>
          <w:p w14:paraId="3E21380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.20</w:t>
            </w:r>
          </w:p>
        </w:tc>
        <w:tc>
          <w:tcPr>
            <w:tcW w:w="709" w:type="dxa"/>
            <w:tcBorders>
              <w:top w:val="nil"/>
              <w:left w:val="single" w:sz="12" w:space="0" w:color="FF9E3C"/>
              <w:bottom w:val="nil"/>
              <w:right w:val="single" w:sz="12" w:space="0" w:color="FF9E3C"/>
            </w:tcBorders>
            <w:shd w:val="clear" w:color="000000" w:fill="FFFFFF"/>
            <w:hideMark/>
          </w:tcPr>
          <w:p w14:paraId="1B6F402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.26</w:t>
            </w:r>
          </w:p>
        </w:tc>
        <w:tc>
          <w:tcPr>
            <w:tcW w:w="850" w:type="dxa"/>
            <w:tcBorders>
              <w:top w:val="nil"/>
              <w:left w:val="single" w:sz="12" w:space="0" w:color="FF9E3C"/>
              <w:bottom w:val="nil"/>
              <w:right w:val="single" w:sz="12" w:space="0" w:color="FF9E3C"/>
            </w:tcBorders>
            <w:shd w:val="clear" w:color="000000" w:fill="FFFFFF"/>
            <w:hideMark/>
          </w:tcPr>
          <w:p w14:paraId="15FE042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.52</w:t>
            </w:r>
          </w:p>
        </w:tc>
      </w:tr>
      <w:tr w:rsidR="00A110B5" w:rsidRPr="00B054FD" w14:paraId="489C1608" w14:textId="77777777" w:rsidTr="00CC2D44">
        <w:trPr>
          <w:trHeight w:val="156"/>
        </w:trPr>
        <w:tc>
          <w:tcPr>
            <w:tcW w:w="1701" w:type="dxa"/>
            <w:vMerge/>
            <w:tcBorders>
              <w:top w:val="nil"/>
              <w:left w:val="single" w:sz="12" w:space="0" w:color="FF9E3C"/>
              <w:bottom w:val="single" w:sz="12" w:space="0" w:color="FF9E3C"/>
              <w:right w:val="single" w:sz="12" w:space="0" w:color="FF9E3C"/>
            </w:tcBorders>
            <w:vAlign w:val="center"/>
            <w:hideMark/>
          </w:tcPr>
          <w:p w14:paraId="1A03886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493DB9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75AF37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73BC38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AC8BF9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26B3B3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( 0.2, 2.8)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6CB25F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( 2.9, 7.3)</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A7B3F2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65339D2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081FD78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39D81B3A"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7060F6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Crime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E894B0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2.21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410A50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2.21</w:t>
            </w:r>
          </w:p>
        </w:tc>
        <w:tc>
          <w:tcPr>
            <w:tcW w:w="1084" w:type="dxa"/>
            <w:tcBorders>
              <w:top w:val="nil"/>
              <w:left w:val="single" w:sz="12" w:space="0" w:color="FF9E3C"/>
              <w:bottom w:val="nil"/>
              <w:right w:val="single" w:sz="12" w:space="0" w:color="FF9E3C"/>
            </w:tcBorders>
            <w:shd w:val="clear" w:color="000000" w:fill="FFFFFF"/>
            <w:vAlign w:val="center"/>
            <w:hideMark/>
          </w:tcPr>
          <w:p w14:paraId="6D9915E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4EA168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436E601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0.9</w:t>
            </w:r>
          </w:p>
        </w:tc>
        <w:tc>
          <w:tcPr>
            <w:tcW w:w="1020" w:type="dxa"/>
            <w:tcBorders>
              <w:top w:val="nil"/>
              <w:left w:val="single" w:sz="12" w:space="0" w:color="FF9E3C"/>
              <w:bottom w:val="nil"/>
              <w:right w:val="single" w:sz="12" w:space="0" w:color="FF9E3C"/>
            </w:tcBorders>
            <w:shd w:val="clear" w:color="000000" w:fill="FFFFFF"/>
            <w:vAlign w:val="center"/>
            <w:hideMark/>
          </w:tcPr>
          <w:p w14:paraId="7C69AE5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9.5</w:t>
            </w:r>
          </w:p>
        </w:tc>
        <w:tc>
          <w:tcPr>
            <w:tcW w:w="626" w:type="dxa"/>
            <w:tcBorders>
              <w:top w:val="nil"/>
              <w:left w:val="single" w:sz="12" w:space="0" w:color="FF9E3C"/>
              <w:bottom w:val="nil"/>
              <w:right w:val="single" w:sz="12" w:space="0" w:color="FF9E3C"/>
            </w:tcBorders>
            <w:shd w:val="clear" w:color="000000" w:fill="FFFFFF"/>
            <w:hideMark/>
          </w:tcPr>
          <w:p w14:paraId="7D524B3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.27</w:t>
            </w:r>
          </w:p>
        </w:tc>
        <w:tc>
          <w:tcPr>
            <w:tcW w:w="709" w:type="dxa"/>
            <w:tcBorders>
              <w:top w:val="nil"/>
              <w:left w:val="single" w:sz="12" w:space="0" w:color="FF9E3C"/>
              <w:bottom w:val="nil"/>
              <w:right w:val="single" w:sz="12" w:space="0" w:color="FF9E3C"/>
            </w:tcBorders>
            <w:shd w:val="clear" w:color="000000" w:fill="FFFFFF"/>
            <w:hideMark/>
          </w:tcPr>
          <w:p w14:paraId="591BA64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.38</w:t>
            </w:r>
          </w:p>
        </w:tc>
        <w:tc>
          <w:tcPr>
            <w:tcW w:w="850" w:type="dxa"/>
            <w:tcBorders>
              <w:top w:val="nil"/>
              <w:left w:val="single" w:sz="12" w:space="0" w:color="FF9E3C"/>
              <w:bottom w:val="nil"/>
              <w:right w:val="single" w:sz="12" w:space="0" w:color="FF9E3C"/>
            </w:tcBorders>
            <w:shd w:val="clear" w:color="000000" w:fill="FFFFFF"/>
            <w:hideMark/>
          </w:tcPr>
          <w:p w14:paraId="14C738B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.46</w:t>
            </w:r>
          </w:p>
        </w:tc>
      </w:tr>
      <w:tr w:rsidR="00A110B5" w:rsidRPr="00B054FD" w14:paraId="5A4CEF16"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29949E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DB3ECF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3A97A53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6A9F9C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1DF6BF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33D5FB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( 0.2, 2.8)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48E7EF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( 6.9,12.9)</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59A8E6F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3FB1CF3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2367A5B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6D4D013F"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547D132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Outcast Comm.</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D53C7A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2.21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721F5CB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3.09</w:t>
            </w:r>
          </w:p>
        </w:tc>
        <w:tc>
          <w:tcPr>
            <w:tcW w:w="1084" w:type="dxa"/>
            <w:tcBorders>
              <w:top w:val="nil"/>
              <w:left w:val="single" w:sz="12" w:space="0" w:color="FF9E3C"/>
              <w:bottom w:val="nil"/>
              <w:right w:val="single" w:sz="12" w:space="0" w:color="FF9E3C"/>
            </w:tcBorders>
            <w:shd w:val="clear" w:color="000000" w:fill="FFFFFF"/>
            <w:vAlign w:val="center"/>
            <w:hideMark/>
          </w:tcPr>
          <w:p w14:paraId="383576E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620722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55C95A3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0.3</w:t>
            </w:r>
          </w:p>
        </w:tc>
        <w:tc>
          <w:tcPr>
            <w:tcW w:w="1020" w:type="dxa"/>
            <w:tcBorders>
              <w:top w:val="nil"/>
              <w:left w:val="single" w:sz="12" w:space="0" w:color="FF9E3C"/>
              <w:bottom w:val="nil"/>
              <w:right w:val="single" w:sz="12" w:space="0" w:color="FF9E3C"/>
            </w:tcBorders>
            <w:shd w:val="clear" w:color="000000" w:fill="FFFFFF"/>
            <w:vAlign w:val="center"/>
            <w:hideMark/>
          </w:tcPr>
          <w:p w14:paraId="2897454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6.3</w:t>
            </w:r>
          </w:p>
        </w:tc>
        <w:tc>
          <w:tcPr>
            <w:tcW w:w="626" w:type="dxa"/>
            <w:tcBorders>
              <w:top w:val="nil"/>
              <w:left w:val="single" w:sz="12" w:space="0" w:color="FF9E3C"/>
              <w:bottom w:val="nil"/>
              <w:right w:val="single" w:sz="12" w:space="0" w:color="FF9E3C"/>
            </w:tcBorders>
            <w:shd w:val="clear" w:color="000000" w:fill="FFFFFF"/>
            <w:hideMark/>
          </w:tcPr>
          <w:p w14:paraId="4E4A79D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.26</w:t>
            </w:r>
          </w:p>
        </w:tc>
        <w:tc>
          <w:tcPr>
            <w:tcW w:w="709" w:type="dxa"/>
            <w:tcBorders>
              <w:top w:val="nil"/>
              <w:left w:val="single" w:sz="12" w:space="0" w:color="FF9E3C"/>
              <w:bottom w:val="nil"/>
              <w:right w:val="single" w:sz="12" w:space="0" w:color="FF9E3C"/>
            </w:tcBorders>
            <w:shd w:val="clear" w:color="000000" w:fill="FFFFFF"/>
            <w:hideMark/>
          </w:tcPr>
          <w:p w14:paraId="1A30B89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.31</w:t>
            </w:r>
          </w:p>
        </w:tc>
        <w:tc>
          <w:tcPr>
            <w:tcW w:w="850" w:type="dxa"/>
            <w:tcBorders>
              <w:top w:val="nil"/>
              <w:left w:val="single" w:sz="12" w:space="0" w:color="FF9E3C"/>
              <w:bottom w:val="nil"/>
              <w:right w:val="single" w:sz="12" w:space="0" w:color="FF9E3C"/>
            </w:tcBorders>
            <w:shd w:val="clear" w:color="000000" w:fill="FFFFFF"/>
            <w:hideMark/>
          </w:tcPr>
          <w:p w14:paraId="5A258AD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.50</w:t>
            </w:r>
          </w:p>
        </w:tc>
      </w:tr>
      <w:tr w:rsidR="00A110B5" w:rsidRPr="00B054FD" w14:paraId="27516A6B"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E35BA3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E365C7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76857AA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79BF081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0A6802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E8FF0C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1.9)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314BF2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( 4.3, 9.3)</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DF5681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4AA669F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6D3BB9B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0DAAF587"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96C4DE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Red. Connec. Church</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AF6931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2.20</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70763F2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2.46</w:t>
            </w:r>
          </w:p>
        </w:tc>
        <w:tc>
          <w:tcPr>
            <w:tcW w:w="1084" w:type="dxa"/>
            <w:tcBorders>
              <w:top w:val="nil"/>
              <w:left w:val="single" w:sz="12" w:space="0" w:color="FF9E3C"/>
              <w:bottom w:val="nil"/>
              <w:right w:val="single" w:sz="12" w:space="0" w:color="FF9E3C"/>
            </w:tcBorders>
            <w:shd w:val="clear" w:color="000000" w:fill="FFFFFF"/>
            <w:vAlign w:val="center"/>
            <w:hideMark/>
          </w:tcPr>
          <w:p w14:paraId="0361E54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DA4D50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1.6</w:t>
            </w:r>
          </w:p>
        </w:tc>
        <w:tc>
          <w:tcPr>
            <w:tcW w:w="1020" w:type="dxa"/>
            <w:tcBorders>
              <w:top w:val="nil"/>
              <w:left w:val="single" w:sz="12" w:space="0" w:color="FF9E3C"/>
              <w:bottom w:val="nil"/>
              <w:right w:val="single" w:sz="12" w:space="0" w:color="FF9E3C"/>
            </w:tcBorders>
            <w:shd w:val="clear" w:color="000000" w:fill="FFFFFF"/>
            <w:vAlign w:val="center"/>
            <w:hideMark/>
          </w:tcPr>
          <w:p w14:paraId="178DC61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1.8</w:t>
            </w:r>
          </w:p>
        </w:tc>
        <w:tc>
          <w:tcPr>
            <w:tcW w:w="1020" w:type="dxa"/>
            <w:tcBorders>
              <w:top w:val="nil"/>
              <w:left w:val="single" w:sz="12" w:space="0" w:color="FF9E3C"/>
              <w:bottom w:val="nil"/>
              <w:right w:val="single" w:sz="12" w:space="0" w:color="FF9E3C"/>
            </w:tcBorders>
            <w:shd w:val="clear" w:color="000000" w:fill="FFFFFF"/>
            <w:vAlign w:val="center"/>
            <w:hideMark/>
          </w:tcPr>
          <w:p w14:paraId="34F5119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7.3</w:t>
            </w:r>
          </w:p>
        </w:tc>
        <w:tc>
          <w:tcPr>
            <w:tcW w:w="626" w:type="dxa"/>
            <w:tcBorders>
              <w:top w:val="nil"/>
              <w:left w:val="single" w:sz="12" w:space="0" w:color="FF9E3C"/>
              <w:bottom w:val="nil"/>
              <w:right w:val="single" w:sz="12" w:space="0" w:color="FF9E3C"/>
            </w:tcBorders>
            <w:shd w:val="clear" w:color="000000" w:fill="FFFFFF"/>
            <w:hideMark/>
          </w:tcPr>
          <w:p w14:paraId="38B067E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.20</w:t>
            </w:r>
          </w:p>
        </w:tc>
        <w:tc>
          <w:tcPr>
            <w:tcW w:w="709" w:type="dxa"/>
            <w:tcBorders>
              <w:top w:val="nil"/>
              <w:left w:val="single" w:sz="12" w:space="0" w:color="FF9E3C"/>
              <w:bottom w:val="nil"/>
              <w:right w:val="single" w:sz="12" w:space="0" w:color="FF9E3C"/>
            </w:tcBorders>
            <w:shd w:val="clear" w:color="000000" w:fill="FFFFFF"/>
            <w:hideMark/>
          </w:tcPr>
          <w:p w14:paraId="628FF76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.26</w:t>
            </w:r>
          </w:p>
        </w:tc>
        <w:tc>
          <w:tcPr>
            <w:tcW w:w="850" w:type="dxa"/>
            <w:tcBorders>
              <w:top w:val="nil"/>
              <w:left w:val="single" w:sz="12" w:space="0" w:color="FF9E3C"/>
              <w:bottom w:val="nil"/>
              <w:right w:val="single" w:sz="12" w:space="0" w:color="FF9E3C"/>
            </w:tcBorders>
            <w:shd w:val="clear" w:color="000000" w:fill="FFFFFF"/>
            <w:hideMark/>
          </w:tcPr>
          <w:p w14:paraId="4812A0A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.47</w:t>
            </w:r>
          </w:p>
        </w:tc>
      </w:tr>
      <w:tr w:rsidR="00A110B5" w:rsidRPr="00B054FD" w14:paraId="6BFD8567"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299E60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519836A"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ED3454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A14E75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EFAEF4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( 0.3, 6.4)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BBB7E3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( 0.7, 4.1)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2E5FFF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( 5.1,10.4)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5C9A57F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282E5EE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15FB7D2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22DB4DE9"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7F3B5C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Children Neglected</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B90985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2.19</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530F26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1.57</w:t>
            </w:r>
          </w:p>
        </w:tc>
        <w:tc>
          <w:tcPr>
            <w:tcW w:w="1084" w:type="dxa"/>
            <w:tcBorders>
              <w:top w:val="nil"/>
              <w:left w:val="single" w:sz="12" w:space="0" w:color="FF9E3C"/>
              <w:bottom w:val="nil"/>
              <w:right w:val="single" w:sz="12" w:space="0" w:color="FF9E3C"/>
            </w:tcBorders>
            <w:shd w:val="clear" w:color="000000" w:fill="FFFFFF"/>
            <w:vAlign w:val="center"/>
            <w:hideMark/>
          </w:tcPr>
          <w:p w14:paraId="51CF7CF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1FF9974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w:t>
            </w:r>
          </w:p>
        </w:tc>
        <w:tc>
          <w:tcPr>
            <w:tcW w:w="1020" w:type="dxa"/>
            <w:tcBorders>
              <w:top w:val="nil"/>
              <w:left w:val="single" w:sz="12" w:space="0" w:color="FF9E3C"/>
              <w:bottom w:val="nil"/>
              <w:right w:val="single" w:sz="12" w:space="0" w:color="FF9E3C"/>
            </w:tcBorders>
            <w:shd w:val="clear" w:color="000000" w:fill="FFFFFF"/>
            <w:vAlign w:val="center"/>
            <w:hideMark/>
          </w:tcPr>
          <w:p w14:paraId="452E25B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4.8</w:t>
            </w:r>
          </w:p>
        </w:tc>
        <w:tc>
          <w:tcPr>
            <w:tcW w:w="1020" w:type="dxa"/>
            <w:tcBorders>
              <w:top w:val="nil"/>
              <w:left w:val="single" w:sz="12" w:space="0" w:color="FF9E3C"/>
              <w:bottom w:val="nil"/>
              <w:right w:val="single" w:sz="12" w:space="0" w:color="FF9E3C"/>
            </w:tcBorders>
            <w:shd w:val="clear" w:color="000000" w:fill="FFFFFF"/>
            <w:vAlign w:val="center"/>
            <w:hideMark/>
          </w:tcPr>
          <w:p w14:paraId="16698E9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12.7</w:t>
            </w:r>
          </w:p>
        </w:tc>
        <w:tc>
          <w:tcPr>
            <w:tcW w:w="626" w:type="dxa"/>
            <w:tcBorders>
              <w:top w:val="nil"/>
              <w:left w:val="single" w:sz="12" w:space="0" w:color="FF9E3C"/>
              <w:bottom w:val="nil"/>
              <w:right w:val="single" w:sz="12" w:space="0" w:color="FF9E3C"/>
            </w:tcBorders>
            <w:shd w:val="clear" w:color="000000" w:fill="FFFFFF"/>
            <w:hideMark/>
          </w:tcPr>
          <w:p w14:paraId="6A8EDCD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w:t>
            </w:r>
          </w:p>
        </w:tc>
        <w:tc>
          <w:tcPr>
            <w:tcW w:w="709" w:type="dxa"/>
            <w:tcBorders>
              <w:top w:val="nil"/>
              <w:left w:val="single" w:sz="12" w:space="0" w:color="FF9E3C"/>
              <w:bottom w:val="nil"/>
              <w:right w:val="single" w:sz="12" w:space="0" w:color="FF9E3C"/>
            </w:tcBorders>
            <w:shd w:val="clear" w:color="000000" w:fill="FFFFFF"/>
            <w:hideMark/>
          </w:tcPr>
          <w:p w14:paraId="05BA01B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.39</w:t>
            </w:r>
          </w:p>
        </w:tc>
        <w:tc>
          <w:tcPr>
            <w:tcW w:w="850" w:type="dxa"/>
            <w:tcBorders>
              <w:top w:val="nil"/>
              <w:left w:val="single" w:sz="12" w:space="0" w:color="FF9E3C"/>
              <w:bottom w:val="nil"/>
              <w:right w:val="single" w:sz="12" w:space="0" w:color="FF9E3C"/>
            </w:tcBorders>
            <w:shd w:val="clear" w:color="000000" w:fill="FFFFFF"/>
            <w:hideMark/>
          </w:tcPr>
          <w:p w14:paraId="4BE171E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.40</w:t>
            </w:r>
          </w:p>
        </w:tc>
      </w:tr>
      <w:tr w:rsidR="00A110B5" w:rsidRPr="00B054FD" w14:paraId="2D1BC53A"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248B6D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4A9A3B3A"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9DF0EF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D4DECF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189051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( 0.6, 7.6)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0952E2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( 2.9, 7.8)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6177B9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( 9.7,16.4)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0DEDDE6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797AAB6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720E63E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6B9E8485"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D6A04F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Red. Contrib. Church</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074DF2E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2.17</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46BE94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2.78</w:t>
            </w:r>
          </w:p>
        </w:tc>
        <w:tc>
          <w:tcPr>
            <w:tcW w:w="1084" w:type="dxa"/>
            <w:tcBorders>
              <w:top w:val="nil"/>
              <w:left w:val="single" w:sz="12" w:space="0" w:color="FF9E3C"/>
              <w:bottom w:val="nil"/>
              <w:right w:val="single" w:sz="12" w:space="0" w:color="FF9E3C"/>
            </w:tcBorders>
            <w:shd w:val="clear" w:color="000000" w:fill="FFFFFF"/>
            <w:vAlign w:val="center"/>
            <w:hideMark/>
          </w:tcPr>
          <w:p w14:paraId="4AE0F11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28E680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1C38EE5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0.9</w:t>
            </w:r>
          </w:p>
        </w:tc>
        <w:tc>
          <w:tcPr>
            <w:tcW w:w="1020" w:type="dxa"/>
            <w:tcBorders>
              <w:top w:val="nil"/>
              <w:left w:val="single" w:sz="12" w:space="0" w:color="FF9E3C"/>
              <w:bottom w:val="nil"/>
              <w:right w:val="single" w:sz="12" w:space="0" w:color="FF9E3C"/>
            </w:tcBorders>
            <w:shd w:val="clear" w:color="000000" w:fill="FFFFFF"/>
            <w:vAlign w:val="center"/>
            <w:hideMark/>
          </w:tcPr>
          <w:p w14:paraId="4F1C62B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7.6</w:t>
            </w:r>
          </w:p>
        </w:tc>
        <w:tc>
          <w:tcPr>
            <w:tcW w:w="626" w:type="dxa"/>
            <w:tcBorders>
              <w:top w:val="nil"/>
              <w:left w:val="single" w:sz="12" w:space="0" w:color="FF9E3C"/>
              <w:bottom w:val="nil"/>
              <w:right w:val="single" w:sz="12" w:space="0" w:color="FF9E3C"/>
            </w:tcBorders>
            <w:shd w:val="clear" w:color="000000" w:fill="FFFFFF"/>
            <w:hideMark/>
          </w:tcPr>
          <w:p w14:paraId="0F04AC0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.22</w:t>
            </w:r>
          </w:p>
        </w:tc>
        <w:tc>
          <w:tcPr>
            <w:tcW w:w="709" w:type="dxa"/>
            <w:tcBorders>
              <w:top w:val="nil"/>
              <w:left w:val="single" w:sz="12" w:space="0" w:color="FF9E3C"/>
              <w:bottom w:val="nil"/>
              <w:right w:val="single" w:sz="12" w:space="0" w:color="FF9E3C"/>
            </w:tcBorders>
            <w:shd w:val="clear" w:color="000000" w:fill="FFFFFF"/>
            <w:hideMark/>
          </w:tcPr>
          <w:p w14:paraId="41493BD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.29</w:t>
            </w:r>
          </w:p>
        </w:tc>
        <w:tc>
          <w:tcPr>
            <w:tcW w:w="850" w:type="dxa"/>
            <w:tcBorders>
              <w:top w:val="nil"/>
              <w:left w:val="single" w:sz="12" w:space="0" w:color="FF9E3C"/>
              <w:bottom w:val="nil"/>
              <w:right w:val="single" w:sz="12" w:space="0" w:color="FF9E3C"/>
            </w:tcBorders>
            <w:shd w:val="clear" w:color="000000" w:fill="FFFFFF"/>
            <w:hideMark/>
          </w:tcPr>
          <w:p w14:paraId="3188E3F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.51</w:t>
            </w:r>
          </w:p>
        </w:tc>
      </w:tr>
      <w:tr w:rsidR="00A110B5" w:rsidRPr="00B054FD" w14:paraId="4E96669C"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B4EE3F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C8B77A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6D7B33F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A8557D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8875CC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BFEDBF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( 0.2, 2.8)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B4969D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( 5.3,10.7)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2A6F735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10A9B17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5909232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6A81C248"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AEB478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Red. Contrib. Community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F243CF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C42D23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2.12</w:t>
            </w:r>
          </w:p>
        </w:tc>
        <w:tc>
          <w:tcPr>
            <w:tcW w:w="1084" w:type="dxa"/>
            <w:tcBorders>
              <w:top w:val="nil"/>
              <w:left w:val="single" w:sz="12" w:space="0" w:color="FF9E3C"/>
              <w:bottom w:val="nil"/>
              <w:right w:val="single" w:sz="12" w:space="0" w:color="FF9E3C"/>
            </w:tcBorders>
            <w:shd w:val="clear" w:color="000000" w:fill="FFFFFF"/>
            <w:vAlign w:val="center"/>
            <w:hideMark/>
          </w:tcPr>
          <w:p w14:paraId="4A87CB6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692B0B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549334B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w:t>
            </w:r>
          </w:p>
        </w:tc>
        <w:tc>
          <w:tcPr>
            <w:tcW w:w="1020" w:type="dxa"/>
            <w:tcBorders>
              <w:top w:val="nil"/>
              <w:left w:val="single" w:sz="12" w:space="0" w:color="FF9E3C"/>
              <w:bottom w:val="nil"/>
              <w:right w:val="single" w:sz="12" w:space="0" w:color="FF9E3C"/>
            </w:tcBorders>
            <w:shd w:val="clear" w:color="000000" w:fill="FFFFFF"/>
            <w:vAlign w:val="center"/>
            <w:hideMark/>
          </w:tcPr>
          <w:p w14:paraId="2E59A26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10.5</w:t>
            </w:r>
          </w:p>
        </w:tc>
        <w:tc>
          <w:tcPr>
            <w:tcW w:w="626" w:type="dxa"/>
            <w:tcBorders>
              <w:top w:val="nil"/>
              <w:left w:val="single" w:sz="12" w:space="0" w:color="FF9E3C"/>
              <w:bottom w:val="nil"/>
              <w:right w:val="single" w:sz="12" w:space="0" w:color="FF9E3C"/>
            </w:tcBorders>
            <w:shd w:val="clear" w:color="000000" w:fill="FFFFFF"/>
            <w:hideMark/>
          </w:tcPr>
          <w:p w14:paraId="3FB8080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.20</w:t>
            </w:r>
          </w:p>
        </w:tc>
        <w:tc>
          <w:tcPr>
            <w:tcW w:w="709" w:type="dxa"/>
            <w:tcBorders>
              <w:top w:val="nil"/>
              <w:left w:val="single" w:sz="12" w:space="0" w:color="FF9E3C"/>
              <w:bottom w:val="nil"/>
              <w:right w:val="single" w:sz="12" w:space="0" w:color="FF9E3C"/>
            </w:tcBorders>
            <w:shd w:val="clear" w:color="000000" w:fill="FFFFFF"/>
            <w:hideMark/>
          </w:tcPr>
          <w:p w14:paraId="1219FB9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.27</w:t>
            </w:r>
          </w:p>
        </w:tc>
        <w:tc>
          <w:tcPr>
            <w:tcW w:w="850" w:type="dxa"/>
            <w:tcBorders>
              <w:top w:val="nil"/>
              <w:left w:val="single" w:sz="12" w:space="0" w:color="FF9E3C"/>
              <w:bottom w:val="nil"/>
              <w:right w:val="single" w:sz="12" w:space="0" w:color="FF9E3C"/>
            </w:tcBorders>
            <w:shd w:val="clear" w:color="000000" w:fill="FFFFFF"/>
            <w:hideMark/>
          </w:tcPr>
          <w:p w14:paraId="09D5CF6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.44</w:t>
            </w:r>
          </w:p>
        </w:tc>
      </w:tr>
      <w:tr w:rsidR="00A110B5" w:rsidRPr="00B054FD" w14:paraId="48230994"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0F0742A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494321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6451A19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AB23CB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2D0C85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EA1CB5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( 0.9, 4.5)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00231A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( 7.8,14.0)</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F38A3D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3AF37CA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2A02CA9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7E31D39C"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03333CE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Theft Government</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FB3032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1.99</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718C448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2.08</w:t>
            </w:r>
          </w:p>
        </w:tc>
        <w:tc>
          <w:tcPr>
            <w:tcW w:w="1084" w:type="dxa"/>
            <w:tcBorders>
              <w:top w:val="nil"/>
              <w:left w:val="single" w:sz="12" w:space="0" w:color="FF9E3C"/>
              <w:bottom w:val="nil"/>
              <w:right w:val="single" w:sz="12" w:space="0" w:color="FF9E3C"/>
            </w:tcBorders>
            <w:shd w:val="clear" w:color="000000" w:fill="FFFFFF"/>
            <w:vAlign w:val="center"/>
            <w:hideMark/>
          </w:tcPr>
          <w:p w14:paraId="2D2E1F0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D6A031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4706AE7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w:t>
            </w:r>
          </w:p>
        </w:tc>
        <w:tc>
          <w:tcPr>
            <w:tcW w:w="1020" w:type="dxa"/>
            <w:tcBorders>
              <w:top w:val="nil"/>
              <w:left w:val="single" w:sz="12" w:space="0" w:color="FF9E3C"/>
              <w:bottom w:val="nil"/>
              <w:right w:val="single" w:sz="12" w:space="0" w:color="FF9E3C"/>
            </w:tcBorders>
            <w:shd w:val="clear" w:color="000000" w:fill="FFFFFF"/>
            <w:vAlign w:val="center"/>
            <w:hideMark/>
          </w:tcPr>
          <w:p w14:paraId="665F6B1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13.7</w:t>
            </w:r>
          </w:p>
        </w:tc>
        <w:tc>
          <w:tcPr>
            <w:tcW w:w="626" w:type="dxa"/>
            <w:tcBorders>
              <w:top w:val="nil"/>
              <w:left w:val="single" w:sz="12" w:space="0" w:color="FF9E3C"/>
              <w:bottom w:val="nil"/>
              <w:right w:val="single" w:sz="12" w:space="0" w:color="FF9E3C"/>
            </w:tcBorders>
            <w:shd w:val="clear" w:color="000000" w:fill="FFFFFF"/>
            <w:hideMark/>
          </w:tcPr>
          <w:p w14:paraId="759C07C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.34</w:t>
            </w:r>
          </w:p>
        </w:tc>
        <w:tc>
          <w:tcPr>
            <w:tcW w:w="709" w:type="dxa"/>
            <w:tcBorders>
              <w:top w:val="nil"/>
              <w:left w:val="single" w:sz="12" w:space="0" w:color="FF9E3C"/>
              <w:bottom w:val="nil"/>
              <w:right w:val="single" w:sz="12" w:space="0" w:color="FF9E3C"/>
            </w:tcBorders>
            <w:shd w:val="clear" w:color="000000" w:fill="FFFFFF"/>
            <w:hideMark/>
          </w:tcPr>
          <w:p w14:paraId="7DE24C0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.47</w:t>
            </w:r>
          </w:p>
        </w:tc>
        <w:tc>
          <w:tcPr>
            <w:tcW w:w="850" w:type="dxa"/>
            <w:tcBorders>
              <w:top w:val="nil"/>
              <w:left w:val="single" w:sz="12" w:space="0" w:color="FF9E3C"/>
              <w:bottom w:val="nil"/>
              <w:right w:val="single" w:sz="12" w:space="0" w:color="FF9E3C"/>
            </w:tcBorders>
            <w:shd w:val="clear" w:color="000000" w:fill="FFFFFF"/>
            <w:hideMark/>
          </w:tcPr>
          <w:p w14:paraId="6D8ABAE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.47</w:t>
            </w:r>
          </w:p>
        </w:tc>
      </w:tr>
      <w:tr w:rsidR="00A110B5" w:rsidRPr="00B054FD" w14:paraId="618F4E7B"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8900CD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948A59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6305486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CB77A3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5D9B32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BB9D69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( 0.9, 4.5)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3699A3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(10.6,17.5)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354E47D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1727A3F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66C9AA1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4FAF80CB"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51C2B6E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Took Money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35EE825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1.97</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A0A608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1.75</w:t>
            </w:r>
          </w:p>
        </w:tc>
        <w:tc>
          <w:tcPr>
            <w:tcW w:w="1084" w:type="dxa"/>
            <w:tcBorders>
              <w:top w:val="nil"/>
              <w:left w:val="single" w:sz="12" w:space="0" w:color="FF9E3C"/>
              <w:bottom w:val="nil"/>
              <w:right w:val="single" w:sz="12" w:space="0" w:color="FF9E3C"/>
            </w:tcBorders>
            <w:shd w:val="clear" w:color="000000" w:fill="FFFFFF"/>
            <w:vAlign w:val="center"/>
            <w:hideMark/>
          </w:tcPr>
          <w:p w14:paraId="1B26D61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BF10F0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29DA0FA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3.0</w:t>
            </w:r>
          </w:p>
        </w:tc>
        <w:tc>
          <w:tcPr>
            <w:tcW w:w="1020" w:type="dxa"/>
            <w:tcBorders>
              <w:top w:val="nil"/>
              <w:left w:val="single" w:sz="12" w:space="0" w:color="FF9E3C"/>
              <w:bottom w:val="nil"/>
              <w:right w:val="single" w:sz="12" w:space="0" w:color="FF9E3C"/>
            </w:tcBorders>
            <w:shd w:val="clear" w:color="000000" w:fill="FFFFFF"/>
            <w:vAlign w:val="center"/>
            <w:hideMark/>
          </w:tcPr>
          <w:p w14:paraId="2D97558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17.1</w:t>
            </w:r>
          </w:p>
        </w:tc>
        <w:tc>
          <w:tcPr>
            <w:tcW w:w="626" w:type="dxa"/>
            <w:tcBorders>
              <w:top w:val="nil"/>
              <w:left w:val="single" w:sz="12" w:space="0" w:color="FF9E3C"/>
              <w:bottom w:val="nil"/>
              <w:right w:val="single" w:sz="12" w:space="0" w:color="FF9E3C"/>
            </w:tcBorders>
            <w:shd w:val="clear" w:color="000000" w:fill="FFFFFF"/>
            <w:hideMark/>
          </w:tcPr>
          <w:p w14:paraId="21B9106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.36</w:t>
            </w:r>
          </w:p>
        </w:tc>
        <w:tc>
          <w:tcPr>
            <w:tcW w:w="709" w:type="dxa"/>
            <w:tcBorders>
              <w:top w:val="nil"/>
              <w:left w:val="single" w:sz="12" w:space="0" w:color="FF9E3C"/>
              <w:bottom w:val="nil"/>
              <w:right w:val="single" w:sz="12" w:space="0" w:color="FF9E3C"/>
            </w:tcBorders>
            <w:shd w:val="clear" w:color="000000" w:fill="FFFFFF"/>
            <w:hideMark/>
          </w:tcPr>
          <w:p w14:paraId="53B742F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.44</w:t>
            </w:r>
          </w:p>
        </w:tc>
        <w:tc>
          <w:tcPr>
            <w:tcW w:w="850" w:type="dxa"/>
            <w:tcBorders>
              <w:top w:val="nil"/>
              <w:left w:val="single" w:sz="12" w:space="0" w:color="FF9E3C"/>
              <w:bottom w:val="nil"/>
              <w:right w:val="single" w:sz="12" w:space="0" w:color="FF9E3C"/>
            </w:tcBorders>
            <w:shd w:val="clear" w:color="000000" w:fill="FFFFFF"/>
            <w:hideMark/>
          </w:tcPr>
          <w:p w14:paraId="3891E29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.41</w:t>
            </w:r>
          </w:p>
        </w:tc>
      </w:tr>
      <w:tr w:rsidR="00A110B5" w:rsidRPr="00B054FD" w14:paraId="6A6AEDA9"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1AECCAD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092E141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47C661F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0AA35B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CDBDBF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993545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( 1.5, 5.6)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416BEB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(13.6,21.1)</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79EF55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28366D9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4B17C84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2994CEB1"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32C4A2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Shame Community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7524B6B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1.96</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C83804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3.41</w:t>
            </w:r>
          </w:p>
        </w:tc>
        <w:tc>
          <w:tcPr>
            <w:tcW w:w="1084" w:type="dxa"/>
            <w:tcBorders>
              <w:top w:val="nil"/>
              <w:left w:val="single" w:sz="12" w:space="0" w:color="FF9E3C"/>
              <w:bottom w:val="nil"/>
              <w:right w:val="single" w:sz="12" w:space="0" w:color="FF9E3C"/>
            </w:tcBorders>
            <w:shd w:val="clear" w:color="000000" w:fill="FFFFFF"/>
            <w:vAlign w:val="center"/>
            <w:hideMark/>
          </w:tcPr>
          <w:p w14:paraId="7BDDC56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5EA68B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0CC10B9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0.6</w:t>
            </w:r>
          </w:p>
        </w:tc>
        <w:tc>
          <w:tcPr>
            <w:tcW w:w="1020" w:type="dxa"/>
            <w:tcBorders>
              <w:top w:val="nil"/>
              <w:left w:val="single" w:sz="12" w:space="0" w:color="FF9E3C"/>
              <w:bottom w:val="nil"/>
              <w:right w:val="single" w:sz="12" w:space="0" w:color="FF9E3C"/>
            </w:tcBorders>
            <w:shd w:val="clear" w:color="000000" w:fill="FFFFFF"/>
            <w:vAlign w:val="center"/>
            <w:hideMark/>
          </w:tcPr>
          <w:p w14:paraId="64E5FC5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9.3</w:t>
            </w:r>
          </w:p>
        </w:tc>
        <w:tc>
          <w:tcPr>
            <w:tcW w:w="626" w:type="dxa"/>
            <w:tcBorders>
              <w:top w:val="nil"/>
              <w:left w:val="single" w:sz="12" w:space="0" w:color="FF9E3C"/>
              <w:bottom w:val="nil"/>
              <w:right w:val="single" w:sz="12" w:space="0" w:color="FF9E3C"/>
            </w:tcBorders>
            <w:shd w:val="clear" w:color="000000" w:fill="FFFFFF"/>
            <w:hideMark/>
          </w:tcPr>
          <w:p w14:paraId="660E6BB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.26</w:t>
            </w:r>
          </w:p>
        </w:tc>
        <w:tc>
          <w:tcPr>
            <w:tcW w:w="709" w:type="dxa"/>
            <w:tcBorders>
              <w:top w:val="nil"/>
              <w:left w:val="single" w:sz="12" w:space="0" w:color="FF9E3C"/>
              <w:bottom w:val="nil"/>
              <w:right w:val="single" w:sz="12" w:space="0" w:color="FF9E3C"/>
            </w:tcBorders>
            <w:shd w:val="clear" w:color="000000" w:fill="FFFFFF"/>
            <w:hideMark/>
          </w:tcPr>
          <w:p w14:paraId="5246808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.43</w:t>
            </w:r>
          </w:p>
        </w:tc>
        <w:tc>
          <w:tcPr>
            <w:tcW w:w="850" w:type="dxa"/>
            <w:tcBorders>
              <w:top w:val="nil"/>
              <w:left w:val="single" w:sz="12" w:space="0" w:color="FF9E3C"/>
              <w:bottom w:val="nil"/>
              <w:right w:val="single" w:sz="12" w:space="0" w:color="FF9E3C"/>
            </w:tcBorders>
            <w:shd w:val="clear" w:color="000000" w:fill="FFFFFF"/>
            <w:hideMark/>
          </w:tcPr>
          <w:p w14:paraId="75BE88D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.56</w:t>
            </w:r>
          </w:p>
        </w:tc>
      </w:tr>
      <w:tr w:rsidR="00A110B5" w:rsidRPr="00B054FD" w14:paraId="01D41998"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4CCA187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001987F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6E81D66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060C5A0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2E5E5C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( 0.0, 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8ABED9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( 0.1, 2.4)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6C6707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( 6.7,12.6)</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25D5E21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1950850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410BEEC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63EB0607"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40E692C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Pay Money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8994C0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1.92</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C06D62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1.72</w:t>
            </w:r>
          </w:p>
        </w:tc>
        <w:tc>
          <w:tcPr>
            <w:tcW w:w="1084" w:type="dxa"/>
            <w:tcBorders>
              <w:top w:val="nil"/>
              <w:left w:val="single" w:sz="12" w:space="0" w:color="FF9E3C"/>
              <w:bottom w:val="nil"/>
              <w:right w:val="single" w:sz="12" w:space="0" w:color="FF9E3C"/>
            </w:tcBorders>
            <w:shd w:val="clear" w:color="000000" w:fill="FFFFFF"/>
            <w:vAlign w:val="center"/>
            <w:hideMark/>
          </w:tcPr>
          <w:p w14:paraId="0D526AB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DD3B79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E369A3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w:t>
            </w:r>
          </w:p>
        </w:tc>
        <w:tc>
          <w:tcPr>
            <w:tcW w:w="1020" w:type="dxa"/>
            <w:tcBorders>
              <w:top w:val="nil"/>
              <w:left w:val="single" w:sz="12" w:space="0" w:color="FF9E3C"/>
              <w:bottom w:val="nil"/>
              <w:right w:val="single" w:sz="12" w:space="0" w:color="FF9E3C"/>
            </w:tcBorders>
            <w:shd w:val="clear" w:color="000000" w:fill="FFFFFF"/>
            <w:vAlign w:val="center"/>
            <w:hideMark/>
          </w:tcPr>
          <w:p w14:paraId="7FC6BD3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19.8</w:t>
            </w:r>
          </w:p>
        </w:tc>
        <w:tc>
          <w:tcPr>
            <w:tcW w:w="626" w:type="dxa"/>
            <w:tcBorders>
              <w:top w:val="nil"/>
              <w:left w:val="single" w:sz="12" w:space="0" w:color="FF9E3C"/>
              <w:bottom w:val="nil"/>
              <w:right w:val="single" w:sz="12" w:space="0" w:color="FF9E3C"/>
            </w:tcBorders>
            <w:shd w:val="clear" w:color="000000" w:fill="FFFFFF"/>
            <w:hideMark/>
          </w:tcPr>
          <w:p w14:paraId="0656D32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.41</w:t>
            </w:r>
          </w:p>
        </w:tc>
        <w:tc>
          <w:tcPr>
            <w:tcW w:w="709" w:type="dxa"/>
            <w:tcBorders>
              <w:top w:val="nil"/>
              <w:left w:val="single" w:sz="12" w:space="0" w:color="FF9E3C"/>
              <w:bottom w:val="nil"/>
              <w:right w:val="single" w:sz="12" w:space="0" w:color="FF9E3C"/>
            </w:tcBorders>
            <w:shd w:val="clear" w:color="000000" w:fill="FFFFFF"/>
            <w:hideMark/>
          </w:tcPr>
          <w:p w14:paraId="4BEE908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.44</w:t>
            </w:r>
          </w:p>
        </w:tc>
        <w:tc>
          <w:tcPr>
            <w:tcW w:w="850" w:type="dxa"/>
            <w:tcBorders>
              <w:top w:val="nil"/>
              <w:left w:val="single" w:sz="12" w:space="0" w:color="FF9E3C"/>
              <w:bottom w:val="nil"/>
              <w:right w:val="single" w:sz="12" w:space="0" w:color="FF9E3C"/>
            </w:tcBorders>
            <w:shd w:val="clear" w:color="000000" w:fill="FFFFFF"/>
            <w:hideMark/>
          </w:tcPr>
          <w:p w14:paraId="1A2A4D7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.41</w:t>
            </w:r>
          </w:p>
        </w:tc>
      </w:tr>
      <w:tr w:rsidR="00A110B5" w:rsidRPr="00B054FD" w14:paraId="345681A7"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4A532A0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3807FE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3B7723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FA5BC4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5.4)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434421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3D8277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( 0.9, 4.5)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66F32D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(16.1,24.0)</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2FEFCF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4B3B377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39CACE3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r w:rsidR="00A110B5" w:rsidRPr="00B054FD" w14:paraId="020E6B46"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5B8C3C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sidRPr="00B054FD">
              <w:rPr>
                <w:rFonts w:cs="Arial"/>
                <w:color w:val="1C3158"/>
                <w:sz w:val="16"/>
                <w:szCs w:val="16"/>
                <w:lang w:eastAsia="ja-JP"/>
              </w:rPr>
              <w:t>Red. Connec. Community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C3C6B0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1.88</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4E310E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2.18</w:t>
            </w:r>
          </w:p>
        </w:tc>
        <w:tc>
          <w:tcPr>
            <w:tcW w:w="1084" w:type="dxa"/>
            <w:tcBorders>
              <w:top w:val="nil"/>
              <w:left w:val="single" w:sz="12" w:space="0" w:color="FF9E3C"/>
              <w:bottom w:val="nil"/>
              <w:right w:val="single" w:sz="12" w:space="0" w:color="FF9E3C"/>
            </w:tcBorders>
            <w:shd w:val="clear" w:color="000000" w:fill="FFFFFF"/>
            <w:vAlign w:val="center"/>
            <w:hideMark/>
          </w:tcPr>
          <w:p w14:paraId="560C8FE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1.2</w:t>
            </w:r>
          </w:p>
        </w:tc>
        <w:tc>
          <w:tcPr>
            <w:tcW w:w="1020" w:type="dxa"/>
            <w:tcBorders>
              <w:top w:val="nil"/>
              <w:left w:val="single" w:sz="12" w:space="0" w:color="FF9E3C"/>
              <w:bottom w:val="nil"/>
              <w:right w:val="single" w:sz="12" w:space="0" w:color="FF9E3C"/>
            </w:tcBorders>
            <w:shd w:val="clear" w:color="000000" w:fill="FFFFFF"/>
            <w:vAlign w:val="center"/>
            <w:hideMark/>
          </w:tcPr>
          <w:p w14:paraId="3AF9D29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1D1172E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3.9</w:t>
            </w:r>
          </w:p>
        </w:tc>
        <w:tc>
          <w:tcPr>
            <w:tcW w:w="1020" w:type="dxa"/>
            <w:tcBorders>
              <w:top w:val="nil"/>
              <w:left w:val="single" w:sz="12" w:space="0" w:color="FF9E3C"/>
              <w:bottom w:val="nil"/>
              <w:right w:val="single" w:sz="12" w:space="0" w:color="FF9E3C"/>
            </w:tcBorders>
            <w:shd w:val="clear" w:color="000000" w:fill="FFFFFF"/>
            <w:vAlign w:val="center"/>
            <w:hideMark/>
          </w:tcPr>
          <w:p w14:paraId="4171E5A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14.1</w:t>
            </w:r>
          </w:p>
        </w:tc>
        <w:tc>
          <w:tcPr>
            <w:tcW w:w="626" w:type="dxa"/>
            <w:tcBorders>
              <w:top w:val="nil"/>
              <w:left w:val="single" w:sz="12" w:space="0" w:color="FF9E3C"/>
              <w:bottom w:val="nil"/>
              <w:right w:val="single" w:sz="12" w:space="0" w:color="FF9E3C"/>
            </w:tcBorders>
            <w:shd w:val="clear" w:color="000000" w:fill="FFFFFF"/>
            <w:hideMark/>
          </w:tcPr>
          <w:p w14:paraId="49841A6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.25</w:t>
            </w:r>
          </w:p>
        </w:tc>
        <w:tc>
          <w:tcPr>
            <w:tcW w:w="709" w:type="dxa"/>
            <w:tcBorders>
              <w:top w:val="nil"/>
              <w:left w:val="single" w:sz="12" w:space="0" w:color="FF9E3C"/>
              <w:bottom w:val="nil"/>
              <w:right w:val="single" w:sz="12" w:space="0" w:color="FF9E3C"/>
            </w:tcBorders>
            <w:shd w:val="clear" w:color="000000" w:fill="FFFFFF"/>
            <w:hideMark/>
          </w:tcPr>
          <w:p w14:paraId="6BF68A8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.40</w:t>
            </w:r>
          </w:p>
        </w:tc>
        <w:tc>
          <w:tcPr>
            <w:tcW w:w="850" w:type="dxa"/>
            <w:tcBorders>
              <w:top w:val="nil"/>
              <w:left w:val="single" w:sz="12" w:space="0" w:color="FF9E3C"/>
              <w:bottom w:val="nil"/>
              <w:right w:val="single" w:sz="12" w:space="0" w:color="FF9E3C"/>
            </w:tcBorders>
            <w:shd w:val="clear" w:color="000000" w:fill="FFFFFF"/>
            <w:hideMark/>
          </w:tcPr>
          <w:p w14:paraId="6C2C7EE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.47</w:t>
            </w:r>
          </w:p>
        </w:tc>
      </w:tr>
      <w:tr w:rsidR="00A110B5" w:rsidRPr="00B054FD" w14:paraId="27E27AE5"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E3604D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9639C1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7D68314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137C55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( 0.1, 7.3)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39B66C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xml:space="preserve"> ( 0.0, 3.8)</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BC228D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( 2.2, 6.7)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2A5D6C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(11.0,18.0)</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3F2DC19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709" w:type="dxa"/>
            <w:tcBorders>
              <w:top w:val="nil"/>
              <w:left w:val="single" w:sz="12" w:space="0" w:color="FF9E3C"/>
              <w:bottom w:val="single" w:sz="12" w:space="0" w:color="FF9E3C"/>
              <w:right w:val="single" w:sz="12" w:space="0" w:color="FF9E3C"/>
            </w:tcBorders>
            <w:shd w:val="clear" w:color="000000" w:fill="FFFFFF"/>
            <w:hideMark/>
          </w:tcPr>
          <w:p w14:paraId="5967F51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c>
          <w:tcPr>
            <w:tcW w:w="850" w:type="dxa"/>
            <w:tcBorders>
              <w:top w:val="nil"/>
              <w:left w:val="single" w:sz="12" w:space="0" w:color="FF9E3C"/>
              <w:bottom w:val="single" w:sz="12" w:space="0" w:color="FF9E3C"/>
              <w:right w:val="single" w:sz="12" w:space="0" w:color="FF9E3C"/>
            </w:tcBorders>
            <w:shd w:val="clear" w:color="000000" w:fill="FFFFFF"/>
            <w:hideMark/>
          </w:tcPr>
          <w:p w14:paraId="0432B1F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sidRPr="00B054FD">
              <w:rPr>
                <w:rFonts w:cs="Arial"/>
                <w:color w:val="1C3158"/>
                <w:sz w:val="16"/>
                <w:szCs w:val="16"/>
                <w:lang w:eastAsia="ja-JP"/>
              </w:rPr>
              <w:t> </w:t>
            </w:r>
          </w:p>
        </w:tc>
      </w:tr>
    </w:tbl>
    <w:p w14:paraId="36916A13" w14:textId="6A7E5842" w:rsidR="00A110B5" w:rsidRPr="0040753B" w:rsidRDefault="0040753B" w:rsidP="0040753B">
      <w:pPr>
        <w:pStyle w:val="Caption"/>
        <w:spacing w:after="0"/>
        <w:rPr>
          <w:iCs w:val="0"/>
          <w:color w:val="1C3158"/>
        </w:rPr>
      </w:pPr>
      <w:r>
        <w:br w:type="column"/>
      </w:r>
      <w:bookmarkStart w:id="217" w:name="_Toc462738116"/>
      <w:r w:rsidRPr="0040753B">
        <w:lastRenderedPageBreak/>
        <w:t xml:space="preserve">Table </w:t>
      </w:r>
      <w:fldSimple w:instr=" SEQ Table \* ARABIC ">
        <w:r w:rsidR="0006479A">
          <w:rPr>
            <w:noProof/>
          </w:rPr>
          <w:t>13</w:t>
        </w:r>
      </w:fldSimple>
      <w:r w:rsidRPr="0040753B">
        <w:t xml:space="preserve">. </w:t>
      </w:r>
      <w:r w:rsidR="00A110B5" w:rsidRPr="0040753B">
        <w:rPr>
          <w:iCs w:val="0"/>
          <w:color w:val="1C3158"/>
        </w:rPr>
        <w:t>Financial and Work/Study (Affected Others)</w:t>
      </w:r>
      <w:bookmarkEnd w:id="217"/>
    </w:p>
    <w:tbl>
      <w:tblPr>
        <w:tblW w:w="9782" w:type="dxa"/>
        <w:tblInd w:w="-15" w:type="dxa"/>
        <w:tblLook w:val="04A0" w:firstRow="1" w:lastRow="0" w:firstColumn="1" w:lastColumn="0" w:noHBand="0" w:noVBand="1"/>
      </w:tblPr>
      <w:tblGrid>
        <w:gridCol w:w="1701"/>
        <w:gridCol w:w="851"/>
        <w:gridCol w:w="900"/>
        <w:gridCol w:w="1084"/>
        <w:gridCol w:w="1020"/>
        <w:gridCol w:w="1020"/>
        <w:gridCol w:w="1020"/>
        <w:gridCol w:w="626"/>
        <w:gridCol w:w="780"/>
        <w:gridCol w:w="780"/>
      </w:tblGrid>
      <w:tr w:rsidR="00A110B5" w:rsidRPr="006F515D" w14:paraId="303E7615" w14:textId="77777777" w:rsidTr="00406FB4">
        <w:trPr>
          <w:trHeight w:val="240"/>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039F2E4D" w14:textId="77777777" w:rsidR="00A110B5" w:rsidRPr="006F515D" w:rsidRDefault="00A110B5" w:rsidP="00406FB4">
            <w:pPr>
              <w:tabs>
                <w:tab w:val="clear" w:pos="426"/>
              </w:tabs>
              <w:spacing w:before="0" w:after="0" w:line="240" w:lineRule="auto"/>
              <w:ind w:left="0" w:right="0"/>
              <w:rPr>
                <w:rFonts w:cs="Arial"/>
                <w:b/>
                <w:bCs/>
                <w:color w:val="1C3158"/>
                <w:sz w:val="16"/>
                <w:szCs w:val="16"/>
                <w:lang w:eastAsia="ja-JP"/>
              </w:rPr>
            </w:pPr>
            <w:r w:rsidRPr="006F515D">
              <w:rPr>
                <w:rFonts w:eastAsia="Cambria" w:cs="Arial"/>
                <w:b/>
                <w:bCs/>
                <w:color w:val="1C3158"/>
                <w:sz w:val="16"/>
                <w:szCs w:val="16"/>
                <w:lang w:eastAsia="ja-JP"/>
              </w:rPr>
              <w:t>Item abb.</w:t>
            </w:r>
          </w:p>
        </w:tc>
        <w:tc>
          <w:tcPr>
            <w:tcW w:w="1751"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0CBFF9D2"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IRT parameters</w:t>
            </w:r>
          </w:p>
        </w:tc>
        <w:tc>
          <w:tcPr>
            <w:tcW w:w="4144" w:type="dxa"/>
            <w:gridSpan w:val="4"/>
            <w:tcBorders>
              <w:top w:val="single" w:sz="12" w:space="0" w:color="FF9E3C"/>
              <w:left w:val="nil"/>
              <w:bottom w:val="single" w:sz="12" w:space="0" w:color="FF9E3C"/>
              <w:right w:val="single" w:sz="12" w:space="0" w:color="FF9E3C"/>
            </w:tcBorders>
            <w:shd w:val="clear" w:color="000000" w:fill="FFBC64"/>
            <w:vAlign w:val="center"/>
            <w:hideMark/>
          </w:tcPr>
          <w:p w14:paraId="3BDFA975"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PGSI category</w:t>
            </w:r>
          </w:p>
        </w:tc>
        <w:tc>
          <w:tcPr>
            <w:tcW w:w="2186" w:type="dxa"/>
            <w:gridSpan w:val="3"/>
            <w:tcBorders>
              <w:top w:val="single" w:sz="12" w:space="0" w:color="FF9E3C"/>
              <w:left w:val="nil"/>
              <w:bottom w:val="single" w:sz="12" w:space="0" w:color="FF9E3C"/>
              <w:right w:val="single" w:sz="12" w:space="0" w:color="FF9E3C"/>
            </w:tcBorders>
            <w:shd w:val="clear" w:color="000000" w:fill="FFBC64"/>
            <w:vAlign w:val="center"/>
            <w:hideMark/>
          </w:tcPr>
          <w:p w14:paraId="0E74C1E0"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Correlations</w:t>
            </w:r>
          </w:p>
        </w:tc>
      </w:tr>
      <w:tr w:rsidR="00A110B5" w:rsidRPr="006F515D" w14:paraId="118069EE" w14:textId="77777777" w:rsidTr="00406FB4">
        <w:trPr>
          <w:trHeight w:val="252"/>
        </w:trPr>
        <w:tc>
          <w:tcPr>
            <w:tcW w:w="1701" w:type="dxa"/>
            <w:vMerge/>
            <w:tcBorders>
              <w:top w:val="single" w:sz="12" w:space="0" w:color="FF9E3C"/>
              <w:left w:val="single" w:sz="12" w:space="0" w:color="FF9E3C"/>
              <w:bottom w:val="single" w:sz="12" w:space="0" w:color="FF9E3C"/>
              <w:right w:val="single" w:sz="12" w:space="0" w:color="FF9E3C"/>
            </w:tcBorders>
            <w:vAlign w:val="center"/>
            <w:hideMark/>
          </w:tcPr>
          <w:p w14:paraId="6744D6F2" w14:textId="77777777" w:rsidR="00A110B5" w:rsidRPr="006F515D" w:rsidRDefault="00A110B5" w:rsidP="00406FB4">
            <w:pPr>
              <w:tabs>
                <w:tab w:val="clear" w:pos="426"/>
              </w:tabs>
              <w:spacing w:before="0" w:after="0" w:line="240" w:lineRule="auto"/>
              <w:ind w:left="0" w:right="0"/>
              <w:rPr>
                <w:rFonts w:cs="Arial"/>
                <w:b/>
                <w:bCs/>
                <w:color w:val="1C3158"/>
                <w:sz w:val="16"/>
                <w:szCs w:val="16"/>
                <w:lang w:eastAsia="ja-JP"/>
              </w:rPr>
            </w:pPr>
          </w:p>
        </w:tc>
        <w:tc>
          <w:tcPr>
            <w:tcW w:w="851" w:type="dxa"/>
            <w:tcBorders>
              <w:top w:val="nil"/>
              <w:left w:val="nil"/>
              <w:bottom w:val="single" w:sz="12" w:space="0" w:color="FF9E3C"/>
              <w:right w:val="single" w:sz="12" w:space="0" w:color="FF9E3C"/>
            </w:tcBorders>
            <w:shd w:val="clear" w:color="000000" w:fill="FFBC64"/>
            <w:vAlign w:val="center"/>
            <w:hideMark/>
          </w:tcPr>
          <w:p w14:paraId="56F70184"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Severity</w:t>
            </w:r>
          </w:p>
        </w:tc>
        <w:tc>
          <w:tcPr>
            <w:tcW w:w="900" w:type="dxa"/>
            <w:tcBorders>
              <w:top w:val="nil"/>
              <w:left w:val="nil"/>
              <w:bottom w:val="single" w:sz="12" w:space="0" w:color="FF9E3C"/>
              <w:right w:val="single" w:sz="12" w:space="0" w:color="FF9E3C"/>
            </w:tcBorders>
            <w:shd w:val="clear" w:color="000000" w:fill="FFBC64"/>
            <w:vAlign w:val="center"/>
            <w:hideMark/>
          </w:tcPr>
          <w:p w14:paraId="5D020B9A"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Dscrm</w:t>
            </w:r>
          </w:p>
        </w:tc>
        <w:tc>
          <w:tcPr>
            <w:tcW w:w="1084" w:type="dxa"/>
            <w:tcBorders>
              <w:top w:val="nil"/>
              <w:left w:val="nil"/>
              <w:bottom w:val="single" w:sz="12" w:space="0" w:color="FF9E3C"/>
              <w:right w:val="single" w:sz="12" w:space="0" w:color="FF9E3C"/>
            </w:tcBorders>
            <w:shd w:val="clear" w:color="000000" w:fill="FFBC64"/>
            <w:vAlign w:val="center"/>
            <w:hideMark/>
          </w:tcPr>
          <w:p w14:paraId="32840D4E"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Non Problem</w:t>
            </w:r>
          </w:p>
        </w:tc>
        <w:tc>
          <w:tcPr>
            <w:tcW w:w="1020" w:type="dxa"/>
            <w:tcBorders>
              <w:top w:val="nil"/>
              <w:left w:val="nil"/>
              <w:bottom w:val="single" w:sz="12" w:space="0" w:color="FF9E3C"/>
              <w:right w:val="single" w:sz="12" w:space="0" w:color="FF9E3C"/>
            </w:tcBorders>
            <w:shd w:val="clear" w:color="000000" w:fill="FFBC64"/>
            <w:vAlign w:val="center"/>
            <w:hideMark/>
          </w:tcPr>
          <w:p w14:paraId="0EFF3491"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Low Risk</w:t>
            </w:r>
          </w:p>
        </w:tc>
        <w:tc>
          <w:tcPr>
            <w:tcW w:w="1020" w:type="dxa"/>
            <w:tcBorders>
              <w:top w:val="nil"/>
              <w:left w:val="nil"/>
              <w:bottom w:val="single" w:sz="12" w:space="0" w:color="FF9E3C"/>
              <w:right w:val="single" w:sz="12" w:space="0" w:color="FF9E3C"/>
            </w:tcBorders>
            <w:shd w:val="clear" w:color="000000" w:fill="FFBC64"/>
            <w:vAlign w:val="center"/>
            <w:hideMark/>
          </w:tcPr>
          <w:p w14:paraId="6F90603C"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Moderate Risk</w:t>
            </w:r>
          </w:p>
        </w:tc>
        <w:tc>
          <w:tcPr>
            <w:tcW w:w="1020" w:type="dxa"/>
            <w:tcBorders>
              <w:top w:val="nil"/>
              <w:left w:val="nil"/>
              <w:bottom w:val="single" w:sz="12" w:space="0" w:color="FF9E3C"/>
              <w:right w:val="single" w:sz="12" w:space="0" w:color="FF9E3C"/>
            </w:tcBorders>
            <w:shd w:val="clear" w:color="000000" w:fill="FFBC64"/>
            <w:vAlign w:val="center"/>
            <w:hideMark/>
          </w:tcPr>
          <w:p w14:paraId="10C8DB88"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Problem</w:t>
            </w:r>
          </w:p>
        </w:tc>
        <w:tc>
          <w:tcPr>
            <w:tcW w:w="626" w:type="dxa"/>
            <w:tcBorders>
              <w:top w:val="nil"/>
              <w:left w:val="nil"/>
              <w:bottom w:val="single" w:sz="12" w:space="0" w:color="FF9E3C"/>
              <w:right w:val="single" w:sz="12" w:space="0" w:color="FF9E3C"/>
            </w:tcBorders>
            <w:shd w:val="clear" w:color="000000" w:fill="FFBC64"/>
            <w:vAlign w:val="center"/>
            <w:hideMark/>
          </w:tcPr>
          <w:p w14:paraId="049A9C18"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PGSI</w:t>
            </w:r>
          </w:p>
        </w:tc>
        <w:tc>
          <w:tcPr>
            <w:tcW w:w="780" w:type="dxa"/>
            <w:tcBorders>
              <w:top w:val="nil"/>
              <w:left w:val="nil"/>
              <w:bottom w:val="single" w:sz="12" w:space="0" w:color="FF9E3C"/>
              <w:right w:val="single" w:sz="12" w:space="0" w:color="FF9E3C"/>
            </w:tcBorders>
            <w:shd w:val="clear" w:color="000000" w:fill="FFBC64"/>
            <w:vAlign w:val="center"/>
            <w:hideMark/>
          </w:tcPr>
          <w:p w14:paraId="3A62F439"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Gen.</w:t>
            </w:r>
          </w:p>
        </w:tc>
        <w:tc>
          <w:tcPr>
            <w:tcW w:w="780" w:type="dxa"/>
            <w:tcBorders>
              <w:top w:val="nil"/>
              <w:left w:val="nil"/>
              <w:bottom w:val="single" w:sz="12" w:space="0" w:color="FF9E3C"/>
              <w:right w:val="single" w:sz="12" w:space="0" w:color="FF9E3C"/>
            </w:tcBorders>
            <w:shd w:val="clear" w:color="000000" w:fill="FFBC64"/>
            <w:vAlign w:val="center"/>
            <w:hideMark/>
          </w:tcPr>
          <w:p w14:paraId="01400EB2" w14:textId="77777777" w:rsidR="00A110B5" w:rsidRPr="006F515D" w:rsidRDefault="00A110B5" w:rsidP="00406FB4">
            <w:pPr>
              <w:tabs>
                <w:tab w:val="clear" w:pos="426"/>
              </w:tabs>
              <w:spacing w:before="0" w:after="0" w:line="240" w:lineRule="auto"/>
              <w:ind w:left="0" w:right="0"/>
              <w:jc w:val="center"/>
              <w:rPr>
                <w:rFonts w:cs="Arial"/>
                <w:b/>
                <w:bCs/>
                <w:color w:val="1C3158"/>
                <w:sz w:val="16"/>
                <w:szCs w:val="16"/>
                <w:lang w:eastAsia="ja-JP"/>
              </w:rPr>
            </w:pPr>
            <w:r w:rsidRPr="006F515D">
              <w:rPr>
                <w:rFonts w:eastAsia="Cambria" w:cs="Arial"/>
                <w:b/>
                <w:bCs/>
                <w:color w:val="1C3158"/>
                <w:sz w:val="16"/>
                <w:szCs w:val="16"/>
                <w:lang w:eastAsia="ja-JP"/>
              </w:rPr>
              <w:t>Tot.</w:t>
            </w:r>
          </w:p>
        </w:tc>
      </w:tr>
      <w:tr w:rsidR="00A110B5" w:rsidRPr="006F515D" w14:paraId="0CF08277" w14:textId="77777777" w:rsidTr="00CC2D44">
        <w:trPr>
          <w:trHeight w:val="240"/>
        </w:trPr>
        <w:tc>
          <w:tcPr>
            <w:tcW w:w="9782" w:type="dxa"/>
            <w:gridSpan w:val="10"/>
            <w:tcBorders>
              <w:top w:val="single" w:sz="12" w:space="0" w:color="FF9E3C"/>
              <w:left w:val="single" w:sz="12" w:space="0" w:color="FF9E3C"/>
              <w:right w:val="single" w:sz="12" w:space="0" w:color="FF9E3C"/>
            </w:tcBorders>
            <w:shd w:val="clear" w:color="000000" w:fill="FFCF8F"/>
            <w:vAlign w:val="center"/>
            <w:hideMark/>
          </w:tcPr>
          <w:p w14:paraId="066C89D6" w14:textId="77777777" w:rsidR="00A110B5" w:rsidRPr="006F515D"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6F515D">
              <w:rPr>
                <w:rFonts w:cs="Arial"/>
                <w:b/>
                <w:bCs/>
                <w:i/>
                <w:iCs/>
                <w:color w:val="1C3158"/>
                <w:sz w:val="16"/>
                <w:szCs w:val="16"/>
                <w:lang w:eastAsia="ja-JP"/>
              </w:rPr>
              <w:t>Financial</w:t>
            </w:r>
          </w:p>
        </w:tc>
      </w:tr>
      <w:tr w:rsidR="00A110B5" w:rsidRPr="006F515D" w14:paraId="2C0D8141"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01C9D568"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Assist. Marae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370C9B2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4.90</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79A941B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1.14</w:t>
            </w:r>
          </w:p>
        </w:tc>
        <w:tc>
          <w:tcPr>
            <w:tcW w:w="1084" w:type="dxa"/>
            <w:tcBorders>
              <w:top w:val="nil"/>
              <w:left w:val="single" w:sz="12" w:space="0" w:color="FF9E3C"/>
              <w:bottom w:val="nil"/>
              <w:right w:val="single" w:sz="12" w:space="0" w:color="FF9E3C"/>
            </w:tcBorders>
            <w:shd w:val="clear" w:color="000000" w:fill="FFFFFF"/>
            <w:vAlign w:val="center"/>
            <w:hideMark/>
          </w:tcPr>
          <w:p w14:paraId="6D4AB2B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5B6068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1325DF0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EEA1C4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w:t>
            </w:r>
          </w:p>
        </w:tc>
        <w:tc>
          <w:tcPr>
            <w:tcW w:w="626" w:type="dxa"/>
            <w:tcBorders>
              <w:top w:val="nil"/>
              <w:left w:val="single" w:sz="12" w:space="0" w:color="FF9E3C"/>
              <w:bottom w:val="nil"/>
              <w:right w:val="single" w:sz="12" w:space="0" w:color="FF9E3C"/>
            </w:tcBorders>
            <w:shd w:val="clear" w:color="000000" w:fill="FFFFFF"/>
            <w:hideMark/>
          </w:tcPr>
          <w:p w14:paraId="664AEE7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.09</w:t>
            </w:r>
          </w:p>
        </w:tc>
        <w:tc>
          <w:tcPr>
            <w:tcW w:w="780" w:type="dxa"/>
            <w:tcBorders>
              <w:top w:val="nil"/>
              <w:left w:val="single" w:sz="12" w:space="0" w:color="FF9E3C"/>
              <w:bottom w:val="nil"/>
              <w:right w:val="single" w:sz="12" w:space="0" w:color="FF9E3C"/>
            </w:tcBorders>
            <w:shd w:val="clear" w:color="000000" w:fill="FFFFFF"/>
            <w:hideMark/>
          </w:tcPr>
          <w:p w14:paraId="63AB009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.09</w:t>
            </w:r>
          </w:p>
        </w:tc>
        <w:tc>
          <w:tcPr>
            <w:tcW w:w="780" w:type="dxa"/>
            <w:tcBorders>
              <w:top w:val="nil"/>
              <w:left w:val="single" w:sz="12" w:space="0" w:color="FF9E3C"/>
              <w:bottom w:val="nil"/>
              <w:right w:val="single" w:sz="12" w:space="0" w:color="FF9E3C"/>
            </w:tcBorders>
            <w:shd w:val="clear" w:color="000000" w:fill="FFFFFF"/>
            <w:hideMark/>
          </w:tcPr>
          <w:p w14:paraId="3242143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w:t>
            </w:r>
          </w:p>
        </w:tc>
      </w:tr>
      <w:tr w:rsidR="00A110B5" w:rsidRPr="006F515D" w14:paraId="3306B661" w14:textId="77777777" w:rsidTr="00CC2D44">
        <w:trPr>
          <w:trHeight w:val="65"/>
        </w:trPr>
        <w:tc>
          <w:tcPr>
            <w:tcW w:w="1701" w:type="dxa"/>
            <w:vMerge/>
            <w:tcBorders>
              <w:top w:val="nil"/>
              <w:left w:val="single" w:sz="12" w:space="0" w:color="FF9E3C"/>
              <w:bottom w:val="single" w:sz="12" w:space="0" w:color="FF9E3C"/>
              <w:right w:val="single" w:sz="12" w:space="0" w:color="FF9E3C"/>
            </w:tcBorders>
            <w:vAlign w:val="center"/>
            <w:hideMark/>
          </w:tcPr>
          <w:p w14:paraId="1D247235"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A3E1BB2"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BB9373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B88BBC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798D05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C7D1D4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6D902E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(0.3, 2.6)</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E508CF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33DAD8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103742B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4D504F04"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38F698D"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Bankruptcy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FD1168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4.13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235AC7E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1.28</w:t>
            </w:r>
          </w:p>
        </w:tc>
        <w:tc>
          <w:tcPr>
            <w:tcW w:w="1084" w:type="dxa"/>
            <w:tcBorders>
              <w:top w:val="nil"/>
              <w:left w:val="single" w:sz="12" w:space="0" w:color="FF9E3C"/>
              <w:bottom w:val="nil"/>
              <w:right w:val="single" w:sz="12" w:space="0" w:color="FF9E3C"/>
            </w:tcBorders>
            <w:shd w:val="clear" w:color="000000" w:fill="FFFFFF"/>
            <w:vAlign w:val="center"/>
            <w:hideMark/>
          </w:tcPr>
          <w:p w14:paraId="6CB4015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0A3922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E2B13F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5AA129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1.5</w:t>
            </w:r>
          </w:p>
        </w:tc>
        <w:tc>
          <w:tcPr>
            <w:tcW w:w="626" w:type="dxa"/>
            <w:tcBorders>
              <w:top w:val="nil"/>
              <w:left w:val="single" w:sz="12" w:space="0" w:color="FF9E3C"/>
              <w:bottom w:val="nil"/>
              <w:right w:val="single" w:sz="12" w:space="0" w:color="FF9E3C"/>
            </w:tcBorders>
            <w:shd w:val="clear" w:color="000000" w:fill="FFFFFF"/>
            <w:hideMark/>
          </w:tcPr>
          <w:p w14:paraId="2897401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.13</w:t>
            </w:r>
          </w:p>
        </w:tc>
        <w:tc>
          <w:tcPr>
            <w:tcW w:w="780" w:type="dxa"/>
            <w:tcBorders>
              <w:top w:val="nil"/>
              <w:left w:val="single" w:sz="12" w:space="0" w:color="FF9E3C"/>
              <w:bottom w:val="nil"/>
              <w:right w:val="single" w:sz="12" w:space="0" w:color="FF9E3C"/>
            </w:tcBorders>
            <w:shd w:val="clear" w:color="000000" w:fill="FFFFFF"/>
            <w:hideMark/>
          </w:tcPr>
          <w:p w14:paraId="4D8245B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.11</w:t>
            </w:r>
          </w:p>
        </w:tc>
        <w:tc>
          <w:tcPr>
            <w:tcW w:w="780" w:type="dxa"/>
            <w:tcBorders>
              <w:top w:val="nil"/>
              <w:left w:val="single" w:sz="12" w:space="0" w:color="FF9E3C"/>
              <w:bottom w:val="nil"/>
              <w:right w:val="single" w:sz="12" w:space="0" w:color="FF9E3C"/>
            </w:tcBorders>
            <w:shd w:val="clear" w:color="000000" w:fill="FFFFFF"/>
            <w:hideMark/>
          </w:tcPr>
          <w:p w14:paraId="19B8458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.13</w:t>
            </w:r>
          </w:p>
        </w:tc>
      </w:tr>
      <w:tr w:rsidR="00A110B5" w:rsidRPr="006F515D" w14:paraId="26D17611" w14:textId="77777777" w:rsidTr="00CC2D44">
        <w:trPr>
          <w:trHeight w:val="58"/>
        </w:trPr>
        <w:tc>
          <w:tcPr>
            <w:tcW w:w="1701" w:type="dxa"/>
            <w:vMerge/>
            <w:tcBorders>
              <w:top w:val="nil"/>
              <w:left w:val="single" w:sz="12" w:space="0" w:color="FF9E3C"/>
              <w:bottom w:val="single" w:sz="12" w:space="0" w:color="FF9E3C"/>
              <w:right w:val="single" w:sz="12" w:space="0" w:color="FF9E3C"/>
            </w:tcBorders>
            <w:vAlign w:val="center"/>
            <w:hideMark/>
          </w:tcPr>
          <w:p w14:paraId="1CF439C7"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60593B4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A448855"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22F07C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14A7AD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158701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8D1DDB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(0.6, 3.3)</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634169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752850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3C63AF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5021C99A"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4CAB3D92"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Add. Employ.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065EA3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2.77</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0D8556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1.46</w:t>
            </w:r>
          </w:p>
        </w:tc>
        <w:tc>
          <w:tcPr>
            <w:tcW w:w="1084" w:type="dxa"/>
            <w:tcBorders>
              <w:top w:val="nil"/>
              <w:left w:val="single" w:sz="12" w:space="0" w:color="FF9E3C"/>
              <w:bottom w:val="nil"/>
              <w:right w:val="single" w:sz="12" w:space="0" w:color="FF9E3C"/>
            </w:tcBorders>
            <w:shd w:val="clear" w:color="000000" w:fill="FFFFFF"/>
            <w:vAlign w:val="center"/>
            <w:hideMark/>
          </w:tcPr>
          <w:p w14:paraId="4651BE3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8FC183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A3A62C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3.1</w:t>
            </w:r>
          </w:p>
        </w:tc>
        <w:tc>
          <w:tcPr>
            <w:tcW w:w="1020" w:type="dxa"/>
            <w:tcBorders>
              <w:top w:val="nil"/>
              <w:left w:val="single" w:sz="12" w:space="0" w:color="FF9E3C"/>
              <w:bottom w:val="nil"/>
              <w:right w:val="single" w:sz="12" w:space="0" w:color="FF9E3C"/>
            </w:tcBorders>
            <w:shd w:val="clear" w:color="000000" w:fill="FFFFFF"/>
            <w:vAlign w:val="center"/>
            <w:hideMark/>
          </w:tcPr>
          <w:p w14:paraId="7CEB5F5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4.6</w:t>
            </w:r>
          </w:p>
        </w:tc>
        <w:tc>
          <w:tcPr>
            <w:tcW w:w="626" w:type="dxa"/>
            <w:tcBorders>
              <w:top w:val="nil"/>
              <w:left w:val="single" w:sz="12" w:space="0" w:color="FF9E3C"/>
              <w:bottom w:val="nil"/>
              <w:right w:val="single" w:sz="12" w:space="0" w:color="FF9E3C"/>
            </w:tcBorders>
            <w:shd w:val="clear" w:color="000000" w:fill="FFFFFF"/>
            <w:hideMark/>
          </w:tcPr>
          <w:p w14:paraId="6CB5E65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w:t>
            </w:r>
          </w:p>
        </w:tc>
        <w:tc>
          <w:tcPr>
            <w:tcW w:w="780" w:type="dxa"/>
            <w:tcBorders>
              <w:top w:val="nil"/>
              <w:left w:val="single" w:sz="12" w:space="0" w:color="FF9E3C"/>
              <w:bottom w:val="nil"/>
              <w:right w:val="single" w:sz="12" w:space="0" w:color="FF9E3C"/>
            </w:tcBorders>
            <w:shd w:val="clear" w:color="000000" w:fill="FFFFFF"/>
            <w:hideMark/>
          </w:tcPr>
          <w:p w14:paraId="1952B87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.17</w:t>
            </w:r>
          </w:p>
        </w:tc>
        <w:tc>
          <w:tcPr>
            <w:tcW w:w="780" w:type="dxa"/>
            <w:tcBorders>
              <w:top w:val="nil"/>
              <w:left w:val="single" w:sz="12" w:space="0" w:color="FF9E3C"/>
              <w:bottom w:val="nil"/>
              <w:right w:val="single" w:sz="12" w:space="0" w:color="FF9E3C"/>
            </w:tcBorders>
            <w:shd w:val="clear" w:color="000000" w:fill="FFFFFF"/>
            <w:hideMark/>
          </w:tcPr>
          <w:p w14:paraId="157BF99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.27</w:t>
            </w:r>
          </w:p>
        </w:tc>
      </w:tr>
      <w:tr w:rsidR="00A110B5" w:rsidRPr="006F515D" w14:paraId="0A6BCEC9" w14:textId="77777777" w:rsidTr="00CC2D44">
        <w:trPr>
          <w:trHeight w:val="50"/>
        </w:trPr>
        <w:tc>
          <w:tcPr>
            <w:tcW w:w="1701" w:type="dxa"/>
            <w:vMerge/>
            <w:tcBorders>
              <w:top w:val="nil"/>
              <w:left w:val="single" w:sz="12" w:space="0" w:color="FF9E3C"/>
              <w:bottom w:val="single" w:sz="12" w:space="0" w:color="FF9E3C"/>
              <w:right w:val="single" w:sz="12" w:space="0" w:color="FF9E3C"/>
            </w:tcBorders>
            <w:vAlign w:val="center"/>
            <w:hideMark/>
          </w:tcPr>
          <w:p w14:paraId="3B3FECF1"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E71A4C8"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8CB4E39"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7A8491B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AD6C50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C50F27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(1.0, 8.3)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87261B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(2.9, 7.2)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71AD8C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BFB58C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48AC31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0455C122"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4E89EC1"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Emerg. Acc.</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B1F329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2.72</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06E5D5C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1.53</w:t>
            </w:r>
          </w:p>
        </w:tc>
        <w:tc>
          <w:tcPr>
            <w:tcW w:w="1084" w:type="dxa"/>
            <w:tcBorders>
              <w:top w:val="nil"/>
              <w:left w:val="single" w:sz="12" w:space="0" w:color="FF9E3C"/>
              <w:bottom w:val="nil"/>
              <w:right w:val="single" w:sz="12" w:space="0" w:color="FF9E3C"/>
            </w:tcBorders>
            <w:shd w:val="clear" w:color="000000" w:fill="FFFFFF"/>
            <w:vAlign w:val="center"/>
            <w:hideMark/>
          </w:tcPr>
          <w:p w14:paraId="3A4803B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7C3996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4.2</w:t>
            </w:r>
          </w:p>
        </w:tc>
        <w:tc>
          <w:tcPr>
            <w:tcW w:w="1020" w:type="dxa"/>
            <w:tcBorders>
              <w:top w:val="nil"/>
              <w:left w:val="single" w:sz="12" w:space="0" w:color="FF9E3C"/>
              <w:bottom w:val="nil"/>
              <w:right w:val="single" w:sz="12" w:space="0" w:color="FF9E3C"/>
            </w:tcBorders>
            <w:shd w:val="clear" w:color="000000" w:fill="FFFFFF"/>
            <w:vAlign w:val="center"/>
            <w:hideMark/>
          </w:tcPr>
          <w:p w14:paraId="25E13CB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CE4189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5.1</w:t>
            </w:r>
          </w:p>
        </w:tc>
        <w:tc>
          <w:tcPr>
            <w:tcW w:w="626" w:type="dxa"/>
            <w:tcBorders>
              <w:top w:val="nil"/>
              <w:left w:val="single" w:sz="12" w:space="0" w:color="FF9E3C"/>
              <w:bottom w:val="nil"/>
              <w:right w:val="single" w:sz="12" w:space="0" w:color="FF9E3C"/>
            </w:tcBorders>
            <w:shd w:val="clear" w:color="000000" w:fill="FFFFFF"/>
            <w:hideMark/>
          </w:tcPr>
          <w:p w14:paraId="658F60D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w:t>
            </w:r>
          </w:p>
        </w:tc>
        <w:tc>
          <w:tcPr>
            <w:tcW w:w="780" w:type="dxa"/>
            <w:tcBorders>
              <w:top w:val="nil"/>
              <w:left w:val="single" w:sz="12" w:space="0" w:color="FF9E3C"/>
              <w:bottom w:val="nil"/>
              <w:right w:val="single" w:sz="12" w:space="0" w:color="FF9E3C"/>
            </w:tcBorders>
            <w:shd w:val="clear" w:color="000000" w:fill="FFFFFF"/>
            <w:hideMark/>
          </w:tcPr>
          <w:p w14:paraId="4882329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w:t>
            </w:r>
          </w:p>
        </w:tc>
        <w:tc>
          <w:tcPr>
            <w:tcW w:w="780" w:type="dxa"/>
            <w:tcBorders>
              <w:top w:val="nil"/>
              <w:left w:val="single" w:sz="12" w:space="0" w:color="FF9E3C"/>
              <w:bottom w:val="nil"/>
              <w:right w:val="single" w:sz="12" w:space="0" w:color="FF9E3C"/>
            </w:tcBorders>
            <w:shd w:val="clear" w:color="000000" w:fill="FFFFFF"/>
            <w:hideMark/>
          </w:tcPr>
          <w:p w14:paraId="45DB2CE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.27</w:t>
            </w:r>
          </w:p>
        </w:tc>
      </w:tr>
      <w:tr w:rsidR="00A110B5" w:rsidRPr="006F515D" w14:paraId="1CE54FC4" w14:textId="77777777" w:rsidTr="00CC2D44">
        <w:trPr>
          <w:trHeight w:val="183"/>
        </w:trPr>
        <w:tc>
          <w:tcPr>
            <w:tcW w:w="1701" w:type="dxa"/>
            <w:vMerge/>
            <w:tcBorders>
              <w:top w:val="nil"/>
              <w:left w:val="single" w:sz="12" w:space="0" w:color="FF9E3C"/>
              <w:bottom w:val="single" w:sz="12" w:space="0" w:color="FF9E3C"/>
              <w:right w:val="single" w:sz="12" w:space="0" w:color="FF9E3C"/>
            </w:tcBorders>
            <w:vAlign w:val="center"/>
            <w:hideMark/>
          </w:tcPr>
          <w:p w14:paraId="68DEDF76"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492F8EDA"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40882AF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2E63E6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5F486A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0DE85F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3C631A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(3.3, 7.8)</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56B436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F05DD0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0EFD0CE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40532878"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431D51E"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Loss Assets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6C99B3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2.07</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F556DF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1.67</w:t>
            </w:r>
          </w:p>
        </w:tc>
        <w:tc>
          <w:tcPr>
            <w:tcW w:w="1084" w:type="dxa"/>
            <w:tcBorders>
              <w:top w:val="nil"/>
              <w:left w:val="single" w:sz="12" w:space="0" w:color="FF9E3C"/>
              <w:bottom w:val="nil"/>
              <w:right w:val="single" w:sz="12" w:space="0" w:color="FF9E3C"/>
            </w:tcBorders>
            <w:shd w:val="clear" w:color="000000" w:fill="FFFFFF"/>
            <w:vAlign w:val="center"/>
            <w:hideMark/>
          </w:tcPr>
          <w:p w14:paraId="2B6891C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5AD01C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4.2</w:t>
            </w:r>
          </w:p>
        </w:tc>
        <w:tc>
          <w:tcPr>
            <w:tcW w:w="1020" w:type="dxa"/>
            <w:tcBorders>
              <w:top w:val="nil"/>
              <w:left w:val="single" w:sz="12" w:space="0" w:color="FF9E3C"/>
              <w:bottom w:val="nil"/>
              <w:right w:val="single" w:sz="12" w:space="0" w:color="FF9E3C"/>
            </w:tcBorders>
            <w:shd w:val="clear" w:color="000000" w:fill="FFFFFF"/>
            <w:vAlign w:val="center"/>
            <w:hideMark/>
          </w:tcPr>
          <w:p w14:paraId="392995D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w:t>
            </w:r>
          </w:p>
        </w:tc>
        <w:tc>
          <w:tcPr>
            <w:tcW w:w="1020" w:type="dxa"/>
            <w:tcBorders>
              <w:top w:val="nil"/>
              <w:left w:val="single" w:sz="12" w:space="0" w:color="FF9E3C"/>
              <w:bottom w:val="nil"/>
              <w:right w:val="single" w:sz="12" w:space="0" w:color="FF9E3C"/>
            </w:tcBorders>
            <w:shd w:val="clear" w:color="000000" w:fill="FFFFFF"/>
            <w:vAlign w:val="center"/>
            <w:hideMark/>
          </w:tcPr>
          <w:p w14:paraId="0B65560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9.9</w:t>
            </w:r>
          </w:p>
        </w:tc>
        <w:tc>
          <w:tcPr>
            <w:tcW w:w="626" w:type="dxa"/>
            <w:tcBorders>
              <w:top w:val="nil"/>
              <w:left w:val="single" w:sz="12" w:space="0" w:color="FF9E3C"/>
              <w:bottom w:val="nil"/>
              <w:right w:val="single" w:sz="12" w:space="0" w:color="FF9E3C"/>
            </w:tcBorders>
            <w:shd w:val="clear" w:color="000000" w:fill="FFFFFF"/>
            <w:hideMark/>
          </w:tcPr>
          <w:p w14:paraId="49A33CD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w:t>
            </w:r>
          </w:p>
        </w:tc>
        <w:tc>
          <w:tcPr>
            <w:tcW w:w="780" w:type="dxa"/>
            <w:tcBorders>
              <w:top w:val="nil"/>
              <w:left w:val="single" w:sz="12" w:space="0" w:color="FF9E3C"/>
              <w:bottom w:val="nil"/>
              <w:right w:val="single" w:sz="12" w:space="0" w:color="FF9E3C"/>
            </w:tcBorders>
            <w:shd w:val="clear" w:color="000000" w:fill="FFFFFF"/>
            <w:hideMark/>
          </w:tcPr>
          <w:p w14:paraId="1661D13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.35</w:t>
            </w:r>
          </w:p>
        </w:tc>
        <w:tc>
          <w:tcPr>
            <w:tcW w:w="780" w:type="dxa"/>
            <w:tcBorders>
              <w:top w:val="nil"/>
              <w:left w:val="single" w:sz="12" w:space="0" w:color="FF9E3C"/>
              <w:bottom w:val="nil"/>
              <w:right w:val="single" w:sz="12" w:space="0" w:color="FF9E3C"/>
            </w:tcBorders>
            <w:shd w:val="clear" w:color="000000" w:fill="FFFFFF"/>
            <w:hideMark/>
          </w:tcPr>
          <w:p w14:paraId="41A3B49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.38</w:t>
            </w:r>
          </w:p>
        </w:tc>
      </w:tr>
      <w:tr w:rsidR="00A110B5" w:rsidRPr="006F515D" w14:paraId="5215958E" w14:textId="77777777" w:rsidTr="00CC2D44">
        <w:trPr>
          <w:trHeight w:val="147"/>
        </w:trPr>
        <w:tc>
          <w:tcPr>
            <w:tcW w:w="1701" w:type="dxa"/>
            <w:vMerge/>
            <w:tcBorders>
              <w:top w:val="nil"/>
              <w:left w:val="single" w:sz="12" w:space="0" w:color="FF9E3C"/>
              <w:bottom w:val="single" w:sz="12" w:space="0" w:color="FF9E3C"/>
              <w:right w:val="single" w:sz="12" w:space="0" w:color="FF9E3C"/>
            </w:tcBorders>
            <w:vAlign w:val="center"/>
            <w:hideMark/>
          </w:tcPr>
          <w:p w14:paraId="51445ED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46F7DA8A"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D87B7F3"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AA8BA9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60C3B5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E4CEFF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(0.3, 6.1)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89F9B0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(7.3,13.3)</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2E0AEE0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45B3D6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6B4F08E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1A38BB11"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1174A5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Welfare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58CD39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69D05D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1.60</w:t>
            </w:r>
          </w:p>
        </w:tc>
        <w:tc>
          <w:tcPr>
            <w:tcW w:w="1084" w:type="dxa"/>
            <w:tcBorders>
              <w:top w:val="nil"/>
              <w:left w:val="single" w:sz="12" w:space="0" w:color="FF9E3C"/>
              <w:bottom w:val="nil"/>
              <w:right w:val="single" w:sz="12" w:space="0" w:color="FF9E3C"/>
            </w:tcBorders>
            <w:shd w:val="clear" w:color="000000" w:fill="FFFFFF"/>
            <w:vAlign w:val="center"/>
            <w:hideMark/>
          </w:tcPr>
          <w:p w14:paraId="60F6E53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AC491C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21A33F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3.9</w:t>
            </w:r>
          </w:p>
        </w:tc>
        <w:tc>
          <w:tcPr>
            <w:tcW w:w="1020" w:type="dxa"/>
            <w:tcBorders>
              <w:top w:val="nil"/>
              <w:left w:val="single" w:sz="12" w:space="0" w:color="FF9E3C"/>
              <w:bottom w:val="nil"/>
              <w:right w:val="single" w:sz="12" w:space="0" w:color="FF9E3C"/>
            </w:tcBorders>
            <w:shd w:val="clear" w:color="000000" w:fill="FFFFFF"/>
            <w:vAlign w:val="center"/>
            <w:hideMark/>
          </w:tcPr>
          <w:p w14:paraId="2249A54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10.7</w:t>
            </w:r>
          </w:p>
        </w:tc>
        <w:tc>
          <w:tcPr>
            <w:tcW w:w="626" w:type="dxa"/>
            <w:tcBorders>
              <w:top w:val="nil"/>
              <w:left w:val="single" w:sz="12" w:space="0" w:color="FF9E3C"/>
              <w:bottom w:val="nil"/>
              <w:right w:val="single" w:sz="12" w:space="0" w:color="FF9E3C"/>
            </w:tcBorders>
            <w:shd w:val="clear" w:color="000000" w:fill="FFFFFF"/>
            <w:hideMark/>
          </w:tcPr>
          <w:p w14:paraId="7E55DD3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.15</w:t>
            </w:r>
          </w:p>
        </w:tc>
        <w:tc>
          <w:tcPr>
            <w:tcW w:w="780" w:type="dxa"/>
            <w:tcBorders>
              <w:top w:val="nil"/>
              <w:left w:val="single" w:sz="12" w:space="0" w:color="FF9E3C"/>
              <w:bottom w:val="nil"/>
              <w:right w:val="single" w:sz="12" w:space="0" w:color="FF9E3C"/>
            </w:tcBorders>
            <w:shd w:val="clear" w:color="000000" w:fill="FFFFFF"/>
            <w:hideMark/>
          </w:tcPr>
          <w:p w14:paraId="3F13A98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.27</w:t>
            </w:r>
          </w:p>
        </w:tc>
        <w:tc>
          <w:tcPr>
            <w:tcW w:w="780" w:type="dxa"/>
            <w:tcBorders>
              <w:top w:val="nil"/>
              <w:left w:val="single" w:sz="12" w:space="0" w:color="FF9E3C"/>
              <w:bottom w:val="nil"/>
              <w:right w:val="single" w:sz="12" w:space="0" w:color="FF9E3C"/>
            </w:tcBorders>
            <w:shd w:val="clear" w:color="000000" w:fill="FFFFFF"/>
            <w:hideMark/>
          </w:tcPr>
          <w:p w14:paraId="705C265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.36</w:t>
            </w:r>
          </w:p>
        </w:tc>
      </w:tr>
      <w:tr w:rsidR="00A110B5" w:rsidRPr="006F515D" w14:paraId="36111C8B" w14:textId="77777777" w:rsidTr="00CC2D44">
        <w:trPr>
          <w:trHeight w:val="140"/>
        </w:trPr>
        <w:tc>
          <w:tcPr>
            <w:tcW w:w="1701" w:type="dxa"/>
            <w:vMerge/>
            <w:tcBorders>
              <w:top w:val="nil"/>
              <w:left w:val="single" w:sz="12" w:space="0" w:color="FF9E3C"/>
              <w:bottom w:val="single" w:sz="12" w:space="0" w:color="FF9E3C"/>
              <w:right w:val="single" w:sz="12" w:space="0" w:color="FF9E3C"/>
            </w:tcBorders>
            <w:vAlign w:val="center"/>
            <w:hideMark/>
          </w:tcPr>
          <w:p w14:paraId="0D6D49A1"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4AE5FC9"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09D61A3"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0B765D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6CB72E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602DFE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(1.4, 9.3)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7557E2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(7.9,14.1)</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5D5B66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2C42AA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AA5CF5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08F8617B"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4980E0B4"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Loss Utilities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70393BE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1.92</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EBCA11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1.84</w:t>
            </w:r>
          </w:p>
        </w:tc>
        <w:tc>
          <w:tcPr>
            <w:tcW w:w="1084" w:type="dxa"/>
            <w:tcBorders>
              <w:top w:val="nil"/>
              <w:left w:val="single" w:sz="12" w:space="0" w:color="FF9E3C"/>
              <w:bottom w:val="nil"/>
              <w:right w:val="single" w:sz="12" w:space="0" w:color="FF9E3C"/>
            </w:tcBorders>
            <w:shd w:val="clear" w:color="000000" w:fill="FFFFFF"/>
            <w:vAlign w:val="center"/>
            <w:hideMark/>
          </w:tcPr>
          <w:p w14:paraId="057D50A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38C6B0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4.2</w:t>
            </w:r>
          </w:p>
        </w:tc>
        <w:tc>
          <w:tcPr>
            <w:tcW w:w="1020" w:type="dxa"/>
            <w:tcBorders>
              <w:top w:val="nil"/>
              <w:left w:val="single" w:sz="12" w:space="0" w:color="FF9E3C"/>
              <w:bottom w:val="nil"/>
              <w:right w:val="single" w:sz="12" w:space="0" w:color="FF9E3C"/>
            </w:tcBorders>
            <w:shd w:val="clear" w:color="000000" w:fill="FFFFFF"/>
            <w:vAlign w:val="center"/>
            <w:hideMark/>
          </w:tcPr>
          <w:p w14:paraId="2CF2497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w:t>
            </w:r>
          </w:p>
        </w:tc>
        <w:tc>
          <w:tcPr>
            <w:tcW w:w="1020" w:type="dxa"/>
            <w:tcBorders>
              <w:top w:val="nil"/>
              <w:left w:val="single" w:sz="12" w:space="0" w:color="FF9E3C"/>
              <w:bottom w:val="nil"/>
              <w:right w:val="single" w:sz="12" w:space="0" w:color="FF9E3C"/>
            </w:tcBorders>
            <w:shd w:val="clear" w:color="000000" w:fill="FFFFFF"/>
            <w:vAlign w:val="center"/>
            <w:hideMark/>
          </w:tcPr>
          <w:p w14:paraId="65F8A82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10.7</w:t>
            </w:r>
          </w:p>
        </w:tc>
        <w:tc>
          <w:tcPr>
            <w:tcW w:w="626" w:type="dxa"/>
            <w:tcBorders>
              <w:top w:val="nil"/>
              <w:left w:val="single" w:sz="12" w:space="0" w:color="FF9E3C"/>
              <w:bottom w:val="nil"/>
              <w:right w:val="single" w:sz="12" w:space="0" w:color="FF9E3C"/>
            </w:tcBorders>
            <w:shd w:val="clear" w:color="000000" w:fill="FFFFFF"/>
            <w:hideMark/>
          </w:tcPr>
          <w:p w14:paraId="0F58B9A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w:t>
            </w:r>
          </w:p>
        </w:tc>
        <w:tc>
          <w:tcPr>
            <w:tcW w:w="780" w:type="dxa"/>
            <w:tcBorders>
              <w:top w:val="nil"/>
              <w:left w:val="single" w:sz="12" w:space="0" w:color="FF9E3C"/>
              <w:bottom w:val="nil"/>
              <w:right w:val="single" w:sz="12" w:space="0" w:color="FF9E3C"/>
            </w:tcBorders>
            <w:shd w:val="clear" w:color="000000" w:fill="FFFFFF"/>
            <w:hideMark/>
          </w:tcPr>
          <w:p w14:paraId="59D7772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.34</w:t>
            </w:r>
          </w:p>
        </w:tc>
        <w:tc>
          <w:tcPr>
            <w:tcW w:w="780" w:type="dxa"/>
            <w:tcBorders>
              <w:top w:val="nil"/>
              <w:left w:val="single" w:sz="12" w:space="0" w:color="FF9E3C"/>
              <w:bottom w:val="nil"/>
              <w:right w:val="single" w:sz="12" w:space="0" w:color="FF9E3C"/>
            </w:tcBorders>
            <w:shd w:val="clear" w:color="000000" w:fill="FFFFFF"/>
            <w:hideMark/>
          </w:tcPr>
          <w:p w14:paraId="3A02656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.39</w:t>
            </w:r>
          </w:p>
        </w:tc>
      </w:tr>
      <w:tr w:rsidR="00A110B5" w:rsidRPr="006F515D" w14:paraId="23EF99F7" w14:textId="77777777" w:rsidTr="00CC2D44">
        <w:trPr>
          <w:trHeight w:val="131"/>
        </w:trPr>
        <w:tc>
          <w:tcPr>
            <w:tcW w:w="1701" w:type="dxa"/>
            <w:vMerge/>
            <w:tcBorders>
              <w:top w:val="nil"/>
              <w:left w:val="single" w:sz="12" w:space="0" w:color="FF9E3C"/>
              <w:bottom w:val="single" w:sz="12" w:space="0" w:color="FF9E3C"/>
              <w:right w:val="single" w:sz="12" w:space="0" w:color="FF9E3C"/>
            </w:tcBorders>
            <w:vAlign w:val="center"/>
            <w:hideMark/>
          </w:tcPr>
          <w:p w14:paraId="3BC06F58"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607C5DA1"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E20E173"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E75CB3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80135E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17C9DD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(0.3, 6.1)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4BFA47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(7.9,14.1)</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0715F40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04069B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22581C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17E7BDD6"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39F24BE8"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Inc. CC debt</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F56DF7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1.71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2C6DBE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1.58</w:t>
            </w:r>
          </w:p>
        </w:tc>
        <w:tc>
          <w:tcPr>
            <w:tcW w:w="1084" w:type="dxa"/>
            <w:tcBorders>
              <w:top w:val="nil"/>
              <w:left w:val="single" w:sz="12" w:space="0" w:color="FF9E3C"/>
              <w:bottom w:val="nil"/>
              <w:right w:val="single" w:sz="12" w:space="0" w:color="FF9E3C"/>
            </w:tcBorders>
            <w:shd w:val="clear" w:color="000000" w:fill="FFFFFF"/>
            <w:vAlign w:val="center"/>
            <w:hideMark/>
          </w:tcPr>
          <w:p w14:paraId="01EFDFD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A6A7B7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4.2</w:t>
            </w:r>
          </w:p>
        </w:tc>
        <w:tc>
          <w:tcPr>
            <w:tcW w:w="1020" w:type="dxa"/>
            <w:tcBorders>
              <w:top w:val="nil"/>
              <w:left w:val="single" w:sz="12" w:space="0" w:color="FF9E3C"/>
              <w:bottom w:val="nil"/>
              <w:right w:val="single" w:sz="12" w:space="0" w:color="FF9E3C"/>
            </w:tcBorders>
            <w:shd w:val="clear" w:color="000000" w:fill="FFFFFF"/>
            <w:vAlign w:val="center"/>
            <w:hideMark/>
          </w:tcPr>
          <w:p w14:paraId="1210627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6.2</w:t>
            </w:r>
          </w:p>
        </w:tc>
        <w:tc>
          <w:tcPr>
            <w:tcW w:w="1020" w:type="dxa"/>
            <w:tcBorders>
              <w:top w:val="nil"/>
              <w:left w:val="single" w:sz="12" w:space="0" w:color="FF9E3C"/>
              <w:bottom w:val="nil"/>
              <w:right w:val="single" w:sz="12" w:space="0" w:color="FF9E3C"/>
            </w:tcBorders>
            <w:shd w:val="clear" w:color="000000" w:fill="FFFFFF"/>
            <w:vAlign w:val="center"/>
            <w:hideMark/>
          </w:tcPr>
          <w:p w14:paraId="199D9FC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15.3</w:t>
            </w:r>
          </w:p>
        </w:tc>
        <w:tc>
          <w:tcPr>
            <w:tcW w:w="626" w:type="dxa"/>
            <w:tcBorders>
              <w:top w:val="nil"/>
              <w:left w:val="single" w:sz="12" w:space="0" w:color="FF9E3C"/>
              <w:bottom w:val="nil"/>
              <w:right w:val="single" w:sz="12" w:space="0" w:color="FF9E3C"/>
            </w:tcBorders>
            <w:shd w:val="clear" w:color="000000" w:fill="FFFFFF"/>
            <w:hideMark/>
          </w:tcPr>
          <w:p w14:paraId="4F088D5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.18</w:t>
            </w:r>
          </w:p>
        </w:tc>
        <w:tc>
          <w:tcPr>
            <w:tcW w:w="780" w:type="dxa"/>
            <w:tcBorders>
              <w:top w:val="nil"/>
              <w:left w:val="single" w:sz="12" w:space="0" w:color="FF9E3C"/>
              <w:bottom w:val="nil"/>
              <w:right w:val="single" w:sz="12" w:space="0" w:color="FF9E3C"/>
            </w:tcBorders>
            <w:shd w:val="clear" w:color="000000" w:fill="FFFFFF"/>
            <w:hideMark/>
          </w:tcPr>
          <w:p w14:paraId="1623CF0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.40</w:t>
            </w:r>
          </w:p>
        </w:tc>
        <w:tc>
          <w:tcPr>
            <w:tcW w:w="780" w:type="dxa"/>
            <w:tcBorders>
              <w:top w:val="nil"/>
              <w:left w:val="single" w:sz="12" w:space="0" w:color="FF9E3C"/>
              <w:bottom w:val="nil"/>
              <w:right w:val="single" w:sz="12" w:space="0" w:color="FF9E3C"/>
            </w:tcBorders>
            <w:shd w:val="clear" w:color="000000" w:fill="FFFFFF"/>
            <w:hideMark/>
          </w:tcPr>
          <w:p w14:paraId="76C8FEE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.41</w:t>
            </w:r>
          </w:p>
        </w:tc>
      </w:tr>
      <w:tr w:rsidR="00A110B5" w:rsidRPr="006F515D" w14:paraId="1003C4A2" w14:textId="77777777" w:rsidTr="00CC2D44">
        <w:trPr>
          <w:trHeight w:val="123"/>
        </w:trPr>
        <w:tc>
          <w:tcPr>
            <w:tcW w:w="1701" w:type="dxa"/>
            <w:vMerge/>
            <w:tcBorders>
              <w:top w:val="nil"/>
              <w:left w:val="single" w:sz="12" w:space="0" w:color="FF9E3C"/>
              <w:bottom w:val="single" w:sz="12" w:space="0" w:color="FF9E3C"/>
              <w:right w:val="single" w:sz="12" w:space="0" w:color="FF9E3C"/>
            </w:tcBorders>
            <w:vAlign w:val="center"/>
            <w:hideMark/>
          </w:tcPr>
          <w:p w14:paraId="306A6D05"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DE52E15"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C25D097"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1C01F8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2863C6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2C75A3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(2.9,12.3)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4DD997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(12.0,19.2)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454889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0A093BC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1F475E9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1BD3F643"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B9B3A2A"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Sold Items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0D1349C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8014B8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2.00</w:t>
            </w:r>
          </w:p>
        </w:tc>
        <w:tc>
          <w:tcPr>
            <w:tcW w:w="1084" w:type="dxa"/>
            <w:tcBorders>
              <w:top w:val="nil"/>
              <w:left w:val="single" w:sz="12" w:space="0" w:color="FF9E3C"/>
              <w:bottom w:val="nil"/>
              <w:right w:val="single" w:sz="12" w:space="0" w:color="FF9E3C"/>
            </w:tcBorders>
            <w:shd w:val="clear" w:color="000000" w:fill="FFFFFF"/>
            <w:vAlign w:val="center"/>
            <w:hideMark/>
          </w:tcPr>
          <w:p w14:paraId="24BC434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56DD99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240D3F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3.1</w:t>
            </w:r>
          </w:p>
        </w:tc>
        <w:tc>
          <w:tcPr>
            <w:tcW w:w="1020" w:type="dxa"/>
            <w:tcBorders>
              <w:top w:val="nil"/>
              <w:left w:val="single" w:sz="12" w:space="0" w:color="FF9E3C"/>
              <w:bottom w:val="nil"/>
              <w:right w:val="single" w:sz="12" w:space="0" w:color="FF9E3C"/>
            </w:tcBorders>
            <w:shd w:val="clear" w:color="000000" w:fill="FFFFFF"/>
            <w:vAlign w:val="center"/>
            <w:hideMark/>
          </w:tcPr>
          <w:p w14:paraId="4C1166D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14.8</w:t>
            </w:r>
          </w:p>
        </w:tc>
        <w:tc>
          <w:tcPr>
            <w:tcW w:w="626" w:type="dxa"/>
            <w:tcBorders>
              <w:top w:val="nil"/>
              <w:left w:val="single" w:sz="12" w:space="0" w:color="FF9E3C"/>
              <w:bottom w:val="nil"/>
              <w:right w:val="single" w:sz="12" w:space="0" w:color="FF9E3C"/>
            </w:tcBorders>
            <w:shd w:val="clear" w:color="000000" w:fill="FFFFFF"/>
            <w:hideMark/>
          </w:tcPr>
          <w:p w14:paraId="52A3A02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.28</w:t>
            </w:r>
          </w:p>
        </w:tc>
        <w:tc>
          <w:tcPr>
            <w:tcW w:w="780" w:type="dxa"/>
            <w:tcBorders>
              <w:top w:val="nil"/>
              <w:left w:val="single" w:sz="12" w:space="0" w:color="FF9E3C"/>
              <w:bottom w:val="nil"/>
              <w:right w:val="single" w:sz="12" w:space="0" w:color="FF9E3C"/>
            </w:tcBorders>
            <w:shd w:val="clear" w:color="000000" w:fill="FFFFFF"/>
            <w:hideMark/>
          </w:tcPr>
          <w:p w14:paraId="6A439B4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.39</w:t>
            </w:r>
          </w:p>
        </w:tc>
        <w:tc>
          <w:tcPr>
            <w:tcW w:w="780" w:type="dxa"/>
            <w:tcBorders>
              <w:top w:val="nil"/>
              <w:left w:val="single" w:sz="12" w:space="0" w:color="FF9E3C"/>
              <w:bottom w:val="nil"/>
              <w:right w:val="single" w:sz="12" w:space="0" w:color="FF9E3C"/>
            </w:tcBorders>
            <w:shd w:val="clear" w:color="000000" w:fill="FFFFFF"/>
            <w:hideMark/>
          </w:tcPr>
          <w:p w14:paraId="3EAA06C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.49</w:t>
            </w:r>
          </w:p>
        </w:tc>
      </w:tr>
      <w:tr w:rsidR="00A110B5" w:rsidRPr="006F515D" w14:paraId="471F4359" w14:textId="77777777" w:rsidTr="00CC2D44">
        <w:trPr>
          <w:trHeight w:val="101"/>
        </w:trPr>
        <w:tc>
          <w:tcPr>
            <w:tcW w:w="1701" w:type="dxa"/>
            <w:vMerge/>
            <w:tcBorders>
              <w:top w:val="nil"/>
              <w:left w:val="single" w:sz="12" w:space="0" w:color="FF9E3C"/>
              <w:bottom w:val="single" w:sz="12" w:space="0" w:color="FF9E3C"/>
              <w:right w:val="single" w:sz="12" w:space="0" w:color="FF9E3C"/>
            </w:tcBorders>
            <w:vAlign w:val="center"/>
            <w:hideMark/>
          </w:tcPr>
          <w:p w14:paraId="2D9B319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5CB6CF7"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8200F27"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0F239A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79BEBB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3AE3F4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(1.0, 8.3)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EBDFC9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(11.6,18.6)</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2990852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851D20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65F3701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4B09BDDB"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5677AE3" w14:textId="272125C1"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B06721">
              <w:rPr>
                <w:rFonts w:cs="Arial"/>
                <w:color w:val="1C3158"/>
                <w:sz w:val="16"/>
                <w:szCs w:val="16"/>
                <w:lang w:eastAsia="ja-JP"/>
              </w:rPr>
              <w:t xml:space="preserve">Assist </w:t>
            </w:r>
            <w:r w:rsidR="00B12BDA">
              <w:rPr>
                <w:rFonts w:cs="Arial"/>
                <w:color w:val="1C3158"/>
                <w:sz w:val="16"/>
                <w:szCs w:val="16"/>
                <w:lang w:eastAsia="ja-JP"/>
              </w:rPr>
              <w:t>Whānau</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3DE209D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1.09</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23A1545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2.19</w:t>
            </w:r>
          </w:p>
        </w:tc>
        <w:tc>
          <w:tcPr>
            <w:tcW w:w="1084" w:type="dxa"/>
            <w:tcBorders>
              <w:top w:val="nil"/>
              <w:left w:val="single" w:sz="12" w:space="0" w:color="FF9E3C"/>
              <w:bottom w:val="nil"/>
              <w:right w:val="single" w:sz="12" w:space="0" w:color="FF9E3C"/>
            </w:tcBorders>
            <w:shd w:val="clear" w:color="000000" w:fill="FFFFFF"/>
            <w:vAlign w:val="center"/>
            <w:hideMark/>
          </w:tcPr>
          <w:p w14:paraId="7F2DDE3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3.8</w:t>
            </w:r>
          </w:p>
        </w:tc>
        <w:tc>
          <w:tcPr>
            <w:tcW w:w="1020" w:type="dxa"/>
            <w:tcBorders>
              <w:top w:val="nil"/>
              <w:left w:val="single" w:sz="12" w:space="0" w:color="FF9E3C"/>
              <w:bottom w:val="nil"/>
              <w:right w:val="single" w:sz="12" w:space="0" w:color="FF9E3C"/>
            </w:tcBorders>
            <w:shd w:val="clear" w:color="000000" w:fill="FFFFFF"/>
            <w:vAlign w:val="center"/>
            <w:hideMark/>
          </w:tcPr>
          <w:p w14:paraId="1DB2651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4.2</w:t>
            </w:r>
          </w:p>
        </w:tc>
        <w:tc>
          <w:tcPr>
            <w:tcW w:w="1020" w:type="dxa"/>
            <w:tcBorders>
              <w:top w:val="nil"/>
              <w:left w:val="single" w:sz="12" w:space="0" w:color="FF9E3C"/>
              <w:bottom w:val="nil"/>
              <w:right w:val="single" w:sz="12" w:space="0" w:color="FF9E3C"/>
            </w:tcBorders>
            <w:shd w:val="clear" w:color="000000" w:fill="FFFFFF"/>
            <w:vAlign w:val="center"/>
            <w:hideMark/>
          </w:tcPr>
          <w:p w14:paraId="5FDD8C2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10.2</w:t>
            </w:r>
          </w:p>
        </w:tc>
        <w:tc>
          <w:tcPr>
            <w:tcW w:w="1020" w:type="dxa"/>
            <w:tcBorders>
              <w:top w:val="nil"/>
              <w:left w:val="single" w:sz="12" w:space="0" w:color="FF9E3C"/>
              <w:bottom w:val="nil"/>
              <w:right w:val="single" w:sz="12" w:space="0" w:color="FF9E3C"/>
            </w:tcBorders>
            <w:shd w:val="clear" w:color="000000" w:fill="FFFFFF"/>
            <w:vAlign w:val="center"/>
            <w:hideMark/>
          </w:tcPr>
          <w:p w14:paraId="5156C21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24.0</w:t>
            </w:r>
          </w:p>
        </w:tc>
        <w:tc>
          <w:tcPr>
            <w:tcW w:w="626" w:type="dxa"/>
            <w:tcBorders>
              <w:top w:val="nil"/>
              <w:left w:val="single" w:sz="12" w:space="0" w:color="FF9E3C"/>
              <w:bottom w:val="nil"/>
              <w:right w:val="single" w:sz="12" w:space="0" w:color="FF9E3C"/>
            </w:tcBorders>
            <w:shd w:val="clear" w:color="000000" w:fill="FFFFFF"/>
            <w:hideMark/>
          </w:tcPr>
          <w:p w14:paraId="08607A8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.24</w:t>
            </w:r>
          </w:p>
        </w:tc>
        <w:tc>
          <w:tcPr>
            <w:tcW w:w="780" w:type="dxa"/>
            <w:tcBorders>
              <w:top w:val="nil"/>
              <w:left w:val="single" w:sz="12" w:space="0" w:color="FF9E3C"/>
              <w:bottom w:val="nil"/>
              <w:right w:val="single" w:sz="12" w:space="0" w:color="FF9E3C"/>
            </w:tcBorders>
            <w:shd w:val="clear" w:color="000000" w:fill="FFFFFF"/>
            <w:hideMark/>
          </w:tcPr>
          <w:p w14:paraId="7849007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.48</w:t>
            </w:r>
          </w:p>
        </w:tc>
        <w:tc>
          <w:tcPr>
            <w:tcW w:w="780" w:type="dxa"/>
            <w:tcBorders>
              <w:top w:val="nil"/>
              <w:left w:val="single" w:sz="12" w:space="0" w:color="FF9E3C"/>
              <w:bottom w:val="nil"/>
              <w:right w:val="single" w:sz="12" w:space="0" w:color="FF9E3C"/>
            </w:tcBorders>
            <w:shd w:val="clear" w:color="000000" w:fill="FFFFFF"/>
            <w:hideMark/>
          </w:tcPr>
          <w:p w14:paraId="23A34E9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.55</w:t>
            </w:r>
          </w:p>
        </w:tc>
      </w:tr>
      <w:tr w:rsidR="00A110B5" w:rsidRPr="006F515D" w14:paraId="703BCAB5" w14:textId="77777777" w:rsidTr="00CC2D44">
        <w:trPr>
          <w:trHeight w:val="94"/>
        </w:trPr>
        <w:tc>
          <w:tcPr>
            <w:tcW w:w="1701" w:type="dxa"/>
            <w:vMerge/>
            <w:tcBorders>
              <w:top w:val="nil"/>
              <w:left w:val="single" w:sz="12" w:space="0" w:color="FF9E3C"/>
              <w:bottom w:val="single" w:sz="12" w:space="0" w:color="FF9E3C"/>
              <w:right w:val="single" w:sz="12" w:space="0" w:color="FF9E3C"/>
            </w:tcBorders>
            <w:vAlign w:val="center"/>
            <w:hideMark/>
          </w:tcPr>
          <w:p w14:paraId="4FC568B4"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634E9BAD"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59B73754"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4D2788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9673CF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89AD31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(5.7,17.1)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6A0902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(20.0,28.4)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8C681C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026E95A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6770DF8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168EC998"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40DC66F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Red. Savings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267944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1.09</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AB16E7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1.85</w:t>
            </w:r>
          </w:p>
        </w:tc>
        <w:tc>
          <w:tcPr>
            <w:tcW w:w="1084" w:type="dxa"/>
            <w:tcBorders>
              <w:top w:val="nil"/>
              <w:left w:val="single" w:sz="12" w:space="0" w:color="FF9E3C"/>
              <w:bottom w:val="nil"/>
              <w:right w:val="single" w:sz="12" w:space="0" w:color="FF9E3C"/>
            </w:tcBorders>
            <w:shd w:val="clear" w:color="000000" w:fill="FFFFFF"/>
            <w:vAlign w:val="center"/>
            <w:hideMark/>
          </w:tcPr>
          <w:p w14:paraId="43E7CE4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EE16E1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1948F1E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14.8</w:t>
            </w:r>
          </w:p>
        </w:tc>
        <w:tc>
          <w:tcPr>
            <w:tcW w:w="1020" w:type="dxa"/>
            <w:tcBorders>
              <w:top w:val="nil"/>
              <w:left w:val="single" w:sz="12" w:space="0" w:color="FF9E3C"/>
              <w:bottom w:val="nil"/>
              <w:right w:val="single" w:sz="12" w:space="0" w:color="FF9E3C"/>
            </w:tcBorders>
            <w:shd w:val="clear" w:color="000000" w:fill="FFFFFF"/>
            <w:vAlign w:val="center"/>
            <w:hideMark/>
          </w:tcPr>
          <w:p w14:paraId="1E73D47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25.4</w:t>
            </w:r>
          </w:p>
        </w:tc>
        <w:tc>
          <w:tcPr>
            <w:tcW w:w="626" w:type="dxa"/>
            <w:tcBorders>
              <w:top w:val="nil"/>
              <w:left w:val="single" w:sz="12" w:space="0" w:color="FF9E3C"/>
              <w:bottom w:val="nil"/>
              <w:right w:val="single" w:sz="12" w:space="0" w:color="FF9E3C"/>
            </w:tcBorders>
            <w:shd w:val="clear" w:color="000000" w:fill="FFFFFF"/>
            <w:hideMark/>
          </w:tcPr>
          <w:p w14:paraId="5CAB055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w:t>
            </w:r>
          </w:p>
        </w:tc>
        <w:tc>
          <w:tcPr>
            <w:tcW w:w="780" w:type="dxa"/>
            <w:tcBorders>
              <w:top w:val="nil"/>
              <w:left w:val="single" w:sz="12" w:space="0" w:color="FF9E3C"/>
              <w:bottom w:val="nil"/>
              <w:right w:val="single" w:sz="12" w:space="0" w:color="FF9E3C"/>
            </w:tcBorders>
            <w:shd w:val="clear" w:color="000000" w:fill="FFFFFF"/>
            <w:hideMark/>
          </w:tcPr>
          <w:p w14:paraId="27F8BD3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.54</w:t>
            </w:r>
          </w:p>
        </w:tc>
        <w:tc>
          <w:tcPr>
            <w:tcW w:w="780" w:type="dxa"/>
            <w:tcBorders>
              <w:top w:val="nil"/>
              <w:left w:val="single" w:sz="12" w:space="0" w:color="FF9E3C"/>
              <w:bottom w:val="nil"/>
              <w:right w:val="single" w:sz="12" w:space="0" w:color="FF9E3C"/>
            </w:tcBorders>
            <w:shd w:val="clear" w:color="000000" w:fill="FFFFFF"/>
            <w:hideMark/>
          </w:tcPr>
          <w:p w14:paraId="0C7F9BF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.52</w:t>
            </w:r>
          </w:p>
        </w:tc>
      </w:tr>
      <w:tr w:rsidR="00A110B5" w:rsidRPr="006F515D" w14:paraId="2E496140" w14:textId="77777777" w:rsidTr="00CC2D44">
        <w:trPr>
          <w:trHeight w:val="72"/>
        </w:trPr>
        <w:tc>
          <w:tcPr>
            <w:tcW w:w="1701" w:type="dxa"/>
            <w:vMerge/>
            <w:tcBorders>
              <w:top w:val="nil"/>
              <w:left w:val="single" w:sz="12" w:space="0" w:color="FF9E3C"/>
              <w:bottom w:val="single" w:sz="12" w:space="0" w:color="FF9E3C"/>
              <w:right w:val="single" w:sz="12" w:space="0" w:color="FF9E3C"/>
            </w:tcBorders>
            <w:vAlign w:val="center"/>
            <w:hideMark/>
          </w:tcPr>
          <w:p w14:paraId="7ED8798C"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1BBEBF1"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31574E99"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7D6F197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A3030C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5CB768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(9.4,22.5)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98F73D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(21.4,30.0)</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4F5B9B3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085DF82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1805B6F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68458130"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50249237"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Red. Ess. Exp.</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60A2A2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EFF589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2.83</w:t>
            </w:r>
          </w:p>
        </w:tc>
        <w:tc>
          <w:tcPr>
            <w:tcW w:w="1084" w:type="dxa"/>
            <w:tcBorders>
              <w:top w:val="nil"/>
              <w:left w:val="single" w:sz="12" w:space="0" w:color="FF9E3C"/>
              <w:bottom w:val="nil"/>
              <w:right w:val="single" w:sz="12" w:space="0" w:color="FF9E3C"/>
            </w:tcBorders>
            <w:shd w:val="clear" w:color="000000" w:fill="FFFFFF"/>
            <w:vAlign w:val="center"/>
            <w:hideMark/>
          </w:tcPr>
          <w:p w14:paraId="54F70E9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4F8BB3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12.5</w:t>
            </w:r>
          </w:p>
        </w:tc>
        <w:tc>
          <w:tcPr>
            <w:tcW w:w="1020" w:type="dxa"/>
            <w:tcBorders>
              <w:top w:val="nil"/>
              <w:left w:val="single" w:sz="12" w:space="0" w:color="FF9E3C"/>
              <w:bottom w:val="nil"/>
              <w:right w:val="single" w:sz="12" w:space="0" w:color="FF9E3C"/>
            </w:tcBorders>
            <w:shd w:val="clear" w:color="000000" w:fill="FFFFFF"/>
            <w:vAlign w:val="center"/>
            <w:hideMark/>
          </w:tcPr>
          <w:p w14:paraId="7532CB1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7.8</w:t>
            </w:r>
          </w:p>
        </w:tc>
        <w:tc>
          <w:tcPr>
            <w:tcW w:w="1020" w:type="dxa"/>
            <w:tcBorders>
              <w:top w:val="nil"/>
              <w:left w:val="single" w:sz="12" w:space="0" w:color="FF9E3C"/>
              <w:bottom w:val="nil"/>
              <w:right w:val="single" w:sz="12" w:space="0" w:color="FF9E3C"/>
            </w:tcBorders>
            <w:shd w:val="clear" w:color="000000" w:fill="FFFFFF"/>
            <w:vAlign w:val="center"/>
            <w:hideMark/>
          </w:tcPr>
          <w:p w14:paraId="38A67F0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24.2</w:t>
            </w:r>
          </w:p>
        </w:tc>
        <w:tc>
          <w:tcPr>
            <w:tcW w:w="626" w:type="dxa"/>
            <w:tcBorders>
              <w:top w:val="nil"/>
              <w:left w:val="single" w:sz="12" w:space="0" w:color="FF9E3C"/>
              <w:bottom w:val="nil"/>
              <w:right w:val="single" w:sz="12" w:space="0" w:color="FF9E3C"/>
            </w:tcBorders>
            <w:shd w:val="clear" w:color="000000" w:fill="FFFFFF"/>
            <w:hideMark/>
          </w:tcPr>
          <w:p w14:paraId="666446F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w:t>
            </w:r>
          </w:p>
        </w:tc>
        <w:tc>
          <w:tcPr>
            <w:tcW w:w="780" w:type="dxa"/>
            <w:tcBorders>
              <w:top w:val="nil"/>
              <w:left w:val="single" w:sz="12" w:space="0" w:color="FF9E3C"/>
              <w:bottom w:val="nil"/>
              <w:right w:val="single" w:sz="12" w:space="0" w:color="FF9E3C"/>
            </w:tcBorders>
            <w:shd w:val="clear" w:color="000000" w:fill="FFFFFF"/>
            <w:hideMark/>
          </w:tcPr>
          <w:p w14:paraId="30039BF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.52</w:t>
            </w:r>
          </w:p>
        </w:tc>
        <w:tc>
          <w:tcPr>
            <w:tcW w:w="780" w:type="dxa"/>
            <w:tcBorders>
              <w:top w:val="nil"/>
              <w:left w:val="single" w:sz="12" w:space="0" w:color="FF9E3C"/>
              <w:bottom w:val="nil"/>
              <w:right w:val="single" w:sz="12" w:space="0" w:color="FF9E3C"/>
            </w:tcBorders>
            <w:shd w:val="clear" w:color="000000" w:fill="FFFFFF"/>
            <w:hideMark/>
          </w:tcPr>
          <w:p w14:paraId="158346F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.59</w:t>
            </w:r>
          </w:p>
        </w:tc>
      </w:tr>
      <w:tr w:rsidR="00A110B5" w:rsidRPr="006F515D" w14:paraId="51A08FCA" w14:textId="77777777" w:rsidTr="00CC2D44">
        <w:trPr>
          <w:trHeight w:val="63"/>
        </w:trPr>
        <w:tc>
          <w:tcPr>
            <w:tcW w:w="1701" w:type="dxa"/>
            <w:vMerge/>
            <w:tcBorders>
              <w:top w:val="nil"/>
              <w:left w:val="single" w:sz="12" w:space="0" w:color="FF9E3C"/>
              <w:bottom w:val="single" w:sz="12" w:space="0" w:color="FF9E3C"/>
              <w:right w:val="single" w:sz="12" w:space="0" w:color="FF9E3C"/>
            </w:tcBorders>
            <w:vAlign w:val="center"/>
            <w:hideMark/>
          </w:tcPr>
          <w:p w14:paraId="4D79EF05"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9D371D3"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FC291C8"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065F6F3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63B38E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(3.3,33.5)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901A85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(4.0,14.3)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FA2F51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(20.2,28.7)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39A0EF6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6E0C6AC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6D68340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6C9CAC6A"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7B9087C"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Red. Ben. Exp.</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3087373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0.98</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E5D2AD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3.16</w:t>
            </w:r>
          </w:p>
        </w:tc>
        <w:tc>
          <w:tcPr>
            <w:tcW w:w="1084" w:type="dxa"/>
            <w:tcBorders>
              <w:top w:val="nil"/>
              <w:left w:val="single" w:sz="12" w:space="0" w:color="FF9E3C"/>
              <w:bottom w:val="nil"/>
              <w:right w:val="single" w:sz="12" w:space="0" w:color="FF9E3C"/>
            </w:tcBorders>
            <w:shd w:val="clear" w:color="000000" w:fill="FFFFFF"/>
            <w:vAlign w:val="center"/>
            <w:hideMark/>
          </w:tcPr>
          <w:p w14:paraId="6741645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2B3C04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8.3</w:t>
            </w:r>
          </w:p>
        </w:tc>
        <w:tc>
          <w:tcPr>
            <w:tcW w:w="1020" w:type="dxa"/>
            <w:tcBorders>
              <w:top w:val="nil"/>
              <w:left w:val="single" w:sz="12" w:space="0" w:color="FF9E3C"/>
              <w:bottom w:val="nil"/>
              <w:right w:val="single" w:sz="12" w:space="0" w:color="FF9E3C"/>
            </w:tcBorders>
            <w:shd w:val="clear" w:color="000000" w:fill="FFFFFF"/>
            <w:vAlign w:val="center"/>
            <w:hideMark/>
          </w:tcPr>
          <w:p w14:paraId="54E3B5F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13.3</w:t>
            </w:r>
          </w:p>
        </w:tc>
        <w:tc>
          <w:tcPr>
            <w:tcW w:w="1020" w:type="dxa"/>
            <w:tcBorders>
              <w:top w:val="nil"/>
              <w:left w:val="single" w:sz="12" w:space="0" w:color="FF9E3C"/>
              <w:bottom w:val="nil"/>
              <w:right w:val="single" w:sz="12" w:space="0" w:color="FF9E3C"/>
            </w:tcBorders>
            <w:shd w:val="clear" w:color="000000" w:fill="FFFFFF"/>
            <w:vAlign w:val="center"/>
            <w:hideMark/>
          </w:tcPr>
          <w:p w14:paraId="3EC78BB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22.8</w:t>
            </w:r>
          </w:p>
        </w:tc>
        <w:tc>
          <w:tcPr>
            <w:tcW w:w="626" w:type="dxa"/>
            <w:tcBorders>
              <w:top w:val="nil"/>
              <w:left w:val="single" w:sz="12" w:space="0" w:color="FF9E3C"/>
              <w:bottom w:val="nil"/>
              <w:right w:val="single" w:sz="12" w:space="0" w:color="FF9E3C"/>
            </w:tcBorders>
            <w:shd w:val="clear" w:color="000000" w:fill="FFFFFF"/>
            <w:hideMark/>
          </w:tcPr>
          <w:p w14:paraId="0848731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.13</w:t>
            </w:r>
          </w:p>
        </w:tc>
        <w:tc>
          <w:tcPr>
            <w:tcW w:w="780" w:type="dxa"/>
            <w:tcBorders>
              <w:top w:val="nil"/>
              <w:left w:val="single" w:sz="12" w:space="0" w:color="FF9E3C"/>
              <w:bottom w:val="nil"/>
              <w:right w:val="single" w:sz="12" w:space="0" w:color="FF9E3C"/>
            </w:tcBorders>
            <w:shd w:val="clear" w:color="000000" w:fill="FFFFFF"/>
            <w:hideMark/>
          </w:tcPr>
          <w:p w14:paraId="5E73A08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.50</w:t>
            </w:r>
          </w:p>
        </w:tc>
        <w:tc>
          <w:tcPr>
            <w:tcW w:w="780" w:type="dxa"/>
            <w:tcBorders>
              <w:top w:val="nil"/>
              <w:left w:val="single" w:sz="12" w:space="0" w:color="FF9E3C"/>
              <w:bottom w:val="nil"/>
              <w:right w:val="single" w:sz="12" w:space="0" w:color="FF9E3C"/>
            </w:tcBorders>
            <w:shd w:val="clear" w:color="000000" w:fill="FFFFFF"/>
            <w:hideMark/>
          </w:tcPr>
          <w:p w14:paraId="14E33CB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.62</w:t>
            </w:r>
          </w:p>
        </w:tc>
      </w:tr>
      <w:tr w:rsidR="00A110B5" w:rsidRPr="006F515D" w14:paraId="0B7D7708" w14:textId="77777777" w:rsidTr="00CC2D44">
        <w:trPr>
          <w:trHeight w:val="50"/>
        </w:trPr>
        <w:tc>
          <w:tcPr>
            <w:tcW w:w="1701" w:type="dxa"/>
            <w:vMerge/>
            <w:tcBorders>
              <w:top w:val="nil"/>
              <w:left w:val="single" w:sz="12" w:space="0" w:color="FF9E3C"/>
              <w:bottom w:val="single" w:sz="12" w:space="0" w:color="FF9E3C"/>
              <w:right w:val="single" w:sz="12" w:space="0" w:color="FF9E3C"/>
            </w:tcBorders>
            <w:vAlign w:val="center"/>
            <w:hideMark/>
          </w:tcPr>
          <w:p w14:paraId="518F5558"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02C9EE1C"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7C0532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843EF9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14B699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(1.5,28.5)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51DC73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(8.2,20.7)</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270D71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(18.9,27.2)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0DF91B5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89A03F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795DE4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7CFC56CE"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74C1F95"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Late Bills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E64816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0.80</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20C42F7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2.70</w:t>
            </w:r>
          </w:p>
        </w:tc>
        <w:tc>
          <w:tcPr>
            <w:tcW w:w="1084" w:type="dxa"/>
            <w:tcBorders>
              <w:top w:val="nil"/>
              <w:left w:val="single" w:sz="12" w:space="0" w:color="FF9E3C"/>
              <w:bottom w:val="nil"/>
              <w:right w:val="single" w:sz="12" w:space="0" w:color="FF9E3C"/>
            </w:tcBorders>
            <w:shd w:val="clear" w:color="000000" w:fill="FFFFFF"/>
            <w:vAlign w:val="center"/>
            <w:hideMark/>
          </w:tcPr>
          <w:p w14:paraId="215CEDB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3.8</w:t>
            </w:r>
          </w:p>
        </w:tc>
        <w:tc>
          <w:tcPr>
            <w:tcW w:w="1020" w:type="dxa"/>
            <w:tcBorders>
              <w:top w:val="nil"/>
              <w:left w:val="single" w:sz="12" w:space="0" w:color="FF9E3C"/>
              <w:bottom w:val="nil"/>
              <w:right w:val="single" w:sz="12" w:space="0" w:color="FF9E3C"/>
            </w:tcBorders>
            <w:shd w:val="clear" w:color="000000" w:fill="FFFFFF"/>
            <w:vAlign w:val="center"/>
            <w:hideMark/>
          </w:tcPr>
          <w:p w14:paraId="0518ACB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1EA6F8D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14.8</w:t>
            </w:r>
          </w:p>
        </w:tc>
        <w:tc>
          <w:tcPr>
            <w:tcW w:w="1020" w:type="dxa"/>
            <w:tcBorders>
              <w:top w:val="nil"/>
              <w:left w:val="single" w:sz="12" w:space="0" w:color="FF9E3C"/>
              <w:bottom w:val="nil"/>
              <w:right w:val="single" w:sz="12" w:space="0" w:color="FF9E3C"/>
            </w:tcBorders>
            <w:shd w:val="clear" w:color="000000" w:fill="FFFFFF"/>
            <w:vAlign w:val="center"/>
            <w:hideMark/>
          </w:tcPr>
          <w:p w14:paraId="06A6375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30.8</w:t>
            </w:r>
          </w:p>
        </w:tc>
        <w:tc>
          <w:tcPr>
            <w:tcW w:w="626" w:type="dxa"/>
            <w:tcBorders>
              <w:top w:val="nil"/>
              <w:left w:val="single" w:sz="12" w:space="0" w:color="FF9E3C"/>
              <w:bottom w:val="nil"/>
              <w:right w:val="single" w:sz="12" w:space="0" w:color="FF9E3C"/>
            </w:tcBorders>
            <w:shd w:val="clear" w:color="000000" w:fill="FFFFFF"/>
            <w:hideMark/>
          </w:tcPr>
          <w:p w14:paraId="31A4C9A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w:t>
            </w:r>
          </w:p>
        </w:tc>
        <w:tc>
          <w:tcPr>
            <w:tcW w:w="780" w:type="dxa"/>
            <w:tcBorders>
              <w:top w:val="nil"/>
              <w:left w:val="single" w:sz="12" w:space="0" w:color="FF9E3C"/>
              <w:bottom w:val="nil"/>
              <w:right w:val="single" w:sz="12" w:space="0" w:color="FF9E3C"/>
            </w:tcBorders>
            <w:shd w:val="clear" w:color="000000" w:fill="FFFFFF"/>
            <w:hideMark/>
          </w:tcPr>
          <w:p w14:paraId="19D92AD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.53</w:t>
            </w:r>
          </w:p>
        </w:tc>
        <w:tc>
          <w:tcPr>
            <w:tcW w:w="780" w:type="dxa"/>
            <w:tcBorders>
              <w:top w:val="nil"/>
              <w:left w:val="single" w:sz="12" w:space="0" w:color="FF9E3C"/>
              <w:bottom w:val="nil"/>
              <w:right w:val="single" w:sz="12" w:space="0" w:color="FF9E3C"/>
            </w:tcBorders>
            <w:shd w:val="clear" w:color="000000" w:fill="FFFFFF"/>
            <w:hideMark/>
          </w:tcPr>
          <w:p w14:paraId="3B4C664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.59</w:t>
            </w:r>
          </w:p>
        </w:tc>
      </w:tr>
      <w:tr w:rsidR="00A110B5" w:rsidRPr="006F515D" w14:paraId="26504950" w14:textId="77777777" w:rsidTr="00CC2D44">
        <w:trPr>
          <w:trHeight w:val="175"/>
        </w:trPr>
        <w:tc>
          <w:tcPr>
            <w:tcW w:w="1701" w:type="dxa"/>
            <w:vMerge/>
            <w:tcBorders>
              <w:top w:val="nil"/>
              <w:left w:val="single" w:sz="12" w:space="0" w:color="FF9E3C"/>
              <w:bottom w:val="single" w:sz="12" w:space="0" w:color="FF9E3C"/>
              <w:right w:val="single" w:sz="12" w:space="0" w:color="FF9E3C"/>
            </w:tcBorders>
            <w:vAlign w:val="center"/>
            <w:hideMark/>
          </w:tcPr>
          <w:p w14:paraId="779B12B2"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3292C3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D9286C3"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948AA9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3C4AB0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AE245B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(9.4,22.5)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59A832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(26.4,35.5)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3A770E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9A304B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DF7CBB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0661DF99"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1193D54"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Red. Rec. Exp.</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7052B35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0.74</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2FB77D0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2.12</w:t>
            </w:r>
          </w:p>
        </w:tc>
        <w:tc>
          <w:tcPr>
            <w:tcW w:w="1084" w:type="dxa"/>
            <w:tcBorders>
              <w:top w:val="nil"/>
              <w:left w:val="single" w:sz="12" w:space="0" w:color="FF9E3C"/>
              <w:bottom w:val="nil"/>
              <w:right w:val="single" w:sz="12" w:space="0" w:color="FF9E3C"/>
            </w:tcBorders>
            <w:shd w:val="clear" w:color="000000" w:fill="FFFFFF"/>
            <w:vAlign w:val="center"/>
            <w:hideMark/>
          </w:tcPr>
          <w:p w14:paraId="2D436C3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7.7</w:t>
            </w:r>
          </w:p>
        </w:tc>
        <w:tc>
          <w:tcPr>
            <w:tcW w:w="1020" w:type="dxa"/>
            <w:tcBorders>
              <w:top w:val="nil"/>
              <w:left w:val="single" w:sz="12" w:space="0" w:color="FF9E3C"/>
              <w:bottom w:val="nil"/>
              <w:right w:val="single" w:sz="12" w:space="0" w:color="FF9E3C"/>
            </w:tcBorders>
            <w:shd w:val="clear" w:color="000000" w:fill="FFFFFF"/>
            <w:vAlign w:val="center"/>
            <w:hideMark/>
          </w:tcPr>
          <w:p w14:paraId="0E9ABC6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12.5</w:t>
            </w:r>
          </w:p>
        </w:tc>
        <w:tc>
          <w:tcPr>
            <w:tcW w:w="1020" w:type="dxa"/>
            <w:tcBorders>
              <w:top w:val="nil"/>
              <w:left w:val="single" w:sz="12" w:space="0" w:color="FF9E3C"/>
              <w:bottom w:val="nil"/>
              <w:right w:val="single" w:sz="12" w:space="0" w:color="FF9E3C"/>
            </w:tcBorders>
            <w:shd w:val="clear" w:color="000000" w:fill="FFFFFF"/>
            <w:vAlign w:val="center"/>
            <w:hideMark/>
          </w:tcPr>
          <w:p w14:paraId="613A165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26.6</w:t>
            </w:r>
          </w:p>
        </w:tc>
        <w:tc>
          <w:tcPr>
            <w:tcW w:w="1020" w:type="dxa"/>
            <w:tcBorders>
              <w:top w:val="nil"/>
              <w:left w:val="single" w:sz="12" w:space="0" w:color="FF9E3C"/>
              <w:bottom w:val="nil"/>
              <w:right w:val="single" w:sz="12" w:space="0" w:color="FF9E3C"/>
            </w:tcBorders>
            <w:shd w:val="clear" w:color="000000" w:fill="FFFFFF"/>
            <w:vAlign w:val="center"/>
            <w:hideMark/>
          </w:tcPr>
          <w:p w14:paraId="0C7771B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30.8</w:t>
            </w:r>
          </w:p>
        </w:tc>
        <w:tc>
          <w:tcPr>
            <w:tcW w:w="626" w:type="dxa"/>
            <w:tcBorders>
              <w:top w:val="nil"/>
              <w:left w:val="single" w:sz="12" w:space="0" w:color="FF9E3C"/>
              <w:bottom w:val="nil"/>
              <w:right w:val="single" w:sz="12" w:space="0" w:color="FF9E3C"/>
            </w:tcBorders>
            <w:shd w:val="clear" w:color="000000" w:fill="FFFFFF"/>
            <w:hideMark/>
          </w:tcPr>
          <w:p w14:paraId="5D52C4E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w:t>
            </w:r>
          </w:p>
        </w:tc>
        <w:tc>
          <w:tcPr>
            <w:tcW w:w="780" w:type="dxa"/>
            <w:tcBorders>
              <w:top w:val="nil"/>
              <w:left w:val="single" w:sz="12" w:space="0" w:color="FF9E3C"/>
              <w:bottom w:val="nil"/>
              <w:right w:val="single" w:sz="12" w:space="0" w:color="FF9E3C"/>
            </w:tcBorders>
            <w:shd w:val="clear" w:color="000000" w:fill="FFFFFF"/>
            <w:hideMark/>
          </w:tcPr>
          <w:p w14:paraId="4B58FE6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.47</w:t>
            </w:r>
          </w:p>
        </w:tc>
        <w:tc>
          <w:tcPr>
            <w:tcW w:w="780" w:type="dxa"/>
            <w:tcBorders>
              <w:top w:val="nil"/>
              <w:left w:val="single" w:sz="12" w:space="0" w:color="FF9E3C"/>
              <w:bottom w:val="nil"/>
              <w:right w:val="single" w:sz="12" w:space="0" w:color="FF9E3C"/>
            </w:tcBorders>
            <w:shd w:val="clear" w:color="000000" w:fill="FFFFFF"/>
            <w:hideMark/>
          </w:tcPr>
          <w:p w14:paraId="3024948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.53</w:t>
            </w:r>
          </w:p>
        </w:tc>
      </w:tr>
      <w:tr w:rsidR="00A110B5" w:rsidRPr="006F515D" w14:paraId="3AA90F0F" w14:textId="77777777" w:rsidTr="00CC2D44">
        <w:trPr>
          <w:trHeight w:val="50"/>
        </w:trPr>
        <w:tc>
          <w:tcPr>
            <w:tcW w:w="1701" w:type="dxa"/>
            <w:vMerge/>
            <w:tcBorders>
              <w:top w:val="nil"/>
              <w:left w:val="single" w:sz="12" w:space="0" w:color="FF9E3C"/>
              <w:bottom w:val="single" w:sz="12" w:space="0" w:color="FF9E3C"/>
              <w:right w:val="single" w:sz="12" w:space="0" w:color="FF9E3C"/>
            </w:tcBorders>
            <w:vAlign w:val="center"/>
            <w:hideMark/>
          </w:tcPr>
          <w:p w14:paraId="73CBB60A"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69138615"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D0BB590"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541184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(1.3,26.6)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D4E044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(3.3,33.5)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50734D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lang w:eastAsia="ja-JP"/>
              </w:rPr>
              <w:t>(</w:t>
            </w:r>
            <w:r w:rsidRPr="006F515D">
              <w:rPr>
                <w:rFonts w:cs="Arial"/>
                <w:color w:val="1C3158"/>
                <w:sz w:val="16"/>
                <w:szCs w:val="16"/>
                <w:lang w:eastAsia="ja-JP"/>
              </w:rPr>
              <w:t>19.3,35.2)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083118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(26.4,35.5)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0F43E6F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B0189A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50A63F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3B605187"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02B38B9E"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Red. Spending</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3CFFE5B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0.64</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01C9BF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2.15</w:t>
            </w:r>
          </w:p>
        </w:tc>
        <w:tc>
          <w:tcPr>
            <w:tcW w:w="1084" w:type="dxa"/>
            <w:tcBorders>
              <w:top w:val="nil"/>
              <w:left w:val="single" w:sz="12" w:space="0" w:color="FF9E3C"/>
              <w:bottom w:val="nil"/>
              <w:right w:val="single" w:sz="12" w:space="0" w:color="FF9E3C"/>
            </w:tcBorders>
            <w:shd w:val="clear" w:color="000000" w:fill="FFFFFF"/>
            <w:vAlign w:val="center"/>
            <w:hideMark/>
          </w:tcPr>
          <w:p w14:paraId="24980E3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866831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4.2</w:t>
            </w:r>
          </w:p>
        </w:tc>
        <w:tc>
          <w:tcPr>
            <w:tcW w:w="1020" w:type="dxa"/>
            <w:tcBorders>
              <w:top w:val="nil"/>
              <w:left w:val="single" w:sz="12" w:space="0" w:color="FF9E3C"/>
              <w:bottom w:val="nil"/>
              <w:right w:val="single" w:sz="12" w:space="0" w:color="FF9E3C"/>
            </w:tcBorders>
            <w:shd w:val="clear" w:color="000000" w:fill="FFFFFF"/>
            <w:vAlign w:val="center"/>
            <w:hideMark/>
          </w:tcPr>
          <w:p w14:paraId="0FBFCFC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21.1</w:t>
            </w:r>
          </w:p>
        </w:tc>
        <w:tc>
          <w:tcPr>
            <w:tcW w:w="1020" w:type="dxa"/>
            <w:tcBorders>
              <w:top w:val="nil"/>
              <w:left w:val="single" w:sz="12" w:space="0" w:color="FF9E3C"/>
              <w:bottom w:val="nil"/>
              <w:right w:val="single" w:sz="12" w:space="0" w:color="FF9E3C"/>
            </w:tcBorders>
            <w:shd w:val="clear" w:color="000000" w:fill="FFFFFF"/>
            <w:vAlign w:val="center"/>
            <w:hideMark/>
          </w:tcPr>
          <w:p w14:paraId="4C93485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37.5</w:t>
            </w:r>
          </w:p>
        </w:tc>
        <w:tc>
          <w:tcPr>
            <w:tcW w:w="626" w:type="dxa"/>
            <w:tcBorders>
              <w:top w:val="nil"/>
              <w:left w:val="single" w:sz="12" w:space="0" w:color="FF9E3C"/>
              <w:bottom w:val="nil"/>
              <w:right w:val="single" w:sz="12" w:space="0" w:color="FF9E3C"/>
            </w:tcBorders>
            <w:shd w:val="clear" w:color="000000" w:fill="FFFFFF"/>
            <w:hideMark/>
          </w:tcPr>
          <w:p w14:paraId="494AB77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.19</w:t>
            </w:r>
          </w:p>
        </w:tc>
        <w:tc>
          <w:tcPr>
            <w:tcW w:w="780" w:type="dxa"/>
            <w:tcBorders>
              <w:top w:val="nil"/>
              <w:left w:val="single" w:sz="12" w:space="0" w:color="FF9E3C"/>
              <w:bottom w:val="nil"/>
              <w:right w:val="single" w:sz="12" w:space="0" w:color="FF9E3C"/>
            </w:tcBorders>
            <w:shd w:val="clear" w:color="000000" w:fill="FFFFFF"/>
            <w:hideMark/>
          </w:tcPr>
          <w:p w14:paraId="526C970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.57</w:t>
            </w:r>
          </w:p>
        </w:tc>
        <w:tc>
          <w:tcPr>
            <w:tcW w:w="780" w:type="dxa"/>
            <w:tcBorders>
              <w:top w:val="nil"/>
              <w:left w:val="single" w:sz="12" w:space="0" w:color="FF9E3C"/>
              <w:bottom w:val="nil"/>
              <w:right w:val="single" w:sz="12" w:space="0" w:color="FF9E3C"/>
            </w:tcBorders>
            <w:shd w:val="clear" w:color="000000" w:fill="FFFFFF"/>
            <w:hideMark/>
          </w:tcPr>
          <w:p w14:paraId="2AEC03F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.55</w:t>
            </w:r>
          </w:p>
        </w:tc>
      </w:tr>
      <w:tr w:rsidR="00A110B5" w:rsidRPr="006F515D" w14:paraId="3135E614" w14:textId="77777777" w:rsidTr="00CC2D44">
        <w:trPr>
          <w:trHeight w:val="145"/>
        </w:trPr>
        <w:tc>
          <w:tcPr>
            <w:tcW w:w="1701" w:type="dxa"/>
            <w:vMerge/>
            <w:tcBorders>
              <w:top w:val="nil"/>
              <w:left w:val="single" w:sz="12" w:space="0" w:color="FF9E3C"/>
              <w:bottom w:val="single" w:sz="12" w:space="0" w:color="FF9E3C"/>
              <w:right w:val="single" w:sz="12" w:space="0" w:color="FF9E3C"/>
            </w:tcBorders>
            <w:vAlign w:val="center"/>
            <w:hideMark/>
          </w:tcPr>
          <w:p w14:paraId="7924701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05EE4B6D"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1D0594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0FEF4D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0034DA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9C68A9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(14.6,29.4)</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0C04A1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(32.9,42.4)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7BE6BF2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E40057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91FBA2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504B1DF3" w14:textId="77777777" w:rsidTr="00CC2D44">
        <w:trPr>
          <w:trHeight w:val="255"/>
        </w:trPr>
        <w:tc>
          <w:tcPr>
            <w:tcW w:w="9782" w:type="dxa"/>
            <w:gridSpan w:val="10"/>
            <w:tcBorders>
              <w:top w:val="single" w:sz="12" w:space="0" w:color="FF9E3C"/>
              <w:left w:val="single" w:sz="12" w:space="0" w:color="FF9E3C"/>
              <w:right w:val="single" w:sz="12" w:space="0" w:color="FF9E3C"/>
            </w:tcBorders>
            <w:shd w:val="clear" w:color="000000" w:fill="FFCF8F"/>
            <w:vAlign w:val="center"/>
            <w:hideMark/>
          </w:tcPr>
          <w:p w14:paraId="7BC85AAA" w14:textId="77777777" w:rsidR="00A110B5" w:rsidRPr="006F515D"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6F515D">
              <w:rPr>
                <w:rFonts w:cs="Arial"/>
                <w:b/>
                <w:bCs/>
                <w:i/>
                <w:iCs/>
                <w:color w:val="1C3158"/>
                <w:sz w:val="16"/>
                <w:szCs w:val="16"/>
                <w:lang w:eastAsia="ja-JP"/>
              </w:rPr>
              <w:t>Work/Study</w:t>
            </w:r>
          </w:p>
        </w:tc>
      </w:tr>
      <w:tr w:rsidR="00A110B5" w:rsidRPr="006F515D" w14:paraId="705E1EAE"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CC8C638"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Lost Job</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6D69557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3.24</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7D00B1A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1.50</w:t>
            </w:r>
          </w:p>
        </w:tc>
        <w:tc>
          <w:tcPr>
            <w:tcW w:w="1084" w:type="dxa"/>
            <w:tcBorders>
              <w:top w:val="nil"/>
              <w:left w:val="single" w:sz="12" w:space="0" w:color="FF9E3C"/>
              <w:bottom w:val="nil"/>
              <w:right w:val="single" w:sz="12" w:space="0" w:color="FF9E3C"/>
            </w:tcBorders>
            <w:shd w:val="clear" w:color="000000" w:fill="FFFFFF"/>
            <w:vAlign w:val="center"/>
            <w:hideMark/>
          </w:tcPr>
          <w:p w14:paraId="1EAB9A5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84D23F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269C08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E0CCAC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2.9</w:t>
            </w:r>
          </w:p>
        </w:tc>
        <w:tc>
          <w:tcPr>
            <w:tcW w:w="626" w:type="dxa"/>
            <w:tcBorders>
              <w:top w:val="nil"/>
              <w:left w:val="single" w:sz="12" w:space="0" w:color="FF9E3C"/>
              <w:bottom w:val="nil"/>
              <w:right w:val="single" w:sz="12" w:space="0" w:color="FF9E3C"/>
            </w:tcBorders>
            <w:shd w:val="clear" w:color="000000" w:fill="FFFFFF"/>
            <w:hideMark/>
          </w:tcPr>
          <w:p w14:paraId="3BCCCB5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w:t>
            </w:r>
          </w:p>
        </w:tc>
        <w:tc>
          <w:tcPr>
            <w:tcW w:w="780" w:type="dxa"/>
            <w:tcBorders>
              <w:top w:val="nil"/>
              <w:left w:val="single" w:sz="12" w:space="0" w:color="FF9E3C"/>
              <w:bottom w:val="nil"/>
              <w:right w:val="single" w:sz="12" w:space="0" w:color="FF9E3C"/>
            </w:tcBorders>
            <w:shd w:val="clear" w:color="000000" w:fill="FFFFFF"/>
            <w:hideMark/>
          </w:tcPr>
          <w:p w14:paraId="3AA1307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.30</w:t>
            </w:r>
          </w:p>
        </w:tc>
        <w:tc>
          <w:tcPr>
            <w:tcW w:w="780" w:type="dxa"/>
            <w:tcBorders>
              <w:top w:val="nil"/>
              <w:left w:val="single" w:sz="12" w:space="0" w:color="FF9E3C"/>
              <w:bottom w:val="nil"/>
              <w:right w:val="single" w:sz="12" w:space="0" w:color="FF9E3C"/>
            </w:tcBorders>
            <w:shd w:val="clear" w:color="000000" w:fill="FFFFFF"/>
            <w:hideMark/>
          </w:tcPr>
          <w:p w14:paraId="54CDA5C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.21</w:t>
            </w:r>
          </w:p>
        </w:tc>
      </w:tr>
      <w:tr w:rsidR="00A110B5" w:rsidRPr="006F515D" w14:paraId="7BCC314B" w14:textId="77777777" w:rsidTr="00CC2D44">
        <w:trPr>
          <w:trHeight w:val="87"/>
        </w:trPr>
        <w:tc>
          <w:tcPr>
            <w:tcW w:w="1701" w:type="dxa"/>
            <w:vMerge/>
            <w:tcBorders>
              <w:top w:val="nil"/>
              <w:left w:val="single" w:sz="12" w:space="0" w:color="FF9E3C"/>
              <w:bottom w:val="single" w:sz="12" w:space="0" w:color="FF9E3C"/>
              <w:right w:val="single" w:sz="12" w:space="0" w:color="FF9E3C"/>
            </w:tcBorders>
            <w:vAlign w:val="center"/>
            <w:hideMark/>
          </w:tcPr>
          <w:p w14:paraId="65CBF36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C463399"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C366BB9"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ECF445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07D96E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D13A2F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(0.0, 3.6)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560BA2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(1.6, 5.2)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5AD20F6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7A5ED2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3890D3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7DC77F74"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38C0D4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Conflict Class.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0EE6EA9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2.71</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BC33FE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2.15</w:t>
            </w:r>
          </w:p>
        </w:tc>
        <w:tc>
          <w:tcPr>
            <w:tcW w:w="1084" w:type="dxa"/>
            <w:tcBorders>
              <w:top w:val="nil"/>
              <w:left w:val="single" w:sz="12" w:space="0" w:color="FF9E3C"/>
              <w:bottom w:val="nil"/>
              <w:right w:val="single" w:sz="12" w:space="0" w:color="FF9E3C"/>
            </w:tcBorders>
            <w:shd w:val="clear" w:color="000000" w:fill="FFFFFF"/>
            <w:vAlign w:val="center"/>
            <w:hideMark/>
          </w:tcPr>
          <w:p w14:paraId="1C76997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CE963D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0A6DB4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4C37464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2.4</w:t>
            </w:r>
          </w:p>
        </w:tc>
        <w:tc>
          <w:tcPr>
            <w:tcW w:w="626" w:type="dxa"/>
            <w:tcBorders>
              <w:top w:val="nil"/>
              <w:left w:val="single" w:sz="12" w:space="0" w:color="FF9E3C"/>
              <w:bottom w:val="nil"/>
              <w:right w:val="single" w:sz="12" w:space="0" w:color="FF9E3C"/>
            </w:tcBorders>
            <w:shd w:val="clear" w:color="000000" w:fill="FFFFFF"/>
            <w:hideMark/>
          </w:tcPr>
          <w:p w14:paraId="7F8EF11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.09</w:t>
            </w:r>
          </w:p>
        </w:tc>
        <w:tc>
          <w:tcPr>
            <w:tcW w:w="780" w:type="dxa"/>
            <w:tcBorders>
              <w:top w:val="nil"/>
              <w:left w:val="single" w:sz="12" w:space="0" w:color="FF9E3C"/>
              <w:bottom w:val="nil"/>
              <w:right w:val="single" w:sz="12" w:space="0" w:color="FF9E3C"/>
            </w:tcBorders>
            <w:shd w:val="clear" w:color="000000" w:fill="FFFFFF"/>
            <w:hideMark/>
          </w:tcPr>
          <w:p w14:paraId="29C327F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.19</w:t>
            </w:r>
          </w:p>
        </w:tc>
        <w:tc>
          <w:tcPr>
            <w:tcW w:w="780" w:type="dxa"/>
            <w:tcBorders>
              <w:top w:val="nil"/>
              <w:left w:val="single" w:sz="12" w:space="0" w:color="FF9E3C"/>
              <w:bottom w:val="nil"/>
              <w:right w:val="single" w:sz="12" w:space="0" w:color="FF9E3C"/>
            </w:tcBorders>
            <w:shd w:val="clear" w:color="000000" w:fill="FFFFFF"/>
            <w:hideMark/>
          </w:tcPr>
          <w:p w14:paraId="3EE1F6D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.28</w:t>
            </w:r>
          </w:p>
        </w:tc>
      </w:tr>
      <w:tr w:rsidR="00A110B5" w:rsidRPr="006F515D" w14:paraId="7FF9142D"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69716DD0"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F8EBB53"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61B5352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7FC5A08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BACB9E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C63CE6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(0.0, 4.9)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BF0DFF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(1.2, 4.6)</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2CDBFB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A4051A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108957C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756F845C"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1880CF8"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Exc. Study</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2B663B1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2.63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0BF4E52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2.30</w:t>
            </w:r>
          </w:p>
        </w:tc>
        <w:tc>
          <w:tcPr>
            <w:tcW w:w="1084" w:type="dxa"/>
            <w:tcBorders>
              <w:top w:val="nil"/>
              <w:left w:val="single" w:sz="12" w:space="0" w:color="FF9E3C"/>
              <w:bottom w:val="nil"/>
              <w:right w:val="single" w:sz="12" w:space="0" w:color="FF9E3C"/>
            </w:tcBorders>
            <w:shd w:val="clear" w:color="000000" w:fill="FFFFFF"/>
            <w:vAlign w:val="center"/>
            <w:hideMark/>
          </w:tcPr>
          <w:p w14:paraId="4D06D05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1972AF8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FC3E04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87FB34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2.7</w:t>
            </w:r>
          </w:p>
        </w:tc>
        <w:tc>
          <w:tcPr>
            <w:tcW w:w="626" w:type="dxa"/>
            <w:tcBorders>
              <w:top w:val="nil"/>
              <w:left w:val="single" w:sz="12" w:space="0" w:color="FF9E3C"/>
              <w:bottom w:val="nil"/>
              <w:right w:val="single" w:sz="12" w:space="0" w:color="FF9E3C"/>
            </w:tcBorders>
            <w:shd w:val="clear" w:color="000000" w:fill="FFFFFF"/>
            <w:hideMark/>
          </w:tcPr>
          <w:p w14:paraId="560E4A9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.09</w:t>
            </w:r>
          </w:p>
        </w:tc>
        <w:tc>
          <w:tcPr>
            <w:tcW w:w="780" w:type="dxa"/>
            <w:tcBorders>
              <w:top w:val="nil"/>
              <w:left w:val="single" w:sz="12" w:space="0" w:color="FF9E3C"/>
              <w:bottom w:val="nil"/>
              <w:right w:val="single" w:sz="12" w:space="0" w:color="FF9E3C"/>
            </w:tcBorders>
            <w:shd w:val="clear" w:color="000000" w:fill="FFFFFF"/>
            <w:hideMark/>
          </w:tcPr>
          <w:p w14:paraId="7D5076E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.26</w:t>
            </w:r>
          </w:p>
        </w:tc>
        <w:tc>
          <w:tcPr>
            <w:tcW w:w="780" w:type="dxa"/>
            <w:tcBorders>
              <w:top w:val="nil"/>
              <w:left w:val="single" w:sz="12" w:space="0" w:color="FF9E3C"/>
              <w:bottom w:val="nil"/>
              <w:right w:val="single" w:sz="12" w:space="0" w:color="FF9E3C"/>
            </w:tcBorders>
            <w:shd w:val="clear" w:color="000000" w:fill="FFFFFF"/>
            <w:hideMark/>
          </w:tcPr>
          <w:p w14:paraId="12EEFD1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.30</w:t>
            </w:r>
          </w:p>
        </w:tc>
      </w:tr>
      <w:tr w:rsidR="00A110B5" w:rsidRPr="006F515D" w14:paraId="7BFD1EEF"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5235C20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73620D50"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3A5B6C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57623F9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F2F813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C7DF02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671FC4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(1.4, 4.9)</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DE804E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91145A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6AAA80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0687DC0F"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3898A379"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Withdraw</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2C41B1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2.58</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85136A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1.79</w:t>
            </w:r>
          </w:p>
        </w:tc>
        <w:tc>
          <w:tcPr>
            <w:tcW w:w="1084" w:type="dxa"/>
            <w:tcBorders>
              <w:top w:val="nil"/>
              <w:left w:val="single" w:sz="12" w:space="0" w:color="FF9E3C"/>
              <w:bottom w:val="nil"/>
              <w:right w:val="single" w:sz="12" w:space="0" w:color="FF9E3C"/>
            </w:tcBorders>
            <w:shd w:val="clear" w:color="000000" w:fill="FFFFFF"/>
            <w:vAlign w:val="center"/>
            <w:hideMark/>
          </w:tcPr>
          <w:p w14:paraId="6EAA559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17A2998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53E802A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06BA356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4.6</w:t>
            </w:r>
          </w:p>
        </w:tc>
        <w:tc>
          <w:tcPr>
            <w:tcW w:w="626" w:type="dxa"/>
            <w:tcBorders>
              <w:top w:val="nil"/>
              <w:left w:val="single" w:sz="12" w:space="0" w:color="FF9E3C"/>
              <w:bottom w:val="nil"/>
              <w:right w:val="single" w:sz="12" w:space="0" w:color="FF9E3C"/>
            </w:tcBorders>
            <w:shd w:val="clear" w:color="000000" w:fill="FFFFFF"/>
            <w:hideMark/>
          </w:tcPr>
          <w:p w14:paraId="30A08D5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.15</w:t>
            </w:r>
          </w:p>
        </w:tc>
        <w:tc>
          <w:tcPr>
            <w:tcW w:w="780" w:type="dxa"/>
            <w:tcBorders>
              <w:top w:val="nil"/>
              <w:left w:val="single" w:sz="12" w:space="0" w:color="FF9E3C"/>
              <w:bottom w:val="nil"/>
              <w:right w:val="single" w:sz="12" w:space="0" w:color="FF9E3C"/>
            </w:tcBorders>
            <w:shd w:val="clear" w:color="000000" w:fill="FFFFFF"/>
            <w:hideMark/>
          </w:tcPr>
          <w:p w14:paraId="1A5BD87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.33</w:t>
            </w:r>
          </w:p>
        </w:tc>
        <w:tc>
          <w:tcPr>
            <w:tcW w:w="780" w:type="dxa"/>
            <w:tcBorders>
              <w:top w:val="nil"/>
              <w:left w:val="single" w:sz="12" w:space="0" w:color="FF9E3C"/>
              <w:bottom w:val="nil"/>
              <w:right w:val="single" w:sz="12" w:space="0" w:color="FF9E3C"/>
            </w:tcBorders>
            <w:shd w:val="clear" w:color="000000" w:fill="FFFFFF"/>
            <w:hideMark/>
          </w:tcPr>
          <w:p w14:paraId="508B2E9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.26</w:t>
            </w:r>
          </w:p>
        </w:tc>
      </w:tr>
      <w:tr w:rsidR="00A110B5" w:rsidRPr="006F515D" w14:paraId="6DC027AB"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2511E692"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AC72E94"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652BEC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2F6EB2E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4D278D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9720AD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(0.0, 4.9)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717ED2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(2.9, 7.2)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3BF1800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AC87ED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8B75EE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471CC920"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FBEB8F6"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Conflict Coll.</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2CAC0A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2.50</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474DE0A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1.44</w:t>
            </w:r>
          </w:p>
        </w:tc>
        <w:tc>
          <w:tcPr>
            <w:tcW w:w="1084" w:type="dxa"/>
            <w:tcBorders>
              <w:top w:val="nil"/>
              <w:left w:val="single" w:sz="12" w:space="0" w:color="FF9E3C"/>
              <w:bottom w:val="nil"/>
              <w:right w:val="single" w:sz="12" w:space="0" w:color="FF9E3C"/>
            </w:tcBorders>
            <w:shd w:val="clear" w:color="000000" w:fill="FFFFFF"/>
            <w:vAlign w:val="center"/>
            <w:hideMark/>
          </w:tcPr>
          <w:p w14:paraId="11AFFE3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7B79F5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4A691BB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2.3</w:t>
            </w:r>
          </w:p>
        </w:tc>
        <w:tc>
          <w:tcPr>
            <w:tcW w:w="1020" w:type="dxa"/>
            <w:tcBorders>
              <w:top w:val="nil"/>
              <w:left w:val="single" w:sz="12" w:space="0" w:color="FF9E3C"/>
              <w:bottom w:val="nil"/>
              <w:right w:val="single" w:sz="12" w:space="0" w:color="FF9E3C"/>
            </w:tcBorders>
            <w:shd w:val="clear" w:color="000000" w:fill="FFFFFF"/>
            <w:vAlign w:val="center"/>
            <w:hideMark/>
          </w:tcPr>
          <w:p w14:paraId="3D58CAB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7.5</w:t>
            </w:r>
          </w:p>
        </w:tc>
        <w:tc>
          <w:tcPr>
            <w:tcW w:w="626" w:type="dxa"/>
            <w:tcBorders>
              <w:top w:val="nil"/>
              <w:left w:val="single" w:sz="12" w:space="0" w:color="FF9E3C"/>
              <w:bottom w:val="nil"/>
              <w:right w:val="single" w:sz="12" w:space="0" w:color="FF9E3C"/>
            </w:tcBorders>
            <w:shd w:val="clear" w:color="000000" w:fill="FFFFFF"/>
            <w:hideMark/>
          </w:tcPr>
          <w:p w14:paraId="1264BD4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.11</w:t>
            </w:r>
          </w:p>
        </w:tc>
        <w:tc>
          <w:tcPr>
            <w:tcW w:w="780" w:type="dxa"/>
            <w:tcBorders>
              <w:top w:val="nil"/>
              <w:left w:val="single" w:sz="12" w:space="0" w:color="FF9E3C"/>
              <w:bottom w:val="nil"/>
              <w:right w:val="single" w:sz="12" w:space="0" w:color="FF9E3C"/>
            </w:tcBorders>
            <w:shd w:val="clear" w:color="000000" w:fill="FFFFFF"/>
            <w:hideMark/>
          </w:tcPr>
          <w:p w14:paraId="3DBDD92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.34</w:t>
            </w:r>
          </w:p>
        </w:tc>
        <w:tc>
          <w:tcPr>
            <w:tcW w:w="780" w:type="dxa"/>
            <w:tcBorders>
              <w:top w:val="nil"/>
              <w:left w:val="single" w:sz="12" w:space="0" w:color="FF9E3C"/>
              <w:bottom w:val="nil"/>
              <w:right w:val="single" w:sz="12" w:space="0" w:color="FF9E3C"/>
            </w:tcBorders>
            <w:shd w:val="clear" w:color="000000" w:fill="FFFFFF"/>
            <w:hideMark/>
          </w:tcPr>
          <w:p w14:paraId="3740AC3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.31</w:t>
            </w:r>
          </w:p>
        </w:tc>
      </w:tr>
      <w:tr w:rsidR="00A110B5" w:rsidRPr="006F515D" w14:paraId="01FDE477"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65C9B1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9B7236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21D673B9"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B224E5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E24E43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5853955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w:t>
            </w:r>
            <w:r>
              <w:rPr>
                <w:rFonts w:cs="Arial"/>
                <w:color w:val="1C3158"/>
                <w:sz w:val="16"/>
                <w:szCs w:val="16"/>
                <w:lang w:eastAsia="ja-JP"/>
              </w:rPr>
              <w:t>(</w:t>
            </w:r>
            <w:r w:rsidRPr="006F515D">
              <w:rPr>
                <w:rFonts w:cs="Arial"/>
                <w:color w:val="1C3158"/>
                <w:sz w:val="16"/>
                <w:szCs w:val="16"/>
                <w:lang w:eastAsia="ja-JP"/>
              </w:rPr>
              <w:t>0.6, 7.2)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9957E3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(5.2,10.6)</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71768E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8215CB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2EE7B5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7DD98E07"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04325D62"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Time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B353C4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2.37</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455C7F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1.73</w:t>
            </w:r>
          </w:p>
        </w:tc>
        <w:tc>
          <w:tcPr>
            <w:tcW w:w="1084" w:type="dxa"/>
            <w:tcBorders>
              <w:top w:val="nil"/>
              <w:left w:val="single" w:sz="12" w:space="0" w:color="FF9E3C"/>
              <w:bottom w:val="nil"/>
              <w:right w:val="single" w:sz="12" w:space="0" w:color="FF9E3C"/>
            </w:tcBorders>
            <w:shd w:val="clear" w:color="000000" w:fill="FFFFFF"/>
            <w:vAlign w:val="center"/>
            <w:hideMark/>
          </w:tcPr>
          <w:p w14:paraId="49E6614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62EEF0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193F01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w:t>
            </w:r>
          </w:p>
        </w:tc>
        <w:tc>
          <w:tcPr>
            <w:tcW w:w="1020" w:type="dxa"/>
            <w:tcBorders>
              <w:top w:val="nil"/>
              <w:left w:val="single" w:sz="12" w:space="0" w:color="FF9E3C"/>
              <w:bottom w:val="nil"/>
              <w:right w:val="single" w:sz="12" w:space="0" w:color="FF9E3C"/>
            </w:tcBorders>
            <w:shd w:val="clear" w:color="000000" w:fill="FFFFFF"/>
            <w:vAlign w:val="center"/>
            <w:hideMark/>
          </w:tcPr>
          <w:p w14:paraId="536FD1A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6.5</w:t>
            </w:r>
          </w:p>
        </w:tc>
        <w:tc>
          <w:tcPr>
            <w:tcW w:w="626" w:type="dxa"/>
            <w:tcBorders>
              <w:top w:val="nil"/>
              <w:left w:val="single" w:sz="12" w:space="0" w:color="FF9E3C"/>
              <w:bottom w:val="nil"/>
              <w:right w:val="single" w:sz="12" w:space="0" w:color="FF9E3C"/>
            </w:tcBorders>
            <w:shd w:val="clear" w:color="000000" w:fill="FFFFFF"/>
            <w:hideMark/>
          </w:tcPr>
          <w:p w14:paraId="03CA6E8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w:t>
            </w:r>
          </w:p>
        </w:tc>
        <w:tc>
          <w:tcPr>
            <w:tcW w:w="780" w:type="dxa"/>
            <w:tcBorders>
              <w:top w:val="nil"/>
              <w:left w:val="single" w:sz="12" w:space="0" w:color="FF9E3C"/>
              <w:bottom w:val="nil"/>
              <w:right w:val="single" w:sz="12" w:space="0" w:color="FF9E3C"/>
            </w:tcBorders>
            <w:shd w:val="clear" w:color="000000" w:fill="FFFFFF"/>
            <w:hideMark/>
          </w:tcPr>
          <w:p w14:paraId="07FDE9E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.31</w:t>
            </w:r>
          </w:p>
        </w:tc>
        <w:tc>
          <w:tcPr>
            <w:tcW w:w="780" w:type="dxa"/>
            <w:tcBorders>
              <w:top w:val="nil"/>
              <w:left w:val="single" w:sz="12" w:space="0" w:color="FF9E3C"/>
              <w:bottom w:val="nil"/>
              <w:right w:val="single" w:sz="12" w:space="0" w:color="FF9E3C"/>
            </w:tcBorders>
            <w:shd w:val="clear" w:color="000000" w:fill="FFFFFF"/>
            <w:hideMark/>
          </w:tcPr>
          <w:p w14:paraId="3302649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.34</w:t>
            </w:r>
          </w:p>
        </w:tc>
      </w:tr>
      <w:tr w:rsidR="00A110B5" w:rsidRPr="006F515D" w14:paraId="59425FE6"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1E2AA3F2"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64E04910"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B5FD5F7"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76A00E7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557CBB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42FE9B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(0.3, 6.1)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D25625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(4.4, 9.5)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E3AE6D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4B7BA4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771F14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074EEFE9"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265E759"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 xml:space="preserve">Resources </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7A6937A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2.32</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3188878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1.93</w:t>
            </w:r>
          </w:p>
        </w:tc>
        <w:tc>
          <w:tcPr>
            <w:tcW w:w="1084" w:type="dxa"/>
            <w:tcBorders>
              <w:top w:val="nil"/>
              <w:left w:val="single" w:sz="12" w:space="0" w:color="FF9E3C"/>
              <w:bottom w:val="nil"/>
              <w:right w:val="single" w:sz="12" w:space="0" w:color="FF9E3C"/>
            </w:tcBorders>
            <w:shd w:val="clear" w:color="000000" w:fill="FFFFFF"/>
            <w:vAlign w:val="center"/>
            <w:hideMark/>
          </w:tcPr>
          <w:p w14:paraId="5DC38D0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205F04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28DEB59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0.8</w:t>
            </w:r>
          </w:p>
        </w:tc>
        <w:tc>
          <w:tcPr>
            <w:tcW w:w="1020" w:type="dxa"/>
            <w:tcBorders>
              <w:top w:val="nil"/>
              <w:left w:val="single" w:sz="12" w:space="0" w:color="FF9E3C"/>
              <w:bottom w:val="nil"/>
              <w:right w:val="single" w:sz="12" w:space="0" w:color="FF9E3C"/>
            </w:tcBorders>
            <w:shd w:val="clear" w:color="000000" w:fill="FFFFFF"/>
            <w:vAlign w:val="center"/>
            <w:hideMark/>
          </w:tcPr>
          <w:p w14:paraId="02EA5D9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6.1</w:t>
            </w:r>
          </w:p>
        </w:tc>
        <w:tc>
          <w:tcPr>
            <w:tcW w:w="626" w:type="dxa"/>
            <w:tcBorders>
              <w:top w:val="nil"/>
              <w:left w:val="single" w:sz="12" w:space="0" w:color="FF9E3C"/>
              <w:bottom w:val="nil"/>
              <w:right w:val="single" w:sz="12" w:space="0" w:color="FF9E3C"/>
            </w:tcBorders>
            <w:shd w:val="clear" w:color="000000" w:fill="FFFFFF"/>
            <w:hideMark/>
          </w:tcPr>
          <w:p w14:paraId="741558F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w:t>
            </w:r>
          </w:p>
        </w:tc>
        <w:tc>
          <w:tcPr>
            <w:tcW w:w="780" w:type="dxa"/>
            <w:tcBorders>
              <w:top w:val="nil"/>
              <w:left w:val="single" w:sz="12" w:space="0" w:color="FF9E3C"/>
              <w:bottom w:val="nil"/>
              <w:right w:val="single" w:sz="12" w:space="0" w:color="FF9E3C"/>
            </w:tcBorders>
            <w:shd w:val="clear" w:color="000000" w:fill="FFFFFF"/>
            <w:hideMark/>
          </w:tcPr>
          <w:p w14:paraId="7203309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.27</w:t>
            </w:r>
          </w:p>
        </w:tc>
        <w:tc>
          <w:tcPr>
            <w:tcW w:w="780" w:type="dxa"/>
            <w:tcBorders>
              <w:top w:val="nil"/>
              <w:left w:val="single" w:sz="12" w:space="0" w:color="FF9E3C"/>
              <w:bottom w:val="nil"/>
              <w:right w:val="single" w:sz="12" w:space="0" w:color="FF9E3C"/>
            </w:tcBorders>
            <w:shd w:val="clear" w:color="000000" w:fill="FFFFFF"/>
            <w:hideMark/>
          </w:tcPr>
          <w:p w14:paraId="7F6CADA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.36</w:t>
            </w:r>
          </w:p>
        </w:tc>
      </w:tr>
      <w:tr w:rsidR="00A110B5" w:rsidRPr="006F515D" w14:paraId="45F99E7C"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7A566414"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5F4A5A6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427C483D"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34EC25E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277BFC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705F8F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(0.0, 4.9)</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B2DA96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(4.0, 8.9)</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1C87D5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37CE01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8ADFE1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09923E87"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1441C4B4"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Hind. Job Efforts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3A23F61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2.24</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0A3F1B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2.12</w:t>
            </w:r>
          </w:p>
        </w:tc>
        <w:tc>
          <w:tcPr>
            <w:tcW w:w="1084" w:type="dxa"/>
            <w:tcBorders>
              <w:top w:val="nil"/>
              <w:left w:val="single" w:sz="12" w:space="0" w:color="FF9E3C"/>
              <w:bottom w:val="nil"/>
              <w:right w:val="single" w:sz="12" w:space="0" w:color="FF9E3C"/>
            </w:tcBorders>
            <w:shd w:val="clear" w:color="000000" w:fill="FFFFFF"/>
            <w:vAlign w:val="center"/>
            <w:hideMark/>
          </w:tcPr>
          <w:p w14:paraId="7C7D103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4E4B95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5A64B7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w:t>
            </w:r>
          </w:p>
        </w:tc>
        <w:tc>
          <w:tcPr>
            <w:tcW w:w="1020" w:type="dxa"/>
            <w:tcBorders>
              <w:top w:val="nil"/>
              <w:left w:val="single" w:sz="12" w:space="0" w:color="FF9E3C"/>
              <w:bottom w:val="nil"/>
              <w:right w:val="single" w:sz="12" w:space="0" w:color="FF9E3C"/>
            </w:tcBorders>
            <w:shd w:val="clear" w:color="000000" w:fill="FFFFFF"/>
            <w:vAlign w:val="center"/>
            <w:hideMark/>
          </w:tcPr>
          <w:p w14:paraId="47A900E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5.6</w:t>
            </w:r>
          </w:p>
        </w:tc>
        <w:tc>
          <w:tcPr>
            <w:tcW w:w="626" w:type="dxa"/>
            <w:tcBorders>
              <w:top w:val="nil"/>
              <w:left w:val="single" w:sz="12" w:space="0" w:color="FF9E3C"/>
              <w:bottom w:val="nil"/>
              <w:right w:val="single" w:sz="12" w:space="0" w:color="FF9E3C"/>
            </w:tcBorders>
            <w:shd w:val="clear" w:color="000000" w:fill="FFFFFF"/>
            <w:hideMark/>
          </w:tcPr>
          <w:p w14:paraId="3995338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.13</w:t>
            </w:r>
          </w:p>
        </w:tc>
        <w:tc>
          <w:tcPr>
            <w:tcW w:w="780" w:type="dxa"/>
            <w:tcBorders>
              <w:top w:val="nil"/>
              <w:left w:val="single" w:sz="12" w:space="0" w:color="FF9E3C"/>
              <w:bottom w:val="nil"/>
              <w:right w:val="single" w:sz="12" w:space="0" w:color="FF9E3C"/>
            </w:tcBorders>
            <w:shd w:val="clear" w:color="000000" w:fill="FFFFFF"/>
            <w:hideMark/>
          </w:tcPr>
          <w:p w14:paraId="2BE69B0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.35</w:t>
            </w:r>
          </w:p>
        </w:tc>
        <w:tc>
          <w:tcPr>
            <w:tcW w:w="780" w:type="dxa"/>
            <w:tcBorders>
              <w:top w:val="nil"/>
              <w:left w:val="single" w:sz="12" w:space="0" w:color="FF9E3C"/>
              <w:bottom w:val="nil"/>
              <w:right w:val="single" w:sz="12" w:space="0" w:color="FF9E3C"/>
            </w:tcBorders>
            <w:shd w:val="clear" w:color="000000" w:fill="FFFFFF"/>
            <w:hideMark/>
          </w:tcPr>
          <w:p w14:paraId="48D7603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.39</w:t>
            </w:r>
          </w:p>
        </w:tc>
      </w:tr>
      <w:tr w:rsidR="00A110B5" w:rsidRPr="006F515D" w14:paraId="5AD02507" w14:textId="77777777" w:rsidTr="00CC2D44">
        <w:trPr>
          <w:trHeight w:val="76"/>
        </w:trPr>
        <w:tc>
          <w:tcPr>
            <w:tcW w:w="1701" w:type="dxa"/>
            <w:vMerge/>
            <w:tcBorders>
              <w:top w:val="nil"/>
              <w:left w:val="single" w:sz="12" w:space="0" w:color="FF9E3C"/>
              <w:bottom w:val="single" w:sz="12" w:space="0" w:color="FF9E3C"/>
              <w:right w:val="single" w:sz="12" w:space="0" w:color="FF9E3C"/>
            </w:tcBorders>
            <w:vAlign w:val="center"/>
            <w:hideMark/>
          </w:tcPr>
          <w:p w14:paraId="4A7564C9"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4A83F26"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58B5D43"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E859F9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74946C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12D9DC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(0.3, 6.1)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E0AD8C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(3.6, 8.4)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312BED7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D41C2A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ED6358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67CBADF4"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7E296517"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Lack Progress</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518249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1.86</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5A4134E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2.43</w:t>
            </w:r>
          </w:p>
        </w:tc>
        <w:tc>
          <w:tcPr>
            <w:tcW w:w="1084" w:type="dxa"/>
            <w:tcBorders>
              <w:top w:val="nil"/>
              <w:left w:val="single" w:sz="12" w:space="0" w:color="FF9E3C"/>
              <w:bottom w:val="nil"/>
              <w:right w:val="single" w:sz="12" w:space="0" w:color="FF9E3C"/>
            </w:tcBorders>
            <w:shd w:val="clear" w:color="000000" w:fill="FFFFFF"/>
            <w:vAlign w:val="center"/>
            <w:hideMark/>
          </w:tcPr>
          <w:p w14:paraId="1296B57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3.8</w:t>
            </w:r>
          </w:p>
        </w:tc>
        <w:tc>
          <w:tcPr>
            <w:tcW w:w="1020" w:type="dxa"/>
            <w:tcBorders>
              <w:top w:val="nil"/>
              <w:left w:val="single" w:sz="12" w:space="0" w:color="FF9E3C"/>
              <w:bottom w:val="nil"/>
              <w:right w:val="single" w:sz="12" w:space="0" w:color="FF9E3C"/>
            </w:tcBorders>
            <w:shd w:val="clear" w:color="000000" w:fill="FFFFFF"/>
            <w:vAlign w:val="center"/>
            <w:hideMark/>
          </w:tcPr>
          <w:p w14:paraId="3ABD722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4.2</w:t>
            </w:r>
          </w:p>
        </w:tc>
        <w:tc>
          <w:tcPr>
            <w:tcW w:w="1020" w:type="dxa"/>
            <w:tcBorders>
              <w:top w:val="nil"/>
              <w:left w:val="single" w:sz="12" w:space="0" w:color="FF9E3C"/>
              <w:bottom w:val="nil"/>
              <w:right w:val="single" w:sz="12" w:space="0" w:color="FF9E3C"/>
            </w:tcBorders>
            <w:shd w:val="clear" w:color="000000" w:fill="FFFFFF"/>
            <w:vAlign w:val="center"/>
            <w:hideMark/>
          </w:tcPr>
          <w:p w14:paraId="10CFF6D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2.3</w:t>
            </w:r>
          </w:p>
        </w:tc>
        <w:tc>
          <w:tcPr>
            <w:tcW w:w="1020" w:type="dxa"/>
            <w:tcBorders>
              <w:top w:val="nil"/>
              <w:left w:val="single" w:sz="12" w:space="0" w:color="FF9E3C"/>
              <w:bottom w:val="nil"/>
              <w:right w:val="single" w:sz="12" w:space="0" w:color="FF9E3C"/>
            </w:tcBorders>
            <w:shd w:val="clear" w:color="000000" w:fill="FFFFFF"/>
            <w:vAlign w:val="center"/>
            <w:hideMark/>
          </w:tcPr>
          <w:p w14:paraId="153C647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8.2</w:t>
            </w:r>
          </w:p>
        </w:tc>
        <w:tc>
          <w:tcPr>
            <w:tcW w:w="626" w:type="dxa"/>
            <w:tcBorders>
              <w:top w:val="nil"/>
              <w:left w:val="single" w:sz="12" w:space="0" w:color="FF9E3C"/>
              <w:bottom w:val="nil"/>
              <w:right w:val="single" w:sz="12" w:space="0" w:color="FF9E3C"/>
            </w:tcBorders>
            <w:shd w:val="clear" w:color="000000" w:fill="FFFFFF"/>
            <w:hideMark/>
          </w:tcPr>
          <w:p w14:paraId="48E6764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.08</w:t>
            </w:r>
          </w:p>
        </w:tc>
        <w:tc>
          <w:tcPr>
            <w:tcW w:w="780" w:type="dxa"/>
            <w:tcBorders>
              <w:top w:val="nil"/>
              <w:left w:val="single" w:sz="12" w:space="0" w:color="FF9E3C"/>
              <w:bottom w:val="nil"/>
              <w:right w:val="single" w:sz="12" w:space="0" w:color="FF9E3C"/>
            </w:tcBorders>
            <w:shd w:val="clear" w:color="000000" w:fill="FFFFFF"/>
            <w:hideMark/>
          </w:tcPr>
          <w:p w14:paraId="4C546E3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.44</w:t>
            </w:r>
          </w:p>
        </w:tc>
        <w:tc>
          <w:tcPr>
            <w:tcW w:w="780" w:type="dxa"/>
            <w:tcBorders>
              <w:top w:val="nil"/>
              <w:left w:val="single" w:sz="12" w:space="0" w:color="FF9E3C"/>
              <w:bottom w:val="nil"/>
              <w:right w:val="single" w:sz="12" w:space="0" w:color="FF9E3C"/>
            </w:tcBorders>
            <w:shd w:val="clear" w:color="000000" w:fill="FFFFFF"/>
            <w:hideMark/>
          </w:tcPr>
          <w:p w14:paraId="5E15077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.49</w:t>
            </w:r>
          </w:p>
        </w:tc>
      </w:tr>
      <w:tr w:rsidR="00A110B5" w:rsidRPr="006F515D" w14:paraId="1A2B46D5"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0BDD480E"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4321EF77"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07EC92C8"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19C7C16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F5234A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FB9B32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(0.6, 7.2)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021B58A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(5.8,11.4)</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E25DFC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3E07BE7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A221FD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1052E3C8"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09490BC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Late</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5256C10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1.56</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6538895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3.00</w:t>
            </w:r>
          </w:p>
        </w:tc>
        <w:tc>
          <w:tcPr>
            <w:tcW w:w="1084" w:type="dxa"/>
            <w:tcBorders>
              <w:top w:val="nil"/>
              <w:left w:val="single" w:sz="12" w:space="0" w:color="FF9E3C"/>
              <w:bottom w:val="nil"/>
              <w:right w:val="single" w:sz="12" w:space="0" w:color="FF9E3C"/>
            </w:tcBorders>
            <w:shd w:val="clear" w:color="000000" w:fill="FFFFFF"/>
            <w:vAlign w:val="center"/>
            <w:hideMark/>
          </w:tcPr>
          <w:p w14:paraId="44FA310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3.8</w:t>
            </w:r>
          </w:p>
        </w:tc>
        <w:tc>
          <w:tcPr>
            <w:tcW w:w="1020" w:type="dxa"/>
            <w:tcBorders>
              <w:top w:val="nil"/>
              <w:left w:val="single" w:sz="12" w:space="0" w:color="FF9E3C"/>
              <w:bottom w:val="nil"/>
              <w:right w:val="single" w:sz="12" w:space="0" w:color="FF9E3C"/>
            </w:tcBorders>
            <w:shd w:val="clear" w:color="000000" w:fill="FFFFFF"/>
            <w:vAlign w:val="center"/>
            <w:hideMark/>
          </w:tcPr>
          <w:p w14:paraId="4D38235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7DB0070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1.6</w:t>
            </w:r>
          </w:p>
        </w:tc>
        <w:tc>
          <w:tcPr>
            <w:tcW w:w="1020" w:type="dxa"/>
            <w:tcBorders>
              <w:top w:val="nil"/>
              <w:left w:val="single" w:sz="12" w:space="0" w:color="FF9E3C"/>
              <w:bottom w:val="nil"/>
              <w:right w:val="single" w:sz="12" w:space="0" w:color="FF9E3C"/>
            </w:tcBorders>
            <w:shd w:val="clear" w:color="000000" w:fill="FFFFFF"/>
            <w:vAlign w:val="center"/>
            <w:hideMark/>
          </w:tcPr>
          <w:p w14:paraId="650BB77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12.1</w:t>
            </w:r>
          </w:p>
        </w:tc>
        <w:tc>
          <w:tcPr>
            <w:tcW w:w="626" w:type="dxa"/>
            <w:tcBorders>
              <w:top w:val="nil"/>
              <w:left w:val="single" w:sz="12" w:space="0" w:color="FF9E3C"/>
              <w:bottom w:val="nil"/>
              <w:right w:val="single" w:sz="12" w:space="0" w:color="FF9E3C"/>
            </w:tcBorders>
            <w:shd w:val="clear" w:color="000000" w:fill="FFFFFF"/>
            <w:hideMark/>
          </w:tcPr>
          <w:p w14:paraId="0D8A5B87"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w:t>
            </w:r>
          </w:p>
        </w:tc>
        <w:tc>
          <w:tcPr>
            <w:tcW w:w="780" w:type="dxa"/>
            <w:tcBorders>
              <w:top w:val="nil"/>
              <w:left w:val="single" w:sz="12" w:space="0" w:color="FF9E3C"/>
              <w:bottom w:val="nil"/>
              <w:right w:val="single" w:sz="12" w:space="0" w:color="FF9E3C"/>
            </w:tcBorders>
            <w:shd w:val="clear" w:color="000000" w:fill="FFFFFF"/>
            <w:hideMark/>
          </w:tcPr>
          <w:p w14:paraId="0FE5F0D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.43</w:t>
            </w:r>
          </w:p>
        </w:tc>
        <w:tc>
          <w:tcPr>
            <w:tcW w:w="780" w:type="dxa"/>
            <w:tcBorders>
              <w:top w:val="nil"/>
              <w:left w:val="single" w:sz="12" w:space="0" w:color="FF9E3C"/>
              <w:bottom w:val="nil"/>
              <w:right w:val="single" w:sz="12" w:space="0" w:color="FF9E3C"/>
            </w:tcBorders>
            <w:shd w:val="clear" w:color="000000" w:fill="FFFFFF"/>
            <w:hideMark/>
          </w:tcPr>
          <w:p w14:paraId="0355DED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.51</w:t>
            </w:r>
          </w:p>
        </w:tc>
      </w:tr>
      <w:tr w:rsidR="00A110B5" w:rsidRPr="006F515D" w14:paraId="5C2C5214" w14:textId="77777777" w:rsidTr="00CC2D44">
        <w:trPr>
          <w:trHeight w:val="50"/>
        </w:trPr>
        <w:tc>
          <w:tcPr>
            <w:tcW w:w="1701" w:type="dxa"/>
            <w:vMerge/>
            <w:tcBorders>
              <w:top w:val="nil"/>
              <w:left w:val="single" w:sz="12" w:space="0" w:color="FF9E3C"/>
              <w:bottom w:val="single" w:sz="12" w:space="0" w:color="FF9E3C"/>
              <w:right w:val="single" w:sz="12" w:space="0" w:color="FF9E3C"/>
            </w:tcBorders>
            <w:vAlign w:val="center"/>
            <w:hideMark/>
          </w:tcPr>
          <w:p w14:paraId="56F924EE"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F0A9DEC"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455929F2"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08AB0022"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330DC5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480B93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(0.3, 6.1)</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794F1A45"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(9.2,15.7)</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6AAFC35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3E617F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5D31D7B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0734C24D"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2B55AC9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Absent</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10CC240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1.49</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0290143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3.93</w:t>
            </w:r>
          </w:p>
        </w:tc>
        <w:tc>
          <w:tcPr>
            <w:tcW w:w="1084" w:type="dxa"/>
            <w:tcBorders>
              <w:top w:val="nil"/>
              <w:left w:val="single" w:sz="12" w:space="0" w:color="FF9E3C"/>
              <w:bottom w:val="nil"/>
              <w:right w:val="single" w:sz="12" w:space="0" w:color="FF9E3C"/>
            </w:tcBorders>
            <w:shd w:val="clear" w:color="000000" w:fill="FFFFFF"/>
            <w:vAlign w:val="center"/>
            <w:hideMark/>
          </w:tcPr>
          <w:p w14:paraId="6C634CE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38892C9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0181113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3.1</w:t>
            </w:r>
          </w:p>
        </w:tc>
        <w:tc>
          <w:tcPr>
            <w:tcW w:w="1020" w:type="dxa"/>
            <w:tcBorders>
              <w:top w:val="nil"/>
              <w:left w:val="single" w:sz="12" w:space="0" w:color="FF9E3C"/>
              <w:bottom w:val="nil"/>
              <w:right w:val="single" w:sz="12" w:space="0" w:color="FF9E3C"/>
            </w:tcBorders>
            <w:shd w:val="clear" w:color="000000" w:fill="FFFFFF"/>
            <w:vAlign w:val="center"/>
            <w:hideMark/>
          </w:tcPr>
          <w:p w14:paraId="4F7D91A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11.6</w:t>
            </w:r>
          </w:p>
        </w:tc>
        <w:tc>
          <w:tcPr>
            <w:tcW w:w="626" w:type="dxa"/>
            <w:tcBorders>
              <w:top w:val="nil"/>
              <w:left w:val="single" w:sz="12" w:space="0" w:color="FF9E3C"/>
              <w:bottom w:val="nil"/>
              <w:right w:val="single" w:sz="12" w:space="0" w:color="FF9E3C"/>
            </w:tcBorders>
            <w:shd w:val="clear" w:color="000000" w:fill="FFFFFF"/>
            <w:hideMark/>
          </w:tcPr>
          <w:p w14:paraId="1F4A132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.22</w:t>
            </w:r>
          </w:p>
        </w:tc>
        <w:tc>
          <w:tcPr>
            <w:tcW w:w="780" w:type="dxa"/>
            <w:tcBorders>
              <w:top w:val="nil"/>
              <w:left w:val="single" w:sz="12" w:space="0" w:color="FF9E3C"/>
              <w:bottom w:val="nil"/>
              <w:right w:val="single" w:sz="12" w:space="0" w:color="FF9E3C"/>
            </w:tcBorders>
            <w:shd w:val="clear" w:color="000000" w:fill="FFFFFF"/>
            <w:hideMark/>
          </w:tcPr>
          <w:p w14:paraId="77CEAAA4"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.46</w:t>
            </w:r>
          </w:p>
        </w:tc>
        <w:tc>
          <w:tcPr>
            <w:tcW w:w="780" w:type="dxa"/>
            <w:tcBorders>
              <w:top w:val="nil"/>
              <w:left w:val="single" w:sz="12" w:space="0" w:color="FF9E3C"/>
              <w:bottom w:val="nil"/>
              <w:right w:val="single" w:sz="12" w:space="0" w:color="FF9E3C"/>
            </w:tcBorders>
            <w:shd w:val="clear" w:color="000000" w:fill="FFFFFF"/>
            <w:hideMark/>
          </w:tcPr>
          <w:p w14:paraId="4E755B1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.57</w:t>
            </w:r>
          </w:p>
        </w:tc>
      </w:tr>
      <w:tr w:rsidR="00A110B5" w:rsidRPr="006F515D" w14:paraId="22CEAC37" w14:textId="77777777" w:rsidTr="00CC2D44">
        <w:trPr>
          <w:trHeight w:val="137"/>
        </w:trPr>
        <w:tc>
          <w:tcPr>
            <w:tcW w:w="1701" w:type="dxa"/>
            <w:vMerge/>
            <w:tcBorders>
              <w:top w:val="nil"/>
              <w:left w:val="single" w:sz="12" w:space="0" w:color="FF9E3C"/>
              <w:bottom w:val="single" w:sz="12" w:space="0" w:color="FF9E3C"/>
              <w:right w:val="single" w:sz="12" w:space="0" w:color="FF9E3C"/>
            </w:tcBorders>
            <w:vAlign w:val="center"/>
            <w:hideMark/>
          </w:tcPr>
          <w:p w14:paraId="0E0EACE3"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640B3AA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DD72A96"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62897C4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4F70B98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28B64AA"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(1.0, 8.3)</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28A18CB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(8.8,15.2)</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589F78A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78E59A4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1B5B90C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r w:rsidR="00A110B5" w:rsidRPr="006F515D" w14:paraId="5F2187A4"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hideMark/>
          </w:tcPr>
          <w:p w14:paraId="6DB1861B"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r w:rsidRPr="006F515D">
              <w:rPr>
                <w:rFonts w:cs="Arial"/>
                <w:color w:val="1C3158"/>
                <w:sz w:val="16"/>
                <w:szCs w:val="16"/>
                <w:lang w:eastAsia="ja-JP"/>
              </w:rPr>
              <w:t>Red. Perform.</w:t>
            </w:r>
          </w:p>
        </w:tc>
        <w:tc>
          <w:tcPr>
            <w:tcW w:w="851" w:type="dxa"/>
            <w:vMerge w:val="restart"/>
            <w:tcBorders>
              <w:top w:val="nil"/>
              <w:left w:val="single" w:sz="12" w:space="0" w:color="FF9E3C"/>
              <w:bottom w:val="single" w:sz="12" w:space="0" w:color="FF9E3C"/>
              <w:right w:val="single" w:sz="12" w:space="0" w:color="FF9E3C"/>
            </w:tcBorders>
            <w:shd w:val="clear" w:color="000000" w:fill="FFFFFF"/>
            <w:hideMark/>
          </w:tcPr>
          <w:p w14:paraId="4E72A8A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1.13</w:t>
            </w:r>
          </w:p>
        </w:tc>
        <w:tc>
          <w:tcPr>
            <w:tcW w:w="900" w:type="dxa"/>
            <w:vMerge w:val="restart"/>
            <w:tcBorders>
              <w:top w:val="nil"/>
              <w:left w:val="single" w:sz="12" w:space="0" w:color="FF9E3C"/>
              <w:bottom w:val="single" w:sz="12" w:space="0" w:color="FF9E3C"/>
              <w:right w:val="single" w:sz="12" w:space="0" w:color="FF9E3C"/>
            </w:tcBorders>
            <w:shd w:val="clear" w:color="000000" w:fill="FFFFFF"/>
            <w:hideMark/>
          </w:tcPr>
          <w:p w14:paraId="1FBBF4D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1.74</w:t>
            </w:r>
          </w:p>
        </w:tc>
        <w:tc>
          <w:tcPr>
            <w:tcW w:w="1084" w:type="dxa"/>
            <w:tcBorders>
              <w:top w:val="nil"/>
              <w:left w:val="single" w:sz="12" w:space="0" w:color="FF9E3C"/>
              <w:bottom w:val="nil"/>
              <w:right w:val="single" w:sz="12" w:space="0" w:color="FF9E3C"/>
            </w:tcBorders>
            <w:shd w:val="clear" w:color="000000" w:fill="FFFFFF"/>
            <w:vAlign w:val="center"/>
            <w:hideMark/>
          </w:tcPr>
          <w:p w14:paraId="08ACB978"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0.0</w:t>
            </w:r>
          </w:p>
        </w:tc>
        <w:tc>
          <w:tcPr>
            <w:tcW w:w="1020" w:type="dxa"/>
            <w:tcBorders>
              <w:top w:val="nil"/>
              <w:left w:val="single" w:sz="12" w:space="0" w:color="FF9E3C"/>
              <w:bottom w:val="nil"/>
              <w:right w:val="single" w:sz="12" w:space="0" w:color="FF9E3C"/>
            </w:tcBorders>
            <w:shd w:val="clear" w:color="000000" w:fill="FFFFFF"/>
            <w:vAlign w:val="center"/>
            <w:hideMark/>
          </w:tcPr>
          <w:p w14:paraId="6553F081"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12.5</w:t>
            </w:r>
          </w:p>
        </w:tc>
        <w:tc>
          <w:tcPr>
            <w:tcW w:w="1020" w:type="dxa"/>
            <w:tcBorders>
              <w:top w:val="nil"/>
              <w:left w:val="single" w:sz="12" w:space="0" w:color="FF9E3C"/>
              <w:bottom w:val="nil"/>
              <w:right w:val="single" w:sz="12" w:space="0" w:color="FF9E3C"/>
            </w:tcBorders>
            <w:shd w:val="clear" w:color="000000" w:fill="FFFFFF"/>
            <w:vAlign w:val="center"/>
            <w:hideMark/>
          </w:tcPr>
          <w:p w14:paraId="603E82BE"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14.8</w:t>
            </w:r>
          </w:p>
        </w:tc>
        <w:tc>
          <w:tcPr>
            <w:tcW w:w="1020" w:type="dxa"/>
            <w:tcBorders>
              <w:top w:val="nil"/>
              <w:left w:val="single" w:sz="12" w:space="0" w:color="FF9E3C"/>
              <w:bottom w:val="nil"/>
              <w:right w:val="single" w:sz="12" w:space="0" w:color="FF9E3C"/>
            </w:tcBorders>
            <w:shd w:val="clear" w:color="000000" w:fill="FFFFFF"/>
            <w:vAlign w:val="center"/>
            <w:hideMark/>
          </w:tcPr>
          <w:p w14:paraId="592A92DB"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24.9</w:t>
            </w:r>
          </w:p>
        </w:tc>
        <w:tc>
          <w:tcPr>
            <w:tcW w:w="626" w:type="dxa"/>
            <w:tcBorders>
              <w:top w:val="nil"/>
              <w:left w:val="single" w:sz="12" w:space="0" w:color="FF9E3C"/>
              <w:bottom w:val="nil"/>
              <w:right w:val="single" w:sz="12" w:space="0" w:color="FF9E3C"/>
            </w:tcBorders>
            <w:shd w:val="clear" w:color="000000" w:fill="FFFFFF"/>
            <w:hideMark/>
          </w:tcPr>
          <w:p w14:paraId="5150C19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.15</w:t>
            </w:r>
          </w:p>
        </w:tc>
        <w:tc>
          <w:tcPr>
            <w:tcW w:w="780" w:type="dxa"/>
            <w:tcBorders>
              <w:top w:val="nil"/>
              <w:left w:val="single" w:sz="12" w:space="0" w:color="FF9E3C"/>
              <w:bottom w:val="nil"/>
              <w:right w:val="single" w:sz="12" w:space="0" w:color="FF9E3C"/>
            </w:tcBorders>
            <w:shd w:val="clear" w:color="000000" w:fill="FFFFFF"/>
            <w:hideMark/>
          </w:tcPr>
          <w:p w14:paraId="222066A6"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.57</w:t>
            </w:r>
          </w:p>
        </w:tc>
        <w:tc>
          <w:tcPr>
            <w:tcW w:w="780" w:type="dxa"/>
            <w:tcBorders>
              <w:top w:val="nil"/>
              <w:left w:val="single" w:sz="12" w:space="0" w:color="FF9E3C"/>
              <w:bottom w:val="nil"/>
              <w:right w:val="single" w:sz="12" w:space="0" w:color="FF9E3C"/>
            </w:tcBorders>
            <w:shd w:val="clear" w:color="000000" w:fill="FFFFFF"/>
            <w:hideMark/>
          </w:tcPr>
          <w:p w14:paraId="500EB423"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.42</w:t>
            </w:r>
          </w:p>
        </w:tc>
      </w:tr>
      <w:tr w:rsidR="00A110B5" w:rsidRPr="006F515D" w14:paraId="029B80D5"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245D921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34BB662F"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144BF863" w14:textId="77777777" w:rsidR="00A110B5" w:rsidRPr="006F515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hideMark/>
          </w:tcPr>
          <w:p w14:paraId="4184A33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18773A9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(3.3,33.5)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3110A8F9"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xml:space="preserve"> (9.4,22.5)</w:t>
            </w:r>
          </w:p>
        </w:tc>
        <w:tc>
          <w:tcPr>
            <w:tcW w:w="1020" w:type="dxa"/>
            <w:tcBorders>
              <w:top w:val="nil"/>
              <w:left w:val="single" w:sz="12" w:space="0" w:color="FF9E3C"/>
              <w:bottom w:val="single" w:sz="12" w:space="0" w:color="FF9E3C"/>
              <w:right w:val="single" w:sz="12" w:space="0" w:color="FF9E3C"/>
            </w:tcBorders>
            <w:shd w:val="clear" w:color="000000" w:fill="FFFFFF"/>
            <w:vAlign w:val="center"/>
            <w:hideMark/>
          </w:tcPr>
          <w:p w14:paraId="672F2FAC"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(20.9,29.5)</w:t>
            </w:r>
          </w:p>
        </w:tc>
        <w:tc>
          <w:tcPr>
            <w:tcW w:w="626" w:type="dxa"/>
            <w:tcBorders>
              <w:top w:val="nil"/>
              <w:left w:val="single" w:sz="12" w:space="0" w:color="FF9E3C"/>
              <w:bottom w:val="single" w:sz="12" w:space="0" w:color="FF9E3C"/>
              <w:right w:val="single" w:sz="12" w:space="0" w:color="FF9E3C"/>
            </w:tcBorders>
            <w:shd w:val="clear" w:color="000000" w:fill="FFFFFF"/>
            <w:hideMark/>
          </w:tcPr>
          <w:p w14:paraId="1844C3CF"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2118AC60"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c>
          <w:tcPr>
            <w:tcW w:w="780" w:type="dxa"/>
            <w:tcBorders>
              <w:top w:val="nil"/>
              <w:left w:val="single" w:sz="12" w:space="0" w:color="FF9E3C"/>
              <w:bottom w:val="single" w:sz="12" w:space="0" w:color="FF9E3C"/>
              <w:right w:val="single" w:sz="12" w:space="0" w:color="FF9E3C"/>
            </w:tcBorders>
            <w:shd w:val="clear" w:color="000000" w:fill="FFFFFF"/>
            <w:hideMark/>
          </w:tcPr>
          <w:p w14:paraId="4A999FFD" w14:textId="77777777" w:rsidR="00A110B5" w:rsidRPr="006F515D" w:rsidRDefault="00A110B5" w:rsidP="00406FB4">
            <w:pPr>
              <w:tabs>
                <w:tab w:val="clear" w:pos="426"/>
              </w:tabs>
              <w:spacing w:before="0" w:after="0" w:line="240" w:lineRule="auto"/>
              <w:ind w:left="0" w:right="0"/>
              <w:jc w:val="center"/>
              <w:rPr>
                <w:rFonts w:cs="Arial"/>
                <w:color w:val="1C3158"/>
                <w:sz w:val="16"/>
                <w:szCs w:val="16"/>
                <w:lang w:eastAsia="ja-JP"/>
              </w:rPr>
            </w:pPr>
            <w:r w:rsidRPr="006F515D">
              <w:rPr>
                <w:rFonts w:cs="Arial"/>
                <w:color w:val="1C3158"/>
                <w:sz w:val="16"/>
                <w:szCs w:val="16"/>
                <w:lang w:eastAsia="ja-JP"/>
              </w:rPr>
              <w:t> </w:t>
            </w:r>
          </w:p>
        </w:tc>
      </w:tr>
    </w:tbl>
    <w:p w14:paraId="22AA2FA4" w14:textId="09A314FD" w:rsidR="00A110B5" w:rsidRPr="0040753B" w:rsidRDefault="0040753B" w:rsidP="0040753B">
      <w:pPr>
        <w:pStyle w:val="Caption"/>
        <w:rPr>
          <w:iCs w:val="0"/>
          <w:color w:val="1C3158"/>
        </w:rPr>
      </w:pPr>
      <w:r>
        <w:rPr>
          <w:b w:val="0"/>
          <w:iCs w:val="0"/>
          <w:color w:val="1C3158"/>
        </w:rPr>
        <w:br w:type="column"/>
      </w:r>
      <w:bookmarkStart w:id="218" w:name="_Toc462738117"/>
      <w:r w:rsidRPr="0040753B">
        <w:lastRenderedPageBreak/>
        <w:t xml:space="preserve">Table </w:t>
      </w:r>
      <w:fldSimple w:instr=" SEQ Table \* ARABIC ">
        <w:r w:rsidR="0006479A">
          <w:rPr>
            <w:noProof/>
          </w:rPr>
          <w:t>14</w:t>
        </w:r>
      </w:fldSimple>
      <w:r w:rsidR="00B40FF8">
        <w:t>.</w:t>
      </w:r>
      <w:r w:rsidR="008610D3">
        <w:t xml:space="preserve"> </w:t>
      </w:r>
      <w:r w:rsidR="00A110B5" w:rsidRPr="0040753B">
        <w:rPr>
          <w:iCs w:val="0"/>
          <w:color w:val="1C3158"/>
        </w:rPr>
        <w:t>Health and Emotional/Psychological (Affected Others)</w:t>
      </w:r>
      <w:bookmarkEnd w:id="218"/>
    </w:p>
    <w:tbl>
      <w:tblPr>
        <w:tblW w:w="9574" w:type="dxa"/>
        <w:tblInd w:w="-15" w:type="dxa"/>
        <w:tblLook w:val="04A0" w:firstRow="1" w:lastRow="0" w:firstColumn="1" w:lastColumn="0" w:noHBand="0" w:noVBand="1"/>
      </w:tblPr>
      <w:tblGrid>
        <w:gridCol w:w="1701"/>
        <w:gridCol w:w="851"/>
        <w:gridCol w:w="900"/>
        <w:gridCol w:w="1084"/>
        <w:gridCol w:w="1020"/>
        <w:gridCol w:w="1020"/>
        <w:gridCol w:w="1020"/>
        <w:gridCol w:w="626"/>
        <w:gridCol w:w="572"/>
        <w:gridCol w:w="780"/>
      </w:tblGrid>
      <w:tr w:rsidR="00A110B5" w:rsidRPr="00AD79EE" w14:paraId="455EF2EA" w14:textId="77777777" w:rsidTr="00406FB4">
        <w:trPr>
          <w:trHeight w:val="285"/>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75F26C43" w14:textId="77777777" w:rsidR="00A110B5" w:rsidRPr="00AD79EE" w:rsidRDefault="00A110B5" w:rsidP="00406FB4">
            <w:pPr>
              <w:tabs>
                <w:tab w:val="clear" w:pos="426"/>
              </w:tabs>
              <w:spacing w:before="0" w:after="0" w:line="240" w:lineRule="auto"/>
              <w:ind w:left="0" w:right="0"/>
              <w:rPr>
                <w:rFonts w:cs="Arial"/>
                <w:b/>
                <w:bCs/>
                <w:color w:val="1C3158"/>
                <w:sz w:val="16"/>
                <w:szCs w:val="16"/>
                <w:lang w:eastAsia="ja-JP"/>
              </w:rPr>
            </w:pPr>
            <w:r w:rsidRPr="00AD79EE">
              <w:rPr>
                <w:rFonts w:eastAsia="Cambria" w:cs="Arial"/>
                <w:b/>
                <w:bCs/>
                <w:color w:val="1C3158"/>
                <w:sz w:val="16"/>
                <w:szCs w:val="16"/>
                <w:lang w:eastAsia="ja-JP"/>
              </w:rPr>
              <w:t>Item abb.</w:t>
            </w:r>
          </w:p>
        </w:tc>
        <w:tc>
          <w:tcPr>
            <w:tcW w:w="1751"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70303455"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IRT parameters</w:t>
            </w:r>
          </w:p>
        </w:tc>
        <w:tc>
          <w:tcPr>
            <w:tcW w:w="4144" w:type="dxa"/>
            <w:gridSpan w:val="4"/>
            <w:tcBorders>
              <w:top w:val="single" w:sz="12" w:space="0" w:color="FF9E3C"/>
              <w:left w:val="nil"/>
              <w:bottom w:val="single" w:sz="12" w:space="0" w:color="FF9E3C"/>
              <w:right w:val="single" w:sz="12" w:space="0" w:color="FF9E3C"/>
            </w:tcBorders>
            <w:shd w:val="clear" w:color="000000" w:fill="FFBC64"/>
            <w:vAlign w:val="center"/>
            <w:hideMark/>
          </w:tcPr>
          <w:p w14:paraId="04549399"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PGSI category</w:t>
            </w:r>
          </w:p>
        </w:tc>
        <w:tc>
          <w:tcPr>
            <w:tcW w:w="1978" w:type="dxa"/>
            <w:gridSpan w:val="3"/>
            <w:tcBorders>
              <w:top w:val="single" w:sz="12" w:space="0" w:color="FF9E3C"/>
              <w:left w:val="nil"/>
              <w:bottom w:val="single" w:sz="12" w:space="0" w:color="FF9E3C"/>
              <w:right w:val="single" w:sz="12" w:space="0" w:color="FF9E3C"/>
            </w:tcBorders>
            <w:shd w:val="clear" w:color="000000" w:fill="FFBC64"/>
            <w:vAlign w:val="center"/>
            <w:hideMark/>
          </w:tcPr>
          <w:p w14:paraId="3BAF0BA8"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Correlations</w:t>
            </w:r>
          </w:p>
        </w:tc>
      </w:tr>
      <w:tr w:rsidR="00A110B5" w:rsidRPr="00AD79EE" w14:paraId="4EC8DB5C" w14:textId="77777777" w:rsidTr="00406FB4">
        <w:trPr>
          <w:trHeight w:val="390"/>
        </w:trPr>
        <w:tc>
          <w:tcPr>
            <w:tcW w:w="1701" w:type="dxa"/>
            <w:vMerge/>
            <w:tcBorders>
              <w:top w:val="single" w:sz="12" w:space="0" w:color="FF9E3C"/>
              <w:left w:val="single" w:sz="12" w:space="0" w:color="FF9E3C"/>
              <w:bottom w:val="single" w:sz="12" w:space="0" w:color="FF9E3C"/>
              <w:right w:val="single" w:sz="12" w:space="0" w:color="FF9E3C"/>
            </w:tcBorders>
            <w:vAlign w:val="center"/>
            <w:hideMark/>
          </w:tcPr>
          <w:p w14:paraId="6699CE67" w14:textId="77777777" w:rsidR="00A110B5" w:rsidRPr="00AD79EE" w:rsidRDefault="00A110B5" w:rsidP="00406FB4">
            <w:pPr>
              <w:tabs>
                <w:tab w:val="clear" w:pos="426"/>
              </w:tabs>
              <w:spacing w:before="0" w:after="0" w:line="240" w:lineRule="auto"/>
              <w:ind w:left="0" w:right="0"/>
              <w:rPr>
                <w:rFonts w:cs="Arial"/>
                <w:b/>
                <w:bCs/>
                <w:color w:val="1C3158"/>
                <w:sz w:val="16"/>
                <w:szCs w:val="16"/>
                <w:lang w:eastAsia="ja-JP"/>
              </w:rPr>
            </w:pPr>
          </w:p>
        </w:tc>
        <w:tc>
          <w:tcPr>
            <w:tcW w:w="851" w:type="dxa"/>
            <w:tcBorders>
              <w:top w:val="nil"/>
              <w:left w:val="nil"/>
              <w:bottom w:val="single" w:sz="12" w:space="0" w:color="FF9E3C"/>
              <w:right w:val="single" w:sz="12" w:space="0" w:color="FF9E3C"/>
            </w:tcBorders>
            <w:shd w:val="clear" w:color="000000" w:fill="FFBC64"/>
            <w:vAlign w:val="center"/>
            <w:hideMark/>
          </w:tcPr>
          <w:p w14:paraId="359025A0"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Severity</w:t>
            </w:r>
          </w:p>
        </w:tc>
        <w:tc>
          <w:tcPr>
            <w:tcW w:w="900" w:type="dxa"/>
            <w:tcBorders>
              <w:top w:val="nil"/>
              <w:left w:val="nil"/>
              <w:bottom w:val="single" w:sz="12" w:space="0" w:color="FF9E3C"/>
              <w:right w:val="single" w:sz="12" w:space="0" w:color="FF9E3C"/>
            </w:tcBorders>
            <w:shd w:val="clear" w:color="000000" w:fill="FFBC64"/>
            <w:vAlign w:val="center"/>
            <w:hideMark/>
          </w:tcPr>
          <w:p w14:paraId="76004DA7"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Dscrm</w:t>
            </w:r>
          </w:p>
        </w:tc>
        <w:tc>
          <w:tcPr>
            <w:tcW w:w="1084" w:type="dxa"/>
            <w:tcBorders>
              <w:top w:val="nil"/>
              <w:left w:val="nil"/>
              <w:bottom w:val="single" w:sz="12" w:space="0" w:color="FF9E3C"/>
              <w:right w:val="single" w:sz="12" w:space="0" w:color="FF9E3C"/>
            </w:tcBorders>
            <w:shd w:val="clear" w:color="000000" w:fill="FFBC64"/>
            <w:vAlign w:val="center"/>
            <w:hideMark/>
          </w:tcPr>
          <w:p w14:paraId="04AFFA68"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Non Problem</w:t>
            </w:r>
          </w:p>
        </w:tc>
        <w:tc>
          <w:tcPr>
            <w:tcW w:w="1020" w:type="dxa"/>
            <w:tcBorders>
              <w:top w:val="nil"/>
              <w:left w:val="nil"/>
              <w:bottom w:val="single" w:sz="12" w:space="0" w:color="FF9E3C"/>
              <w:right w:val="single" w:sz="12" w:space="0" w:color="FF9E3C"/>
            </w:tcBorders>
            <w:shd w:val="clear" w:color="000000" w:fill="FFBC64"/>
            <w:vAlign w:val="center"/>
            <w:hideMark/>
          </w:tcPr>
          <w:p w14:paraId="6E260946"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Low Risk</w:t>
            </w:r>
          </w:p>
        </w:tc>
        <w:tc>
          <w:tcPr>
            <w:tcW w:w="1020" w:type="dxa"/>
            <w:tcBorders>
              <w:top w:val="nil"/>
              <w:left w:val="nil"/>
              <w:bottom w:val="single" w:sz="12" w:space="0" w:color="FF9E3C"/>
              <w:right w:val="single" w:sz="12" w:space="0" w:color="FF9E3C"/>
            </w:tcBorders>
            <w:shd w:val="clear" w:color="000000" w:fill="FFBC64"/>
            <w:vAlign w:val="center"/>
            <w:hideMark/>
          </w:tcPr>
          <w:p w14:paraId="443EA3B0"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Moderate Risk</w:t>
            </w:r>
          </w:p>
        </w:tc>
        <w:tc>
          <w:tcPr>
            <w:tcW w:w="1020" w:type="dxa"/>
            <w:tcBorders>
              <w:top w:val="nil"/>
              <w:left w:val="nil"/>
              <w:bottom w:val="single" w:sz="12" w:space="0" w:color="FF9E3C"/>
              <w:right w:val="single" w:sz="12" w:space="0" w:color="FF9E3C"/>
            </w:tcBorders>
            <w:shd w:val="clear" w:color="000000" w:fill="FFBC64"/>
            <w:vAlign w:val="center"/>
            <w:hideMark/>
          </w:tcPr>
          <w:p w14:paraId="321A6816"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Problem</w:t>
            </w:r>
          </w:p>
        </w:tc>
        <w:tc>
          <w:tcPr>
            <w:tcW w:w="626" w:type="dxa"/>
            <w:tcBorders>
              <w:top w:val="nil"/>
              <w:left w:val="nil"/>
              <w:bottom w:val="single" w:sz="12" w:space="0" w:color="FF9E3C"/>
              <w:right w:val="single" w:sz="12" w:space="0" w:color="FF9E3C"/>
            </w:tcBorders>
            <w:shd w:val="clear" w:color="000000" w:fill="FFBC64"/>
            <w:vAlign w:val="center"/>
            <w:hideMark/>
          </w:tcPr>
          <w:p w14:paraId="3A17E2F8"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PGSI</w:t>
            </w:r>
          </w:p>
        </w:tc>
        <w:tc>
          <w:tcPr>
            <w:tcW w:w="572" w:type="dxa"/>
            <w:tcBorders>
              <w:top w:val="nil"/>
              <w:left w:val="nil"/>
              <w:bottom w:val="single" w:sz="12" w:space="0" w:color="FF9E3C"/>
              <w:right w:val="single" w:sz="12" w:space="0" w:color="FF9E3C"/>
            </w:tcBorders>
            <w:shd w:val="clear" w:color="000000" w:fill="FFBC64"/>
            <w:vAlign w:val="center"/>
            <w:hideMark/>
          </w:tcPr>
          <w:p w14:paraId="416B08CE"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Gen.</w:t>
            </w:r>
          </w:p>
        </w:tc>
        <w:tc>
          <w:tcPr>
            <w:tcW w:w="780" w:type="dxa"/>
            <w:tcBorders>
              <w:top w:val="nil"/>
              <w:left w:val="nil"/>
              <w:bottom w:val="single" w:sz="12" w:space="0" w:color="FF9E3C"/>
              <w:right w:val="single" w:sz="12" w:space="0" w:color="FF9E3C"/>
            </w:tcBorders>
            <w:shd w:val="clear" w:color="000000" w:fill="FFBC64"/>
            <w:vAlign w:val="center"/>
            <w:hideMark/>
          </w:tcPr>
          <w:p w14:paraId="423D8FF7" w14:textId="77777777" w:rsidR="00A110B5" w:rsidRPr="00AD79EE" w:rsidRDefault="00A110B5" w:rsidP="00406FB4">
            <w:pPr>
              <w:tabs>
                <w:tab w:val="clear" w:pos="426"/>
              </w:tabs>
              <w:spacing w:before="0" w:after="0" w:line="240" w:lineRule="auto"/>
              <w:ind w:left="0" w:right="0"/>
              <w:jc w:val="center"/>
              <w:rPr>
                <w:rFonts w:cs="Arial"/>
                <w:b/>
                <w:bCs/>
                <w:color w:val="1C3158"/>
                <w:sz w:val="16"/>
                <w:szCs w:val="16"/>
                <w:lang w:eastAsia="ja-JP"/>
              </w:rPr>
            </w:pPr>
            <w:r w:rsidRPr="00AD79EE">
              <w:rPr>
                <w:rFonts w:eastAsia="Cambria" w:cs="Arial"/>
                <w:b/>
                <w:bCs/>
                <w:color w:val="1C3158"/>
                <w:sz w:val="16"/>
                <w:szCs w:val="16"/>
                <w:lang w:eastAsia="ja-JP"/>
              </w:rPr>
              <w:t>Tot.</w:t>
            </w:r>
          </w:p>
        </w:tc>
      </w:tr>
      <w:tr w:rsidR="00A110B5" w:rsidRPr="00AD79EE" w14:paraId="7205A9C2" w14:textId="77777777" w:rsidTr="00CC2D44">
        <w:trPr>
          <w:trHeight w:val="285"/>
        </w:trPr>
        <w:tc>
          <w:tcPr>
            <w:tcW w:w="9574" w:type="dxa"/>
            <w:gridSpan w:val="10"/>
            <w:tcBorders>
              <w:top w:val="single" w:sz="12" w:space="0" w:color="FF9E3C"/>
              <w:left w:val="single" w:sz="12" w:space="0" w:color="FF9E3C"/>
              <w:right w:val="single" w:sz="12" w:space="0" w:color="FF9E3C"/>
            </w:tcBorders>
            <w:shd w:val="clear" w:color="000000" w:fill="FFCF8F"/>
            <w:vAlign w:val="center"/>
            <w:hideMark/>
          </w:tcPr>
          <w:p w14:paraId="0A943017" w14:textId="77777777" w:rsidR="00A110B5" w:rsidRPr="00AD79EE"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AD79EE">
              <w:rPr>
                <w:rFonts w:cs="Arial"/>
                <w:b/>
                <w:bCs/>
                <w:i/>
                <w:iCs/>
                <w:color w:val="1C3158"/>
                <w:sz w:val="16"/>
                <w:szCs w:val="16"/>
                <w:lang w:eastAsia="ja-JP"/>
              </w:rPr>
              <w:t>Health</w:t>
            </w:r>
          </w:p>
        </w:tc>
      </w:tr>
      <w:tr w:rsidR="00A110B5" w:rsidRPr="00AD79EE" w14:paraId="03A4626D"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5E4E7BA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Living Cond.</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03EA790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3.13</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531E6B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1.11</w:t>
            </w:r>
          </w:p>
        </w:tc>
        <w:tc>
          <w:tcPr>
            <w:tcW w:w="1084" w:type="dxa"/>
            <w:tcBorders>
              <w:top w:val="nil"/>
              <w:left w:val="single" w:sz="12" w:space="0" w:color="FF9E3C"/>
              <w:bottom w:val="nil"/>
              <w:right w:val="single" w:sz="12" w:space="0" w:color="FF9E3C"/>
            </w:tcBorders>
            <w:shd w:val="clear" w:color="000000" w:fill="FFFFFF"/>
            <w:vAlign w:val="center"/>
          </w:tcPr>
          <w:p w14:paraId="766C1CB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2C979C5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F54632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w:t>
            </w:r>
          </w:p>
        </w:tc>
        <w:tc>
          <w:tcPr>
            <w:tcW w:w="1020" w:type="dxa"/>
            <w:tcBorders>
              <w:top w:val="nil"/>
              <w:left w:val="single" w:sz="12" w:space="0" w:color="FF9E3C"/>
              <w:bottom w:val="nil"/>
              <w:right w:val="single" w:sz="12" w:space="0" w:color="FF9E3C"/>
            </w:tcBorders>
            <w:shd w:val="clear" w:color="000000" w:fill="FFFFFF"/>
            <w:vAlign w:val="center"/>
          </w:tcPr>
          <w:p w14:paraId="736BE06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6.1</w:t>
            </w:r>
          </w:p>
        </w:tc>
        <w:tc>
          <w:tcPr>
            <w:tcW w:w="626" w:type="dxa"/>
            <w:tcBorders>
              <w:top w:val="nil"/>
              <w:left w:val="single" w:sz="12" w:space="0" w:color="FF9E3C"/>
              <w:bottom w:val="nil"/>
              <w:right w:val="single" w:sz="12" w:space="0" w:color="FF9E3C"/>
            </w:tcBorders>
            <w:shd w:val="clear" w:color="000000" w:fill="FFFFFF"/>
          </w:tcPr>
          <w:p w14:paraId="0C8D7D9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.14</w:t>
            </w:r>
          </w:p>
        </w:tc>
        <w:tc>
          <w:tcPr>
            <w:tcW w:w="572" w:type="dxa"/>
            <w:tcBorders>
              <w:top w:val="nil"/>
              <w:left w:val="single" w:sz="12" w:space="0" w:color="FF9E3C"/>
              <w:bottom w:val="nil"/>
              <w:right w:val="single" w:sz="12" w:space="0" w:color="FF9E3C"/>
            </w:tcBorders>
            <w:shd w:val="clear" w:color="000000" w:fill="FFFFFF"/>
          </w:tcPr>
          <w:p w14:paraId="2B186C3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w:t>
            </w:r>
          </w:p>
        </w:tc>
        <w:tc>
          <w:tcPr>
            <w:tcW w:w="780" w:type="dxa"/>
            <w:tcBorders>
              <w:top w:val="nil"/>
              <w:left w:val="single" w:sz="12" w:space="0" w:color="FF9E3C"/>
              <w:bottom w:val="nil"/>
              <w:right w:val="single" w:sz="12" w:space="0" w:color="FF9E3C"/>
            </w:tcBorders>
            <w:shd w:val="clear" w:color="000000" w:fill="FFFFFF"/>
          </w:tcPr>
          <w:p w14:paraId="62FC49B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w:t>
            </w:r>
          </w:p>
        </w:tc>
      </w:tr>
      <w:tr w:rsidR="00A110B5" w:rsidRPr="00AD79EE" w14:paraId="34CC14D8"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54608F8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176EA35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0A7CA85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6B527E0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6BA82E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C3CAB2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(1.0, 8.3)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E7F3C8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(4.0, 8.9)</w:t>
            </w:r>
          </w:p>
        </w:tc>
        <w:tc>
          <w:tcPr>
            <w:tcW w:w="626" w:type="dxa"/>
            <w:tcBorders>
              <w:top w:val="nil"/>
              <w:left w:val="single" w:sz="12" w:space="0" w:color="FF9E3C"/>
              <w:bottom w:val="single" w:sz="12" w:space="0" w:color="FF9E3C"/>
              <w:right w:val="single" w:sz="12" w:space="0" w:color="FF9E3C"/>
            </w:tcBorders>
            <w:shd w:val="clear" w:color="000000" w:fill="FFFFFF"/>
          </w:tcPr>
          <w:p w14:paraId="0241F1D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36E6B28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4B5C739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32FF9C14"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14486EE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Hygiene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39D32B8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2.59</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5396F7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2.03</w:t>
            </w:r>
          </w:p>
        </w:tc>
        <w:tc>
          <w:tcPr>
            <w:tcW w:w="1084" w:type="dxa"/>
            <w:tcBorders>
              <w:top w:val="nil"/>
              <w:left w:val="single" w:sz="12" w:space="0" w:color="FF9E3C"/>
              <w:bottom w:val="nil"/>
              <w:right w:val="single" w:sz="12" w:space="0" w:color="FF9E3C"/>
            </w:tcBorders>
            <w:shd w:val="clear" w:color="000000" w:fill="FFFFFF"/>
            <w:vAlign w:val="center"/>
          </w:tcPr>
          <w:p w14:paraId="37764CD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506EFD3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CF525C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73B66A3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3.4</w:t>
            </w:r>
          </w:p>
        </w:tc>
        <w:tc>
          <w:tcPr>
            <w:tcW w:w="626" w:type="dxa"/>
            <w:tcBorders>
              <w:top w:val="nil"/>
              <w:left w:val="single" w:sz="12" w:space="0" w:color="FF9E3C"/>
              <w:bottom w:val="nil"/>
              <w:right w:val="single" w:sz="12" w:space="0" w:color="FF9E3C"/>
            </w:tcBorders>
            <w:shd w:val="clear" w:color="000000" w:fill="FFFFFF"/>
          </w:tcPr>
          <w:p w14:paraId="381527D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w:t>
            </w:r>
          </w:p>
        </w:tc>
        <w:tc>
          <w:tcPr>
            <w:tcW w:w="572" w:type="dxa"/>
            <w:tcBorders>
              <w:top w:val="nil"/>
              <w:left w:val="single" w:sz="12" w:space="0" w:color="FF9E3C"/>
              <w:bottom w:val="nil"/>
              <w:right w:val="single" w:sz="12" w:space="0" w:color="FF9E3C"/>
            </w:tcBorders>
            <w:shd w:val="clear" w:color="000000" w:fill="FFFFFF"/>
          </w:tcPr>
          <w:p w14:paraId="1EA6C3D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w:t>
            </w:r>
          </w:p>
        </w:tc>
        <w:tc>
          <w:tcPr>
            <w:tcW w:w="780" w:type="dxa"/>
            <w:tcBorders>
              <w:top w:val="nil"/>
              <w:left w:val="single" w:sz="12" w:space="0" w:color="FF9E3C"/>
              <w:bottom w:val="nil"/>
              <w:right w:val="single" w:sz="12" w:space="0" w:color="FF9E3C"/>
            </w:tcBorders>
            <w:shd w:val="clear" w:color="000000" w:fill="FFFFFF"/>
          </w:tcPr>
          <w:p w14:paraId="7EB2F8C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w:t>
            </w:r>
          </w:p>
        </w:tc>
      </w:tr>
      <w:tr w:rsidR="00A110B5" w:rsidRPr="00AD79EE" w14:paraId="63CEDFA3"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1313696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6ABE9E5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2DCCF28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2A81021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23A903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BBB4F9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BEA3EB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(1.9, 5.8)</w:t>
            </w:r>
          </w:p>
        </w:tc>
        <w:tc>
          <w:tcPr>
            <w:tcW w:w="626" w:type="dxa"/>
            <w:tcBorders>
              <w:top w:val="nil"/>
              <w:left w:val="single" w:sz="12" w:space="0" w:color="FF9E3C"/>
              <w:bottom w:val="single" w:sz="12" w:space="0" w:color="FF9E3C"/>
              <w:right w:val="single" w:sz="12" w:space="0" w:color="FF9E3C"/>
            </w:tcBorders>
            <w:shd w:val="clear" w:color="000000" w:fill="FFFFFF"/>
          </w:tcPr>
          <w:p w14:paraId="5475801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3ABF213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5169D2F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4A8550E0"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126659DE"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Self-Harm</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7B92517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2.54</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374C4EC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2.04</w:t>
            </w:r>
          </w:p>
        </w:tc>
        <w:tc>
          <w:tcPr>
            <w:tcW w:w="1084" w:type="dxa"/>
            <w:tcBorders>
              <w:top w:val="nil"/>
              <w:left w:val="single" w:sz="12" w:space="0" w:color="FF9E3C"/>
              <w:bottom w:val="nil"/>
              <w:right w:val="single" w:sz="12" w:space="0" w:color="FF9E3C"/>
            </w:tcBorders>
            <w:shd w:val="clear" w:color="000000" w:fill="FFFFFF"/>
            <w:vAlign w:val="center"/>
          </w:tcPr>
          <w:p w14:paraId="0577B8A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5CF3E8F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43DF13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w:t>
            </w:r>
          </w:p>
        </w:tc>
        <w:tc>
          <w:tcPr>
            <w:tcW w:w="1020" w:type="dxa"/>
            <w:tcBorders>
              <w:top w:val="nil"/>
              <w:left w:val="single" w:sz="12" w:space="0" w:color="FF9E3C"/>
              <w:bottom w:val="nil"/>
              <w:right w:val="single" w:sz="12" w:space="0" w:color="FF9E3C"/>
            </w:tcBorders>
            <w:shd w:val="clear" w:color="000000" w:fill="FFFFFF"/>
            <w:vAlign w:val="center"/>
          </w:tcPr>
          <w:p w14:paraId="275C043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w:t>
            </w:r>
          </w:p>
        </w:tc>
        <w:tc>
          <w:tcPr>
            <w:tcW w:w="626" w:type="dxa"/>
            <w:tcBorders>
              <w:top w:val="nil"/>
              <w:left w:val="single" w:sz="12" w:space="0" w:color="FF9E3C"/>
              <w:bottom w:val="nil"/>
              <w:right w:val="single" w:sz="12" w:space="0" w:color="FF9E3C"/>
            </w:tcBorders>
            <w:shd w:val="clear" w:color="000000" w:fill="FFFFFF"/>
          </w:tcPr>
          <w:p w14:paraId="101A195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.06</w:t>
            </w:r>
          </w:p>
        </w:tc>
        <w:tc>
          <w:tcPr>
            <w:tcW w:w="572" w:type="dxa"/>
            <w:tcBorders>
              <w:top w:val="nil"/>
              <w:left w:val="single" w:sz="12" w:space="0" w:color="FF9E3C"/>
              <w:bottom w:val="nil"/>
              <w:right w:val="single" w:sz="12" w:space="0" w:color="FF9E3C"/>
            </w:tcBorders>
            <w:shd w:val="clear" w:color="000000" w:fill="FFFFFF"/>
          </w:tcPr>
          <w:p w14:paraId="544A8E9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w:t>
            </w:r>
          </w:p>
        </w:tc>
        <w:tc>
          <w:tcPr>
            <w:tcW w:w="780" w:type="dxa"/>
            <w:tcBorders>
              <w:top w:val="nil"/>
              <w:left w:val="single" w:sz="12" w:space="0" w:color="FF9E3C"/>
              <w:bottom w:val="nil"/>
              <w:right w:val="single" w:sz="12" w:space="0" w:color="FF9E3C"/>
            </w:tcBorders>
            <w:shd w:val="clear" w:color="000000" w:fill="FFFFFF"/>
          </w:tcPr>
          <w:p w14:paraId="4B4C55D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.32</w:t>
            </w:r>
          </w:p>
        </w:tc>
      </w:tr>
      <w:tr w:rsidR="00A110B5" w:rsidRPr="00AD79EE" w14:paraId="0D4B44F8"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777C775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7CFA456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284463E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62B910F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0CBFC1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C91DE1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(0.6, 7.2)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301B79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(1.8, 5.5)</w:t>
            </w:r>
          </w:p>
        </w:tc>
        <w:tc>
          <w:tcPr>
            <w:tcW w:w="626" w:type="dxa"/>
            <w:tcBorders>
              <w:top w:val="nil"/>
              <w:left w:val="single" w:sz="12" w:space="0" w:color="FF9E3C"/>
              <w:bottom w:val="single" w:sz="12" w:space="0" w:color="FF9E3C"/>
              <w:right w:val="single" w:sz="12" w:space="0" w:color="FF9E3C"/>
            </w:tcBorders>
            <w:shd w:val="clear" w:color="000000" w:fill="FFFFFF"/>
          </w:tcPr>
          <w:p w14:paraId="53ED5EF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546129A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2E87080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7DF22788"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1BA1847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Service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1E63565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63F43FA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2.40</w:t>
            </w:r>
          </w:p>
        </w:tc>
        <w:tc>
          <w:tcPr>
            <w:tcW w:w="1084" w:type="dxa"/>
            <w:tcBorders>
              <w:top w:val="nil"/>
              <w:left w:val="single" w:sz="12" w:space="0" w:color="FF9E3C"/>
              <w:bottom w:val="nil"/>
              <w:right w:val="single" w:sz="12" w:space="0" w:color="FF9E3C"/>
            </w:tcBorders>
            <w:shd w:val="clear" w:color="000000" w:fill="FFFFFF"/>
            <w:vAlign w:val="center"/>
          </w:tcPr>
          <w:p w14:paraId="2C3A4FF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541AAB5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E2B348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w:t>
            </w:r>
          </w:p>
        </w:tc>
        <w:tc>
          <w:tcPr>
            <w:tcW w:w="1020" w:type="dxa"/>
            <w:tcBorders>
              <w:top w:val="nil"/>
              <w:left w:val="single" w:sz="12" w:space="0" w:color="FF9E3C"/>
              <w:bottom w:val="nil"/>
              <w:right w:val="single" w:sz="12" w:space="0" w:color="FF9E3C"/>
            </w:tcBorders>
            <w:shd w:val="clear" w:color="000000" w:fill="FFFFFF"/>
            <w:vAlign w:val="center"/>
          </w:tcPr>
          <w:p w14:paraId="7A8B847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w:t>
            </w:r>
          </w:p>
        </w:tc>
        <w:tc>
          <w:tcPr>
            <w:tcW w:w="626" w:type="dxa"/>
            <w:tcBorders>
              <w:top w:val="nil"/>
              <w:left w:val="single" w:sz="12" w:space="0" w:color="FF9E3C"/>
              <w:bottom w:val="nil"/>
              <w:right w:val="single" w:sz="12" w:space="0" w:color="FF9E3C"/>
            </w:tcBorders>
            <w:shd w:val="clear" w:color="000000" w:fill="FFFFFF"/>
          </w:tcPr>
          <w:p w14:paraId="5565F6D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.06</w:t>
            </w:r>
          </w:p>
        </w:tc>
        <w:tc>
          <w:tcPr>
            <w:tcW w:w="572" w:type="dxa"/>
            <w:tcBorders>
              <w:top w:val="nil"/>
              <w:left w:val="single" w:sz="12" w:space="0" w:color="FF9E3C"/>
              <w:bottom w:val="nil"/>
              <w:right w:val="single" w:sz="12" w:space="0" w:color="FF9E3C"/>
            </w:tcBorders>
            <w:shd w:val="clear" w:color="000000" w:fill="FFFFFF"/>
          </w:tcPr>
          <w:p w14:paraId="43BB6AB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w:t>
            </w:r>
          </w:p>
        </w:tc>
        <w:tc>
          <w:tcPr>
            <w:tcW w:w="780" w:type="dxa"/>
            <w:tcBorders>
              <w:top w:val="nil"/>
              <w:left w:val="single" w:sz="12" w:space="0" w:color="FF9E3C"/>
              <w:bottom w:val="nil"/>
              <w:right w:val="single" w:sz="12" w:space="0" w:color="FF9E3C"/>
            </w:tcBorders>
            <w:shd w:val="clear" w:color="000000" w:fill="FFFFFF"/>
          </w:tcPr>
          <w:p w14:paraId="07F931A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.32</w:t>
            </w:r>
          </w:p>
        </w:tc>
      </w:tr>
      <w:tr w:rsidR="00A110B5" w:rsidRPr="00AD79EE" w14:paraId="2343D2F9"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4DE38D2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DAA2D9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74A3C45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49AFDFD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B2B621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A60146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(0.3, 6.1)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2FAB44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(1.2, 4.6)</w:t>
            </w:r>
          </w:p>
        </w:tc>
        <w:tc>
          <w:tcPr>
            <w:tcW w:w="626" w:type="dxa"/>
            <w:tcBorders>
              <w:top w:val="nil"/>
              <w:left w:val="single" w:sz="12" w:space="0" w:color="FF9E3C"/>
              <w:bottom w:val="single" w:sz="12" w:space="0" w:color="FF9E3C"/>
              <w:right w:val="single" w:sz="12" w:space="0" w:color="FF9E3C"/>
            </w:tcBorders>
            <w:shd w:val="clear" w:color="000000" w:fill="FFFFFF"/>
          </w:tcPr>
          <w:p w14:paraId="46E2652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76504C5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018D42A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65ECB1DF"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7C01520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Suicide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59B5BFE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2.43</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2C8F2CC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3.09</w:t>
            </w:r>
          </w:p>
        </w:tc>
        <w:tc>
          <w:tcPr>
            <w:tcW w:w="1084" w:type="dxa"/>
            <w:tcBorders>
              <w:top w:val="nil"/>
              <w:left w:val="single" w:sz="12" w:space="0" w:color="FF9E3C"/>
              <w:bottom w:val="nil"/>
              <w:right w:val="single" w:sz="12" w:space="0" w:color="FF9E3C"/>
            </w:tcBorders>
            <w:shd w:val="clear" w:color="000000" w:fill="FFFFFF"/>
            <w:vAlign w:val="center"/>
          </w:tcPr>
          <w:p w14:paraId="0BB5827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4D5A131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39A9A9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w:t>
            </w:r>
          </w:p>
        </w:tc>
        <w:tc>
          <w:tcPr>
            <w:tcW w:w="1020" w:type="dxa"/>
            <w:tcBorders>
              <w:top w:val="nil"/>
              <w:left w:val="single" w:sz="12" w:space="0" w:color="FF9E3C"/>
              <w:bottom w:val="nil"/>
              <w:right w:val="single" w:sz="12" w:space="0" w:color="FF9E3C"/>
            </w:tcBorders>
            <w:shd w:val="clear" w:color="000000" w:fill="FFFFFF"/>
            <w:vAlign w:val="center"/>
          </w:tcPr>
          <w:p w14:paraId="2D287E4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w:t>
            </w:r>
          </w:p>
        </w:tc>
        <w:tc>
          <w:tcPr>
            <w:tcW w:w="626" w:type="dxa"/>
            <w:tcBorders>
              <w:top w:val="nil"/>
              <w:left w:val="single" w:sz="12" w:space="0" w:color="FF9E3C"/>
              <w:bottom w:val="nil"/>
              <w:right w:val="single" w:sz="12" w:space="0" w:color="FF9E3C"/>
            </w:tcBorders>
            <w:shd w:val="clear" w:color="000000" w:fill="FFFFFF"/>
          </w:tcPr>
          <w:p w14:paraId="058115D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w:t>
            </w:r>
          </w:p>
        </w:tc>
        <w:tc>
          <w:tcPr>
            <w:tcW w:w="572" w:type="dxa"/>
            <w:tcBorders>
              <w:top w:val="nil"/>
              <w:left w:val="single" w:sz="12" w:space="0" w:color="FF9E3C"/>
              <w:bottom w:val="nil"/>
              <w:right w:val="single" w:sz="12" w:space="0" w:color="FF9E3C"/>
            </w:tcBorders>
            <w:shd w:val="clear" w:color="000000" w:fill="FFFFFF"/>
          </w:tcPr>
          <w:p w14:paraId="44301E8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w:t>
            </w:r>
          </w:p>
        </w:tc>
        <w:tc>
          <w:tcPr>
            <w:tcW w:w="780" w:type="dxa"/>
            <w:tcBorders>
              <w:top w:val="nil"/>
              <w:left w:val="single" w:sz="12" w:space="0" w:color="FF9E3C"/>
              <w:bottom w:val="nil"/>
              <w:right w:val="single" w:sz="12" w:space="0" w:color="FF9E3C"/>
            </w:tcBorders>
            <w:shd w:val="clear" w:color="000000" w:fill="FFFFFF"/>
          </w:tcPr>
          <w:p w14:paraId="051085E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w:t>
            </w:r>
          </w:p>
        </w:tc>
      </w:tr>
      <w:tr w:rsidR="00A110B5" w:rsidRPr="00AD79EE" w14:paraId="40552DE3"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4470AD8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31BCDA2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3509A4B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4DFFFFA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10086D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C41844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(0.3, 6.1)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87D5F9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(0.6, 3.3)</w:t>
            </w:r>
          </w:p>
        </w:tc>
        <w:tc>
          <w:tcPr>
            <w:tcW w:w="626" w:type="dxa"/>
            <w:tcBorders>
              <w:top w:val="nil"/>
              <w:left w:val="single" w:sz="12" w:space="0" w:color="FF9E3C"/>
              <w:bottom w:val="single" w:sz="12" w:space="0" w:color="FF9E3C"/>
              <w:right w:val="single" w:sz="12" w:space="0" w:color="FF9E3C"/>
            </w:tcBorders>
            <w:shd w:val="clear" w:color="000000" w:fill="FFFFFF"/>
          </w:tcPr>
          <w:p w14:paraId="3CC98AC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1ADE13D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54AB07C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085CBA23"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1ECE2ED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Emerg. Treat.</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66E7AB9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2.36</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60AFD17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2.13</w:t>
            </w:r>
          </w:p>
        </w:tc>
        <w:tc>
          <w:tcPr>
            <w:tcW w:w="1084" w:type="dxa"/>
            <w:tcBorders>
              <w:top w:val="nil"/>
              <w:left w:val="single" w:sz="12" w:space="0" w:color="FF9E3C"/>
              <w:bottom w:val="nil"/>
              <w:right w:val="single" w:sz="12" w:space="0" w:color="FF9E3C"/>
            </w:tcBorders>
            <w:shd w:val="clear" w:color="000000" w:fill="FFFFFF"/>
            <w:vAlign w:val="center"/>
          </w:tcPr>
          <w:p w14:paraId="5403D93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32B0C6A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2C2E7C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w:t>
            </w:r>
          </w:p>
        </w:tc>
        <w:tc>
          <w:tcPr>
            <w:tcW w:w="1020" w:type="dxa"/>
            <w:tcBorders>
              <w:top w:val="nil"/>
              <w:left w:val="single" w:sz="12" w:space="0" w:color="FF9E3C"/>
              <w:bottom w:val="nil"/>
              <w:right w:val="single" w:sz="12" w:space="0" w:color="FF9E3C"/>
            </w:tcBorders>
            <w:shd w:val="clear" w:color="000000" w:fill="FFFFFF"/>
            <w:vAlign w:val="center"/>
          </w:tcPr>
          <w:p w14:paraId="4A42FD6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4.4</w:t>
            </w:r>
          </w:p>
        </w:tc>
        <w:tc>
          <w:tcPr>
            <w:tcW w:w="626" w:type="dxa"/>
            <w:tcBorders>
              <w:top w:val="nil"/>
              <w:left w:val="single" w:sz="12" w:space="0" w:color="FF9E3C"/>
              <w:bottom w:val="nil"/>
              <w:right w:val="single" w:sz="12" w:space="0" w:color="FF9E3C"/>
            </w:tcBorders>
            <w:shd w:val="clear" w:color="000000" w:fill="FFFFFF"/>
          </w:tcPr>
          <w:p w14:paraId="0700747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.08</w:t>
            </w:r>
          </w:p>
        </w:tc>
        <w:tc>
          <w:tcPr>
            <w:tcW w:w="572" w:type="dxa"/>
            <w:tcBorders>
              <w:top w:val="nil"/>
              <w:left w:val="single" w:sz="12" w:space="0" w:color="FF9E3C"/>
              <w:bottom w:val="nil"/>
              <w:right w:val="single" w:sz="12" w:space="0" w:color="FF9E3C"/>
            </w:tcBorders>
            <w:shd w:val="clear" w:color="000000" w:fill="FFFFFF"/>
          </w:tcPr>
          <w:p w14:paraId="3781ED5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w:t>
            </w:r>
          </w:p>
        </w:tc>
        <w:tc>
          <w:tcPr>
            <w:tcW w:w="780" w:type="dxa"/>
            <w:tcBorders>
              <w:top w:val="nil"/>
              <w:left w:val="single" w:sz="12" w:space="0" w:color="FF9E3C"/>
              <w:bottom w:val="nil"/>
              <w:right w:val="single" w:sz="12" w:space="0" w:color="FF9E3C"/>
            </w:tcBorders>
            <w:shd w:val="clear" w:color="000000" w:fill="FFFFFF"/>
          </w:tcPr>
          <w:p w14:paraId="0E7A640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.32</w:t>
            </w:r>
          </w:p>
        </w:tc>
      </w:tr>
      <w:tr w:rsidR="00A110B5" w:rsidRPr="00AD79EE" w14:paraId="6D521F67"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685D96C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696DFD6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3B9F193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6197CAD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74D953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662232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(0.3, 6.1)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DEBE75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(2.7, 6.9)</w:t>
            </w:r>
          </w:p>
        </w:tc>
        <w:tc>
          <w:tcPr>
            <w:tcW w:w="626" w:type="dxa"/>
            <w:tcBorders>
              <w:top w:val="nil"/>
              <w:left w:val="single" w:sz="12" w:space="0" w:color="FF9E3C"/>
              <w:bottom w:val="single" w:sz="12" w:space="0" w:color="FF9E3C"/>
              <w:right w:val="single" w:sz="12" w:space="0" w:color="FF9E3C"/>
            </w:tcBorders>
            <w:shd w:val="clear" w:color="000000" w:fill="FFFFFF"/>
          </w:tcPr>
          <w:p w14:paraId="6E16A95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766BDD1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230E0E9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6327C69E"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028B91E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Overeating</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3F68281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2.21</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19D72C3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1.33</w:t>
            </w:r>
          </w:p>
        </w:tc>
        <w:tc>
          <w:tcPr>
            <w:tcW w:w="1084" w:type="dxa"/>
            <w:tcBorders>
              <w:top w:val="nil"/>
              <w:left w:val="single" w:sz="12" w:space="0" w:color="FF9E3C"/>
              <w:bottom w:val="nil"/>
              <w:right w:val="single" w:sz="12" w:space="0" w:color="FF9E3C"/>
            </w:tcBorders>
            <w:shd w:val="clear" w:color="000000" w:fill="FFFFFF"/>
            <w:vAlign w:val="center"/>
          </w:tcPr>
          <w:p w14:paraId="6EC8F2E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2E1A8FF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C118B5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w:t>
            </w:r>
          </w:p>
        </w:tc>
        <w:tc>
          <w:tcPr>
            <w:tcW w:w="1020" w:type="dxa"/>
            <w:tcBorders>
              <w:top w:val="nil"/>
              <w:left w:val="single" w:sz="12" w:space="0" w:color="FF9E3C"/>
              <w:bottom w:val="nil"/>
              <w:right w:val="single" w:sz="12" w:space="0" w:color="FF9E3C"/>
            </w:tcBorders>
            <w:shd w:val="clear" w:color="000000" w:fill="FFFFFF"/>
            <w:vAlign w:val="center"/>
          </w:tcPr>
          <w:p w14:paraId="581B3A3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12.1</w:t>
            </w:r>
          </w:p>
        </w:tc>
        <w:tc>
          <w:tcPr>
            <w:tcW w:w="626" w:type="dxa"/>
            <w:tcBorders>
              <w:top w:val="nil"/>
              <w:left w:val="single" w:sz="12" w:space="0" w:color="FF9E3C"/>
              <w:bottom w:val="nil"/>
              <w:right w:val="single" w:sz="12" w:space="0" w:color="FF9E3C"/>
            </w:tcBorders>
            <w:shd w:val="clear" w:color="000000" w:fill="FFFFFF"/>
          </w:tcPr>
          <w:p w14:paraId="2794E68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.14</w:t>
            </w:r>
          </w:p>
        </w:tc>
        <w:tc>
          <w:tcPr>
            <w:tcW w:w="572" w:type="dxa"/>
            <w:tcBorders>
              <w:top w:val="nil"/>
              <w:left w:val="single" w:sz="12" w:space="0" w:color="FF9E3C"/>
              <w:bottom w:val="nil"/>
              <w:right w:val="single" w:sz="12" w:space="0" w:color="FF9E3C"/>
            </w:tcBorders>
            <w:shd w:val="clear" w:color="000000" w:fill="FFFFFF"/>
          </w:tcPr>
          <w:p w14:paraId="165CE31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w:t>
            </w:r>
          </w:p>
        </w:tc>
        <w:tc>
          <w:tcPr>
            <w:tcW w:w="780" w:type="dxa"/>
            <w:tcBorders>
              <w:top w:val="nil"/>
              <w:left w:val="single" w:sz="12" w:space="0" w:color="FF9E3C"/>
              <w:bottom w:val="nil"/>
              <w:right w:val="single" w:sz="12" w:space="0" w:color="FF9E3C"/>
            </w:tcBorders>
            <w:shd w:val="clear" w:color="000000" w:fill="FFFFFF"/>
          </w:tcPr>
          <w:p w14:paraId="0480FAF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.29</w:t>
            </w:r>
          </w:p>
        </w:tc>
      </w:tr>
      <w:tr w:rsidR="00A110B5" w:rsidRPr="00AD79EE" w14:paraId="3F1BFA03"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07FB77C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552F326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0EAEB30E"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5F17D4A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0472B0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54B2D4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(0.6, 7.2)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015907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(9.2,15.7)</w:t>
            </w:r>
          </w:p>
        </w:tc>
        <w:tc>
          <w:tcPr>
            <w:tcW w:w="626" w:type="dxa"/>
            <w:tcBorders>
              <w:top w:val="nil"/>
              <w:left w:val="single" w:sz="12" w:space="0" w:color="FF9E3C"/>
              <w:bottom w:val="single" w:sz="12" w:space="0" w:color="FF9E3C"/>
              <w:right w:val="single" w:sz="12" w:space="0" w:color="FF9E3C"/>
            </w:tcBorders>
            <w:shd w:val="clear" w:color="000000" w:fill="FFFFFF"/>
          </w:tcPr>
          <w:p w14:paraId="765395C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7FA67CE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3112F3B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35B53874"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2F5312B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 xml:space="preserve">Alcohol </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2101D73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2.17</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EAA1F9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1.31</w:t>
            </w:r>
          </w:p>
        </w:tc>
        <w:tc>
          <w:tcPr>
            <w:tcW w:w="1084" w:type="dxa"/>
            <w:tcBorders>
              <w:top w:val="nil"/>
              <w:left w:val="single" w:sz="12" w:space="0" w:color="FF9E3C"/>
              <w:bottom w:val="nil"/>
              <w:right w:val="single" w:sz="12" w:space="0" w:color="FF9E3C"/>
            </w:tcBorders>
            <w:shd w:val="clear" w:color="000000" w:fill="FFFFFF"/>
            <w:vAlign w:val="center"/>
          </w:tcPr>
          <w:p w14:paraId="3F89B53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20F92FD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2ADC59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6.2</w:t>
            </w:r>
          </w:p>
        </w:tc>
        <w:tc>
          <w:tcPr>
            <w:tcW w:w="1020" w:type="dxa"/>
            <w:tcBorders>
              <w:top w:val="nil"/>
              <w:left w:val="single" w:sz="12" w:space="0" w:color="FF9E3C"/>
              <w:bottom w:val="nil"/>
              <w:right w:val="single" w:sz="12" w:space="0" w:color="FF9E3C"/>
            </w:tcBorders>
            <w:shd w:val="clear" w:color="000000" w:fill="FFFFFF"/>
            <w:vAlign w:val="center"/>
          </w:tcPr>
          <w:p w14:paraId="2F82145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11.6</w:t>
            </w:r>
          </w:p>
        </w:tc>
        <w:tc>
          <w:tcPr>
            <w:tcW w:w="626" w:type="dxa"/>
            <w:tcBorders>
              <w:top w:val="nil"/>
              <w:left w:val="single" w:sz="12" w:space="0" w:color="FF9E3C"/>
              <w:bottom w:val="nil"/>
              <w:right w:val="single" w:sz="12" w:space="0" w:color="FF9E3C"/>
            </w:tcBorders>
            <w:shd w:val="clear" w:color="000000" w:fill="FFFFFF"/>
          </w:tcPr>
          <w:p w14:paraId="2C520E7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.08</w:t>
            </w:r>
          </w:p>
        </w:tc>
        <w:tc>
          <w:tcPr>
            <w:tcW w:w="572" w:type="dxa"/>
            <w:tcBorders>
              <w:top w:val="nil"/>
              <w:left w:val="single" w:sz="12" w:space="0" w:color="FF9E3C"/>
              <w:bottom w:val="nil"/>
              <w:right w:val="single" w:sz="12" w:space="0" w:color="FF9E3C"/>
            </w:tcBorders>
            <w:shd w:val="clear" w:color="000000" w:fill="FFFFFF"/>
          </w:tcPr>
          <w:p w14:paraId="6301B70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w:t>
            </w:r>
          </w:p>
        </w:tc>
        <w:tc>
          <w:tcPr>
            <w:tcW w:w="780" w:type="dxa"/>
            <w:tcBorders>
              <w:top w:val="nil"/>
              <w:left w:val="single" w:sz="12" w:space="0" w:color="FF9E3C"/>
              <w:bottom w:val="nil"/>
              <w:right w:val="single" w:sz="12" w:space="0" w:color="FF9E3C"/>
            </w:tcBorders>
            <w:shd w:val="clear" w:color="000000" w:fill="FFFFFF"/>
          </w:tcPr>
          <w:p w14:paraId="53D88D6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.32</w:t>
            </w:r>
          </w:p>
        </w:tc>
      </w:tr>
      <w:tr w:rsidR="00A110B5" w:rsidRPr="00AD79EE" w14:paraId="66C9AB8F"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04438F0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ED31E6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7441BF2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194F8A1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B72956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5DAC84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(2.9,12.3)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542B55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(8.8,15.2)</w:t>
            </w:r>
          </w:p>
        </w:tc>
        <w:tc>
          <w:tcPr>
            <w:tcW w:w="626" w:type="dxa"/>
            <w:tcBorders>
              <w:top w:val="nil"/>
              <w:left w:val="single" w:sz="12" w:space="0" w:color="FF9E3C"/>
              <w:bottom w:val="single" w:sz="12" w:space="0" w:color="FF9E3C"/>
              <w:right w:val="single" w:sz="12" w:space="0" w:color="FF9E3C"/>
            </w:tcBorders>
            <w:shd w:val="clear" w:color="000000" w:fill="FFFFFF"/>
          </w:tcPr>
          <w:p w14:paraId="6B33D17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3DF80D5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70256CB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17472741"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61C7749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Medical Needs</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3BD00D4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37997F5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2.86</w:t>
            </w:r>
          </w:p>
        </w:tc>
        <w:tc>
          <w:tcPr>
            <w:tcW w:w="1084" w:type="dxa"/>
            <w:tcBorders>
              <w:top w:val="nil"/>
              <w:left w:val="single" w:sz="12" w:space="0" w:color="FF9E3C"/>
              <w:bottom w:val="nil"/>
              <w:right w:val="single" w:sz="12" w:space="0" w:color="FF9E3C"/>
            </w:tcBorders>
            <w:shd w:val="clear" w:color="000000" w:fill="FFFFFF"/>
            <w:vAlign w:val="center"/>
          </w:tcPr>
          <w:p w14:paraId="16B7B2D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20554B8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033E8CC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1AC4E6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4.8</w:t>
            </w:r>
          </w:p>
        </w:tc>
        <w:tc>
          <w:tcPr>
            <w:tcW w:w="626" w:type="dxa"/>
            <w:tcBorders>
              <w:top w:val="nil"/>
              <w:left w:val="single" w:sz="12" w:space="0" w:color="FF9E3C"/>
              <w:bottom w:val="nil"/>
              <w:right w:val="single" w:sz="12" w:space="0" w:color="FF9E3C"/>
            </w:tcBorders>
            <w:shd w:val="clear" w:color="000000" w:fill="FFFFFF"/>
          </w:tcPr>
          <w:p w14:paraId="1A483BD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w:t>
            </w:r>
          </w:p>
        </w:tc>
        <w:tc>
          <w:tcPr>
            <w:tcW w:w="572" w:type="dxa"/>
            <w:tcBorders>
              <w:top w:val="nil"/>
              <w:left w:val="single" w:sz="12" w:space="0" w:color="FF9E3C"/>
              <w:bottom w:val="nil"/>
              <w:right w:val="single" w:sz="12" w:space="0" w:color="FF9E3C"/>
            </w:tcBorders>
            <w:shd w:val="clear" w:color="000000" w:fill="FFFFFF"/>
          </w:tcPr>
          <w:p w14:paraId="602C1B4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w:t>
            </w:r>
          </w:p>
        </w:tc>
        <w:tc>
          <w:tcPr>
            <w:tcW w:w="780" w:type="dxa"/>
            <w:tcBorders>
              <w:top w:val="nil"/>
              <w:left w:val="single" w:sz="12" w:space="0" w:color="FF9E3C"/>
              <w:bottom w:val="nil"/>
              <w:right w:val="single" w:sz="12" w:space="0" w:color="FF9E3C"/>
            </w:tcBorders>
            <w:shd w:val="clear" w:color="000000" w:fill="FFFFFF"/>
          </w:tcPr>
          <w:p w14:paraId="171EE51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.40</w:t>
            </w:r>
          </w:p>
        </w:tc>
      </w:tr>
      <w:tr w:rsidR="00A110B5" w:rsidRPr="00AD79EE" w14:paraId="1A9DBAE0"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1FB9AD2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3135528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5AC650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21ABAE4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249CE9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487F0F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E3419B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(3.1, 7.5)</w:t>
            </w:r>
          </w:p>
        </w:tc>
        <w:tc>
          <w:tcPr>
            <w:tcW w:w="626" w:type="dxa"/>
            <w:tcBorders>
              <w:top w:val="nil"/>
              <w:left w:val="single" w:sz="12" w:space="0" w:color="FF9E3C"/>
              <w:bottom w:val="single" w:sz="12" w:space="0" w:color="FF9E3C"/>
              <w:right w:val="single" w:sz="12" w:space="0" w:color="FF9E3C"/>
            </w:tcBorders>
            <w:shd w:val="clear" w:color="000000" w:fill="FFFFFF"/>
          </w:tcPr>
          <w:p w14:paraId="4FCB16D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3D37E0A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23B2BA3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02CC6F27"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3016EB6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Physical Activity</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7A50D76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1.87</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0A65861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1.75</w:t>
            </w:r>
          </w:p>
        </w:tc>
        <w:tc>
          <w:tcPr>
            <w:tcW w:w="1084" w:type="dxa"/>
            <w:tcBorders>
              <w:top w:val="nil"/>
              <w:left w:val="single" w:sz="12" w:space="0" w:color="FF9E3C"/>
              <w:bottom w:val="nil"/>
              <w:right w:val="single" w:sz="12" w:space="0" w:color="FF9E3C"/>
            </w:tcBorders>
            <w:shd w:val="clear" w:color="000000" w:fill="FFFFFF"/>
            <w:vAlign w:val="center"/>
          </w:tcPr>
          <w:p w14:paraId="73D5957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7.7</w:t>
            </w:r>
          </w:p>
        </w:tc>
        <w:tc>
          <w:tcPr>
            <w:tcW w:w="1020" w:type="dxa"/>
            <w:tcBorders>
              <w:top w:val="nil"/>
              <w:left w:val="single" w:sz="12" w:space="0" w:color="FF9E3C"/>
              <w:bottom w:val="nil"/>
              <w:right w:val="single" w:sz="12" w:space="0" w:color="FF9E3C"/>
            </w:tcBorders>
            <w:shd w:val="clear" w:color="000000" w:fill="FFFFFF"/>
            <w:vAlign w:val="center"/>
          </w:tcPr>
          <w:p w14:paraId="63D4CFA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762EFB3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3.9</w:t>
            </w:r>
          </w:p>
        </w:tc>
        <w:tc>
          <w:tcPr>
            <w:tcW w:w="1020" w:type="dxa"/>
            <w:tcBorders>
              <w:top w:val="nil"/>
              <w:left w:val="single" w:sz="12" w:space="0" w:color="FF9E3C"/>
              <w:bottom w:val="nil"/>
              <w:right w:val="single" w:sz="12" w:space="0" w:color="FF9E3C"/>
            </w:tcBorders>
            <w:shd w:val="clear" w:color="000000" w:fill="FFFFFF"/>
            <w:vAlign w:val="center"/>
          </w:tcPr>
          <w:p w14:paraId="0368DDC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11.4</w:t>
            </w:r>
          </w:p>
        </w:tc>
        <w:tc>
          <w:tcPr>
            <w:tcW w:w="626" w:type="dxa"/>
            <w:tcBorders>
              <w:top w:val="nil"/>
              <w:left w:val="single" w:sz="12" w:space="0" w:color="FF9E3C"/>
              <w:bottom w:val="nil"/>
              <w:right w:val="single" w:sz="12" w:space="0" w:color="FF9E3C"/>
            </w:tcBorders>
            <w:shd w:val="clear" w:color="000000" w:fill="FFFFFF"/>
          </w:tcPr>
          <w:p w14:paraId="6911D38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.14</w:t>
            </w:r>
          </w:p>
        </w:tc>
        <w:tc>
          <w:tcPr>
            <w:tcW w:w="572" w:type="dxa"/>
            <w:tcBorders>
              <w:top w:val="nil"/>
              <w:left w:val="single" w:sz="12" w:space="0" w:color="FF9E3C"/>
              <w:bottom w:val="nil"/>
              <w:right w:val="single" w:sz="12" w:space="0" w:color="FF9E3C"/>
            </w:tcBorders>
            <w:shd w:val="clear" w:color="000000" w:fill="FFFFFF"/>
          </w:tcPr>
          <w:p w14:paraId="6BEC6B2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w:t>
            </w:r>
          </w:p>
        </w:tc>
        <w:tc>
          <w:tcPr>
            <w:tcW w:w="780" w:type="dxa"/>
            <w:tcBorders>
              <w:top w:val="nil"/>
              <w:left w:val="single" w:sz="12" w:space="0" w:color="FF9E3C"/>
              <w:bottom w:val="nil"/>
              <w:right w:val="single" w:sz="12" w:space="0" w:color="FF9E3C"/>
            </w:tcBorders>
            <w:shd w:val="clear" w:color="000000" w:fill="FFFFFF"/>
          </w:tcPr>
          <w:p w14:paraId="67D8CA0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.40</w:t>
            </w:r>
          </w:p>
        </w:tc>
      </w:tr>
      <w:tr w:rsidR="00A110B5" w:rsidRPr="00AD79EE" w14:paraId="3D86647D"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77D0EC8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50DF9B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2430CA3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7EC9EAA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(1.3,26.6)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33B161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CCBC7C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(1.4, 9.3)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0BBD91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(8.6,14.9)</w:t>
            </w:r>
          </w:p>
        </w:tc>
        <w:tc>
          <w:tcPr>
            <w:tcW w:w="626" w:type="dxa"/>
            <w:tcBorders>
              <w:top w:val="nil"/>
              <w:left w:val="single" w:sz="12" w:space="0" w:color="FF9E3C"/>
              <w:bottom w:val="single" w:sz="12" w:space="0" w:color="FF9E3C"/>
              <w:right w:val="single" w:sz="12" w:space="0" w:color="FF9E3C"/>
            </w:tcBorders>
            <w:shd w:val="clear" w:color="000000" w:fill="FFFFFF"/>
          </w:tcPr>
          <w:p w14:paraId="6183F8E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1EEFD26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7167FDF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1E262872"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67C9EA2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Tobacco</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48288C5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1.67</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69DE6D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1.53</w:t>
            </w:r>
          </w:p>
        </w:tc>
        <w:tc>
          <w:tcPr>
            <w:tcW w:w="1084" w:type="dxa"/>
            <w:tcBorders>
              <w:top w:val="nil"/>
              <w:left w:val="single" w:sz="12" w:space="0" w:color="FF9E3C"/>
              <w:bottom w:val="nil"/>
              <w:right w:val="single" w:sz="12" w:space="0" w:color="FF9E3C"/>
            </w:tcBorders>
            <w:shd w:val="clear" w:color="000000" w:fill="FFFFFF"/>
            <w:vAlign w:val="center"/>
          </w:tcPr>
          <w:p w14:paraId="02AC8C4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308E946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68DF082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6.2</w:t>
            </w:r>
          </w:p>
        </w:tc>
        <w:tc>
          <w:tcPr>
            <w:tcW w:w="1020" w:type="dxa"/>
            <w:tcBorders>
              <w:top w:val="nil"/>
              <w:left w:val="single" w:sz="12" w:space="0" w:color="FF9E3C"/>
              <w:bottom w:val="nil"/>
              <w:right w:val="single" w:sz="12" w:space="0" w:color="FF9E3C"/>
            </w:tcBorders>
            <w:shd w:val="clear" w:color="000000" w:fill="FFFFFF"/>
            <w:vAlign w:val="center"/>
          </w:tcPr>
          <w:p w14:paraId="4F47E85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16.9</w:t>
            </w:r>
          </w:p>
        </w:tc>
        <w:tc>
          <w:tcPr>
            <w:tcW w:w="626" w:type="dxa"/>
            <w:tcBorders>
              <w:top w:val="nil"/>
              <w:left w:val="single" w:sz="12" w:space="0" w:color="FF9E3C"/>
              <w:bottom w:val="nil"/>
              <w:right w:val="single" w:sz="12" w:space="0" w:color="FF9E3C"/>
            </w:tcBorders>
            <w:shd w:val="clear" w:color="000000" w:fill="FFFFFF"/>
          </w:tcPr>
          <w:p w14:paraId="14A9A30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w:t>
            </w:r>
          </w:p>
        </w:tc>
        <w:tc>
          <w:tcPr>
            <w:tcW w:w="572" w:type="dxa"/>
            <w:tcBorders>
              <w:top w:val="nil"/>
              <w:left w:val="single" w:sz="12" w:space="0" w:color="FF9E3C"/>
              <w:bottom w:val="nil"/>
              <w:right w:val="single" w:sz="12" w:space="0" w:color="FF9E3C"/>
            </w:tcBorders>
            <w:shd w:val="clear" w:color="000000" w:fill="FFFFFF"/>
          </w:tcPr>
          <w:p w14:paraId="4AE037A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w:t>
            </w:r>
          </w:p>
        </w:tc>
        <w:tc>
          <w:tcPr>
            <w:tcW w:w="780" w:type="dxa"/>
            <w:tcBorders>
              <w:top w:val="nil"/>
              <w:left w:val="single" w:sz="12" w:space="0" w:color="FF9E3C"/>
              <w:bottom w:val="nil"/>
              <w:right w:val="single" w:sz="12" w:space="0" w:color="FF9E3C"/>
            </w:tcBorders>
            <w:shd w:val="clear" w:color="000000" w:fill="FFFFFF"/>
          </w:tcPr>
          <w:p w14:paraId="16C4FCE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r>
      <w:tr w:rsidR="00A110B5" w:rsidRPr="00AD79EE" w14:paraId="7CFED37B"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38EA55B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10E6043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33CDCE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30F2FD0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4E1EC7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A39021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(2.9,12.3)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812388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(13.5,21.0)</w:t>
            </w:r>
          </w:p>
        </w:tc>
        <w:tc>
          <w:tcPr>
            <w:tcW w:w="626" w:type="dxa"/>
            <w:tcBorders>
              <w:top w:val="nil"/>
              <w:left w:val="single" w:sz="12" w:space="0" w:color="FF9E3C"/>
              <w:bottom w:val="single" w:sz="12" w:space="0" w:color="FF9E3C"/>
              <w:right w:val="single" w:sz="12" w:space="0" w:color="FF9E3C"/>
            </w:tcBorders>
            <w:shd w:val="clear" w:color="000000" w:fill="FFFFFF"/>
          </w:tcPr>
          <w:p w14:paraId="0E1026E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1CB24AA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7EE6F2D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0DA48196"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57040A7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 xml:space="preserve">Malnutrition </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51138AD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1.66</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5C3539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2.00</w:t>
            </w:r>
          </w:p>
        </w:tc>
        <w:tc>
          <w:tcPr>
            <w:tcW w:w="1084" w:type="dxa"/>
            <w:tcBorders>
              <w:top w:val="nil"/>
              <w:left w:val="single" w:sz="12" w:space="0" w:color="FF9E3C"/>
              <w:bottom w:val="nil"/>
              <w:right w:val="single" w:sz="12" w:space="0" w:color="FF9E3C"/>
            </w:tcBorders>
            <w:shd w:val="clear" w:color="000000" w:fill="FFFFFF"/>
            <w:vAlign w:val="center"/>
          </w:tcPr>
          <w:p w14:paraId="616ACC1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5924F23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796CE99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w:t>
            </w:r>
          </w:p>
        </w:tc>
        <w:tc>
          <w:tcPr>
            <w:tcW w:w="1020" w:type="dxa"/>
            <w:tcBorders>
              <w:top w:val="nil"/>
              <w:left w:val="single" w:sz="12" w:space="0" w:color="FF9E3C"/>
              <w:bottom w:val="nil"/>
              <w:right w:val="single" w:sz="12" w:space="0" w:color="FF9E3C"/>
            </w:tcBorders>
            <w:shd w:val="clear" w:color="000000" w:fill="FFFFFF"/>
            <w:vAlign w:val="center"/>
          </w:tcPr>
          <w:p w14:paraId="624B30B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13.8</w:t>
            </w:r>
          </w:p>
        </w:tc>
        <w:tc>
          <w:tcPr>
            <w:tcW w:w="626" w:type="dxa"/>
            <w:tcBorders>
              <w:top w:val="nil"/>
              <w:left w:val="single" w:sz="12" w:space="0" w:color="FF9E3C"/>
              <w:bottom w:val="nil"/>
              <w:right w:val="single" w:sz="12" w:space="0" w:color="FF9E3C"/>
            </w:tcBorders>
            <w:shd w:val="clear" w:color="000000" w:fill="FFFFFF"/>
          </w:tcPr>
          <w:p w14:paraId="79996A2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w:t>
            </w:r>
          </w:p>
        </w:tc>
        <w:tc>
          <w:tcPr>
            <w:tcW w:w="572" w:type="dxa"/>
            <w:tcBorders>
              <w:top w:val="nil"/>
              <w:left w:val="single" w:sz="12" w:space="0" w:color="FF9E3C"/>
              <w:bottom w:val="nil"/>
              <w:right w:val="single" w:sz="12" w:space="0" w:color="FF9E3C"/>
            </w:tcBorders>
            <w:shd w:val="clear" w:color="000000" w:fill="FFFFFF"/>
          </w:tcPr>
          <w:p w14:paraId="0D8A031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.36</w:t>
            </w:r>
          </w:p>
        </w:tc>
        <w:tc>
          <w:tcPr>
            <w:tcW w:w="780" w:type="dxa"/>
            <w:tcBorders>
              <w:top w:val="nil"/>
              <w:left w:val="single" w:sz="12" w:space="0" w:color="FF9E3C"/>
              <w:bottom w:val="nil"/>
              <w:right w:val="single" w:sz="12" w:space="0" w:color="FF9E3C"/>
            </w:tcBorders>
            <w:shd w:val="clear" w:color="000000" w:fill="FFFFFF"/>
          </w:tcPr>
          <w:p w14:paraId="02A4F70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.43</w:t>
            </w:r>
          </w:p>
        </w:tc>
      </w:tr>
      <w:tr w:rsidR="00A110B5" w:rsidRPr="00AD79EE" w14:paraId="6C0514A2"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7B0C0F03"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18A8EDC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23B7101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40EFF9B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14B113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7E0F00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(1.0, 8.3)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B65367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(10.7,17.6)</w:t>
            </w:r>
          </w:p>
        </w:tc>
        <w:tc>
          <w:tcPr>
            <w:tcW w:w="626" w:type="dxa"/>
            <w:tcBorders>
              <w:top w:val="nil"/>
              <w:left w:val="single" w:sz="12" w:space="0" w:color="FF9E3C"/>
              <w:bottom w:val="single" w:sz="12" w:space="0" w:color="FF9E3C"/>
              <w:right w:val="single" w:sz="12" w:space="0" w:color="FF9E3C"/>
            </w:tcBorders>
            <w:shd w:val="clear" w:color="000000" w:fill="FFFFFF"/>
          </w:tcPr>
          <w:p w14:paraId="14E6C7E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7490830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66FF524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616C1A9B"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19F581B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Red. Sleep Gamb.</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7A7D1A1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2C5E1C4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1.71</w:t>
            </w:r>
          </w:p>
        </w:tc>
        <w:tc>
          <w:tcPr>
            <w:tcW w:w="1084" w:type="dxa"/>
            <w:tcBorders>
              <w:top w:val="nil"/>
              <w:left w:val="single" w:sz="12" w:space="0" w:color="FF9E3C"/>
              <w:bottom w:val="nil"/>
              <w:right w:val="single" w:sz="12" w:space="0" w:color="FF9E3C"/>
            </w:tcBorders>
            <w:shd w:val="clear" w:color="000000" w:fill="FFFFFF"/>
            <w:vAlign w:val="center"/>
          </w:tcPr>
          <w:p w14:paraId="316F8D7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1F92AE2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592FD02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6.2</w:t>
            </w:r>
          </w:p>
        </w:tc>
        <w:tc>
          <w:tcPr>
            <w:tcW w:w="1020" w:type="dxa"/>
            <w:tcBorders>
              <w:top w:val="nil"/>
              <w:left w:val="single" w:sz="12" w:space="0" w:color="FF9E3C"/>
              <w:bottom w:val="nil"/>
              <w:right w:val="single" w:sz="12" w:space="0" w:color="FF9E3C"/>
            </w:tcBorders>
            <w:shd w:val="clear" w:color="000000" w:fill="FFFFFF"/>
            <w:vAlign w:val="center"/>
          </w:tcPr>
          <w:p w14:paraId="1A524F8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16.0</w:t>
            </w:r>
          </w:p>
        </w:tc>
        <w:tc>
          <w:tcPr>
            <w:tcW w:w="626" w:type="dxa"/>
            <w:tcBorders>
              <w:top w:val="nil"/>
              <w:left w:val="single" w:sz="12" w:space="0" w:color="FF9E3C"/>
              <w:bottom w:val="nil"/>
              <w:right w:val="single" w:sz="12" w:space="0" w:color="FF9E3C"/>
            </w:tcBorders>
            <w:shd w:val="clear" w:color="000000" w:fill="FFFFFF"/>
          </w:tcPr>
          <w:p w14:paraId="62C1A73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w:t>
            </w:r>
          </w:p>
        </w:tc>
        <w:tc>
          <w:tcPr>
            <w:tcW w:w="572" w:type="dxa"/>
            <w:tcBorders>
              <w:top w:val="nil"/>
              <w:left w:val="single" w:sz="12" w:space="0" w:color="FF9E3C"/>
              <w:bottom w:val="nil"/>
              <w:right w:val="single" w:sz="12" w:space="0" w:color="FF9E3C"/>
            </w:tcBorders>
            <w:shd w:val="clear" w:color="000000" w:fill="FFFFFF"/>
          </w:tcPr>
          <w:p w14:paraId="3A38B32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.37</w:t>
            </w:r>
          </w:p>
        </w:tc>
        <w:tc>
          <w:tcPr>
            <w:tcW w:w="780" w:type="dxa"/>
            <w:tcBorders>
              <w:top w:val="nil"/>
              <w:left w:val="single" w:sz="12" w:space="0" w:color="FF9E3C"/>
              <w:bottom w:val="nil"/>
              <w:right w:val="single" w:sz="12" w:space="0" w:color="FF9E3C"/>
            </w:tcBorders>
            <w:shd w:val="clear" w:color="000000" w:fill="FFFFFF"/>
          </w:tcPr>
          <w:p w14:paraId="2C3DFEF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r>
      <w:tr w:rsidR="00A110B5" w:rsidRPr="00AD79EE" w14:paraId="3E72347D"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0B459F5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08FE060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1439E9F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0CD1CE7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7EAC9B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548DEC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(2.9,12.3)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79635D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(12.7,20.0)</w:t>
            </w:r>
          </w:p>
        </w:tc>
        <w:tc>
          <w:tcPr>
            <w:tcW w:w="626" w:type="dxa"/>
            <w:tcBorders>
              <w:top w:val="nil"/>
              <w:left w:val="single" w:sz="12" w:space="0" w:color="FF9E3C"/>
              <w:bottom w:val="single" w:sz="12" w:space="0" w:color="FF9E3C"/>
              <w:right w:val="single" w:sz="12" w:space="0" w:color="FF9E3C"/>
            </w:tcBorders>
            <w:shd w:val="clear" w:color="000000" w:fill="FFFFFF"/>
          </w:tcPr>
          <w:p w14:paraId="689CDEA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6517CE6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5D55C4F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0C93D1A3"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3E54637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Depression</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4677E38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1.18</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0061A1F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2.46</w:t>
            </w:r>
          </w:p>
        </w:tc>
        <w:tc>
          <w:tcPr>
            <w:tcW w:w="1084" w:type="dxa"/>
            <w:tcBorders>
              <w:top w:val="nil"/>
              <w:left w:val="single" w:sz="12" w:space="0" w:color="FF9E3C"/>
              <w:bottom w:val="nil"/>
              <w:right w:val="single" w:sz="12" w:space="0" w:color="FF9E3C"/>
            </w:tcBorders>
            <w:shd w:val="clear" w:color="000000" w:fill="FFFFFF"/>
            <w:vAlign w:val="center"/>
          </w:tcPr>
          <w:p w14:paraId="3C8E6ED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7.7</w:t>
            </w:r>
          </w:p>
        </w:tc>
        <w:tc>
          <w:tcPr>
            <w:tcW w:w="1020" w:type="dxa"/>
            <w:tcBorders>
              <w:top w:val="nil"/>
              <w:left w:val="single" w:sz="12" w:space="0" w:color="FF9E3C"/>
              <w:bottom w:val="nil"/>
              <w:right w:val="single" w:sz="12" w:space="0" w:color="FF9E3C"/>
            </w:tcBorders>
            <w:shd w:val="clear" w:color="000000" w:fill="FFFFFF"/>
            <w:vAlign w:val="center"/>
          </w:tcPr>
          <w:p w14:paraId="3F3F3B9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12.5</w:t>
            </w:r>
          </w:p>
        </w:tc>
        <w:tc>
          <w:tcPr>
            <w:tcW w:w="1020" w:type="dxa"/>
            <w:tcBorders>
              <w:top w:val="nil"/>
              <w:left w:val="single" w:sz="12" w:space="0" w:color="FF9E3C"/>
              <w:bottom w:val="nil"/>
              <w:right w:val="single" w:sz="12" w:space="0" w:color="FF9E3C"/>
            </w:tcBorders>
            <w:shd w:val="clear" w:color="000000" w:fill="FFFFFF"/>
            <w:vAlign w:val="center"/>
          </w:tcPr>
          <w:p w14:paraId="77DD35D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12.5</w:t>
            </w:r>
          </w:p>
        </w:tc>
        <w:tc>
          <w:tcPr>
            <w:tcW w:w="1020" w:type="dxa"/>
            <w:tcBorders>
              <w:top w:val="nil"/>
              <w:left w:val="single" w:sz="12" w:space="0" w:color="FF9E3C"/>
              <w:bottom w:val="nil"/>
              <w:right w:val="single" w:sz="12" w:space="0" w:color="FF9E3C"/>
            </w:tcBorders>
            <w:shd w:val="clear" w:color="000000" w:fill="FFFFFF"/>
            <w:vAlign w:val="center"/>
          </w:tcPr>
          <w:p w14:paraId="7C6859B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19.4</w:t>
            </w:r>
          </w:p>
        </w:tc>
        <w:tc>
          <w:tcPr>
            <w:tcW w:w="626" w:type="dxa"/>
            <w:tcBorders>
              <w:top w:val="nil"/>
              <w:left w:val="single" w:sz="12" w:space="0" w:color="FF9E3C"/>
              <w:bottom w:val="nil"/>
              <w:right w:val="single" w:sz="12" w:space="0" w:color="FF9E3C"/>
            </w:tcBorders>
            <w:shd w:val="clear" w:color="000000" w:fill="FFFFFF"/>
          </w:tcPr>
          <w:p w14:paraId="4A46BA3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w:t>
            </w:r>
          </w:p>
        </w:tc>
        <w:tc>
          <w:tcPr>
            <w:tcW w:w="572" w:type="dxa"/>
            <w:tcBorders>
              <w:top w:val="nil"/>
              <w:left w:val="single" w:sz="12" w:space="0" w:color="FF9E3C"/>
              <w:bottom w:val="nil"/>
              <w:right w:val="single" w:sz="12" w:space="0" w:color="FF9E3C"/>
            </w:tcBorders>
            <w:shd w:val="clear" w:color="000000" w:fill="FFFFFF"/>
          </w:tcPr>
          <w:p w14:paraId="1661B54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.47</w:t>
            </w:r>
          </w:p>
        </w:tc>
        <w:tc>
          <w:tcPr>
            <w:tcW w:w="780" w:type="dxa"/>
            <w:tcBorders>
              <w:top w:val="nil"/>
              <w:left w:val="single" w:sz="12" w:space="0" w:color="FF9E3C"/>
              <w:bottom w:val="nil"/>
              <w:right w:val="single" w:sz="12" w:space="0" w:color="FF9E3C"/>
            </w:tcBorders>
            <w:shd w:val="clear" w:color="000000" w:fill="FFFFFF"/>
          </w:tcPr>
          <w:p w14:paraId="3D73551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.53</w:t>
            </w:r>
          </w:p>
        </w:tc>
      </w:tr>
      <w:tr w:rsidR="00A110B5" w:rsidRPr="00AD79EE" w14:paraId="1C8D47E1"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1DDE06E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69BA7CB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325055CC"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4EF8459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(1.3,26.6)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59324A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(3.3,33.5)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8F0D56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(7.5,19.8)</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A36E07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(15.7,23.6)</w:t>
            </w:r>
          </w:p>
        </w:tc>
        <w:tc>
          <w:tcPr>
            <w:tcW w:w="626" w:type="dxa"/>
            <w:tcBorders>
              <w:top w:val="nil"/>
              <w:left w:val="single" w:sz="12" w:space="0" w:color="FF9E3C"/>
              <w:bottom w:val="single" w:sz="12" w:space="0" w:color="FF9E3C"/>
              <w:right w:val="single" w:sz="12" w:space="0" w:color="FF9E3C"/>
            </w:tcBorders>
            <w:shd w:val="clear" w:color="000000" w:fill="FFFFFF"/>
          </w:tcPr>
          <w:p w14:paraId="564E73E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1AC2092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20E56CD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03F9F2A2"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730B390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Stress Problems</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1098E8B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1.14</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52570E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2.06</w:t>
            </w:r>
          </w:p>
        </w:tc>
        <w:tc>
          <w:tcPr>
            <w:tcW w:w="1084" w:type="dxa"/>
            <w:tcBorders>
              <w:top w:val="nil"/>
              <w:left w:val="single" w:sz="12" w:space="0" w:color="FF9E3C"/>
              <w:bottom w:val="nil"/>
              <w:right w:val="single" w:sz="12" w:space="0" w:color="FF9E3C"/>
            </w:tcBorders>
            <w:shd w:val="clear" w:color="000000" w:fill="FFFFFF"/>
            <w:vAlign w:val="center"/>
          </w:tcPr>
          <w:p w14:paraId="18692A6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58BAAA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8.3</w:t>
            </w:r>
          </w:p>
        </w:tc>
        <w:tc>
          <w:tcPr>
            <w:tcW w:w="1020" w:type="dxa"/>
            <w:tcBorders>
              <w:top w:val="nil"/>
              <w:left w:val="single" w:sz="12" w:space="0" w:color="FF9E3C"/>
              <w:bottom w:val="nil"/>
              <w:right w:val="single" w:sz="12" w:space="0" w:color="FF9E3C"/>
            </w:tcBorders>
            <w:shd w:val="clear" w:color="000000" w:fill="FFFFFF"/>
            <w:vAlign w:val="center"/>
          </w:tcPr>
          <w:p w14:paraId="2A1D785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12.5</w:t>
            </w:r>
          </w:p>
        </w:tc>
        <w:tc>
          <w:tcPr>
            <w:tcW w:w="1020" w:type="dxa"/>
            <w:tcBorders>
              <w:top w:val="nil"/>
              <w:left w:val="single" w:sz="12" w:space="0" w:color="FF9E3C"/>
              <w:bottom w:val="nil"/>
              <w:right w:val="single" w:sz="12" w:space="0" w:color="FF9E3C"/>
            </w:tcBorders>
            <w:shd w:val="clear" w:color="000000" w:fill="FFFFFF"/>
            <w:vAlign w:val="center"/>
          </w:tcPr>
          <w:p w14:paraId="479F897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23.2</w:t>
            </w:r>
          </w:p>
        </w:tc>
        <w:tc>
          <w:tcPr>
            <w:tcW w:w="626" w:type="dxa"/>
            <w:tcBorders>
              <w:top w:val="nil"/>
              <w:left w:val="single" w:sz="12" w:space="0" w:color="FF9E3C"/>
              <w:bottom w:val="nil"/>
              <w:right w:val="single" w:sz="12" w:space="0" w:color="FF9E3C"/>
            </w:tcBorders>
            <w:shd w:val="clear" w:color="000000" w:fill="FFFFFF"/>
          </w:tcPr>
          <w:p w14:paraId="4E6A43F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w:t>
            </w:r>
          </w:p>
        </w:tc>
        <w:tc>
          <w:tcPr>
            <w:tcW w:w="572" w:type="dxa"/>
            <w:tcBorders>
              <w:top w:val="nil"/>
              <w:left w:val="single" w:sz="12" w:space="0" w:color="FF9E3C"/>
              <w:bottom w:val="nil"/>
              <w:right w:val="single" w:sz="12" w:space="0" w:color="FF9E3C"/>
            </w:tcBorders>
            <w:shd w:val="clear" w:color="000000" w:fill="FFFFFF"/>
          </w:tcPr>
          <w:p w14:paraId="5DBF615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.53</w:t>
            </w:r>
          </w:p>
        </w:tc>
        <w:tc>
          <w:tcPr>
            <w:tcW w:w="780" w:type="dxa"/>
            <w:tcBorders>
              <w:top w:val="nil"/>
              <w:left w:val="single" w:sz="12" w:space="0" w:color="FF9E3C"/>
              <w:bottom w:val="nil"/>
              <w:right w:val="single" w:sz="12" w:space="0" w:color="FF9E3C"/>
            </w:tcBorders>
            <w:shd w:val="clear" w:color="000000" w:fill="FFFFFF"/>
          </w:tcPr>
          <w:p w14:paraId="1205CF9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.49</w:t>
            </w:r>
          </w:p>
        </w:tc>
      </w:tr>
      <w:tr w:rsidR="00A110B5" w:rsidRPr="00AD79EE" w14:paraId="6DA03FF6"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tcPr>
          <w:p w14:paraId="26DDE05C"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8F4E30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55B6EA9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6553B67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78CECB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(1.5,28.5)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4622CB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(7.5,19.8)</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55ACC4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(19.3,27.7)</w:t>
            </w:r>
          </w:p>
        </w:tc>
        <w:tc>
          <w:tcPr>
            <w:tcW w:w="626" w:type="dxa"/>
            <w:tcBorders>
              <w:top w:val="nil"/>
              <w:left w:val="single" w:sz="12" w:space="0" w:color="FF9E3C"/>
              <w:bottom w:val="single" w:sz="12" w:space="0" w:color="FF9E3C"/>
              <w:right w:val="single" w:sz="12" w:space="0" w:color="FF9E3C"/>
            </w:tcBorders>
            <w:shd w:val="clear" w:color="000000" w:fill="FFFFFF"/>
          </w:tcPr>
          <w:p w14:paraId="175B076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1A36A9F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3E235C7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60FF4D1C" w14:textId="77777777" w:rsidTr="00CC2D44">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37C2B9A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Red. Sleep Worry</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4459FEA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0.71</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4B8C5B7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1.56</w:t>
            </w:r>
          </w:p>
        </w:tc>
        <w:tc>
          <w:tcPr>
            <w:tcW w:w="1084" w:type="dxa"/>
            <w:tcBorders>
              <w:top w:val="nil"/>
              <w:left w:val="single" w:sz="12" w:space="0" w:color="FF9E3C"/>
              <w:bottom w:val="nil"/>
              <w:right w:val="single" w:sz="12" w:space="0" w:color="FF9E3C"/>
            </w:tcBorders>
            <w:shd w:val="clear" w:color="000000" w:fill="FFFFFF"/>
            <w:vAlign w:val="center"/>
          </w:tcPr>
          <w:p w14:paraId="629CA5B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7.7</w:t>
            </w:r>
          </w:p>
        </w:tc>
        <w:tc>
          <w:tcPr>
            <w:tcW w:w="1020" w:type="dxa"/>
            <w:tcBorders>
              <w:top w:val="nil"/>
              <w:left w:val="single" w:sz="12" w:space="0" w:color="FF9E3C"/>
              <w:bottom w:val="nil"/>
              <w:right w:val="single" w:sz="12" w:space="0" w:color="FF9E3C"/>
            </w:tcBorders>
            <w:shd w:val="clear" w:color="000000" w:fill="FFFFFF"/>
            <w:vAlign w:val="center"/>
          </w:tcPr>
          <w:p w14:paraId="2E8D2E2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7930402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17.2</w:t>
            </w:r>
          </w:p>
        </w:tc>
        <w:tc>
          <w:tcPr>
            <w:tcW w:w="1020" w:type="dxa"/>
            <w:tcBorders>
              <w:top w:val="nil"/>
              <w:left w:val="single" w:sz="12" w:space="0" w:color="FF9E3C"/>
              <w:bottom w:val="nil"/>
              <w:right w:val="single" w:sz="12" w:space="0" w:color="FF9E3C"/>
            </w:tcBorders>
            <w:shd w:val="clear" w:color="000000" w:fill="FFFFFF"/>
            <w:vAlign w:val="center"/>
          </w:tcPr>
          <w:p w14:paraId="4B19AB3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39.2</w:t>
            </w:r>
          </w:p>
        </w:tc>
        <w:tc>
          <w:tcPr>
            <w:tcW w:w="626" w:type="dxa"/>
            <w:tcBorders>
              <w:top w:val="nil"/>
              <w:left w:val="single" w:sz="12" w:space="0" w:color="FF9E3C"/>
              <w:bottom w:val="nil"/>
              <w:right w:val="single" w:sz="12" w:space="0" w:color="FF9E3C"/>
            </w:tcBorders>
            <w:shd w:val="clear" w:color="000000" w:fill="FFFFFF"/>
          </w:tcPr>
          <w:p w14:paraId="32C9A2C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w:t>
            </w:r>
          </w:p>
        </w:tc>
        <w:tc>
          <w:tcPr>
            <w:tcW w:w="572" w:type="dxa"/>
            <w:tcBorders>
              <w:top w:val="nil"/>
              <w:left w:val="single" w:sz="12" w:space="0" w:color="FF9E3C"/>
              <w:bottom w:val="nil"/>
              <w:right w:val="single" w:sz="12" w:space="0" w:color="FF9E3C"/>
            </w:tcBorders>
            <w:shd w:val="clear" w:color="000000" w:fill="FFFFFF"/>
          </w:tcPr>
          <w:p w14:paraId="7C75E78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.53</w:t>
            </w:r>
          </w:p>
        </w:tc>
        <w:tc>
          <w:tcPr>
            <w:tcW w:w="780" w:type="dxa"/>
            <w:tcBorders>
              <w:top w:val="nil"/>
              <w:left w:val="single" w:sz="12" w:space="0" w:color="FF9E3C"/>
              <w:bottom w:val="nil"/>
              <w:right w:val="single" w:sz="12" w:space="0" w:color="FF9E3C"/>
            </w:tcBorders>
            <w:shd w:val="clear" w:color="000000" w:fill="FFFFFF"/>
          </w:tcPr>
          <w:p w14:paraId="523F49C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r>
      <w:tr w:rsidR="00A110B5" w:rsidRPr="00AD79EE" w14:paraId="1345541F" w14:textId="77777777" w:rsidTr="00CC2D44">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3D3E0CE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1080E83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hideMark/>
          </w:tcPr>
          <w:p w14:paraId="3C5821C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1C1391F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(1.3,26.6)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5D2F0E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8703DF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(11.3,25.1)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505C5C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(34.5,44.1)</w:t>
            </w:r>
          </w:p>
        </w:tc>
        <w:tc>
          <w:tcPr>
            <w:tcW w:w="626" w:type="dxa"/>
            <w:tcBorders>
              <w:top w:val="nil"/>
              <w:left w:val="single" w:sz="12" w:space="0" w:color="FF9E3C"/>
              <w:bottom w:val="single" w:sz="12" w:space="0" w:color="FF9E3C"/>
              <w:right w:val="single" w:sz="12" w:space="0" w:color="FF9E3C"/>
            </w:tcBorders>
            <w:shd w:val="clear" w:color="000000" w:fill="FFFFFF"/>
          </w:tcPr>
          <w:p w14:paraId="498070B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5F7173D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1E7540D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00498CB7" w14:textId="77777777" w:rsidTr="00F812A7">
        <w:trPr>
          <w:trHeight w:val="285"/>
        </w:trPr>
        <w:tc>
          <w:tcPr>
            <w:tcW w:w="9574" w:type="dxa"/>
            <w:gridSpan w:val="10"/>
            <w:tcBorders>
              <w:top w:val="single" w:sz="12" w:space="0" w:color="FF9E3C"/>
              <w:left w:val="single" w:sz="12" w:space="0" w:color="FF9E3C"/>
              <w:right w:val="single" w:sz="12" w:space="0" w:color="FF9E3C"/>
            </w:tcBorders>
            <w:shd w:val="clear" w:color="000000" w:fill="FFCF8F"/>
            <w:vAlign w:val="center"/>
            <w:hideMark/>
          </w:tcPr>
          <w:p w14:paraId="65B8DED5" w14:textId="10CBF4C3" w:rsidR="00A110B5" w:rsidRPr="00AD79EE"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AD79EE">
              <w:rPr>
                <w:rFonts w:cs="Arial"/>
                <w:b/>
                <w:bCs/>
                <w:i/>
                <w:iCs/>
                <w:color w:val="1C3158"/>
                <w:sz w:val="16"/>
                <w:szCs w:val="16"/>
                <w:lang w:eastAsia="ja-JP"/>
              </w:rPr>
              <w:t>Emo</w:t>
            </w:r>
            <w:r w:rsidR="00C6100B">
              <w:rPr>
                <w:rFonts w:cs="Arial"/>
                <w:b/>
                <w:bCs/>
                <w:i/>
                <w:iCs/>
                <w:color w:val="1C3158"/>
                <w:sz w:val="16"/>
                <w:szCs w:val="16"/>
                <w:lang w:eastAsia="ja-JP"/>
              </w:rPr>
              <w:t>tional</w:t>
            </w:r>
            <w:r w:rsidRPr="00AD79EE">
              <w:rPr>
                <w:rFonts w:cs="Arial"/>
                <w:b/>
                <w:bCs/>
                <w:i/>
                <w:iCs/>
                <w:color w:val="1C3158"/>
                <w:sz w:val="16"/>
                <w:szCs w:val="16"/>
                <w:lang w:eastAsia="ja-JP"/>
              </w:rPr>
              <w:t>/Psy</w:t>
            </w:r>
            <w:r w:rsidR="00C6100B">
              <w:rPr>
                <w:rFonts w:cs="Arial"/>
                <w:b/>
                <w:bCs/>
                <w:i/>
                <w:iCs/>
                <w:color w:val="1C3158"/>
                <w:sz w:val="16"/>
                <w:szCs w:val="16"/>
                <w:lang w:eastAsia="ja-JP"/>
              </w:rPr>
              <w:t>chological</w:t>
            </w:r>
          </w:p>
        </w:tc>
      </w:tr>
      <w:tr w:rsidR="00A110B5" w:rsidRPr="00AD79EE" w14:paraId="27BD1CB6"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20A7FB3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Mental Illness</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675CF8F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1.94</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4C82CB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2.62</w:t>
            </w:r>
          </w:p>
        </w:tc>
        <w:tc>
          <w:tcPr>
            <w:tcW w:w="1084" w:type="dxa"/>
            <w:tcBorders>
              <w:top w:val="nil"/>
              <w:left w:val="single" w:sz="12" w:space="0" w:color="FF9E3C"/>
              <w:bottom w:val="nil"/>
              <w:right w:val="single" w:sz="12" w:space="0" w:color="FF9E3C"/>
            </w:tcBorders>
            <w:shd w:val="clear" w:color="000000" w:fill="FFFFFF"/>
            <w:vAlign w:val="center"/>
          </w:tcPr>
          <w:p w14:paraId="3E68548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37F962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0B16C6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3.9</w:t>
            </w:r>
          </w:p>
        </w:tc>
        <w:tc>
          <w:tcPr>
            <w:tcW w:w="1020" w:type="dxa"/>
            <w:tcBorders>
              <w:top w:val="nil"/>
              <w:left w:val="single" w:sz="12" w:space="0" w:color="FF9E3C"/>
              <w:bottom w:val="nil"/>
              <w:right w:val="single" w:sz="12" w:space="0" w:color="FF9E3C"/>
            </w:tcBorders>
            <w:shd w:val="clear" w:color="000000" w:fill="FFFFFF"/>
            <w:vAlign w:val="center"/>
          </w:tcPr>
          <w:p w14:paraId="01998C4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6.5</w:t>
            </w:r>
          </w:p>
        </w:tc>
        <w:tc>
          <w:tcPr>
            <w:tcW w:w="626" w:type="dxa"/>
            <w:tcBorders>
              <w:top w:val="nil"/>
              <w:left w:val="single" w:sz="12" w:space="0" w:color="FF9E3C"/>
              <w:bottom w:val="nil"/>
              <w:right w:val="single" w:sz="12" w:space="0" w:color="FF9E3C"/>
            </w:tcBorders>
            <w:shd w:val="clear" w:color="000000" w:fill="FFFFFF"/>
          </w:tcPr>
          <w:p w14:paraId="7AA680B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w:t>
            </w:r>
          </w:p>
        </w:tc>
        <w:tc>
          <w:tcPr>
            <w:tcW w:w="572" w:type="dxa"/>
            <w:tcBorders>
              <w:top w:val="nil"/>
              <w:left w:val="single" w:sz="12" w:space="0" w:color="FF9E3C"/>
              <w:bottom w:val="nil"/>
              <w:right w:val="single" w:sz="12" w:space="0" w:color="FF9E3C"/>
            </w:tcBorders>
            <w:shd w:val="clear" w:color="000000" w:fill="FFFFFF"/>
          </w:tcPr>
          <w:p w14:paraId="60A4C3E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w:t>
            </w:r>
          </w:p>
        </w:tc>
        <w:tc>
          <w:tcPr>
            <w:tcW w:w="780" w:type="dxa"/>
            <w:tcBorders>
              <w:top w:val="nil"/>
              <w:left w:val="single" w:sz="12" w:space="0" w:color="FF9E3C"/>
              <w:bottom w:val="nil"/>
              <w:right w:val="single" w:sz="12" w:space="0" w:color="FF9E3C"/>
            </w:tcBorders>
            <w:shd w:val="clear" w:color="000000" w:fill="FFFFFF"/>
          </w:tcPr>
          <w:p w14:paraId="2BFD193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.41</w:t>
            </w:r>
          </w:p>
        </w:tc>
      </w:tr>
      <w:tr w:rsidR="00A110B5" w:rsidRPr="00AD79EE" w14:paraId="4D47B87D"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1D0341C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0FED94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BE1D01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50F983C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F427A8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463A78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(1.4, 9.3)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E1F6E2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(4.4, 9.5)</w:t>
            </w:r>
          </w:p>
        </w:tc>
        <w:tc>
          <w:tcPr>
            <w:tcW w:w="626" w:type="dxa"/>
            <w:tcBorders>
              <w:top w:val="nil"/>
              <w:left w:val="single" w:sz="12" w:space="0" w:color="FF9E3C"/>
              <w:bottom w:val="single" w:sz="12" w:space="0" w:color="FF9E3C"/>
              <w:right w:val="single" w:sz="12" w:space="0" w:color="FF9E3C"/>
            </w:tcBorders>
            <w:shd w:val="clear" w:color="000000" w:fill="FFFFFF"/>
          </w:tcPr>
          <w:p w14:paraId="16D225F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17072D0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095642A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1279D882"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537D799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Failure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0FAF4C9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1.82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319D41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1.81</w:t>
            </w:r>
          </w:p>
        </w:tc>
        <w:tc>
          <w:tcPr>
            <w:tcW w:w="1084" w:type="dxa"/>
            <w:tcBorders>
              <w:top w:val="nil"/>
              <w:left w:val="single" w:sz="12" w:space="0" w:color="FF9E3C"/>
              <w:bottom w:val="nil"/>
              <w:right w:val="single" w:sz="12" w:space="0" w:color="FF9E3C"/>
            </w:tcBorders>
            <w:shd w:val="clear" w:color="000000" w:fill="FFFFFF"/>
            <w:vAlign w:val="center"/>
          </w:tcPr>
          <w:p w14:paraId="20EA0F4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E5A0FD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8.3</w:t>
            </w:r>
          </w:p>
        </w:tc>
        <w:tc>
          <w:tcPr>
            <w:tcW w:w="1020" w:type="dxa"/>
            <w:tcBorders>
              <w:top w:val="nil"/>
              <w:left w:val="single" w:sz="12" w:space="0" w:color="FF9E3C"/>
              <w:bottom w:val="nil"/>
              <w:right w:val="single" w:sz="12" w:space="0" w:color="FF9E3C"/>
            </w:tcBorders>
            <w:shd w:val="clear" w:color="000000" w:fill="FFFFFF"/>
            <w:vAlign w:val="center"/>
          </w:tcPr>
          <w:p w14:paraId="701E38D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w:t>
            </w:r>
          </w:p>
        </w:tc>
        <w:tc>
          <w:tcPr>
            <w:tcW w:w="1020" w:type="dxa"/>
            <w:tcBorders>
              <w:top w:val="nil"/>
              <w:left w:val="single" w:sz="12" w:space="0" w:color="FF9E3C"/>
              <w:bottom w:val="nil"/>
              <w:right w:val="single" w:sz="12" w:space="0" w:color="FF9E3C"/>
            </w:tcBorders>
            <w:shd w:val="clear" w:color="000000" w:fill="FFFFFF"/>
            <w:vAlign w:val="center"/>
          </w:tcPr>
          <w:p w14:paraId="52768CF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12.3</w:t>
            </w:r>
          </w:p>
        </w:tc>
        <w:tc>
          <w:tcPr>
            <w:tcW w:w="626" w:type="dxa"/>
            <w:tcBorders>
              <w:top w:val="nil"/>
              <w:left w:val="single" w:sz="12" w:space="0" w:color="FF9E3C"/>
              <w:bottom w:val="nil"/>
              <w:right w:val="single" w:sz="12" w:space="0" w:color="FF9E3C"/>
            </w:tcBorders>
            <w:shd w:val="clear" w:color="000000" w:fill="FFFFFF"/>
          </w:tcPr>
          <w:p w14:paraId="290B581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w:t>
            </w:r>
          </w:p>
        </w:tc>
        <w:tc>
          <w:tcPr>
            <w:tcW w:w="572" w:type="dxa"/>
            <w:tcBorders>
              <w:top w:val="nil"/>
              <w:left w:val="single" w:sz="12" w:space="0" w:color="FF9E3C"/>
              <w:bottom w:val="nil"/>
              <w:right w:val="single" w:sz="12" w:space="0" w:color="FF9E3C"/>
            </w:tcBorders>
            <w:shd w:val="clear" w:color="000000" w:fill="FFFFFF"/>
          </w:tcPr>
          <w:p w14:paraId="3340560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w:t>
            </w:r>
          </w:p>
        </w:tc>
        <w:tc>
          <w:tcPr>
            <w:tcW w:w="780" w:type="dxa"/>
            <w:tcBorders>
              <w:top w:val="nil"/>
              <w:left w:val="single" w:sz="12" w:space="0" w:color="FF9E3C"/>
              <w:bottom w:val="nil"/>
              <w:right w:val="single" w:sz="12" w:space="0" w:color="FF9E3C"/>
            </w:tcBorders>
            <w:shd w:val="clear" w:color="000000" w:fill="FFFFFF"/>
          </w:tcPr>
          <w:p w14:paraId="46324B2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.41</w:t>
            </w:r>
          </w:p>
        </w:tc>
      </w:tr>
      <w:tr w:rsidR="00A110B5" w:rsidRPr="00AD79EE" w14:paraId="594D0FE4"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6773B5B0"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5D0DFF3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7D040E5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1FA6C5A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BFA157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(1.5,28.5)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415BEE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(0.6, 7.2)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14AAEB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(9.4,16.0)</w:t>
            </w:r>
          </w:p>
        </w:tc>
        <w:tc>
          <w:tcPr>
            <w:tcW w:w="626" w:type="dxa"/>
            <w:tcBorders>
              <w:top w:val="nil"/>
              <w:left w:val="single" w:sz="12" w:space="0" w:color="FF9E3C"/>
              <w:bottom w:val="single" w:sz="12" w:space="0" w:color="FF9E3C"/>
              <w:right w:val="single" w:sz="12" w:space="0" w:color="FF9E3C"/>
            </w:tcBorders>
            <w:shd w:val="clear" w:color="000000" w:fill="FFFFFF"/>
          </w:tcPr>
          <w:p w14:paraId="591D7EC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5B96033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250559A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4D8A05AB"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7C678ED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Worthless</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2BDEE4D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1.54</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20FD916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2.52</w:t>
            </w:r>
          </w:p>
        </w:tc>
        <w:tc>
          <w:tcPr>
            <w:tcW w:w="1084" w:type="dxa"/>
            <w:tcBorders>
              <w:top w:val="nil"/>
              <w:left w:val="single" w:sz="12" w:space="0" w:color="FF9E3C"/>
              <w:bottom w:val="nil"/>
              <w:right w:val="single" w:sz="12" w:space="0" w:color="FF9E3C"/>
            </w:tcBorders>
            <w:shd w:val="clear" w:color="000000" w:fill="FFFFFF"/>
            <w:vAlign w:val="center"/>
          </w:tcPr>
          <w:p w14:paraId="3AC0D87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7.7</w:t>
            </w:r>
          </w:p>
        </w:tc>
        <w:tc>
          <w:tcPr>
            <w:tcW w:w="1020" w:type="dxa"/>
            <w:tcBorders>
              <w:top w:val="nil"/>
              <w:left w:val="single" w:sz="12" w:space="0" w:color="FF9E3C"/>
              <w:bottom w:val="nil"/>
              <w:right w:val="single" w:sz="12" w:space="0" w:color="FF9E3C"/>
            </w:tcBorders>
            <w:shd w:val="clear" w:color="000000" w:fill="FFFFFF"/>
            <w:vAlign w:val="center"/>
          </w:tcPr>
          <w:p w14:paraId="133D2D3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2CFC649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6.2</w:t>
            </w:r>
          </w:p>
        </w:tc>
        <w:tc>
          <w:tcPr>
            <w:tcW w:w="1020" w:type="dxa"/>
            <w:tcBorders>
              <w:top w:val="nil"/>
              <w:left w:val="single" w:sz="12" w:space="0" w:color="FF9E3C"/>
              <w:bottom w:val="nil"/>
              <w:right w:val="single" w:sz="12" w:space="0" w:color="FF9E3C"/>
            </w:tcBorders>
            <w:shd w:val="clear" w:color="000000" w:fill="FFFFFF"/>
            <w:vAlign w:val="center"/>
          </w:tcPr>
          <w:p w14:paraId="69AC6F0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11.9</w:t>
            </w:r>
          </w:p>
        </w:tc>
        <w:tc>
          <w:tcPr>
            <w:tcW w:w="626" w:type="dxa"/>
            <w:tcBorders>
              <w:top w:val="nil"/>
              <w:left w:val="single" w:sz="12" w:space="0" w:color="FF9E3C"/>
              <w:bottom w:val="nil"/>
              <w:right w:val="single" w:sz="12" w:space="0" w:color="FF9E3C"/>
            </w:tcBorders>
            <w:shd w:val="clear" w:color="000000" w:fill="FFFFFF"/>
          </w:tcPr>
          <w:p w14:paraId="172CBF9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w:t>
            </w:r>
          </w:p>
        </w:tc>
        <w:tc>
          <w:tcPr>
            <w:tcW w:w="572" w:type="dxa"/>
            <w:tcBorders>
              <w:top w:val="nil"/>
              <w:left w:val="single" w:sz="12" w:space="0" w:color="FF9E3C"/>
              <w:bottom w:val="nil"/>
              <w:right w:val="single" w:sz="12" w:space="0" w:color="FF9E3C"/>
            </w:tcBorders>
            <w:shd w:val="clear" w:color="000000" w:fill="FFFFFF"/>
          </w:tcPr>
          <w:p w14:paraId="2ABE6EA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.37</w:t>
            </w:r>
          </w:p>
        </w:tc>
        <w:tc>
          <w:tcPr>
            <w:tcW w:w="780" w:type="dxa"/>
            <w:tcBorders>
              <w:top w:val="nil"/>
              <w:left w:val="single" w:sz="12" w:space="0" w:color="FF9E3C"/>
              <w:bottom w:val="nil"/>
              <w:right w:val="single" w:sz="12" w:space="0" w:color="FF9E3C"/>
            </w:tcBorders>
            <w:shd w:val="clear" w:color="000000" w:fill="FFFFFF"/>
          </w:tcPr>
          <w:p w14:paraId="66A7C6F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.48</w:t>
            </w:r>
          </w:p>
        </w:tc>
      </w:tr>
      <w:tr w:rsidR="00A110B5" w:rsidRPr="00AD79EE" w14:paraId="49B7ADA9"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4308539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317B222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5BDA977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6BF0E9B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(1.3,26.6)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4433AF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23A112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(2.9,12.3)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8B04BC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(9.0,15.5)</w:t>
            </w:r>
          </w:p>
        </w:tc>
        <w:tc>
          <w:tcPr>
            <w:tcW w:w="626" w:type="dxa"/>
            <w:tcBorders>
              <w:top w:val="nil"/>
              <w:left w:val="single" w:sz="12" w:space="0" w:color="FF9E3C"/>
              <w:bottom w:val="single" w:sz="12" w:space="0" w:color="FF9E3C"/>
              <w:right w:val="single" w:sz="12" w:space="0" w:color="FF9E3C"/>
            </w:tcBorders>
            <w:shd w:val="clear" w:color="000000" w:fill="FFFFFF"/>
          </w:tcPr>
          <w:p w14:paraId="5E57BFA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6761140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124A5BF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47988D0D"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268E017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Escape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30DA05B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371B44F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2.11</w:t>
            </w:r>
          </w:p>
        </w:tc>
        <w:tc>
          <w:tcPr>
            <w:tcW w:w="1084" w:type="dxa"/>
            <w:tcBorders>
              <w:top w:val="nil"/>
              <w:left w:val="single" w:sz="12" w:space="0" w:color="FF9E3C"/>
              <w:bottom w:val="nil"/>
              <w:right w:val="single" w:sz="12" w:space="0" w:color="FF9E3C"/>
            </w:tcBorders>
            <w:shd w:val="clear" w:color="000000" w:fill="FFFFFF"/>
            <w:vAlign w:val="center"/>
          </w:tcPr>
          <w:p w14:paraId="2C322DC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1C13B21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12.5</w:t>
            </w:r>
          </w:p>
        </w:tc>
        <w:tc>
          <w:tcPr>
            <w:tcW w:w="1020" w:type="dxa"/>
            <w:tcBorders>
              <w:top w:val="nil"/>
              <w:left w:val="single" w:sz="12" w:space="0" w:color="FF9E3C"/>
              <w:bottom w:val="nil"/>
              <w:right w:val="single" w:sz="12" w:space="0" w:color="FF9E3C"/>
            </w:tcBorders>
            <w:shd w:val="clear" w:color="000000" w:fill="FFFFFF"/>
            <w:vAlign w:val="center"/>
          </w:tcPr>
          <w:p w14:paraId="3AA3108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7.8</w:t>
            </w:r>
          </w:p>
        </w:tc>
        <w:tc>
          <w:tcPr>
            <w:tcW w:w="1020" w:type="dxa"/>
            <w:tcBorders>
              <w:top w:val="nil"/>
              <w:left w:val="single" w:sz="12" w:space="0" w:color="FF9E3C"/>
              <w:bottom w:val="nil"/>
              <w:right w:val="single" w:sz="12" w:space="0" w:color="FF9E3C"/>
            </w:tcBorders>
            <w:shd w:val="clear" w:color="000000" w:fill="FFFFFF"/>
            <w:vAlign w:val="center"/>
          </w:tcPr>
          <w:p w14:paraId="1CBE5A3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24.0</w:t>
            </w:r>
          </w:p>
        </w:tc>
        <w:tc>
          <w:tcPr>
            <w:tcW w:w="626" w:type="dxa"/>
            <w:tcBorders>
              <w:top w:val="nil"/>
              <w:left w:val="single" w:sz="12" w:space="0" w:color="FF9E3C"/>
              <w:bottom w:val="nil"/>
              <w:right w:val="single" w:sz="12" w:space="0" w:color="FF9E3C"/>
            </w:tcBorders>
            <w:shd w:val="clear" w:color="000000" w:fill="FFFFFF"/>
          </w:tcPr>
          <w:p w14:paraId="4D97F94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w:t>
            </w:r>
          </w:p>
        </w:tc>
        <w:tc>
          <w:tcPr>
            <w:tcW w:w="572" w:type="dxa"/>
            <w:tcBorders>
              <w:top w:val="nil"/>
              <w:left w:val="single" w:sz="12" w:space="0" w:color="FF9E3C"/>
              <w:bottom w:val="nil"/>
              <w:right w:val="single" w:sz="12" w:space="0" w:color="FF9E3C"/>
            </w:tcBorders>
            <w:shd w:val="clear" w:color="000000" w:fill="FFFFFF"/>
          </w:tcPr>
          <w:p w14:paraId="5A41DD1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.49</w:t>
            </w:r>
          </w:p>
        </w:tc>
        <w:tc>
          <w:tcPr>
            <w:tcW w:w="780" w:type="dxa"/>
            <w:tcBorders>
              <w:top w:val="nil"/>
              <w:left w:val="single" w:sz="12" w:space="0" w:color="FF9E3C"/>
              <w:bottom w:val="nil"/>
              <w:right w:val="single" w:sz="12" w:space="0" w:color="FF9E3C"/>
            </w:tcBorders>
            <w:shd w:val="clear" w:color="000000" w:fill="FFFFFF"/>
          </w:tcPr>
          <w:p w14:paraId="2BCBE18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.49</w:t>
            </w:r>
          </w:p>
        </w:tc>
      </w:tr>
      <w:tr w:rsidR="00A110B5" w:rsidRPr="00AD79EE" w14:paraId="4509C9A0"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426819B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EAF743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1C097F8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336E1DF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280178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(3.3,33.5)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713292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(4.0,14.3)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51E7CD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(20.0,28.4)</w:t>
            </w:r>
          </w:p>
        </w:tc>
        <w:tc>
          <w:tcPr>
            <w:tcW w:w="626" w:type="dxa"/>
            <w:tcBorders>
              <w:top w:val="nil"/>
              <w:left w:val="single" w:sz="12" w:space="0" w:color="FF9E3C"/>
              <w:bottom w:val="single" w:sz="12" w:space="0" w:color="FF9E3C"/>
              <w:right w:val="single" w:sz="12" w:space="0" w:color="FF9E3C"/>
            </w:tcBorders>
            <w:shd w:val="clear" w:color="000000" w:fill="FFFFFF"/>
          </w:tcPr>
          <w:p w14:paraId="1DA8C68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6ED53B9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055C67E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0240110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2388E36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Vulnerable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5587DB6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1.08</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7F9C09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2.60</w:t>
            </w:r>
          </w:p>
        </w:tc>
        <w:tc>
          <w:tcPr>
            <w:tcW w:w="1084" w:type="dxa"/>
            <w:tcBorders>
              <w:top w:val="nil"/>
              <w:left w:val="single" w:sz="12" w:space="0" w:color="FF9E3C"/>
              <w:bottom w:val="nil"/>
              <w:right w:val="single" w:sz="12" w:space="0" w:color="FF9E3C"/>
            </w:tcBorders>
            <w:shd w:val="clear" w:color="000000" w:fill="FFFFFF"/>
            <w:vAlign w:val="center"/>
          </w:tcPr>
          <w:p w14:paraId="235EFC9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0E0DC1A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12.5</w:t>
            </w:r>
          </w:p>
        </w:tc>
        <w:tc>
          <w:tcPr>
            <w:tcW w:w="1020" w:type="dxa"/>
            <w:tcBorders>
              <w:top w:val="nil"/>
              <w:left w:val="single" w:sz="12" w:space="0" w:color="FF9E3C"/>
              <w:bottom w:val="nil"/>
              <w:right w:val="single" w:sz="12" w:space="0" w:color="FF9E3C"/>
            </w:tcBorders>
            <w:shd w:val="clear" w:color="000000" w:fill="FFFFFF"/>
            <w:vAlign w:val="center"/>
          </w:tcPr>
          <w:p w14:paraId="40CA89A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10.9</w:t>
            </w:r>
          </w:p>
        </w:tc>
        <w:tc>
          <w:tcPr>
            <w:tcW w:w="1020" w:type="dxa"/>
            <w:tcBorders>
              <w:top w:val="nil"/>
              <w:left w:val="single" w:sz="12" w:space="0" w:color="FF9E3C"/>
              <w:bottom w:val="nil"/>
              <w:right w:val="single" w:sz="12" w:space="0" w:color="FF9E3C"/>
            </w:tcBorders>
            <w:shd w:val="clear" w:color="000000" w:fill="FFFFFF"/>
            <w:vAlign w:val="center"/>
          </w:tcPr>
          <w:p w14:paraId="35103DD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21.5</w:t>
            </w:r>
          </w:p>
        </w:tc>
        <w:tc>
          <w:tcPr>
            <w:tcW w:w="626" w:type="dxa"/>
            <w:tcBorders>
              <w:top w:val="nil"/>
              <w:left w:val="single" w:sz="12" w:space="0" w:color="FF9E3C"/>
              <w:bottom w:val="nil"/>
              <w:right w:val="single" w:sz="12" w:space="0" w:color="FF9E3C"/>
            </w:tcBorders>
            <w:shd w:val="clear" w:color="000000" w:fill="FFFFFF"/>
          </w:tcPr>
          <w:p w14:paraId="4B2116F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w:t>
            </w:r>
          </w:p>
        </w:tc>
        <w:tc>
          <w:tcPr>
            <w:tcW w:w="572" w:type="dxa"/>
            <w:tcBorders>
              <w:top w:val="nil"/>
              <w:left w:val="single" w:sz="12" w:space="0" w:color="FF9E3C"/>
              <w:bottom w:val="nil"/>
              <w:right w:val="single" w:sz="12" w:space="0" w:color="FF9E3C"/>
            </w:tcBorders>
            <w:shd w:val="clear" w:color="000000" w:fill="FFFFFF"/>
          </w:tcPr>
          <w:p w14:paraId="4F7B65A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.47</w:t>
            </w:r>
          </w:p>
        </w:tc>
        <w:tc>
          <w:tcPr>
            <w:tcW w:w="780" w:type="dxa"/>
            <w:tcBorders>
              <w:top w:val="nil"/>
              <w:left w:val="single" w:sz="12" w:space="0" w:color="FF9E3C"/>
              <w:bottom w:val="nil"/>
              <w:right w:val="single" w:sz="12" w:space="0" w:color="FF9E3C"/>
            </w:tcBorders>
            <w:shd w:val="clear" w:color="000000" w:fill="FFFFFF"/>
          </w:tcPr>
          <w:p w14:paraId="4BF7F35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.54</w:t>
            </w:r>
          </w:p>
        </w:tc>
      </w:tr>
      <w:tr w:rsidR="00A110B5" w:rsidRPr="00AD79EE" w14:paraId="76CB991D"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6ED8FB26"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1527CBF5"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32C836D1"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45EBCE5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2578DF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(3.3,33.5)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3EEE71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(6.3,18.0)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F2468C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(17.7,25.9)</w:t>
            </w:r>
          </w:p>
        </w:tc>
        <w:tc>
          <w:tcPr>
            <w:tcW w:w="626" w:type="dxa"/>
            <w:tcBorders>
              <w:top w:val="nil"/>
              <w:left w:val="single" w:sz="12" w:space="0" w:color="FF9E3C"/>
              <w:bottom w:val="single" w:sz="12" w:space="0" w:color="FF9E3C"/>
              <w:right w:val="single" w:sz="12" w:space="0" w:color="FF9E3C"/>
            </w:tcBorders>
            <w:shd w:val="clear" w:color="000000" w:fill="FFFFFF"/>
          </w:tcPr>
          <w:p w14:paraId="22D54C3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6BDA190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28FFC23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380DB296"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7BBDF08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Ext. Distress</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40C0988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0.82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37A90D4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2.76</w:t>
            </w:r>
          </w:p>
        </w:tc>
        <w:tc>
          <w:tcPr>
            <w:tcW w:w="1084" w:type="dxa"/>
            <w:tcBorders>
              <w:top w:val="nil"/>
              <w:left w:val="single" w:sz="12" w:space="0" w:color="FF9E3C"/>
              <w:bottom w:val="nil"/>
              <w:right w:val="single" w:sz="12" w:space="0" w:color="FF9E3C"/>
            </w:tcBorders>
            <w:shd w:val="clear" w:color="000000" w:fill="FFFFFF"/>
            <w:vAlign w:val="center"/>
          </w:tcPr>
          <w:p w14:paraId="6B6FFFA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42AFFB8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8.3</w:t>
            </w:r>
          </w:p>
        </w:tc>
        <w:tc>
          <w:tcPr>
            <w:tcW w:w="1020" w:type="dxa"/>
            <w:tcBorders>
              <w:top w:val="nil"/>
              <w:left w:val="single" w:sz="12" w:space="0" w:color="FF9E3C"/>
              <w:bottom w:val="nil"/>
              <w:right w:val="single" w:sz="12" w:space="0" w:color="FF9E3C"/>
            </w:tcBorders>
            <w:shd w:val="clear" w:color="000000" w:fill="FFFFFF"/>
            <w:vAlign w:val="center"/>
          </w:tcPr>
          <w:p w14:paraId="7451D4C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13.3</w:t>
            </w:r>
          </w:p>
        </w:tc>
        <w:tc>
          <w:tcPr>
            <w:tcW w:w="1020" w:type="dxa"/>
            <w:tcBorders>
              <w:top w:val="nil"/>
              <w:left w:val="single" w:sz="12" w:space="0" w:color="FF9E3C"/>
              <w:bottom w:val="nil"/>
              <w:right w:val="single" w:sz="12" w:space="0" w:color="FF9E3C"/>
            </w:tcBorders>
            <w:shd w:val="clear" w:color="000000" w:fill="FFFFFF"/>
            <w:vAlign w:val="center"/>
          </w:tcPr>
          <w:p w14:paraId="025D4CA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29.8</w:t>
            </w:r>
          </w:p>
        </w:tc>
        <w:tc>
          <w:tcPr>
            <w:tcW w:w="626" w:type="dxa"/>
            <w:tcBorders>
              <w:top w:val="nil"/>
              <w:left w:val="single" w:sz="12" w:space="0" w:color="FF9E3C"/>
              <w:bottom w:val="nil"/>
              <w:right w:val="single" w:sz="12" w:space="0" w:color="FF9E3C"/>
            </w:tcBorders>
            <w:shd w:val="clear" w:color="000000" w:fill="FFFFFF"/>
          </w:tcPr>
          <w:p w14:paraId="5052ABD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w:t>
            </w:r>
          </w:p>
        </w:tc>
        <w:tc>
          <w:tcPr>
            <w:tcW w:w="572" w:type="dxa"/>
            <w:tcBorders>
              <w:top w:val="nil"/>
              <w:left w:val="single" w:sz="12" w:space="0" w:color="FF9E3C"/>
              <w:bottom w:val="nil"/>
              <w:right w:val="single" w:sz="12" w:space="0" w:color="FF9E3C"/>
            </w:tcBorders>
            <w:shd w:val="clear" w:color="000000" w:fill="FFFFFF"/>
          </w:tcPr>
          <w:p w14:paraId="0E98072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.57</w:t>
            </w:r>
          </w:p>
        </w:tc>
        <w:tc>
          <w:tcPr>
            <w:tcW w:w="780" w:type="dxa"/>
            <w:tcBorders>
              <w:top w:val="nil"/>
              <w:left w:val="single" w:sz="12" w:space="0" w:color="FF9E3C"/>
              <w:bottom w:val="nil"/>
              <w:right w:val="single" w:sz="12" w:space="0" w:color="FF9E3C"/>
            </w:tcBorders>
            <w:shd w:val="clear" w:color="000000" w:fill="FFFFFF"/>
          </w:tcPr>
          <w:p w14:paraId="7957CAD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.56</w:t>
            </w:r>
          </w:p>
        </w:tc>
      </w:tr>
      <w:tr w:rsidR="00A110B5" w:rsidRPr="00AD79EE" w14:paraId="7569D552"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0088F08C"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080EC5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0CF7E2BC"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1CC2017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9BE955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(1.5,28.5)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F743D2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(8.2,20.7)</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959E93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(25.5,34.5)</w:t>
            </w:r>
          </w:p>
        </w:tc>
        <w:tc>
          <w:tcPr>
            <w:tcW w:w="626" w:type="dxa"/>
            <w:tcBorders>
              <w:top w:val="nil"/>
              <w:left w:val="single" w:sz="12" w:space="0" w:color="FF9E3C"/>
              <w:bottom w:val="single" w:sz="12" w:space="0" w:color="FF9E3C"/>
              <w:right w:val="single" w:sz="12" w:space="0" w:color="FF9E3C"/>
            </w:tcBorders>
            <w:shd w:val="clear" w:color="000000" w:fill="FFFFFF"/>
          </w:tcPr>
          <w:p w14:paraId="7954AEB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40C02E4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27BC147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547DA97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78299E8D"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Shame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6FB4797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0.76</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9A58A6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1.19</w:t>
            </w:r>
          </w:p>
        </w:tc>
        <w:tc>
          <w:tcPr>
            <w:tcW w:w="1084" w:type="dxa"/>
            <w:tcBorders>
              <w:top w:val="nil"/>
              <w:left w:val="single" w:sz="12" w:space="0" w:color="FF9E3C"/>
              <w:bottom w:val="nil"/>
              <w:right w:val="single" w:sz="12" w:space="0" w:color="FF9E3C"/>
            </w:tcBorders>
            <w:shd w:val="clear" w:color="000000" w:fill="FFFFFF"/>
            <w:vAlign w:val="center"/>
          </w:tcPr>
          <w:p w14:paraId="5EBB4ABD"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522F0CD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25.0</w:t>
            </w:r>
          </w:p>
        </w:tc>
        <w:tc>
          <w:tcPr>
            <w:tcW w:w="1020" w:type="dxa"/>
            <w:tcBorders>
              <w:top w:val="nil"/>
              <w:left w:val="single" w:sz="12" w:space="0" w:color="FF9E3C"/>
              <w:bottom w:val="nil"/>
              <w:right w:val="single" w:sz="12" w:space="0" w:color="FF9E3C"/>
            </w:tcBorders>
            <w:shd w:val="clear" w:color="000000" w:fill="FFFFFF"/>
            <w:vAlign w:val="center"/>
          </w:tcPr>
          <w:p w14:paraId="720CD90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16.4</w:t>
            </w:r>
          </w:p>
        </w:tc>
        <w:tc>
          <w:tcPr>
            <w:tcW w:w="1020" w:type="dxa"/>
            <w:tcBorders>
              <w:top w:val="nil"/>
              <w:left w:val="single" w:sz="12" w:space="0" w:color="FF9E3C"/>
              <w:bottom w:val="nil"/>
              <w:right w:val="single" w:sz="12" w:space="0" w:color="FF9E3C"/>
            </w:tcBorders>
            <w:shd w:val="clear" w:color="000000" w:fill="FFFFFF"/>
            <w:vAlign w:val="center"/>
          </w:tcPr>
          <w:p w14:paraId="71EE55C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40.4</w:t>
            </w:r>
          </w:p>
        </w:tc>
        <w:tc>
          <w:tcPr>
            <w:tcW w:w="626" w:type="dxa"/>
            <w:tcBorders>
              <w:top w:val="nil"/>
              <w:left w:val="single" w:sz="12" w:space="0" w:color="FF9E3C"/>
              <w:bottom w:val="nil"/>
              <w:right w:val="single" w:sz="12" w:space="0" w:color="FF9E3C"/>
            </w:tcBorders>
            <w:shd w:val="clear" w:color="000000" w:fill="FFFFFF"/>
          </w:tcPr>
          <w:p w14:paraId="5F5D9FB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w:t>
            </w:r>
          </w:p>
        </w:tc>
        <w:tc>
          <w:tcPr>
            <w:tcW w:w="572" w:type="dxa"/>
            <w:tcBorders>
              <w:top w:val="nil"/>
              <w:left w:val="single" w:sz="12" w:space="0" w:color="FF9E3C"/>
              <w:bottom w:val="nil"/>
              <w:right w:val="single" w:sz="12" w:space="0" w:color="FF9E3C"/>
            </w:tcBorders>
            <w:shd w:val="clear" w:color="000000" w:fill="FFFFFF"/>
          </w:tcPr>
          <w:p w14:paraId="25C5030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.39</w:t>
            </w:r>
          </w:p>
        </w:tc>
        <w:tc>
          <w:tcPr>
            <w:tcW w:w="780" w:type="dxa"/>
            <w:tcBorders>
              <w:top w:val="nil"/>
              <w:left w:val="single" w:sz="12" w:space="0" w:color="FF9E3C"/>
              <w:bottom w:val="nil"/>
              <w:right w:val="single" w:sz="12" w:space="0" w:color="FF9E3C"/>
            </w:tcBorders>
            <w:shd w:val="clear" w:color="000000" w:fill="FFFFFF"/>
          </w:tcPr>
          <w:p w14:paraId="1211EB5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.40</w:t>
            </w:r>
          </w:p>
        </w:tc>
      </w:tr>
      <w:tr w:rsidR="00A110B5" w:rsidRPr="00AD79EE" w14:paraId="1EF5E805"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73DA292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136A3DA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DCBD9D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4071642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91BEBA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(10.6,47.1)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F2B79E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(10.7,24.2)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1F124E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(35.7,45.4)</w:t>
            </w:r>
          </w:p>
        </w:tc>
        <w:tc>
          <w:tcPr>
            <w:tcW w:w="626" w:type="dxa"/>
            <w:tcBorders>
              <w:top w:val="nil"/>
              <w:left w:val="single" w:sz="12" w:space="0" w:color="FF9E3C"/>
              <w:bottom w:val="single" w:sz="12" w:space="0" w:color="FF9E3C"/>
              <w:right w:val="single" w:sz="12" w:space="0" w:color="FF9E3C"/>
            </w:tcBorders>
            <w:shd w:val="clear" w:color="000000" w:fill="FFFFFF"/>
          </w:tcPr>
          <w:p w14:paraId="7B22A24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7AB7E27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7B76FDD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78BFF24C"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5AD2CE79"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Anger</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6447DCC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0.72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33EEDDC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1.30</w:t>
            </w:r>
          </w:p>
        </w:tc>
        <w:tc>
          <w:tcPr>
            <w:tcW w:w="1084" w:type="dxa"/>
            <w:tcBorders>
              <w:top w:val="nil"/>
              <w:left w:val="single" w:sz="12" w:space="0" w:color="FF9E3C"/>
              <w:bottom w:val="nil"/>
              <w:right w:val="single" w:sz="12" w:space="0" w:color="FF9E3C"/>
            </w:tcBorders>
            <w:shd w:val="clear" w:color="000000" w:fill="FFFFFF"/>
            <w:vAlign w:val="center"/>
          </w:tcPr>
          <w:p w14:paraId="6DBEAFF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771C26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723B558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25.0</w:t>
            </w:r>
          </w:p>
        </w:tc>
        <w:tc>
          <w:tcPr>
            <w:tcW w:w="1020" w:type="dxa"/>
            <w:tcBorders>
              <w:top w:val="nil"/>
              <w:left w:val="single" w:sz="12" w:space="0" w:color="FF9E3C"/>
              <w:bottom w:val="nil"/>
              <w:right w:val="single" w:sz="12" w:space="0" w:color="FF9E3C"/>
            </w:tcBorders>
            <w:shd w:val="clear" w:color="000000" w:fill="FFFFFF"/>
            <w:vAlign w:val="center"/>
          </w:tcPr>
          <w:p w14:paraId="694E49F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39.2</w:t>
            </w:r>
          </w:p>
        </w:tc>
        <w:tc>
          <w:tcPr>
            <w:tcW w:w="626" w:type="dxa"/>
            <w:tcBorders>
              <w:top w:val="nil"/>
              <w:left w:val="single" w:sz="12" w:space="0" w:color="FF9E3C"/>
              <w:bottom w:val="nil"/>
              <w:right w:val="single" w:sz="12" w:space="0" w:color="FF9E3C"/>
            </w:tcBorders>
            <w:shd w:val="clear" w:color="000000" w:fill="FFFFFF"/>
          </w:tcPr>
          <w:p w14:paraId="7B7905E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w:t>
            </w:r>
          </w:p>
        </w:tc>
        <w:tc>
          <w:tcPr>
            <w:tcW w:w="572" w:type="dxa"/>
            <w:tcBorders>
              <w:top w:val="nil"/>
              <w:left w:val="single" w:sz="12" w:space="0" w:color="FF9E3C"/>
              <w:bottom w:val="nil"/>
              <w:right w:val="single" w:sz="12" w:space="0" w:color="FF9E3C"/>
            </w:tcBorders>
            <w:shd w:val="clear" w:color="000000" w:fill="FFFFFF"/>
          </w:tcPr>
          <w:p w14:paraId="6CE4B2C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.41</w:t>
            </w:r>
          </w:p>
        </w:tc>
        <w:tc>
          <w:tcPr>
            <w:tcW w:w="780" w:type="dxa"/>
            <w:tcBorders>
              <w:top w:val="nil"/>
              <w:left w:val="single" w:sz="12" w:space="0" w:color="FF9E3C"/>
              <w:bottom w:val="nil"/>
              <w:right w:val="single" w:sz="12" w:space="0" w:color="FF9E3C"/>
            </w:tcBorders>
            <w:shd w:val="clear" w:color="000000" w:fill="FFFFFF"/>
          </w:tcPr>
          <w:p w14:paraId="1CAB754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.43</w:t>
            </w:r>
          </w:p>
        </w:tc>
      </w:tr>
      <w:tr w:rsidR="00A110B5" w:rsidRPr="00AD79EE" w14:paraId="1FCA442E"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76BF39F4"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11F38A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45CD57F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71B4EE9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5319F0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BAE7B6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(18.0,33.6)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FBFF5AF"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(34.5,44.1)</w:t>
            </w:r>
          </w:p>
        </w:tc>
        <w:tc>
          <w:tcPr>
            <w:tcW w:w="626" w:type="dxa"/>
            <w:tcBorders>
              <w:top w:val="nil"/>
              <w:left w:val="single" w:sz="12" w:space="0" w:color="FF9E3C"/>
              <w:bottom w:val="single" w:sz="12" w:space="0" w:color="FF9E3C"/>
              <w:right w:val="single" w:sz="12" w:space="0" w:color="FF9E3C"/>
            </w:tcBorders>
            <w:shd w:val="clear" w:color="000000" w:fill="FFFFFF"/>
          </w:tcPr>
          <w:p w14:paraId="5240EBF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1FA8BE0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278E792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69864329"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2DA653FB"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Hopeless.</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60F091A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0.38</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0810D33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1.15</w:t>
            </w:r>
          </w:p>
        </w:tc>
        <w:tc>
          <w:tcPr>
            <w:tcW w:w="1084" w:type="dxa"/>
            <w:tcBorders>
              <w:top w:val="nil"/>
              <w:left w:val="single" w:sz="12" w:space="0" w:color="FF9E3C"/>
              <w:bottom w:val="nil"/>
              <w:right w:val="single" w:sz="12" w:space="0" w:color="FF9E3C"/>
            </w:tcBorders>
            <w:shd w:val="clear" w:color="000000" w:fill="FFFFFF"/>
            <w:vAlign w:val="center"/>
          </w:tcPr>
          <w:p w14:paraId="0882CDA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1D17504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8.3</w:t>
            </w:r>
          </w:p>
        </w:tc>
        <w:tc>
          <w:tcPr>
            <w:tcW w:w="1020" w:type="dxa"/>
            <w:tcBorders>
              <w:top w:val="nil"/>
              <w:left w:val="single" w:sz="12" w:space="0" w:color="FF9E3C"/>
              <w:bottom w:val="nil"/>
              <w:right w:val="single" w:sz="12" w:space="0" w:color="FF9E3C"/>
            </w:tcBorders>
            <w:shd w:val="clear" w:color="000000" w:fill="FFFFFF"/>
            <w:vAlign w:val="center"/>
          </w:tcPr>
          <w:p w14:paraId="226EEBB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30.5</w:t>
            </w:r>
          </w:p>
        </w:tc>
        <w:tc>
          <w:tcPr>
            <w:tcW w:w="1020" w:type="dxa"/>
            <w:tcBorders>
              <w:top w:val="nil"/>
              <w:left w:val="single" w:sz="12" w:space="0" w:color="FF9E3C"/>
              <w:bottom w:val="nil"/>
              <w:right w:val="single" w:sz="12" w:space="0" w:color="FF9E3C"/>
            </w:tcBorders>
            <w:shd w:val="clear" w:color="000000" w:fill="FFFFFF"/>
            <w:vAlign w:val="center"/>
          </w:tcPr>
          <w:p w14:paraId="1455890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49.2</w:t>
            </w:r>
          </w:p>
        </w:tc>
        <w:tc>
          <w:tcPr>
            <w:tcW w:w="626" w:type="dxa"/>
            <w:tcBorders>
              <w:top w:val="nil"/>
              <w:left w:val="single" w:sz="12" w:space="0" w:color="FF9E3C"/>
              <w:bottom w:val="nil"/>
              <w:right w:val="single" w:sz="12" w:space="0" w:color="FF9E3C"/>
            </w:tcBorders>
            <w:shd w:val="clear" w:color="000000" w:fill="FFFFFF"/>
          </w:tcPr>
          <w:p w14:paraId="30757D5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w:t>
            </w:r>
          </w:p>
        </w:tc>
        <w:tc>
          <w:tcPr>
            <w:tcW w:w="572" w:type="dxa"/>
            <w:tcBorders>
              <w:top w:val="nil"/>
              <w:left w:val="single" w:sz="12" w:space="0" w:color="FF9E3C"/>
              <w:bottom w:val="nil"/>
              <w:right w:val="single" w:sz="12" w:space="0" w:color="FF9E3C"/>
            </w:tcBorders>
            <w:shd w:val="clear" w:color="000000" w:fill="FFFFFF"/>
          </w:tcPr>
          <w:p w14:paraId="2656899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.41</w:t>
            </w:r>
          </w:p>
        </w:tc>
        <w:tc>
          <w:tcPr>
            <w:tcW w:w="780" w:type="dxa"/>
            <w:tcBorders>
              <w:top w:val="nil"/>
              <w:left w:val="single" w:sz="12" w:space="0" w:color="FF9E3C"/>
              <w:bottom w:val="nil"/>
              <w:right w:val="single" w:sz="12" w:space="0" w:color="FF9E3C"/>
            </w:tcBorders>
            <w:shd w:val="clear" w:color="000000" w:fill="FFFFFF"/>
          </w:tcPr>
          <w:p w14:paraId="60E9198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.39</w:t>
            </w:r>
          </w:p>
        </w:tc>
      </w:tr>
      <w:tr w:rsidR="00A110B5" w:rsidRPr="00AD79EE" w14:paraId="31B6E1EF"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5ECB6F48"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3D7912DE"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8D5B63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69BB9D6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D92D20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(1.5,28.5)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48F832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(22.8,39.3)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0A71C46"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(44.2,54.1)</w:t>
            </w:r>
          </w:p>
        </w:tc>
        <w:tc>
          <w:tcPr>
            <w:tcW w:w="626" w:type="dxa"/>
            <w:tcBorders>
              <w:top w:val="nil"/>
              <w:left w:val="single" w:sz="12" w:space="0" w:color="FF9E3C"/>
              <w:bottom w:val="single" w:sz="12" w:space="0" w:color="FF9E3C"/>
              <w:right w:val="single" w:sz="12" w:space="0" w:color="FF9E3C"/>
            </w:tcBorders>
            <w:shd w:val="clear" w:color="000000" w:fill="FFFFFF"/>
          </w:tcPr>
          <w:p w14:paraId="55F4909B"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225C68CC"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4E2D0F75"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AD79EE" w14:paraId="2BFF0E5F"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50064CEA"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Distress</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1CC1849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-0.16</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4708C86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1.23</w:t>
            </w:r>
          </w:p>
        </w:tc>
        <w:tc>
          <w:tcPr>
            <w:tcW w:w="1084" w:type="dxa"/>
            <w:tcBorders>
              <w:top w:val="nil"/>
              <w:left w:val="single" w:sz="12" w:space="0" w:color="FF9E3C"/>
              <w:bottom w:val="nil"/>
              <w:right w:val="single" w:sz="12" w:space="0" w:color="FF9E3C"/>
            </w:tcBorders>
            <w:shd w:val="clear" w:color="000000" w:fill="FFFFFF"/>
            <w:vAlign w:val="center"/>
          </w:tcPr>
          <w:p w14:paraId="36FC3989"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11.5</w:t>
            </w:r>
          </w:p>
        </w:tc>
        <w:tc>
          <w:tcPr>
            <w:tcW w:w="1020" w:type="dxa"/>
            <w:tcBorders>
              <w:top w:val="nil"/>
              <w:left w:val="single" w:sz="12" w:space="0" w:color="FF9E3C"/>
              <w:bottom w:val="nil"/>
              <w:right w:val="single" w:sz="12" w:space="0" w:color="FF9E3C"/>
            </w:tcBorders>
            <w:shd w:val="clear" w:color="000000" w:fill="FFFFFF"/>
            <w:vAlign w:val="center"/>
          </w:tcPr>
          <w:p w14:paraId="0537FFC2"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25.0</w:t>
            </w:r>
          </w:p>
        </w:tc>
        <w:tc>
          <w:tcPr>
            <w:tcW w:w="1020" w:type="dxa"/>
            <w:tcBorders>
              <w:top w:val="nil"/>
              <w:left w:val="single" w:sz="12" w:space="0" w:color="FF9E3C"/>
              <w:bottom w:val="nil"/>
              <w:right w:val="single" w:sz="12" w:space="0" w:color="FF9E3C"/>
            </w:tcBorders>
            <w:shd w:val="clear" w:color="000000" w:fill="FFFFFF"/>
            <w:vAlign w:val="center"/>
          </w:tcPr>
          <w:p w14:paraId="505B77CA"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48.4</w:t>
            </w:r>
          </w:p>
        </w:tc>
        <w:tc>
          <w:tcPr>
            <w:tcW w:w="1020" w:type="dxa"/>
            <w:tcBorders>
              <w:top w:val="nil"/>
              <w:left w:val="single" w:sz="12" w:space="0" w:color="FF9E3C"/>
              <w:bottom w:val="nil"/>
              <w:right w:val="single" w:sz="12" w:space="0" w:color="FF9E3C"/>
            </w:tcBorders>
            <w:shd w:val="clear" w:color="000000" w:fill="FFFFFF"/>
            <w:vAlign w:val="center"/>
          </w:tcPr>
          <w:p w14:paraId="600F50B4"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59.8</w:t>
            </w:r>
          </w:p>
        </w:tc>
        <w:tc>
          <w:tcPr>
            <w:tcW w:w="626" w:type="dxa"/>
            <w:tcBorders>
              <w:top w:val="nil"/>
              <w:left w:val="single" w:sz="12" w:space="0" w:color="FF9E3C"/>
              <w:bottom w:val="nil"/>
              <w:right w:val="single" w:sz="12" w:space="0" w:color="FF9E3C"/>
            </w:tcBorders>
            <w:shd w:val="clear" w:color="000000" w:fill="FFFFFF"/>
          </w:tcPr>
          <w:p w14:paraId="4697FECE"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w:t>
            </w:r>
          </w:p>
        </w:tc>
        <w:tc>
          <w:tcPr>
            <w:tcW w:w="572" w:type="dxa"/>
            <w:tcBorders>
              <w:top w:val="nil"/>
              <w:left w:val="single" w:sz="12" w:space="0" w:color="FF9E3C"/>
              <w:bottom w:val="nil"/>
              <w:right w:val="single" w:sz="12" w:space="0" w:color="FF9E3C"/>
            </w:tcBorders>
            <w:shd w:val="clear" w:color="000000" w:fill="FFFFFF"/>
          </w:tcPr>
          <w:p w14:paraId="5016F08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.48</w:t>
            </w:r>
          </w:p>
        </w:tc>
        <w:tc>
          <w:tcPr>
            <w:tcW w:w="780" w:type="dxa"/>
            <w:tcBorders>
              <w:top w:val="nil"/>
              <w:left w:val="single" w:sz="12" w:space="0" w:color="FF9E3C"/>
              <w:bottom w:val="nil"/>
              <w:right w:val="single" w:sz="12" w:space="0" w:color="FF9E3C"/>
            </w:tcBorders>
            <w:shd w:val="clear" w:color="000000" w:fill="FFFFFF"/>
          </w:tcPr>
          <w:p w14:paraId="1B15BCF7"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r>
      <w:tr w:rsidR="00A110B5" w:rsidRPr="00AD79EE" w14:paraId="21FD48BC"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72D726A7"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42F2D432"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78C361FF" w14:textId="77777777" w:rsidR="00A110B5" w:rsidRPr="00AD79EE"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7A9359B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(3.0,31.3)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1E49E11"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(10.6,47.1)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A909FA8"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(39.6,57.4)</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949D3B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(54.9,64.5)</w:t>
            </w:r>
          </w:p>
        </w:tc>
        <w:tc>
          <w:tcPr>
            <w:tcW w:w="626" w:type="dxa"/>
            <w:tcBorders>
              <w:top w:val="nil"/>
              <w:left w:val="single" w:sz="12" w:space="0" w:color="FF9E3C"/>
              <w:bottom w:val="single" w:sz="12" w:space="0" w:color="FF9E3C"/>
              <w:right w:val="single" w:sz="12" w:space="0" w:color="FF9E3C"/>
            </w:tcBorders>
            <w:shd w:val="clear" w:color="000000" w:fill="FFFFFF"/>
          </w:tcPr>
          <w:p w14:paraId="004AE7C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572" w:type="dxa"/>
            <w:tcBorders>
              <w:top w:val="nil"/>
              <w:left w:val="single" w:sz="12" w:space="0" w:color="FF9E3C"/>
              <w:bottom w:val="single" w:sz="12" w:space="0" w:color="FF9E3C"/>
              <w:right w:val="single" w:sz="12" w:space="0" w:color="FF9E3C"/>
            </w:tcBorders>
            <w:shd w:val="clear" w:color="000000" w:fill="FFFFFF"/>
          </w:tcPr>
          <w:p w14:paraId="54A957F0"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80" w:type="dxa"/>
            <w:tcBorders>
              <w:top w:val="nil"/>
              <w:left w:val="single" w:sz="12" w:space="0" w:color="FF9E3C"/>
              <w:bottom w:val="single" w:sz="12" w:space="0" w:color="FF9E3C"/>
              <w:right w:val="single" w:sz="12" w:space="0" w:color="FF9E3C"/>
            </w:tcBorders>
            <w:shd w:val="clear" w:color="000000" w:fill="FFFFFF"/>
          </w:tcPr>
          <w:p w14:paraId="7F9F6BF3" w14:textId="77777777" w:rsidR="00A110B5" w:rsidRPr="00AD79EE"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bl>
    <w:p w14:paraId="0CDC06BA" w14:textId="77777777" w:rsidR="00A110B5" w:rsidRDefault="00A110B5" w:rsidP="00A110B5">
      <w:pPr>
        <w:tabs>
          <w:tab w:val="clear" w:pos="426"/>
        </w:tabs>
        <w:spacing w:before="0" w:after="0" w:line="240" w:lineRule="auto"/>
        <w:ind w:left="0" w:right="0"/>
        <w:rPr>
          <w:rFonts w:ascii="Calibri" w:eastAsia="MS Mincho" w:hAnsi="Calibri" w:cs="Cambria"/>
          <w:b/>
          <w:sz w:val="24"/>
          <w:szCs w:val="24"/>
        </w:rPr>
      </w:pPr>
    </w:p>
    <w:p w14:paraId="6FFACA69" w14:textId="5C0D70C1" w:rsidR="00A110B5" w:rsidRPr="005F4A77" w:rsidRDefault="00697797" w:rsidP="0040753B">
      <w:pPr>
        <w:pStyle w:val="Caption"/>
        <w:spacing w:after="0"/>
        <w:rPr>
          <w:b w:val="0"/>
          <w:iCs w:val="0"/>
          <w:color w:val="1C3158"/>
        </w:rPr>
      </w:pPr>
      <w:r>
        <w:rPr>
          <w:b w:val="0"/>
          <w:iCs w:val="0"/>
          <w:color w:val="1C3158"/>
        </w:rPr>
        <w:br w:type="column"/>
      </w:r>
      <w:bookmarkStart w:id="219" w:name="_Toc462738118"/>
      <w:r w:rsidR="0040753B">
        <w:lastRenderedPageBreak/>
        <w:t xml:space="preserve">Table </w:t>
      </w:r>
      <w:fldSimple w:instr=" SEQ Table \* ARABIC ">
        <w:r w:rsidR="0006479A">
          <w:rPr>
            <w:noProof/>
          </w:rPr>
          <w:t>15</w:t>
        </w:r>
      </w:fldSimple>
      <w:r w:rsidR="00B40FF8">
        <w:t>.</w:t>
      </w:r>
      <w:r w:rsidR="008610D3">
        <w:t xml:space="preserve"> </w:t>
      </w:r>
      <w:r w:rsidR="00A110B5" w:rsidRPr="0040753B">
        <w:rPr>
          <w:iCs w:val="0"/>
          <w:color w:val="1C3158"/>
        </w:rPr>
        <w:t>Relationships and Other (Affected Others)</w:t>
      </w:r>
      <w:bookmarkEnd w:id="219"/>
    </w:p>
    <w:tbl>
      <w:tblPr>
        <w:tblW w:w="9781" w:type="dxa"/>
        <w:tblInd w:w="-15" w:type="dxa"/>
        <w:tblLayout w:type="fixed"/>
        <w:tblLook w:val="04A0" w:firstRow="1" w:lastRow="0" w:firstColumn="1" w:lastColumn="0" w:noHBand="0" w:noVBand="1"/>
      </w:tblPr>
      <w:tblGrid>
        <w:gridCol w:w="1701"/>
        <w:gridCol w:w="851"/>
        <w:gridCol w:w="900"/>
        <w:gridCol w:w="1084"/>
        <w:gridCol w:w="1020"/>
        <w:gridCol w:w="1020"/>
        <w:gridCol w:w="1020"/>
        <w:gridCol w:w="626"/>
        <w:gridCol w:w="709"/>
        <w:gridCol w:w="850"/>
      </w:tblGrid>
      <w:tr w:rsidR="00A110B5" w:rsidRPr="00B054FD" w14:paraId="511DD0CA" w14:textId="77777777" w:rsidTr="00406FB4">
        <w:trPr>
          <w:trHeight w:val="178"/>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03340ADF" w14:textId="77777777" w:rsidR="00A110B5" w:rsidRPr="00B054FD" w:rsidRDefault="00A110B5" w:rsidP="00406FB4">
            <w:pPr>
              <w:tabs>
                <w:tab w:val="clear" w:pos="426"/>
              </w:tabs>
              <w:spacing w:before="0" w:after="0" w:line="240" w:lineRule="auto"/>
              <w:ind w:left="0" w:right="0"/>
              <w:rPr>
                <w:rFonts w:cs="Arial"/>
                <w:b/>
                <w:bCs/>
                <w:color w:val="1C3158"/>
                <w:sz w:val="16"/>
                <w:szCs w:val="16"/>
                <w:lang w:eastAsia="ja-JP"/>
              </w:rPr>
            </w:pPr>
            <w:r w:rsidRPr="00B054FD">
              <w:rPr>
                <w:rFonts w:eastAsia="Cambria" w:cs="Arial"/>
                <w:b/>
                <w:bCs/>
                <w:color w:val="1C3158"/>
                <w:sz w:val="16"/>
                <w:szCs w:val="16"/>
                <w:lang w:eastAsia="ja-JP"/>
              </w:rPr>
              <w:t>Item abb.</w:t>
            </w:r>
          </w:p>
        </w:tc>
        <w:tc>
          <w:tcPr>
            <w:tcW w:w="1751" w:type="dxa"/>
            <w:gridSpan w:val="2"/>
            <w:tcBorders>
              <w:top w:val="single" w:sz="12" w:space="0" w:color="FF9E3C"/>
              <w:left w:val="nil"/>
              <w:bottom w:val="single" w:sz="12" w:space="0" w:color="FF9E3C"/>
              <w:right w:val="single" w:sz="12" w:space="0" w:color="FF9E3C"/>
            </w:tcBorders>
            <w:shd w:val="clear" w:color="000000" w:fill="FFBC64"/>
            <w:vAlign w:val="center"/>
            <w:hideMark/>
          </w:tcPr>
          <w:p w14:paraId="7E91AFB3"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IRT parameters</w:t>
            </w:r>
          </w:p>
        </w:tc>
        <w:tc>
          <w:tcPr>
            <w:tcW w:w="4144" w:type="dxa"/>
            <w:gridSpan w:val="4"/>
            <w:tcBorders>
              <w:top w:val="single" w:sz="12" w:space="0" w:color="FF9E3C"/>
              <w:left w:val="nil"/>
              <w:bottom w:val="single" w:sz="12" w:space="0" w:color="FF9E3C"/>
              <w:right w:val="single" w:sz="12" w:space="0" w:color="FF9E3C"/>
            </w:tcBorders>
            <w:shd w:val="clear" w:color="000000" w:fill="FFBC64"/>
            <w:vAlign w:val="center"/>
            <w:hideMark/>
          </w:tcPr>
          <w:p w14:paraId="360E6A0E"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PGSI category</w:t>
            </w:r>
          </w:p>
        </w:tc>
        <w:tc>
          <w:tcPr>
            <w:tcW w:w="2185" w:type="dxa"/>
            <w:gridSpan w:val="3"/>
            <w:tcBorders>
              <w:top w:val="single" w:sz="12" w:space="0" w:color="FF9E3C"/>
              <w:left w:val="nil"/>
              <w:bottom w:val="single" w:sz="12" w:space="0" w:color="FF9E3C"/>
              <w:right w:val="single" w:sz="12" w:space="0" w:color="FF9E3C"/>
            </w:tcBorders>
            <w:shd w:val="clear" w:color="000000" w:fill="FFBC64"/>
            <w:vAlign w:val="center"/>
            <w:hideMark/>
          </w:tcPr>
          <w:p w14:paraId="62076796"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Correlations</w:t>
            </w:r>
          </w:p>
        </w:tc>
      </w:tr>
      <w:tr w:rsidR="00A110B5" w:rsidRPr="00B054FD" w14:paraId="32CED85C" w14:textId="77777777" w:rsidTr="00406FB4">
        <w:trPr>
          <w:trHeight w:val="322"/>
        </w:trPr>
        <w:tc>
          <w:tcPr>
            <w:tcW w:w="1701" w:type="dxa"/>
            <w:vMerge/>
            <w:tcBorders>
              <w:top w:val="single" w:sz="12" w:space="0" w:color="FF9E3C"/>
              <w:left w:val="single" w:sz="12" w:space="0" w:color="FF9E3C"/>
              <w:bottom w:val="single" w:sz="12" w:space="0" w:color="FF9E3C"/>
              <w:right w:val="single" w:sz="12" w:space="0" w:color="FF9E3C"/>
            </w:tcBorders>
            <w:vAlign w:val="center"/>
            <w:hideMark/>
          </w:tcPr>
          <w:p w14:paraId="7FDFB36A" w14:textId="77777777" w:rsidR="00A110B5" w:rsidRPr="00B054FD" w:rsidRDefault="00A110B5" w:rsidP="00406FB4">
            <w:pPr>
              <w:tabs>
                <w:tab w:val="clear" w:pos="426"/>
              </w:tabs>
              <w:spacing w:before="0" w:after="0" w:line="240" w:lineRule="auto"/>
              <w:ind w:left="0" w:right="0"/>
              <w:rPr>
                <w:rFonts w:cs="Arial"/>
                <w:b/>
                <w:bCs/>
                <w:color w:val="1C3158"/>
                <w:sz w:val="16"/>
                <w:szCs w:val="16"/>
                <w:lang w:eastAsia="ja-JP"/>
              </w:rPr>
            </w:pPr>
          </w:p>
        </w:tc>
        <w:tc>
          <w:tcPr>
            <w:tcW w:w="851" w:type="dxa"/>
            <w:tcBorders>
              <w:top w:val="nil"/>
              <w:left w:val="nil"/>
              <w:bottom w:val="single" w:sz="12" w:space="0" w:color="FF9E3C"/>
              <w:right w:val="single" w:sz="12" w:space="0" w:color="FF9E3C"/>
            </w:tcBorders>
            <w:shd w:val="clear" w:color="000000" w:fill="FFBC64"/>
            <w:vAlign w:val="center"/>
            <w:hideMark/>
          </w:tcPr>
          <w:p w14:paraId="43F2E823"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Severity</w:t>
            </w:r>
          </w:p>
        </w:tc>
        <w:tc>
          <w:tcPr>
            <w:tcW w:w="900" w:type="dxa"/>
            <w:tcBorders>
              <w:top w:val="nil"/>
              <w:left w:val="nil"/>
              <w:bottom w:val="single" w:sz="12" w:space="0" w:color="FF9E3C"/>
              <w:right w:val="single" w:sz="12" w:space="0" w:color="FF9E3C"/>
            </w:tcBorders>
            <w:shd w:val="clear" w:color="000000" w:fill="FFBC64"/>
            <w:vAlign w:val="center"/>
            <w:hideMark/>
          </w:tcPr>
          <w:p w14:paraId="58C05FA7"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Dscrm</w:t>
            </w:r>
          </w:p>
        </w:tc>
        <w:tc>
          <w:tcPr>
            <w:tcW w:w="1084" w:type="dxa"/>
            <w:tcBorders>
              <w:top w:val="nil"/>
              <w:left w:val="nil"/>
              <w:bottom w:val="single" w:sz="12" w:space="0" w:color="FF9E3C"/>
              <w:right w:val="single" w:sz="12" w:space="0" w:color="FF9E3C"/>
            </w:tcBorders>
            <w:shd w:val="clear" w:color="000000" w:fill="FFBC64"/>
            <w:vAlign w:val="center"/>
            <w:hideMark/>
          </w:tcPr>
          <w:p w14:paraId="67227ACF"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Non Problem</w:t>
            </w:r>
          </w:p>
        </w:tc>
        <w:tc>
          <w:tcPr>
            <w:tcW w:w="1020" w:type="dxa"/>
            <w:tcBorders>
              <w:top w:val="nil"/>
              <w:left w:val="nil"/>
              <w:bottom w:val="single" w:sz="12" w:space="0" w:color="FF9E3C"/>
              <w:right w:val="single" w:sz="12" w:space="0" w:color="FF9E3C"/>
            </w:tcBorders>
            <w:shd w:val="clear" w:color="000000" w:fill="FFBC64"/>
            <w:vAlign w:val="center"/>
            <w:hideMark/>
          </w:tcPr>
          <w:p w14:paraId="30CE3BAE"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Low Risk</w:t>
            </w:r>
          </w:p>
        </w:tc>
        <w:tc>
          <w:tcPr>
            <w:tcW w:w="1020" w:type="dxa"/>
            <w:tcBorders>
              <w:top w:val="nil"/>
              <w:left w:val="nil"/>
              <w:bottom w:val="single" w:sz="12" w:space="0" w:color="FF9E3C"/>
              <w:right w:val="single" w:sz="12" w:space="0" w:color="FF9E3C"/>
            </w:tcBorders>
            <w:shd w:val="clear" w:color="000000" w:fill="FFBC64"/>
            <w:vAlign w:val="center"/>
            <w:hideMark/>
          </w:tcPr>
          <w:p w14:paraId="72D44BF0"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Moderate Risk</w:t>
            </w:r>
          </w:p>
        </w:tc>
        <w:tc>
          <w:tcPr>
            <w:tcW w:w="1020" w:type="dxa"/>
            <w:tcBorders>
              <w:top w:val="nil"/>
              <w:left w:val="nil"/>
              <w:bottom w:val="single" w:sz="12" w:space="0" w:color="FF9E3C"/>
              <w:right w:val="single" w:sz="12" w:space="0" w:color="FF9E3C"/>
            </w:tcBorders>
            <w:shd w:val="clear" w:color="000000" w:fill="FFBC64"/>
            <w:vAlign w:val="center"/>
            <w:hideMark/>
          </w:tcPr>
          <w:p w14:paraId="55722C33"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Problem</w:t>
            </w:r>
          </w:p>
        </w:tc>
        <w:tc>
          <w:tcPr>
            <w:tcW w:w="626" w:type="dxa"/>
            <w:tcBorders>
              <w:top w:val="nil"/>
              <w:left w:val="nil"/>
              <w:bottom w:val="single" w:sz="12" w:space="0" w:color="FF9E3C"/>
              <w:right w:val="single" w:sz="12" w:space="0" w:color="FF9E3C"/>
            </w:tcBorders>
            <w:shd w:val="clear" w:color="000000" w:fill="FFBC64"/>
            <w:vAlign w:val="center"/>
            <w:hideMark/>
          </w:tcPr>
          <w:p w14:paraId="18167DAA"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PGSI</w:t>
            </w:r>
          </w:p>
        </w:tc>
        <w:tc>
          <w:tcPr>
            <w:tcW w:w="709" w:type="dxa"/>
            <w:tcBorders>
              <w:top w:val="nil"/>
              <w:left w:val="nil"/>
              <w:bottom w:val="single" w:sz="12" w:space="0" w:color="FF9E3C"/>
              <w:right w:val="single" w:sz="12" w:space="0" w:color="FF9E3C"/>
            </w:tcBorders>
            <w:shd w:val="clear" w:color="000000" w:fill="FFBC64"/>
            <w:vAlign w:val="center"/>
            <w:hideMark/>
          </w:tcPr>
          <w:p w14:paraId="31DFB422"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Gen.</w:t>
            </w:r>
          </w:p>
        </w:tc>
        <w:tc>
          <w:tcPr>
            <w:tcW w:w="850" w:type="dxa"/>
            <w:tcBorders>
              <w:top w:val="nil"/>
              <w:left w:val="nil"/>
              <w:bottom w:val="single" w:sz="12" w:space="0" w:color="FF9E3C"/>
              <w:right w:val="single" w:sz="12" w:space="0" w:color="FF9E3C"/>
            </w:tcBorders>
            <w:shd w:val="clear" w:color="000000" w:fill="FFBC64"/>
            <w:vAlign w:val="center"/>
            <w:hideMark/>
          </w:tcPr>
          <w:p w14:paraId="6E0E39DD" w14:textId="77777777" w:rsidR="00A110B5" w:rsidRPr="00B054FD" w:rsidRDefault="00A110B5" w:rsidP="00406FB4">
            <w:pPr>
              <w:tabs>
                <w:tab w:val="clear" w:pos="426"/>
              </w:tabs>
              <w:spacing w:before="0" w:after="0" w:line="240" w:lineRule="auto"/>
              <w:ind w:left="0" w:right="0"/>
              <w:jc w:val="center"/>
              <w:rPr>
                <w:rFonts w:cs="Arial"/>
                <w:b/>
                <w:bCs/>
                <w:color w:val="1C3158"/>
                <w:sz w:val="16"/>
                <w:szCs w:val="16"/>
                <w:lang w:eastAsia="ja-JP"/>
              </w:rPr>
            </w:pPr>
            <w:r w:rsidRPr="00B054FD">
              <w:rPr>
                <w:rFonts w:eastAsia="Cambria" w:cs="Arial"/>
                <w:b/>
                <w:bCs/>
                <w:color w:val="1C3158"/>
                <w:sz w:val="16"/>
                <w:szCs w:val="16"/>
                <w:lang w:eastAsia="ja-JP"/>
              </w:rPr>
              <w:t>Tot.</w:t>
            </w:r>
          </w:p>
        </w:tc>
      </w:tr>
      <w:tr w:rsidR="00A110B5" w:rsidRPr="00B054FD" w14:paraId="277FC5EA" w14:textId="77777777" w:rsidTr="00F812A7">
        <w:trPr>
          <w:trHeight w:val="160"/>
        </w:trPr>
        <w:tc>
          <w:tcPr>
            <w:tcW w:w="9781" w:type="dxa"/>
            <w:gridSpan w:val="10"/>
            <w:tcBorders>
              <w:top w:val="single" w:sz="12" w:space="0" w:color="FF9E3C"/>
              <w:left w:val="single" w:sz="12" w:space="0" w:color="FF9E3C"/>
              <w:right w:val="single" w:sz="12" w:space="0" w:color="FF9E3C"/>
            </w:tcBorders>
            <w:shd w:val="clear" w:color="000000" w:fill="FFCF8F"/>
            <w:vAlign w:val="center"/>
            <w:hideMark/>
          </w:tcPr>
          <w:p w14:paraId="444F0BAD" w14:textId="77777777" w:rsidR="00A110B5" w:rsidRPr="00B054FD"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B054FD">
              <w:rPr>
                <w:rFonts w:cs="Arial"/>
                <w:b/>
                <w:bCs/>
                <w:i/>
                <w:iCs/>
                <w:color w:val="1C3158"/>
                <w:sz w:val="16"/>
                <w:szCs w:val="16"/>
                <w:lang w:eastAsia="ja-JP"/>
              </w:rPr>
              <w:t>Relationships</w:t>
            </w:r>
          </w:p>
        </w:tc>
      </w:tr>
      <w:tr w:rsidR="00A110B5" w:rsidRPr="00B054FD" w14:paraId="3BC8FD86"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6BD86238" w14:textId="7532EB81"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 xml:space="preserve">Neg. Resp. </w:t>
            </w:r>
            <w:r w:rsidR="00B12BDA">
              <w:rPr>
                <w:rFonts w:cs="Arial"/>
                <w:color w:val="1C3158"/>
                <w:sz w:val="16"/>
                <w:szCs w:val="16"/>
              </w:rPr>
              <w:t>Whānau</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673CF1B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1.96</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281288A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1.59</w:t>
            </w:r>
          </w:p>
        </w:tc>
        <w:tc>
          <w:tcPr>
            <w:tcW w:w="1084" w:type="dxa"/>
            <w:tcBorders>
              <w:top w:val="nil"/>
              <w:left w:val="single" w:sz="12" w:space="0" w:color="FF9E3C"/>
              <w:bottom w:val="nil"/>
              <w:right w:val="single" w:sz="12" w:space="0" w:color="FF9E3C"/>
            </w:tcBorders>
            <w:shd w:val="clear" w:color="000000" w:fill="FFFFFF"/>
            <w:vAlign w:val="center"/>
          </w:tcPr>
          <w:p w14:paraId="6A11097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2AA601A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8.3</w:t>
            </w:r>
          </w:p>
        </w:tc>
        <w:tc>
          <w:tcPr>
            <w:tcW w:w="1020" w:type="dxa"/>
            <w:tcBorders>
              <w:top w:val="nil"/>
              <w:left w:val="single" w:sz="12" w:space="0" w:color="FF9E3C"/>
              <w:bottom w:val="nil"/>
              <w:right w:val="single" w:sz="12" w:space="0" w:color="FF9E3C"/>
            </w:tcBorders>
            <w:shd w:val="clear" w:color="000000" w:fill="FFFFFF"/>
            <w:vAlign w:val="center"/>
          </w:tcPr>
          <w:p w14:paraId="3D9A96E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6E9BBB9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12.8</w:t>
            </w:r>
          </w:p>
        </w:tc>
        <w:tc>
          <w:tcPr>
            <w:tcW w:w="626" w:type="dxa"/>
            <w:tcBorders>
              <w:top w:val="nil"/>
              <w:left w:val="single" w:sz="12" w:space="0" w:color="FF9E3C"/>
              <w:bottom w:val="nil"/>
              <w:right w:val="single" w:sz="12" w:space="0" w:color="FF9E3C"/>
            </w:tcBorders>
            <w:shd w:val="clear" w:color="000000" w:fill="FFFFFF"/>
          </w:tcPr>
          <w:p w14:paraId="6779498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.22</w:t>
            </w:r>
          </w:p>
        </w:tc>
        <w:tc>
          <w:tcPr>
            <w:tcW w:w="709" w:type="dxa"/>
            <w:tcBorders>
              <w:top w:val="nil"/>
              <w:left w:val="single" w:sz="12" w:space="0" w:color="FF9E3C"/>
              <w:bottom w:val="nil"/>
              <w:right w:val="single" w:sz="12" w:space="0" w:color="FF9E3C"/>
            </w:tcBorders>
            <w:shd w:val="clear" w:color="000000" w:fill="FFFFFF"/>
          </w:tcPr>
          <w:p w14:paraId="3305C13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.29</w:t>
            </w:r>
          </w:p>
        </w:tc>
        <w:tc>
          <w:tcPr>
            <w:tcW w:w="850" w:type="dxa"/>
            <w:tcBorders>
              <w:top w:val="nil"/>
              <w:left w:val="single" w:sz="12" w:space="0" w:color="FF9E3C"/>
              <w:bottom w:val="nil"/>
              <w:right w:val="single" w:sz="12" w:space="0" w:color="FF9E3C"/>
            </w:tcBorders>
            <w:shd w:val="clear" w:color="000000" w:fill="FFFFFF"/>
          </w:tcPr>
          <w:p w14:paraId="7ED13AC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.41</w:t>
            </w:r>
          </w:p>
        </w:tc>
      </w:tr>
      <w:tr w:rsidR="00A110B5" w:rsidRPr="00B054FD" w14:paraId="123704F7" w14:textId="77777777" w:rsidTr="00F812A7">
        <w:trPr>
          <w:trHeight w:val="50"/>
        </w:trPr>
        <w:tc>
          <w:tcPr>
            <w:tcW w:w="1701" w:type="dxa"/>
            <w:vMerge/>
            <w:tcBorders>
              <w:top w:val="nil"/>
              <w:left w:val="single" w:sz="12" w:space="0" w:color="FF9E3C"/>
              <w:bottom w:val="single" w:sz="12" w:space="0" w:color="FF9E3C"/>
              <w:right w:val="single" w:sz="12" w:space="0" w:color="FF9E3C"/>
            </w:tcBorders>
            <w:vAlign w:val="center"/>
          </w:tcPr>
          <w:p w14:paraId="28B2C2B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6CE3BEF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7820F7B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23CB40E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785C4A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(1.5,28.5)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1D5C8E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(0.0, 3.6)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189336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(9.8,16.5)</w:t>
            </w:r>
          </w:p>
        </w:tc>
        <w:tc>
          <w:tcPr>
            <w:tcW w:w="626" w:type="dxa"/>
            <w:tcBorders>
              <w:top w:val="nil"/>
              <w:left w:val="single" w:sz="12" w:space="0" w:color="FF9E3C"/>
              <w:bottom w:val="single" w:sz="12" w:space="0" w:color="FF9E3C"/>
              <w:right w:val="single" w:sz="12" w:space="0" w:color="FF9E3C"/>
            </w:tcBorders>
            <w:shd w:val="clear" w:color="000000" w:fill="FFFFFF"/>
          </w:tcPr>
          <w:p w14:paraId="7785455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4EC1F56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01F0E96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22041522"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63C6247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Neg. Resp.</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4371C49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E8ED89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1.90</w:t>
            </w:r>
          </w:p>
        </w:tc>
        <w:tc>
          <w:tcPr>
            <w:tcW w:w="1084" w:type="dxa"/>
            <w:tcBorders>
              <w:top w:val="nil"/>
              <w:left w:val="single" w:sz="12" w:space="0" w:color="FF9E3C"/>
              <w:bottom w:val="nil"/>
              <w:right w:val="single" w:sz="12" w:space="0" w:color="FF9E3C"/>
            </w:tcBorders>
            <w:shd w:val="clear" w:color="000000" w:fill="FFFFFF"/>
            <w:vAlign w:val="center"/>
          </w:tcPr>
          <w:p w14:paraId="491945D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69985F1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158481A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6.2</w:t>
            </w:r>
          </w:p>
        </w:tc>
        <w:tc>
          <w:tcPr>
            <w:tcW w:w="1020" w:type="dxa"/>
            <w:tcBorders>
              <w:top w:val="nil"/>
              <w:left w:val="single" w:sz="12" w:space="0" w:color="FF9E3C"/>
              <w:bottom w:val="nil"/>
              <w:right w:val="single" w:sz="12" w:space="0" w:color="FF9E3C"/>
            </w:tcBorders>
            <w:shd w:val="clear" w:color="000000" w:fill="FFFFFF"/>
            <w:vAlign w:val="center"/>
          </w:tcPr>
          <w:p w14:paraId="176E68B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14.5</w:t>
            </w:r>
          </w:p>
        </w:tc>
        <w:tc>
          <w:tcPr>
            <w:tcW w:w="626" w:type="dxa"/>
            <w:tcBorders>
              <w:top w:val="nil"/>
              <w:left w:val="single" w:sz="12" w:space="0" w:color="FF9E3C"/>
              <w:bottom w:val="nil"/>
              <w:right w:val="single" w:sz="12" w:space="0" w:color="FF9E3C"/>
            </w:tcBorders>
            <w:shd w:val="clear" w:color="000000" w:fill="FFFFFF"/>
          </w:tcPr>
          <w:p w14:paraId="01B3084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.18</w:t>
            </w:r>
          </w:p>
        </w:tc>
        <w:tc>
          <w:tcPr>
            <w:tcW w:w="709" w:type="dxa"/>
            <w:tcBorders>
              <w:top w:val="nil"/>
              <w:left w:val="single" w:sz="12" w:space="0" w:color="FF9E3C"/>
              <w:bottom w:val="nil"/>
              <w:right w:val="single" w:sz="12" w:space="0" w:color="FF9E3C"/>
            </w:tcBorders>
            <w:shd w:val="clear" w:color="000000" w:fill="FFFFFF"/>
          </w:tcPr>
          <w:p w14:paraId="4C5215B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w:t>
            </w:r>
          </w:p>
        </w:tc>
        <w:tc>
          <w:tcPr>
            <w:tcW w:w="850" w:type="dxa"/>
            <w:tcBorders>
              <w:top w:val="nil"/>
              <w:left w:val="single" w:sz="12" w:space="0" w:color="FF9E3C"/>
              <w:bottom w:val="nil"/>
              <w:right w:val="single" w:sz="12" w:space="0" w:color="FF9E3C"/>
            </w:tcBorders>
            <w:shd w:val="clear" w:color="000000" w:fill="FFFFFF"/>
          </w:tcPr>
          <w:p w14:paraId="0417D99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.48</w:t>
            </w:r>
          </w:p>
        </w:tc>
      </w:tr>
      <w:tr w:rsidR="00A110B5" w:rsidRPr="00B054FD" w14:paraId="021B5FE5"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11AB7C9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7AD6778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10B4605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72E1C66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A84FF2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B3CB1A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(2.9,12.3)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278995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(11.3,18.4)</w:t>
            </w:r>
          </w:p>
        </w:tc>
        <w:tc>
          <w:tcPr>
            <w:tcW w:w="626" w:type="dxa"/>
            <w:tcBorders>
              <w:top w:val="nil"/>
              <w:left w:val="single" w:sz="12" w:space="0" w:color="FF9E3C"/>
              <w:bottom w:val="single" w:sz="12" w:space="0" w:color="FF9E3C"/>
              <w:right w:val="single" w:sz="12" w:space="0" w:color="FF9E3C"/>
            </w:tcBorders>
            <w:shd w:val="clear" w:color="000000" w:fill="FFFFFF"/>
          </w:tcPr>
          <w:p w14:paraId="079F0BC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7B947A9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0A3082E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452293A8"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6F3A849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Red. Enjoyment</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32FDA21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1.44</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4740729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1.22</w:t>
            </w:r>
          </w:p>
        </w:tc>
        <w:tc>
          <w:tcPr>
            <w:tcW w:w="1084" w:type="dxa"/>
            <w:tcBorders>
              <w:top w:val="nil"/>
              <w:left w:val="single" w:sz="12" w:space="0" w:color="FF9E3C"/>
              <w:bottom w:val="nil"/>
              <w:right w:val="single" w:sz="12" w:space="0" w:color="FF9E3C"/>
            </w:tcBorders>
            <w:shd w:val="clear" w:color="000000" w:fill="FFFFFF"/>
            <w:vAlign w:val="center"/>
          </w:tcPr>
          <w:p w14:paraId="0E7A19E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7.7</w:t>
            </w:r>
          </w:p>
        </w:tc>
        <w:tc>
          <w:tcPr>
            <w:tcW w:w="1020" w:type="dxa"/>
            <w:tcBorders>
              <w:top w:val="nil"/>
              <w:left w:val="single" w:sz="12" w:space="0" w:color="FF9E3C"/>
              <w:bottom w:val="nil"/>
              <w:right w:val="single" w:sz="12" w:space="0" w:color="FF9E3C"/>
            </w:tcBorders>
            <w:shd w:val="clear" w:color="000000" w:fill="FFFFFF"/>
            <w:vAlign w:val="center"/>
          </w:tcPr>
          <w:p w14:paraId="7D415C9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4F8A996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17.2</w:t>
            </w:r>
          </w:p>
        </w:tc>
        <w:tc>
          <w:tcPr>
            <w:tcW w:w="1020" w:type="dxa"/>
            <w:tcBorders>
              <w:top w:val="nil"/>
              <w:left w:val="single" w:sz="12" w:space="0" w:color="FF9E3C"/>
              <w:bottom w:val="nil"/>
              <w:right w:val="single" w:sz="12" w:space="0" w:color="FF9E3C"/>
            </w:tcBorders>
            <w:shd w:val="clear" w:color="000000" w:fill="FFFFFF"/>
            <w:vAlign w:val="center"/>
          </w:tcPr>
          <w:p w14:paraId="132BB7E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22.8</w:t>
            </w:r>
          </w:p>
        </w:tc>
        <w:tc>
          <w:tcPr>
            <w:tcW w:w="626" w:type="dxa"/>
            <w:tcBorders>
              <w:top w:val="nil"/>
              <w:left w:val="single" w:sz="12" w:space="0" w:color="FF9E3C"/>
              <w:bottom w:val="nil"/>
              <w:right w:val="single" w:sz="12" w:space="0" w:color="FF9E3C"/>
            </w:tcBorders>
            <w:shd w:val="clear" w:color="000000" w:fill="FFFFFF"/>
          </w:tcPr>
          <w:p w14:paraId="0F3A9DD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w:t>
            </w:r>
          </w:p>
        </w:tc>
        <w:tc>
          <w:tcPr>
            <w:tcW w:w="709" w:type="dxa"/>
            <w:tcBorders>
              <w:top w:val="nil"/>
              <w:left w:val="single" w:sz="12" w:space="0" w:color="FF9E3C"/>
              <w:bottom w:val="nil"/>
              <w:right w:val="single" w:sz="12" w:space="0" w:color="FF9E3C"/>
            </w:tcBorders>
            <w:shd w:val="clear" w:color="000000" w:fill="FFFFFF"/>
          </w:tcPr>
          <w:p w14:paraId="56C700A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.33</w:t>
            </w:r>
          </w:p>
        </w:tc>
        <w:tc>
          <w:tcPr>
            <w:tcW w:w="850" w:type="dxa"/>
            <w:tcBorders>
              <w:top w:val="nil"/>
              <w:left w:val="single" w:sz="12" w:space="0" w:color="FF9E3C"/>
              <w:bottom w:val="nil"/>
              <w:right w:val="single" w:sz="12" w:space="0" w:color="FF9E3C"/>
            </w:tcBorders>
            <w:shd w:val="clear" w:color="000000" w:fill="FFFFFF"/>
          </w:tcPr>
          <w:p w14:paraId="2B71BB1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.40</w:t>
            </w:r>
          </w:p>
        </w:tc>
      </w:tr>
      <w:tr w:rsidR="00A110B5" w:rsidRPr="00B054FD" w14:paraId="5CCC75E8"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5A87600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167B0D9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09C5EE3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094FA37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(1.3,26.6)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F3E177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C1816C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(11.3,25.1)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32E167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(18.9,27.2)</w:t>
            </w:r>
          </w:p>
        </w:tc>
        <w:tc>
          <w:tcPr>
            <w:tcW w:w="626" w:type="dxa"/>
            <w:tcBorders>
              <w:top w:val="nil"/>
              <w:left w:val="single" w:sz="12" w:space="0" w:color="FF9E3C"/>
              <w:bottom w:val="single" w:sz="12" w:space="0" w:color="FF9E3C"/>
              <w:right w:val="single" w:sz="12" w:space="0" w:color="FF9E3C"/>
            </w:tcBorders>
            <w:shd w:val="clear" w:color="000000" w:fill="FFFFFF"/>
          </w:tcPr>
          <w:p w14:paraId="7A200AE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3A4FF51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28799EC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5614FA8E"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2AD421AB"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Exp. Violence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271C758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1.37</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09D5EF8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2.66</w:t>
            </w:r>
          </w:p>
        </w:tc>
        <w:tc>
          <w:tcPr>
            <w:tcW w:w="1084" w:type="dxa"/>
            <w:tcBorders>
              <w:top w:val="nil"/>
              <w:left w:val="single" w:sz="12" w:space="0" w:color="FF9E3C"/>
              <w:bottom w:val="nil"/>
              <w:right w:val="single" w:sz="12" w:space="0" w:color="FF9E3C"/>
            </w:tcBorders>
            <w:shd w:val="clear" w:color="000000" w:fill="FFFFFF"/>
            <w:vAlign w:val="center"/>
          </w:tcPr>
          <w:p w14:paraId="6F51B61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2CC3CA8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8.3</w:t>
            </w:r>
          </w:p>
        </w:tc>
        <w:tc>
          <w:tcPr>
            <w:tcW w:w="1020" w:type="dxa"/>
            <w:tcBorders>
              <w:top w:val="nil"/>
              <w:left w:val="single" w:sz="12" w:space="0" w:color="FF9E3C"/>
              <w:bottom w:val="nil"/>
              <w:right w:val="single" w:sz="12" w:space="0" w:color="FF9E3C"/>
            </w:tcBorders>
            <w:shd w:val="clear" w:color="000000" w:fill="FFFFFF"/>
            <w:vAlign w:val="center"/>
          </w:tcPr>
          <w:p w14:paraId="6E3E6B9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9.4</w:t>
            </w:r>
          </w:p>
        </w:tc>
        <w:tc>
          <w:tcPr>
            <w:tcW w:w="1020" w:type="dxa"/>
            <w:tcBorders>
              <w:top w:val="nil"/>
              <w:left w:val="single" w:sz="12" w:space="0" w:color="FF9E3C"/>
              <w:bottom w:val="nil"/>
              <w:right w:val="single" w:sz="12" w:space="0" w:color="FF9E3C"/>
            </w:tcBorders>
            <w:shd w:val="clear" w:color="000000" w:fill="FFFFFF"/>
            <w:vAlign w:val="center"/>
          </w:tcPr>
          <w:p w14:paraId="6BB2A76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14.8</w:t>
            </w:r>
          </w:p>
        </w:tc>
        <w:tc>
          <w:tcPr>
            <w:tcW w:w="626" w:type="dxa"/>
            <w:tcBorders>
              <w:top w:val="nil"/>
              <w:left w:val="single" w:sz="12" w:space="0" w:color="FF9E3C"/>
              <w:bottom w:val="nil"/>
              <w:right w:val="single" w:sz="12" w:space="0" w:color="FF9E3C"/>
            </w:tcBorders>
            <w:shd w:val="clear" w:color="000000" w:fill="FFFFFF"/>
          </w:tcPr>
          <w:p w14:paraId="3FCCAD3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w:t>
            </w:r>
          </w:p>
        </w:tc>
        <w:tc>
          <w:tcPr>
            <w:tcW w:w="709" w:type="dxa"/>
            <w:tcBorders>
              <w:top w:val="nil"/>
              <w:left w:val="single" w:sz="12" w:space="0" w:color="FF9E3C"/>
              <w:bottom w:val="nil"/>
              <w:right w:val="single" w:sz="12" w:space="0" w:color="FF9E3C"/>
            </w:tcBorders>
            <w:shd w:val="clear" w:color="000000" w:fill="FFFFFF"/>
          </w:tcPr>
          <w:p w14:paraId="2A1E545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.45</w:t>
            </w:r>
          </w:p>
        </w:tc>
        <w:tc>
          <w:tcPr>
            <w:tcW w:w="850" w:type="dxa"/>
            <w:tcBorders>
              <w:top w:val="nil"/>
              <w:left w:val="single" w:sz="12" w:space="0" w:color="FF9E3C"/>
              <w:bottom w:val="nil"/>
              <w:right w:val="single" w:sz="12" w:space="0" w:color="FF9E3C"/>
            </w:tcBorders>
            <w:shd w:val="clear" w:color="000000" w:fill="FFFFFF"/>
          </w:tcPr>
          <w:p w14:paraId="6895CE3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.55</w:t>
            </w:r>
          </w:p>
        </w:tc>
      </w:tr>
      <w:tr w:rsidR="00A110B5" w:rsidRPr="00B054FD" w14:paraId="70F78EBE"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7DDD0CF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447A22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B25333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0D2BD9B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64D308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(1.5,28.5)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A4C8BF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(5.2,16.1)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5A1FDB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(11.6,18.6)</w:t>
            </w:r>
          </w:p>
        </w:tc>
        <w:tc>
          <w:tcPr>
            <w:tcW w:w="626" w:type="dxa"/>
            <w:tcBorders>
              <w:top w:val="nil"/>
              <w:left w:val="single" w:sz="12" w:space="0" w:color="FF9E3C"/>
              <w:bottom w:val="single" w:sz="12" w:space="0" w:color="FF9E3C"/>
              <w:right w:val="single" w:sz="12" w:space="0" w:color="FF9E3C"/>
            </w:tcBorders>
            <w:shd w:val="clear" w:color="000000" w:fill="FFFFFF"/>
          </w:tcPr>
          <w:p w14:paraId="528F027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535D5BE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3F9C79C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04854A9E"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642C009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Isolation</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07206EF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1.33</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024DAAB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1.79</w:t>
            </w:r>
          </w:p>
        </w:tc>
        <w:tc>
          <w:tcPr>
            <w:tcW w:w="1084" w:type="dxa"/>
            <w:tcBorders>
              <w:top w:val="nil"/>
              <w:left w:val="single" w:sz="12" w:space="0" w:color="FF9E3C"/>
              <w:bottom w:val="nil"/>
              <w:right w:val="single" w:sz="12" w:space="0" w:color="FF9E3C"/>
            </w:tcBorders>
            <w:shd w:val="clear" w:color="000000" w:fill="FFFFFF"/>
            <w:vAlign w:val="center"/>
          </w:tcPr>
          <w:p w14:paraId="789BC03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11.5</w:t>
            </w:r>
          </w:p>
        </w:tc>
        <w:tc>
          <w:tcPr>
            <w:tcW w:w="1020" w:type="dxa"/>
            <w:tcBorders>
              <w:top w:val="nil"/>
              <w:left w:val="single" w:sz="12" w:space="0" w:color="FF9E3C"/>
              <w:bottom w:val="nil"/>
              <w:right w:val="single" w:sz="12" w:space="0" w:color="FF9E3C"/>
            </w:tcBorders>
            <w:shd w:val="clear" w:color="000000" w:fill="FFFFFF"/>
            <w:vAlign w:val="center"/>
          </w:tcPr>
          <w:p w14:paraId="0A29061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16.7</w:t>
            </w:r>
          </w:p>
        </w:tc>
        <w:tc>
          <w:tcPr>
            <w:tcW w:w="1020" w:type="dxa"/>
            <w:tcBorders>
              <w:top w:val="nil"/>
              <w:left w:val="single" w:sz="12" w:space="0" w:color="FF9E3C"/>
              <w:bottom w:val="nil"/>
              <w:right w:val="single" w:sz="12" w:space="0" w:color="FF9E3C"/>
            </w:tcBorders>
            <w:shd w:val="clear" w:color="000000" w:fill="FFFFFF"/>
            <w:vAlign w:val="center"/>
          </w:tcPr>
          <w:p w14:paraId="62DBC60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13.3</w:t>
            </w:r>
          </w:p>
        </w:tc>
        <w:tc>
          <w:tcPr>
            <w:tcW w:w="1020" w:type="dxa"/>
            <w:tcBorders>
              <w:top w:val="nil"/>
              <w:left w:val="single" w:sz="12" w:space="0" w:color="FF9E3C"/>
              <w:bottom w:val="nil"/>
              <w:right w:val="single" w:sz="12" w:space="0" w:color="FF9E3C"/>
            </w:tcBorders>
            <w:shd w:val="clear" w:color="000000" w:fill="FFFFFF"/>
            <w:vAlign w:val="center"/>
          </w:tcPr>
          <w:p w14:paraId="24489EF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18.6</w:t>
            </w:r>
          </w:p>
        </w:tc>
        <w:tc>
          <w:tcPr>
            <w:tcW w:w="626" w:type="dxa"/>
            <w:tcBorders>
              <w:top w:val="nil"/>
              <w:left w:val="single" w:sz="12" w:space="0" w:color="FF9E3C"/>
              <w:bottom w:val="nil"/>
              <w:right w:val="single" w:sz="12" w:space="0" w:color="FF9E3C"/>
            </w:tcBorders>
            <w:shd w:val="clear" w:color="000000" w:fill="FFFFFF"/>
          </w:tcPr>
          <w:p w14:paraId="1107017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.07</w:t>
            </w:r>
          </w:p>
        </w:tc>
        <w:tc>
          <w:tcPr>
            <w:tcW w:w="709" w:type="dxa"/>
            <w:tcBorders>
              <w:top w:val="nil"/>
              <w:left w:val="single" w:sz="12" w:space="0" w:color="FF9E3C"/>
              <w:bottom w:val="nil"/>
              <w:right w:val="single" w:sz="12" w:space="0" w:color="FF9E3C"/>
            </w:tcBorders>
            <w:shd w:val="clear" w:color="000000" w:fill="FFFFFF"/>
          </w:tcPr>
          <w:p w14:paraId="54D0BBC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.35</w:t>
            </w:r>
          </w:p>
        </w:tc>
        <w:tc>
          <w:tcPr>
            <w:tcW w:w="850" w:type="dxa"/>
            <w:tcBorders>
              <w:top w:val="nil"/>
              <w:left w:val="single" w:sz="12" w:space="0" w:color="FF9E3C"/>
              <w:bottom w:val="nil"/>
              <w:right w:val="single" w:sz="12" w:space="0" w:color="FF9E3C"/>
            </w:tcBorders>
            <w:shd w:val="clear" w:color="000000" w:fill="FFFFFF"/>
          </w:tcPr>
          <w:p w14:paraId="66C090F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.49</w:t>
            </w:r>
          </w:p>
        </w:tc>
      </w:tr>
      <w:tr w:rsidR="00A110B5" w:rsidRPr="00B054FD" w14:paraId="448FE061"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088C337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059E37B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21CB394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0C61003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(3.0,31.3)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051B99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(5.5,38.2)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A4887A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(8.2,20.7)</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B88F04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(15.1,22.8)</w:t>
            </w:r>
          </w:p>
        </w:tc>
        <w:tc>
          <w:tcPr>
            <w:tcW w:w="626" w:type="dxa"/>
            <w:tcBorders>
              <w:top w:val="nil"/>
              <w:left w:val="single" w:sz="12" w:space="0" w:color="FF9E3C"/>
              <w:bottom w:val="single" w:sz="12" w:space="0" w:color="FF9E3C"/>
              <w:right w:val="single" w:sz="12" w:space="0" w:color="FF9E3C"/>
            </w:tcBorders>
            <w:shd w:val="clear" w:color="000000" w:fill="FFFFFF"/>
          </w:tcPr>
          <w:p w14:paraId="3F77B20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6DF4D01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63E0DD1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1E1AF7E8"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5E9FB53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Actual Ending</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2FF7DFD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353F5C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1.58</w:t>
            </w:r>
          </w:p>
        </w:tc>
        <w:tc>
          <w:tcPr>
            <w:tcW w:w="1084" w:type="dxa"/>
            <w:tcBorders>
              <w:top w:val="nil"/>
              <w:left w:val="single" w:sz="12" w:space="0" w:color="FF9E3C"/>
              <w:bottom w:val="nil"/>
              <w:right w:val="single" w:sz="12" w:space="0" w:color="FF9E3C"/>
            </w:tcBorders>
            <w:shd w:val="clear" w:color="000000" w:fill="FFFFFF"/>
            <w:vAlign w:val="center"/>
          </w:tcPr>
          <w:p w14:paraId="5709B57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2A83FAC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2437E4D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10.2</w:t>
            </w:r>
          </w:p>
        </w:tc>
        <w:tc>
          <w:tcPr>
            <w:tcW w:w="1020" w:type="dxa"/>
            <w:tcBorders>
              <w:top w:val="nil"/>
              <w:left w:val="single" w:sz="12" w:space="0" w:color="FF9E3C"/>
              <w:bottom w:val="nil"/>
              <w:right w:val="single" w:sz="12" w:space="0" w:color="FF9E3C"/>
            </w:tcBorders>
            <w:shd w:val="clear" w:color="000000" w:fill="FFFFFF"/>
            <w:vAlign w:val="center"/>
          </w:tcPr>
          <w:p w14:paraId="0F5278A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23.5</w:t>
            </w:r>
          </w:p>
        </w:tc>
        <w:tc>
          <w:tcPr>
            <w:tcW w:w="626" w:type="dxa"/>
            <w:tcBorders>
              <w:top w:val="nil"/>
              <w:left w:val="single" w:sz="12" w:space="0" w:color="FF9E3C"/>
              <w:bottom w:val="nil"/>
              <w:right w:val="single" w:sz="12" w:space="0" w:color="FF9E3C"/>
            </w:tcBorders>
            <w:shd w:val="clear" w:color="000000" w:fill="FFFFFF"/>
          </w:tcPr>
          <w:p w14:paraId="69EA634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w:t>
            </w:r>
          </w:p>
        </w:tc>
        <w:tc>
          <w:tcPr>
            <w:tcW w:w="709" w:type="dxa"/>
            <w:tcBorders>
              <w:top w:val="nil"/>
              <w:left w:val="single" w:sz="12" w:space="0" w:color="FF9E3C"/>
              <w:bottom w:val="nil"/>
              <w:right w:val="single" w:sz="12" w:space="0" w:color="FF9E3C"/>
            </w:tcBorders>
            <w:shd w:val="clear" w:color="000000" w:fill="FFFFFF"/>
          </w:tcPr>
          <w:p w14:paraId="5FEF436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.49</w:t>
            </w:r>
          </w:p>
        </w:tc>
        <w:tc>
          <w:tcPr>
            <w:tcW w:w="850" w:type="dxa"/>
            <w:tcBorders>
              <w:top w:val="nil"/>
              <w:left w:val="single" w:sz="12" w:space="0" w:color="FF9E3C"/>
              <w:bottom w:val="nil"/>
              <w:right w:val="single" w:sz="12" w:space="0" w:color="FF9E3C"/>
            </w:tcBorders>
            <w:shd w:val="clear" w:color="000000" w:fill="FFFFFF"/>
          </w:tcPr>
          <w:p w14:paraId="78F9B17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.44</w:t>
            </w:r>
          </w:p>
        </w:tc>
      </w:tr>
      <w:tr w:rsidR="00A110B5" w:rsidRPr="00B054FD" w14:paraId="53F1A391"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0BA53D8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5D36FB8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215C317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68E1E69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D57F23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1F40D2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(5.7,17.1)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AA8B36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(19.5,27.9)</w:t>
            </w:r>
          </w:p>
        </w:tc>
        <w:tc>
          <w:tcPr>
            <w:tcW w:w="626" w:type="dxa"/>
            <w:tcBorders>
              <w:top w:val="nil"/>
              <w:left w:val="single" w:sz="12" w:space="0" w:color="FF9E3C"/>
              <w:bottom w:val="single" w:sz="12" w:space="0" w:color="FF9E3C"/>
              <w:right w:val="single" w:sz="12" w:space="0" w:color="FF9E3C"/>
            </w:tcBorders>
            <w:shd w:val="clear" w:color="000000" w:fill="FFFFFF"/>
          </w:tcPr>
          <w:p w14:paraId="74F87A5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7B79833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7FAABBC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329E99D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781CE46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Reduced Events</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0772ADB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1.25</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57E1F5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2.17</w:t>
            </w:r>
          </w:p>
        </w:tc>
        <w:tc>
          <w:tcPr>
            <w:tcW w:w="1084" w:type="dxa"/>
            <w:tcBorders>
              <w:top w:val="nil"/>
              <w:left w:val="single" w:sz="12" w:space="0" w:color="FF9E3C"/>
              <w:bottom w:val="nil"/>
              <w:right w:val="single" w:sz="12" w:space="0" w:color="FF9E3C"/>
            </w:tcBorders>
            <w:shd w:val="clear" w:color="000000" w:fill="FFFFFF"/>
            <w:vAlign w:val="center"/>
          </w:tcPr>
          <w:p w14:paraId="6286183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4D5CB3C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8.3</w:t>
            </w:r>
          </w:p>
        </w:tc>
        <w:tc>
          <w:tcPr>
            <w:tcW w:w="1020" w:type="dxa"/>
            <w:tcBorders>
              <w:top w:val="nil"/>
              <w:left w:val="single" w:sz="12" w:space="0" w:color="FF9E3C"/>
              <w:bottom w:val="nil"/>
              <w:right w:val="single" w:sz="12" w:space="0" w:color="FF9E3C"/>
            </w:tcBorders>
            <w:shd w:val="clear" w:color="000000" w:fill="FFFFFF"/>
            <w:vAlign w:val="center"/>
          </w:tcPr>
          <w:p w14:paraId="7868B38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12.5</w:t>
            </w:r>
          </w:p>
        </w:tc>
        <w:tc>
          <w:tcPr>
            <w:tcW w:w="1020" w:type="dxa"/>
            <w:tcBorders>
              <w:top w:val="nil"/>
              <w:left w:val="single" w:sz="12" w:space="0" w:color="FF9E3C"/>
              <w:bottom w:val="nil"/>
              <w:right w:val="single" w:sz="12" w:space="0" w:color="FF9E3C"/>
            </w:tcBorders>
            <w:shd w:val="clear" w:color="000000" w:fill="FFFFFF"/>
            <w:vAlign w:val="center"/>
          </w:tcPr>
          <w:p w14:paraId="63BD0A2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19.1</w:t>
            </w:r>
          </w:p>
        </w:tc>
        <w:tc>
          <w:tcPr>
            <w:tcW w:w="626" w:type="dxa"/>
            <w:tcBorders>
              <w:top w:val="nil"/>
              <w:left w:val="single" w:sz="12" w:space="0" w:color="FF9E3C"/>
              <w:bottom w:val="nil"/>
              <w:right w:val="single" w:sz="12" w:space="0" w:color="FF9E3C"/>
            </w:tcBorders>
            <w:shd w:val="clear" w:color="000000" w:fill="FFFFFF"/>
          </w:tcPr>
          <w:p w14:paraId="663B639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w:t>
            </w:r>
          </w:p>
        </w:tc>
        <w:tc>
          <w:tcPr>
            <w:tcW w:w="709" w:type="dxa"/>
            <w:tcBorders>
              <w:top w:val="nil"/>
              <w:left w:val="single" w:sz="12" w:space="0" w:color="FF9E3C"/>
              <w:bottom w:val="nil"/>
              <w:right w:val="single" w:sz="12" w:space="0" w:color="FF9E3C"/>
            </w:tcBorders>
            <w:shd w:val="clear" w:color="000000" w:fill="FFFFFF"/>
          </w:tcPr>
          <w:p w14:paraId="0F68878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.35</w:t>
            </w:r>
          </w:p>
        </w:tc>
        <w:tc>
          <w:tcPr>
            <w:tcW w:w="850" w:type="dxa"/>
            <w:tcBorders>
              <w:top w:val="nil"/>
              <w:left w:val="single" w:sz="12" w:space="0" w:color="FF9E3C"/>
              <w:bottom w:val="nil"/>
              <w:right w:val="single" w:sz="12" w:space="0" w:color="FF9E3C"/>
            </w:tcBorders>
            <w:shd w:val="clear" w:color="000000" w:fill="FFFFFF"/>
          </w:tcPr>
          <w:p w14:paraId="382305B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.55</w:t>
            </w:r>
          </w:p>
        </w:tc>
      </w:tr>
      <w:tr w:rsidR="00A110B5" w:rsidRPr="00B054FD" w14:paraId="1062417F"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097FAF1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026C8F6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19C5FC9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5B772F9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66916A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(1.5,28.5)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89624D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(7.5,19.8)</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30FF35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(15.5,23.3)</w:t>
            </w:r>
          </w:p>
        </w:tc>
        <w:tc>
          <w:tcPr>
            <w:tcW w:w="626" w:type="dxa"/>
            <w:tcBorders>
              <w:top w:val="nil"/>
              <w:left w:val="single" w:sz="12" w:space="0" w:color="FF9E3C"/>
              <w:bottom w:val="single" w:sz="12" w:space="0" w:color="FF9E3C"/>
              <w:right w:val="single" w:sz="12" w:space="0" w:color="FF9E3C"/>
            </w:tcBorders>
            <w:shd w:val="clear" w:color="000000" w:fill="FFFFFF"/>
          </w:tcPr>
          <w:p w14:paraId="15F83DE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6F6ACDA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6F61A77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7C9536E4"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247760B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Threat Ending</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12C5C2B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1.21</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47CCB55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1.32</w:t>
            </w:r>
          </w:p>
        </w:tc>
        <w:tc>
          <w:tcPr>
            <w:tcW w:w="1084" w:type="dxa"/>
            <w:tcBorders>
              <w:top w:val="nil"/>
              <w:left w:val="single" w:sz="12" w:space="0" w:color="FF9E3C"/>
              <w:bottom w:val="nil"/>
              <w:right w:val="single" w:sz="12" w:space="0" w:color="FF9E3C"/>
            </w:tcBorders>
            <w:shd w:val="clear" w:color="000000" w:fill="FFFFFF"/>
            <w:vAlign w:val="center"/>
          </w:tcPr>
          <w:p w14:paraId="1355749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5065ADB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20.8</w:t>
            </w:r>
          </w:p>
        </w:tc>
        <w:tc>
          <w:tcPr>
            <w:tcW w:w="1020" w:type="dxa"/>
            <w:tcBorders>
              <w:top w:val="nil"/>
              <w:left w:val="single" w:sz="12" w:space="0" w:color="FF9E3C"/>
              <w:bottom w:val="nil"/>
              <w:right w:val="single" w:sz="12" w:space="0" w:color="FF9E3C"/>
            </w:tcBorders>
            <w:shd w:val="clear" w:color="000000" w:fill="FFFFFF"/>
            <w:vAlign w:val="center"/>
          </w:tcPr>
          <w:p w14:paraId="67C6843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10.2</w:t>
            </w:r>
          </w:p>
        </w:tc>
        <w:tc>
          <w:tcPr>
            <w:tcW w:w="1020" w:type="dxa"/>
            <w:tcBorders>
              <w:top w:val="nil"/>
              <w:left w:val="single" w:sz="12" w:space="0" w:color="FF9E3C"/>
              <w:bottom w:val="nil"/>
              <w:right w:val="single" w:sz="12" w:space="0" w:color="FF9E3C"/>
            </w:tcBorders>
            <w:shd w:val="clear" w:color="000000" w:fill="FFFFFF"/>
            <w:vAlign w:val="center"/>
          </w:tcPr>
          <w:p w14:paraId="45CC504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28.1</w:t>
            </w:r>
          </w:p>
        </w:tc>
        <w:tc>
          <w:tcPr>
            <w:tcW w:w="626" w:type="dxa"/>
            <w:tcBorders>
              <w:top w:val="nil"/>
              <w:left w:val="single" w:sz="12" w:space="0" w:color="FF9E3C"/>
              <w:bottom w:val="nil"/>
              <w:right w:val="single" w:sz="12" w:space="0" w:color="FF9E3C"/>
            </w:tcBorders>
            <w:shd w:val="clear" w:color="000000" w:fill="FFFFFF"/>
          </w:tcPr>
          <w:p w14:paraId="4A2FD8F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w:t>
            </w:r>
          </w:p>
        </w:tc>
        <w:tc>
          <w:tcPr>
            <w:tcW w:w="709" w:type="dxa"/>
            <w:tcBorders>
              <w:top w:val="nil"/>
              <w:left w:val="single" w:sz="12" w:space="0" w:color="FF9E3C"/>
              <w:bottom w:val="nil"/>
              <w:right w:val="single" w:sz="12" w:space="0" w:color="FF9E3C"/>
            </w:tcBorders>
            <w:shd w:val="clear" w:color="000000" w:fill="FFFFFF"/>
          </w:tcPr>
          <w:p w14:paraId="28A3E95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850" w:type="dxa"/>
            <w:tcBorders>
              <w:top w:val="nil"/>
              <w:left w:val="single" w:sz="12" w:space="0" w:color="FF9E3C"/>
              <w:bottom w:val="nil"/>
              <w:right w:val="single" w:sz="12" w:space="0" w:color="FF9E3C"/>
            </w:tcBorders>
            <w:shd w:val="clear" w:color="000000" w:fill="FFFFFF"/>
          </w:tcPr>
          <w:p w14:paraId="333B14A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.40</w:t>
            </w:r>
          </w:p>
        </w:tc>
      </w:tr>
      <w:tr w:rsidR="00A110B5" w:rsidRPr="00B054FD" w14:paraId="5BCB2F58"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0367C75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3F55EC8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5E60C8AB"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41FF341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67E4CB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(7.9,42.7)</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652EE9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(5.7,17.1)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696E68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(23.9,32.7)</w:t>
            </w:r>
          </w:p>
        </w:tc>
        <w:tc>
          <w:tcPr>
            <w:tcW w:w="626" w:type="dxa"/>
            <w:tcBorders>
              <w:top w:val="nil"/>
              <w:left w:val="single" w:sz="12" w:space="0" w:color="FF9E3C"/>
              <w:bottom w:val="single" w:sz="12" w:space="0" w:color="FF9E3C"/>
              <w:right w:val="single" w:sz="12" w:space="0" w:color="FF9E3C"/>
            </w:tcBorders>
            <w:shd w:val="clear" w:color="000000" w:fill="FFFFFF"/>
          </w:tcPr>
          <w:p w14:paraId="361779B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3DA4B6F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730D2ED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230BEF17"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1CE42E3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Belittled</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78CCE4D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1.18</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6774F50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2.52</w:t>
            </w:r>
          </w:p>
        </w:tc>
        <w:tc>
          <w:tcPr>
            <w:tcW w:w="1084" w:type="dxa"/>
            <w:tcBorders>
              <w:top w:val="nil"/>
              <w:left w:val="single" w:sz="12" w:space="0" w:color="FF9E3C"/>
              <w:bottom w:val="nil"/>
              <w:right w:val="single" w:sz="12" w:space="0" w:color="FF9E3C"/>
            </w:tcBorders>
            <w:shd w:val="clear" w:color="000000" w:fill="FFFFFF"/>
            <w:vAlign w:val="center"/>
          </w:tcPr>
          <w:p w14:paraId="0CE932C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694D2A2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8.3</w:t>
            </w:r>
          </w:p>
        </w:tc>
        <w:tc>
          <w:tcPr>
            <w:tcW w:w="1020" w:type="dxa"/>
            <w:tcBorders>
              <w:top w:val="nil"/>
              <w:left w:val="single" w:sz="12" w:space="0" w:color="FF9E3C"/>
              <w:bottom w:val="nil"/>
              <w:right w:val="single" w:sz="12" w:space="0" w:color="FF9E3C"/>
            </w:tcBorders>
            <w:shd w:val="clear" w:color="000000" w:fill="FFFFFF"/>
            <w:vAlign w:val="center"/>
          </w:tcPr>
          <w:p w14:paraId="5057B0D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11.7</w:t>
            </w:r>
          </w:p>
        </w:tc>
        <w:tc>
          <w:tcPr>
            <w:tcW w:w="1020" w:type="dxa"/>
            <w:tcBorders>
              <w:top w:val="nil"/>
              <w:left w:val="single" w:sz="12" w:space="0" w:color="FF9E3C"/>
              <w:bottom w:val="nil"/>
              <w:right w:val="single" w:sz="12" w:space="0" w:color="FF9E3C"/>
            </w:tcBorders>
            <w:shd w:val="clear" w:color="000000" w:fill="FFFFFF"/>
            <w:vAlign w:val="center"/>
          </w:tcPr>
          <w:p w14:paraId="4F277C7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19.6</w:t>
            </w:r>
          </w:p>
        </w:tc>
        <w:tc>
          <w:tcPr>
            <w:tcW w:w="626" w:type="dxa"/>
            <w:tcBorders>
              <w:top w:val="nil"/>
              <w:left w:val="single" w:sz="12" w:space="0" w:color="FF9E3C"/>
              <w:bottom w:val="nil"/>
              <w:right w:val="single" w:sz="12" w:space="0" w:color="FF9E3C"/>
            </w:tcBorders>
            <w:shd w:val="clear" w:color="000000" w:fill="FFFFFF"/>
          </w:tcPr>
          <w:p w14:paraId="38DFF8E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w:t>
            </w:r>
          </w:p>
        </w:tc>
        <w:tc>
          <w:tcPr>
            <w:tcW w:w="709" w:type="dxa"/>
            <w:tcBorders>
              <w:top w:val="nil"/>
              <w:left w:val="single" w:sz="12" w:space="0" w:color="FF9E3C"/>
              <w:bottom w:val="nil"/>
              <w:right w:val="single" w:sz="12" w:space="0" w:color="FF9E3C"/>
            </w:tcBorders>
            <w:shd w:val="clear" w:color="000000" w:fill="FFFFFF"/>
          </w:tcPr>
          <w:p w14:paraId="035D0E9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.41</w:t>
            </w:r>
          </w:p>
        </w:tc>
        <w:tc>
          <w:tcPr>
            <w:tcW w:w="850" w:type="dxa"/>
            <w:tcBorders>
              <w:top w:val="nil"/>
              <w:left w:val="single" w:sz="12" w:space="0" w:color="FF9E3C"/>
              <w:bottom w:val="nil"/>
              <w:right w:val="single" w:sz="12" w:space="0" w:color="FF9E3C"/>
            </w:tcBorders>
            <w:shd w:val="clear" w:color="000000" w:fill="FFFFFF"/>
          </w:tcPr>
          <w:p w14:paraId="24065C3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.58</w:t>
            </w:r>
          </w:p>
        </w:tc>
      </w:tr>
      <w:tr w:rsidR="00A110B5" w:rsidRPr="00B054FD" w14:paraId="53B1C2A9"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1BE001A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7BAD05C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37C3FC3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74AF77C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A924D0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(1.5,28.5)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9A0FF3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(6.9,18.9)</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06B073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(16.0,23.8)</w:t>
            </w:r>
          </w:p>
        </w:tc>
        <w:tc>
          <w:tcPr>
            <w:tcW w:w="626" w:type="dxa"/>
            <w:tcBorders>
              <w:top w:val="nil"/>
              <w:left w:val="single" w:sz="12" w:space="0" w:color="FF9E3C"/>
              <w:bottom w:val="single" w:sz="12" w:space="0" w:color="FF9E3C"/>
              <w:right w:val="single" w:sz="12" w:space="0" w:color="FF9E3C"/>
            </w:tcBorders>
            <w:shd w:val="clear" w:color="000000" w:fill="FFFFFF"/>
          </w:tcPr>
          <w:p w14:paraId="4500B1F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46B7C9D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13C6FBA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579C97F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6585AAA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Reduced Time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53F1B48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AA72DF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1.58</w:t>
            </w:r>
          </w:p>
        </w:tc>
        <w:tc>
          <w:tcPr>
            <w:tcW w:w="1084" w:type="dxa"/>
            <w:tcBorders>
              <w:top w:val="nil"/>
              <w:left w:val="single" w:sz="12" w:space="0" w:color="FF9E3C"/>
              <w:bottom w:val="nil"/>
              <w:right w:val="single" w:sz="12" w:space="0" w:color="FF9E3C"/>
            </w:tcBorders>
            <w:shd w:val="clear" w:color="000000" w:fill="FFFFFF"/>
            <w:vAlign w:val="center"/>
          </w:tcPr>
          <w:p w14:paraId="7A9AC91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7.7</w:t>
            </w:r>
          </w:p>
        </w:tc>
        <w:tc>
          <w:tcPr>
            <w:tcW w:w="1020" w:type="dxa"/>
            <w:tcBorders>
              <w:top w:val="nil"/>
              <w:left w:val="single" w:sz="12" w:space="0" w:color="FF9E3C"/>
              <w:bottom w:val="nil"/>
              <w:right w:val="single" w:sz="12" w:space="0" w:color="FF9E3C"/>
            </w:tcBorders>
            <w:shd w:val="clear" w:color="000000" w:fill="FFFFFF"/>
            <w:vAlign w:val="center"/>
          </w:tcPr>
          <w:p w14:paraId="1F21ADC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6A159D1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16.4</w:t>
            </w:r>
          </w:p>
        </w:tc>
        <w:tc>
          <w:tcPr>
            <w:tcW w:w="1020" w:type="dxa"/>
            <w:tcBorders>
              <w:top w:val="nil"/>
              <w:left w:val="single" w:sz="12" w:space="0" w:color="FF9E3C"/>
              <w:bottom w:val="nil"/>
              <w:right w:val="single" w:sz="12" w:space="0" w:color="FF9E3C"/>
            </w:tcBorders>
            <w:shd w:val="clear" w:color="000000" w:fill="FFFFFF"/>
            <w:vAlign w:val="center"/>
          </w:tcPr>
          <w:p w14:paraId="5A3757D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26.4</w:t>
            </w:r>
          </w:p>
        </w:tc>
        <w:tc>
          <w:tcPr>
            <w:tcW w:w="626" w:type="dxa"/>
            <w:tcBorders>
              <w:top w:val="nil"/>
              <w:left w:val="single" w:sz="12" w:space="0" w:color="FF9E3C"/>
              <w:bottom w:val="nil"/>
              <w:right w:val="single" w:sz="12" w:space="0" w:color="FF9E3C"/>
            </w:tcBorders>
            <w:shd w:val="clear" w:color="000000" w:fill="FFFFFF"/>
          </w:tcPr>
          <w:p w14:paraId="1832861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w:t>
            </w:r>
          </w:p>
        </w:tc>
        <w:tc>
          <w:tcPr>
            <w:tcW w:w="709" w:type="dxa"/>
            <w:tcBorders>
              <w:top w:val="nil"/>
              <w:left w:val="single" w:sz="12" w:space="0" w:color="FF9E3C"/>
              <w:bottom w:val="nil"/>
              <w:right w:val="single" w:sz="12" w:space="0" w:color="FF9E3C"/>
            </w:tcBorders>
            <w:shd w:val="clear" w:color="000000" w:fill="FFFFFF"/>
          </w:tcPr>
          <w:p w14:paraId="654EDAC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850" w:type="dxa"/>
            <w:tcBorders>
              <w:top w:val="nil"/>
              <w:left w:val="single" w:sz="12" w:space="0" w:color="FF9E3C"/>
              <w:bottom w:val="nil"/>
              <w:right w:val="single" w:sz="12" w:space="0" w:color="FF9E3C"/>
            </w:tcBorders>
            <w:shd w:val="clear" w:color="000000" w:fill="FFFFFF"/>
          </w:tcPr>
          <w:p w14:paraId="1D2CB80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.51</w:t>
            </w:r>
          </w:p>
        </w:tc>
      </w:tr>
      <w:tr w:rsidR="00A110B5" w:rsidRPr="00B054FD" w14:paraId="56CD9A08"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2D7DE99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52782FE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7D2CB7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1CD5966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(1.3,26.6)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8F81AB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126309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(10.7,24.2)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12283E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(22.3,31.0)</w:t>
            </w:r>
          </w:p>
        </w:tc>
        <w:tc>
          <w:tcPr>
            <w:tcW w:w="626" w:type="dxa"/>
            <w:tcBorders>
              <w:top w:val="nil"/>
              <w:left w:val="single" w:sz="12" w:space="0" w:color="FF9E3C"/>
              <w:bottom w:val="single" w:sz="12" w:space="0" w:color="FF9E3C"/>
              <w:right w:val="single" w:sz="12" w:space="0" w:color="FF9E3C"/>
            </w:tcBorders>
            <w:shd w:val="clear" w:color="000000" w:fill="FFFFFF"/>
          </w:tcPr>
          <w:p w14:paraId="042AB1D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74F59A8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0D3574C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5608D758"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289B176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Increased Conflict</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60DD6C8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0.49</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2998A9D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2.98</w:t>
            </w:r>
          </w:p>
        </w:tc>
        <w:tc>
          <w:tcPr>
            <w:tcW w:w="1084" w:type="dxa"/>
            <w:tcBorders>
              <w:top w:val="nil"/>
              <w:left w:val="single" w:sz="12" w:space="0" w:color="FF9E3C"/>
              <w:bottom w:val="nil"/>
              <w:right w:val="single" w:sz="12" w:space="0" w:color="FF9E3C"/>
            </w:tcBorders>
            <w:shd w:val="clear" w:color="000000" w:fill="FFFFFF"/>
            <w:vAlign w:val="center"/>
          </w:tcPr>
          <w:p w14:paraId="60B9800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4771EA0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20.8</w:t>
            </w:r>
          </w:p>
        </w:tc>
        <w:tc>
          <w:tcPr>
            <w:tcW w:w="1020" w:type="dxa"/>
            <w:tcBorders>
              <w:top w:val="nil"/>
              <w:left w:val="single" w:sz="12" w:space="0" w:color="FF9E3C"/>
              <w:bottom w:val="nil"/>
              <w:right w:val="single" w:sz="12" w:space="0" w:color="FF9E3C"/>
            </w:tcBorders>
            <w:shd w:val="clear" w:color="000000" w:fill="FFFFFF"/>
            <w:vAlign w:val="center"/>
          </w:tcPr>
          <w:p w14:paraId="782C0C0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26.6</w:t>
            </w:r>
          </w:p>
        </w:tc>
        <w:tc>
          <w:tcPr>
            <w:tcW w:w="1020" w:type="dxa"/>
            <w:tcBorders>
              <w:top w:val="nil"/>
              <w:left w:val="single" w:sz="12" w:space="0" w:color="FF9E3C"/>
              <w:bottom w:val="nil"/>
              <w:right w:val="single" w:sz="12" w:space="0" w:color="FF9E3C"/>
            </w:tcBorders>
            <w:shd w:val="clear" w:color="000000" w:fill="FFFFFF"/>
            <w:vAlign w:val="center"/>
          </w:tcPr>
          <w:p w14:paraId="4CD70BB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38.5</w:t>
            </w:r>
          </w:p>
        </w:tc>
        <w:tc>
          <w:tcPr>
            <w:tcW w:w="626" w:type="dxa"/>
            <w:tcBorders>
              <w:top w:val="nil"/>
              <w:left w:val="single" w:sz="12" w:space="0" w:color="FF9E3C"/>
              <w:bottom w:val="nil"/>
              <w:right w:val="single" w:sz="12" w:space="0" w:color="FF9E3C"/>
            </w:tcBorders>
            <w:shd w:val="clear" w:color="000000" w:fill="FFFFFF"/>
          </w:tcPr>
          <w:p w14:paraId="70E93FE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w:t>
            </w:r>
          </w:p>
        </w:tc>
        <w:tc>
          <w:tcPr>
            <w:tcW w:w="709" w:type="dxa"/>
            <w:tcBorders>
              <w:top w:val="nil"/>
              <w:left w:val="single" w:sz="12" w:space="0" w:color="FF9E3C"/>
              <w:bottom w:val="nil"/>
              <w:right w:val="single" w:sz="12" w:space="0" w:color="FF9E3C"/>
            </w:tcBorders>
            <w:shd w:val="clear" w:color="000000" w:fill="FFFFFF"/>
          </w:tcPr>
          <w:p w14:paraId="3F4635C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.56</w:t>
            </w:r>
          </w:p>
        </w:tc>
        <w:tc>
          <w:tcPr>
            <w:tcW w:w="850" w:type="dxa"/>
            <w:tcBorders>
              <w:top w:val="nil"/>
              <w:left w:val="single" w:sz="12" w:space="0" w:color="FF9E3C"/>
              <w:bottom w:val="nil"/>
              <w:right w:val="single" w:sz="12" w:space="0" w:color="FF9E3C"/>
            </w:tcBorders>
            <w:shd w:val="clear" w:color="000000" w:fill="FFFFFF"/>
          </w:tcPr>
          <w:p w14:paraId="0389BC4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.61</w:t>
            </w:r>
          </w:p>
        </w:tc>
      </w:tr>
      <w:tr w:rsidR="00A110B5" w:rsidRPr="00B054FD" w14:paraId="2A23BED4"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2C3A25D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4DCB290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05F310E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58DB0E7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6C76BD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(7.9,42.7)</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B81B55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(19.3,35.2)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A1652A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(33.8,43.4)</w:t>
            </w:r>
          </w:p>
        </w:tc>
        <w:tc>
          <w:tcPr>
            <w:tcW w:w="626" w:type="dxa"/>
            <w:tcBorders>
              <w:top w:val="nil"/>
              <w:left w:val="single" w:sz="12" w:space="0" w:color="FF9E3C"/>
              <w:bottom w:val="single" w:sz="12" w:space="0" w:color="FF9E3C"/>
              <w:right w:val="single" w:sz="12" w:space="0" w:color="FF9E3C"/>
            </w:tcBorders>
            <w:shd w:val="clear" w:color="000000" w:fill="FFFFFF"/>
          </w:tcPr>
          <w:p w14:paraId="156C885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7FB623C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0987646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6C95A516"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385C84B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Increased Tension</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505C0EB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0.36</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6AD38B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2.48</w:t>
            </w:r>
          </w:p>
        </w:tc>
        <w:tc>
          <w:tcPr>
            <w:tcW w:w="1084" w:type="dxa"/>
            <w:tcBorders>
              <w:top w:val="nil"/>
              <w:left w:val="single" w:sz="12" w:space="0" w:color="FF9E3C"/>
              <w:bottom w:val="nil"/>
              <w:right w:val="single" w:sz="12" w:space="0" w:color="FF9E3C"/>
            </w:tcBorders>
            <w:shd w:val="clear" w:color="000000" w:fill="FFFFFF"/>
            <w:vAlign w:val="center"/>
          </w:tcPr>
          <w:p w14:paraId="6E6624E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5FA2194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16.7</w:t>
            </w:r>
          </w:p>
        </w:tc>
        <w:tc>
          <w:tcPr>
            <w:tcW w:w="1020" w:type="dxa"/>
            <w:tcBorders>
              <w:top w:val="nil"/>
              <w:left w:val="single" w:sz="12" w:space="0" w:color="FF9E3C"/>
              <w:bottom w:val="nil"/>
              <w:right w:val="single" w:sz="12" w:space="0" w:color="FF9E3C"/>
            </w:tcBorders>
            <w:shd w:val="clear" w:color="000000" w:fill="FFFFFF"/>
            <w:vAlign w:val="center"/>
          </w:tcPr>
          <w:p w14:paraId="68B028D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28.1</w:t>
            </w:r>
          </w:p>
        </w:tc>
        <w:tc>
          <w:tcPr>
            <w:tcW w:w="1020" w:type="dxa"/>
            <w:tcBorders>
              <w:top w:val="nil"/>
              <w:left w:val="single" w:sz="12" w:space="0" w:color="FF9E3C"/>
              <w:bottom w:val="nil"/>
              <w:right w:val="single" w:sz="12" w:space="0" w:color="FF9E3C"/>
            </w:tcBorders>
            <w:shd w:val="clear" w:color="000000" w:fill="FFFFFF"/>
            <w:vAlign w:val="center"/>
          </w:tcPr>
          <w:p w14:paraId="491B592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45.0</w:t>
            </w:r>
          </w:p>
        </w:tc>
        <w:tc>
          <w:tcPr>
            <w:tcW w:w="626" w:type="dxa"/>
            <w:tcBorders>
              <w:top w:val="nil"/>
              <w:left w:val="single" w:sz="12" w:space="0" w:color="FF9E3C"/>
              <w:bottom w:val="nil"/>
              <w:right w:val="single" w:sz="12" w:space="0" w:color="FF9E3C"/>
            </w:tcBorders>
            <w:shd w:val="clear" w:color="000000" w:fill="FFFFFF"/>
          </w:tcPr>
          <w:p w14:paraId="39373A7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w:t>
            </w:r>
          </w:p>
        </w:tc>
        <w:tc>
          <w:tcPr>
            <w:tcW w:w="709" w:type="dxa"/>
            <w:tcBorders>
              <w:top w:val="nil"/>
              <w:left w:val="single" w:sz="12" w:space="0" w:color="FF9E3C"/>
              <w:bottom w:val="nil"/>
              <w:right w:val="single" w:sz="12" w:space="0" w:color="FF9E3C"/>
            </w:tcBorders>
            <w:shd w:val="clear" w:color="000000" w:fill="FFFFFF"/>
          </w:tcPr>
          <w:p w14:paraId="16CA4A7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.51</w:t>
            </w:r>
          </w:p>
        </w:tc>
        <w:tc>
          <w:tcPr>
            <w:tcW w:w="850" w:type="dxa"/>
            <w:tcBorders>
              <w:top w:val="nil"/>
              <w:left w:val="single" w:sz="12" w:space="0" w:color="FF9E3C"/>
              <w:bottom w:val="nil"/>
              <w:right w:val="single" w:sz="12" w:space="0" w:color="FF9E3C"/>
            </w:tcBorders>
            <w:shd w:val="clear" w:color="000000" w:fill="FFFFFF"/>
          </w:tcPr>
          <w:p w14:paraId="69974DE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.57</w:t>
            </w:r>
          </w:p>
        </w:tc>
      </w:tr>
      <w:tr w:rsidR="00A110B5" w:rsidRPr="00B054FD" w14:paraId="7D9CCE93"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hideMark/>
          </w:tcPr>
          <w:p w14:paraId="43EB1FF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hideMark/>
          </w:tcPr>
          <w:p w14:paraId="2E366B5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78C111A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21CEB86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28498E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(5.5,38.2)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3EA1E0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(20.7,36.9)</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78E92B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(40.2,50.0)</w:t>
            </w:r>
          </w:p>
        </w:tc>
        <w:tc>
          <w:tcPr>
            <w:tcW w:w="626" w:type="dxa"/>
            <w:tcBorders>
              <w:top w:val="nil"/>
              <w:left w:val="single" w:sz="12" w:space="0" w:color="FF9E3C"/>
              <w:bottom w:val="single" w:sz="12" w:space="0" w:color="FF9E3C"/>
              <w:right w:val="single" w:sz="12" w:space="0" w:color="FF9E3C"/>
            </w:tcBorders>
            <w:shd w:val="clear" w:color="000000" w:fill="FFFFFF"/>
          </w:tcPr>
          <w:p w14:paraId="439E40D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292AE00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6CE08D6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415786D4" w14:textId="77777777" w:rsidTr="00F812A7">
        <w:trPr>
          <w:trHeight w:val="113"/>
        </w:trPr>
        <w:tc>
          <w:tcPr>
            <w:tcW w:w="9781" w:type="dxa"/>
            <w:gridSpan w:val="10"/>
            <w:tcBorders>
              <w:top w:val="single" w:sz="12" w:space="0" w:color="FF9E3C"/>
              <w:left w:val="single" w:sz="12" w:space="0" w:color="FF9E3C"/>
              <w:right w:val="single" w:sz="12" w:space="0" w:color="FF9E3C"/>
            </w:tcBorders>
            <w:shd w:val="clear" w:color="000000" w:fill="FFCF8F"/>
            <w:vAlign w:val="center"/>
            <w:hideMark/>
          </w:tcPr>
          <w:p w14:paraId="03ADE5DA" w14:textId="77777777" w:rsidR="00A110B5" w:rsidRPr="00B054FD" w:rsidRDefault="00A110B5" w:rsidP="00406FB4">
            <w:pPr>
              <w:tabs>
                <w:tab w:val="clear" w:pos="426"/>
              </w:tabs>
              <w:spacing w:before="0" w:after="0" w:line="240" w:lineRule="auto"/>
              <w:ind w:left="0" w:right="0"/>
              <w:jc w:val="center"/>
              <w:rPr>
                <w:rFonts w:cs="Arial"/>
                <w:b/>
                <w:bCs/>
                <w:i/>
                <w:iCs/>
                <w:color w:val="1C3158"/>
                <w:sz w:val="16"/>
                <w:szCs w:val="16"/>
                <w:lang w:eastAsia="ja-JP"/>
              </w:rPr>
            </w:pPr>
            <w:r w:rsidRPr="00B054FD">
              <w:rPr>
                <w:rFonts w:cs="Arial"/>
                <w:b/>
                <w:bCs/>
                <w:i/>
                <w:iCs/>
                <w:color w:val="1C3158"/>
                <w:sz w:val="16"/>
                <w:szCs w:val="16"/>
                <w:lang w:eastAsia="ja-JP"/>
              </w:rPr>
              <w:t>Other</w:t>
            </w:r>
          </w:p>
        </w:tc>
      </w:tr>
      <w:tr w:rsidR="00A110B5" w:rsidRPr="00B054FD" w14:paraId="1CDBD796"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55DC5A6A"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Shame Church</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018587D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3.10</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AB8720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1.82</w:t>
            </w:r>
          </w:p>
        </w:tc>
        <w:tc>
          <w:tcPr>
            <w:tcW w:w="1084" w:type="dxa"/>
            <w:tcBorders>
              <w:top w:val="nil"/>
              <w:left w:val="single" w:sz="12" w:space="0" w:color="FF9E3C"/>
              <w:bottom w:val="nil"/>
              <w:right w:val="single" w:sz="12" w:space="0" w:color="FF9E3C"/>
            </w:tcBorders>
            <w:shd w:val="clear" w:color="000000" w:fill="FFFFFF"/>
            <w:vAlign w:val="center"/>
          </w:tcPr>
          <w:p w14:paraId="10FB889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CB37BE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2CA4C9C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8DD72A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w:t>
            </w:r>
          </w:p>
        </w:tc>
        <w:tc>
          <w:tcPr>
            <w:tcW w:w="626" w:type="dxa"/>
            <w:tcBorders>
              <w:top w:val="nil"/>
              <w:left w:val="single" w:sz="12" w:space="0" w:color="FF9E3C"/>
              <w:bottom w:val="nil"/>
              <w:right w:val="single" w:sz="12" w:space="0" w:color="FF9E3C"/>
            </w:tcBorders>
            <w:shd w:val="clear" w:color="000000" w:fill="FFFFFF"/>
          </w:tcPr>
          <w:p w14:paraId="7283E2E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.04</w:t>
            </w:r>
          </w:p>
        </w:tc>
        <w:tc>
          <w:tcPr>
            <w:tcW w:w="709" w:type="dxa"/>
            <w:tcBorders>
              <w:top w:val="nil"/>
              <w:left w:val="single" w:sz="12" w:space="0" w:color="FF9E3C"/>
              <w:bottom w:val="nil"/>
              <w:right w:val="single" w:sz="12" w:space="0" w:color="FF9E3C"/>
            </w:tcBorders>
            <w:shd w:val="clear" w:color="000000" w:fill="FFFFFF"/>
          </w:tcPr>
          <w:p w14:paraId="48A3C1C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w:t>
            </w:r>
          </w:p>
        </w:tc>
        <w:tc>
          <w:tcPr>
            <w:tcW w:w="850" w:type="dxa"/>
            <w:tcBorders>
              <w:top w:val="nil"/>
              <w:left w:val="single" w:sz="12" w:space="0" w:color="FF9E3C"/>
              <w:bottom w:val="nil"/>
              <w:right w:val="single" w:sz="12" w:space="0" w:color="FF9E3C"/>
            </w:tcBorders>
            <w:shd w:val="clear" w:color="000000" w:fill="FFFFFF"/>
          </w:tcPr>
          <w:p w14:paraId="4D4CF83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w:t>
            </w:r>
          </w:p>
        </w:tc>
      </w:tr>
      <w:tr w:rsidR="00A110B5" w:rsidRPr="00B054FD" w14:paraId="26FC6AF9" w14:textId="77777777" w:rsidTr="00F812A7">
        <w:trPr>
          <w:trHeight w:val="50"/>
        </w:trPr>
        <w:tc>
          <w:tcPr>
            <w:tcW w:w="1701" w:type="dxa"/>
            <w:vMerge/>
            <w:tcBorders>
              <w:top w:val="nil"/>
              <w:left w:val="single" w:sz="12" w:space="0" w:color="FF9E3C"/>
              <w:bottom w:val="single" w:sz="12" w:space="0" w:color="FF9E3C"/>
              <w:right w:val="single" w:sz="12" w:space="0" w:color="FF9E3C"/>
            </w:tcBorders>
            <w:vAlign w:val="center"/>
          </w:tcPr>
          <w:p w14:paraId="38EA5B6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11C143F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3E58B0B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6B7F7A5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4849DF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EABEDA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4C92E5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(0.9, 3.9)</w:t>
            </w:r>
          </w:p>
        </w:tc>
        <w:tc>
          <w:tcPr>
            <w:tcW w:w="626" w:type="dxa"/>
            <w:tcBorders>
              <w:top w:val="nil"/>
              <w:left w:val="single" w:sz="12" w:space="0" w:color="FF9E3C"/>
              <w:bottom w:val="single" w:sz="12" w:space="0" w:color="FF9E3C"/>
              <w:right w:val="single" w:sz="12" w:space="0" w:color="FF9E3C"/>
            </w:tcBorders>
            <w:shd w:val="clear" w:color="000000" w:fill="FFFFFF"/>
          </w:tcPr>
          <w:p w14:paraId="150346B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39BD0AD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24568A1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17589DEC"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3CA0AB6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Arrested Driving</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7ADC32D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3.02</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6C96F9D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1.99</w:t>
            </w:r>
          </w:p>
        </w:tc>
        <w:tc>
          <w:tcPr>
            <w:tcW w:w="1084" w:type="dxa"/>
            <w:tcBorders>
              <w:top w:val="nil"/>
              <w:left w:val="single" w:sz="12" w:space="0" w:color="FF9E3C"/>
              <w:bottom w:val="nil"/>
              <w:right w:val="single" w:sz="12" w:space="0" w:color="FF9E3C"/>
            </w:tcBorders>
            <w:shd w:val="clear" w:color="000000" w:fill="FFFFFF"/>
            <w:vAlign w:val="center"/>
          </w:tcPr>
          <w:p w14:paraId="76FC36B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4CC544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6DC96E5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w:t>
            </w:r>
          </w:p>
        </w:tc>
        <w:tc>
          <w:tcPr>
            <w:tcW w:w="1020" w:type="dxa"/>
            <w:tcBorders>
              <w:top w:val="nil"/>
              <w:left w:val="single" w:sz="12" w:space="0" w:color="FF9E3C"/>
              <w:bottom w:val="nil"/>
              <w:right w:val="single" w:sz="12" w:space="0" w:color="FF9E3C"/>
            </w:tcBorders>
            <w:shd w:val="clear" w:color="000000" w:fill="FFFFFF"/>
            <w:vAlign w:val="center"/>
          </w:tcPr>
          <w:p w14:paraId="639A33C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w:t>
            </w:r>
          </w:p>
        </w:tc>
        <w:tc>
          <w:tcPr>
            <w:tcW w:w="626" w:type="dxa"/>
            <w:tcBorders>
              <w:top w:val="nil"/>
              <w:left w:val="single" w:sz="12" w:space="0" w:color="FF9E3C"/>
              <w:bottom w:val="nil"/>
              <w:right w:val="single" w:sz="12" w:space="0" w:color="FF9E3C"/>
            </w:tcBorders>
            <w:shd w:val="clear" w:color="000000" w:fill="FFFFFF"/>
          </w:tcPr>
          <w:p w14:paraId="2DC13A0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w:t>
            </w:r>
          </w:p>
        </w:tc>
        <w:tc>
          <w:tcPr>
            <w:tcW w:w="709" w:type="dxa"/>
            <w:tcBorders>
              <w:top w:val="nil"/>
              <w:left w:val="single" w:sz="12" w:space="0" w:color="FF9E3C"/>
              <w:bottom w:val="nil"/>
              <w:right w:val="single" w:sz="12" w:space="0" w:color="FF9E3C"/>
            </w:tcBorders>
            <w:shd w:val="clear" w:color="000000" w:fill="FFFFFF"/>
          </w:tcPr>
          <w:p w14:paraId="68DBE52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w:t>
            </w:r>
          </w:p>
        </w:tc>
        <w:tc>
          <w:tcPr>
            <w:tcW w:w="850" w:type="dxa"/>
            <w:tcBorders>
              <w:top w:val="nil"/>
              <w:left w:val="single" w:sz="12" w:space="0" w:color="FF9E3C"/>
              <w:bottom w:val="nil"/>
              <w:right w:val="single" w:sz="12" w:space="0" w:color="FF9E3C"/>
            </w:tcBorders>
            <w:shd w:val="clear" w:color="000000" w:fill="FFFFFF"/>
          </w:tcPr>
          <w:p w14:paraId="56F1DA8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w:t>
            </w:r>
          </w:p>
        </w:tc>
      </w:tr>
      <w:tr w:rsidR="00A110B5" w:rsidRPr="00B054FD" w14:paraId="6C27A7C0"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3DAF216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02A14EE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015BB4C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3633022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DE5493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03636D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(0.3, 6.1)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AE2C5F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(0.6, 3.3)</w:t>
            </w:r>
          </w:p>
        </w:tc>
        <w:tc>
          <w:tcPr>
            <w:tcW w:w="626" w:type="dxa"/>
            <w:tcBorders>
              <w:top w:val="nil"/>
              <w:left w:val="single" w:sz="12" w:space="0" w:color="FF9E3C"/>
              <w:bottom w:val="single" w:sz="12" w:space="0" w:color="FF9E3C"/>
              <w:right w:val="single" w:sz="12" w:space="0" w:color="FF9E3C"/>
            </w:tcBorders>
            <w:shd w:val="clear" w:color="000000" w:fill="FFFFFF"/>
          </w:tcPr>
          <w:p w14:paraId="68D1C29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5221F7B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7C29D6F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556A0C8B"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485B669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Red. Contrib. Community</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757C643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3.01</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401E2B6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1.54</w:t>
            </w:r>
          </w:p>
        </w:tc>
        <w:tc>
          <w:tcPr>
            <w:tcW w:w="1084" w:type="dxa"/>
            <w:tcBorders>
              <w:top w:val="nil"/>
              <w:left w:val="single" w:sz="12" w:space="0" w:color="FF9E3C"/>
              <w:bottom w:val="nil"/>
              <w:right w:val="single" w:sz="12" w:space="0" w:color="FF9E3C"/>
            </w:tcBorders>
            <w:shd w:val="clear" w:color="000000" w:fill="FFFFFF"/>
            <w:vAlign w:val="center"/>
          </w:tcPr>
          <w:p w14:paraId="60743E4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6685E92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3A4F7D2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w:t>
            </w:r>
          </w:p>
        </w:tc>
        <w:tc>
          <w:tcPr>
            <w:tcW w:w="1020" w:type="dxa"/>
            <w:tcBorders>
              <w:top w:val="nil"/>
              <w:left w:val="single" w:sz="12" w:space="0" w:color="FF9E3C"/>
              <w:bottom w:val="nil"/>
              <w:right w:val="single" w:sz="12" w:space="0" w:color="FF9E3C"/>
            </w:tcBorders>
            <w:shd w:val="clear" w:color="000000" w:fill="FFFFFF"/>
            <w:vAlign w:val="center"/>
          </w:tcPr>
          <w:p w14:paraId="1681FDA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w:t>
            </w:r>
          </w:p>
        </w:tc>
        <w:tc>
          <w:tcPr>
            <w:tcW w:w="626" w:type="dxa"/>
            <w:tcBorders>
              <w:top w:val="nil"/>
              <w:left w:val="single" w:sz="12" w:space="0" w:color="FF9E3C"/>
              <w:bottom w:val="nil"/>
              <w:right w:val="single" w:sz="12" w:space="0" w:color="FF9E3C"/>
            </w:tcBorders>
            <w:shd w:val="clear" w:color="000000" w:fill="FFFFFF"/>
          </w:tcPr>
          <w:p w14:paraId="13ED463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.07</w:t>
            </w:r>
          </w:p>
        </w:tc>
        <w:tc>
          <w:tcPr>
            <w:tcW w:w="709" w:type="dxa"/>
            <w:tcBorders>
              <w:top w:val="nil"/>
              <w:left w:val="single" w:sz="12" w:space="0" w:color="FF9E3C"/>
              <w:bottom w:val="nil"/>
              <w:right w:val="single" w:sz="12" w:space="0" w:color="FF9E3C"/>
            </w:tcBorders>
            <w:shd w:val="clear" w:color="000000" w:fill="FFFFFF"/>
          </w:tcPr>
          <w:p w14:paraId="10AA7AB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w:t>
            </w:r>
          </w:p>
        </w:tc>
        <w:tc>
          <w:tcPr>
            <w:tcW w:w="850" w:type="dxa"/>
            <w:tcBorders>
              <w:top w:val="nil"/>
              <w:left w:val="single" w:sz="12" w:space="0" w:color="FF9E3C"/>
              <w:bottom w:val="nil"/>
              <w:right w:val="single" w:sz="12" w:space="0" w:color="FF9E3C"/>
            </w:tcBorders>
            <w:shd w:val="clear" w:color="000000" w:fill="FFFFFF"/>
          </w:tcPr>
          <w:p w14:paraId="7732080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.22</w:t>
            </w:r>
          </w:p>
        </w:tc>
      </w:tr>
      <w:tr w:rsidR="00A110B5" w:rsidRPr="00B054FD" w14:paraId="316E4DBE"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607005D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449CDEA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511756F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076FD31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802DEC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129003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(0.6, 7.2)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CFAE16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(1.8, 5.5)</w:t>
            </w:r>
          </w:p>
        </w:tc>
        <w:tc>
          <w:tcPr>
            <w:tcW w:w="626" w:type="dxa"/>
            <w:tcBorders>
              <w:top w:val="nil"/>
              <w:left w:val="single" w:sz="12" w:space="0" w:color="FF9E3C"/>
              <w:bottom w:val="single" w:sz="12" w:space="0" w:color="FF9E3C"/>
              <w:right w:val="single" w:sz="12" w:space="0" w:color="FF9E3C"/>
            </w:tcBorders>
            <w:shd w:val="clear" w:color="000000" w:fill="FFFFFF"/>
          </w:tcPr>
          <w:p w14:paraId="2FA5091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6959F8A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3BA4842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21B3DF08"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6FA944B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Outcast Church</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4BBF1B3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2.99</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D84FAD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2.41</w:t>
            </w:r>
          </w:p>
        </w:tc>
        <w:tc>
          <w:tcPr>
            <w:tcW w:w="1084" w:type="dxa"/>
            <w:tcBorders>
              <w:top w:val="nil"/>
              <w:left w:val="single" w:sz="12" w:space="0" w:color="FF9E3C"/>
              <w:bottom w:val="nil"/>
              <w:right w:val="single" w:sz="12" w:space="0" w:color="FF9E3C"/>
            </w:tcBorders>
            <w:shd w:val="clear" w:color="000000" w:fill="FFFFFF"/>
            <w:vAlign w:val="center"/>
          </w:tcPr>
          <w:p w14:paraId="71987B8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01C7A71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6362B88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5D4D3D2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w:t>
            </w:r>
          </w:p>
        </w:tc>
        <w:tc>
          <w:tcPr>
            <w:tcW w:w="626" w:type="dxa"/>
            <w:tcBorders>
              <w:top w:val="nil"/>
              <w:left w:val="single" w:sz="12" w:space="0" w:color="FF9E3C"/>
              <w:bottom w:val="nil"/>
              <w:right w:val="single" w:sz="12" w:space="0" w:color="FF9E3C"/>
            </w:tcBorders>
            <w:shd w:val="clear" w:color="000000" w:fill="FFFFFF"/>
          </w:tcPr>
          <w:p w14:paraId="7730D20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w:t>
            </w:r>
          </w:p>
        </w:tc>
        <w:tc>
          <w:tcPr>
            <w:tcW w:w="709" w:type="dxa"/>
            <w:tcBorders>
              <w:top w:val="nil"/>
              <w:left w:val="single" w:sz="12" w:space="0" w:color="FF9E3C"/>
              <w:bottom w:val="nil"/>
              <w:right w:val="single" w:sz="12" w:space="0" w:color="FF9E3C"/>
            </w:tcBorders>
            <w:shd w:val="clear" w:color="000000" w:fill="FFFFFF"/>
          </w:tcPr>
          <w:p w14:paraId="26F6E30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w:t>
            </w:r>
          </w:p>
        </w:tc>
        <w:tc>
          <w:tcPr>
            <w:tcW w:w="850" w:type="dxa"/>
            <w:tcBorders>
              <w:top w:val="nil"/>
              <w:left w:val="single" w:sz="12" w:space="0" w:color="FF9E3C"/>
              <w:bottom w:val="nil"/>
              <w:right w:val="single" w:sz="12" w:space="0" w:color="FF9E3C"/>
            </w:tcBorders>
            <w:shd w:val="clear" w:color="000000" w:fill="FFFFFF"/>
          </w:tcPr>
          <w:p w14:paraId="686FBD0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w:t>
            </w:r>
          </w:p>
        </w:tc>
      </w:tr>
      <w:tr w:rsidR="00A110B5" w:rsidRPr="00B054FD" w14:paraId="534731C6"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0C800AC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72B2C9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3E5AA00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35BB14F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51F7C4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3EF8D0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80137B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(0.4, 3.0)</w:t>
            </w:r>
          </w:p>
        </w:tc>
        <w:tc>
          <w:tcPr>
            <w:tcW w:w="626" w:type="dxa"/>
            <w:tcBorders>
              <w:top w:val="nil"/>
              <w:left w:val="single" w:sz="12" w:space="0" w:color="FF9E3C"/>
              <w:bottom w:val="single" w:sz="12" w:space="0" w:color="FF9E3C"/>
              <w:right w:val="single" w:sz="12" w:space="0" w:color="FF9E3C"/>
            </w:tcBorders>
            <w:shd w:val="clear" w:color="000000" w:fill="FFFFFF"/>
          </w:tcPr>
          <w:p w14:paraId="01C2D42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2A5194E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16C9B59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63BAF717"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6D4D585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Red. Contrib. Church</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4B41D7A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2.84</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37FB967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1.80</w:t>
            </w:r>
          </w:p>
        </w:tc>
        <w:tc>
          <w:tcPr>
            <w:tcW w:w="1084" w:type="dxa"/>
            <w:tcBorders>
              <w:top w:val="nil"/>
              <w:left w:val="single" w:sz="12" w:space="0" w:color="FF9E3C"/>
              <w:bottom w:val="nil"/>
              <w:right w:val="single" w:sz="12" w:space="0" w:color="FF9E3C"/>
            </w:tcBorders>
            <w:shd w:val="clear" w:color="000000" w:fill="FFFFFF"/>
            <w:vAlign w:val="center"/>
          </w:tcPr>
          <w:p w14:paraId="49C7F07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66065D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0B2F987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0.8</w:t>
            </w:r>
          </w:p>
        </w:tc>
        <w:tc>
          <w:tcPr>
            <w:tcW w:w="1020" w:type="dxa"/>
            <w:tcBorders>
              <w:top w:val="nil"/>
              <w:left w:val="single" w:sz="12" w:space="0" w:color="FF9E3C"/>
              <w:bottom w:val="nil"/>
              <w:right w:val="single" w:sz="12" w:space="0" w:color="FF9E3C"/>
            </w:tcBorders>
            <w:shd w:val="clear" w:color="000000" w:fill="FFFFFF"/>
            <w:vAlign w:val="center"/>
          </w:tcPr>
          <w:p w14:paraId="3BF8B8E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2.9</w:t>
            </w:r>
          </w:p>
        </w:tc>
        <w:tc>
          <w:tcPr>
            <w:tcW w:w="626" w:type="dxa"/>
            <w:tcBorders>
              <w:top w:val="nil"/>
              <w:left w:val="single" w:sz="12" w:space="0" w:color="FF9E3C"/>
              <w:bottom w:val="nil"/>
              <w:right w:val="single" w:sz="12" w:space="0" w:color="FF9E3C"/>
            </w:tcBorders>
            <w:shd w:val="clear" w:color="000000" w:fill="FFFFFF"/>
          </w:tcPr>
          <w:p w14:paraId="4FDABEE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w:t>
            </w:r>
          </w:p>
        </w:tc>
        <w:tc>
          <w:tcPr>
            <w:tcW w:w="709" w:type="dxa"/>
            <w:tcBorders>
              <w:top w:val="nil"/>
              <w:left w:val="single" w:sz="12" w:space="0" w:color="FF9E3C"/>
              <w:bottom w:val="nil"/>
              <w:right w:val="single" w:sz="12" w:space="0" w:color="FF9E3C"/>
            </w:tcBorders>
            <w:shd w:val="clear" w:color="000000" w:fill="FFFFFF"/>
          </w:tcPr>
          <w:p w14:paraId="15D9775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w:t>
            </w:r>
          </w:p>
        </w:tc>
        <w:tc>
          <w:tcPr>
            <w:tcW w:w="850" w:type="dxa"/>
            <w:tcBorders>
              <w:top w:val="nil"/>
              <w:left w:val="single" w:sz="12" w:space="0" w:color="FF9E3C"/>
              <w:bottom w:val="nil"/>
              <w:right w:val="single" w:sz="12" w:space="0" w:color="FF9E3C"/>
            </w:tcBorders>
            <w:shd w:val="clear" w:color="000000" w:fill="FFFFFF"/>
          </w:tcPr>
          <w:p w14:paraId="52C4D20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w:t>
            </w:r>
          </w:p>
        </w:tc>
      </w:tr>
      <w:tr w:rsidR="00A110B5" w:rsidRPr="00B054FD" w14:paraId="3DACC6CD" w14:textId="77777777" w:rsidTr="00F812A7">
        <w:trPr>
          <w:trHeight w:val="156"/>
        </w:trPr>
        <w:tc>
          <w:tcPr>
            <w:tcW w:w="1701" w:type="dxa"/>
            <w:vMerge/>
            <w:tcBorders>
              <w:top w:val="nil"/>
              <w:left w:val="single" w:sz="12" w:space="0" w:color="FF9E3C"/>
              <w:bottom w:val="single" w:sz="12" w:space="0" w:color="FF9E3C"/>
              <w:right w:val="single" w:sz="12" w:space="0" w:color="FF9E3C"/>
            </w:tcBorders>
            <w:vAlign w:val="center"/>
          </w:tcPr>
          <w:p w14:paraId="16A61A4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7D4BD9DB"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1F19740"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0C44534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43BD39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631FB6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(0.0, 4.9)</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687C38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(1.6, 5.2)</w:t>
            </w:r>
          </w:p>
        </w:tc>
        <w:tc>
          <w:tcPr>
            <w:tcW w:w="626" w:type="dxa"/>
            <w:tcBorders>
              <w:top w:val="nil"/>
              <w:left w:val="single" w:sz="12" w:space="0" w:color="FF9E3C"/>
              <w:bottom w:val="single" w:sz="12" w:space="0" w:color="FF9E3C"/>
              <w:right w:val="single" w:sz="12" w:space="0" w:color="FF9E3C"/>
            </w:tcBorders>
            <w:shd w:val="clear" w:color="000000" w:fill="FFFFFF"/>
          </w:tcPr>
          <w:p w14:paraId="516471E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1572616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600F153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678AAC0F"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285383A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Children Unsup.</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26EFA8E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2.77</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32FF8C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1.65</w:t>
            </w:r>
          </w:p>
        </w:tc>
        <w:tc>
          <w:tcPr>
            <w:tcW w:w="1084" w:type="dxa"/>
            <w:tcBorders>
              <w:top w:val="nil"/>
              <w:left w:val="single" w:sz="12" w:space="0" w:color="FF9E3C"/>
              <w:bottom w:val="nil"/>
              <w:right w:val="single" w:sz="12" w:space="0" w:color="FF9E3C"/>
            </w:tcBorders>
            <w:shd w:val="clear" w:color="000000" w:fill="FFFFFF"/>
            <w:vAlign w:val="center"/>
          </w:tcPr>
          <w:p w14:paraId="7267564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01661B9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53E41D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w:t>
            </w:r>
          </w:p>
        </w:tc>
        <w:tc>
          <w:tcPr>
            <w:tcW w:w="1020" w:type="dxa"/>
            <w:tcBorders>
              <w:top w:val="nil"/>
              <w:left w:val="single" w:sz="12" w:space="0" w:color="FF9E3C"/>
              <w:bottom w:val="nil"/>
              <w:right w:val="single" w:sz="12" w:space="0" w:color="FF9E3C"/>
            </w:tcBorders>
            <w:shd w:val="clear" w:color="000000" w:fill="FFFFFF"/>
            <w:vAlign w:val="center"/>
          </w:tcPr>
          <w:p w14:paraId="0071570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3.6</w:t>
            </w:r>
          </w:p>
        </w:tc>
        <w:tc>
          <w:tcPr>
            <w:tcW w:w="626" w:type="dxa"/>
            <w:tcBorders>
              <w:top w:val="nil"/>
              <w:left w:val="single" w:sz="12" w:space="0" w:color="FF9E3C"/>
              <w:bottom w:val="nil"/>
              <w:right w:val="single" w:sz="12" w:space="0" w:color="FF9E3C"/>
            </w:tcBorders>
            <w:shd w:val="clear" w:color="000000" w:fill="FFFFFF"/>
          </w:tcPr>
          <w:p w14:paraId="1723D4F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.07</w:t>
            </w:r>
          </w:p>
        </w:tc>
        <w:tc>
          <w:tcPr>
            <w:tcW w:w="709" w:type="dxa"/>
            <w:tcBorders>
              <w:top w:val="nil"/>
              <w:left w:val="single" w:sz="12" w:space="0" w:color="FF9E3C"/>
              <w:bottom w:val="nil"/>
              <w:right w:val="single" w:sz="12" w:space="0" w:color="FF9E3C"/>
            </w:tcBorders>
            <w:shd w:val="clear" w:color="000000" w:fill="FFFFFF"/>
          </w:tcPr>
          <w:p w14:paraId="54AE27D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.22</w:t>
            </w:r>
          </w:p>
        </w:tc>
        <w:tc>
          <w:tcPr>
            <w:tcW w:w="850" w:type="dxa"/>
            <w:tcBorders>
              <w:top w:val="nil"/>
              <w:left w:val="single" w:sz="12" w:space="0" w:color="FF9E3C"/>
              <w:bottom w:val="nil"/>
              <w:right w:val="single" w:sz="12" w:space="0" w:color="FF9E3C"/>
            </w:tcBorders>
            <w:shd w:val="clear" w:color="000000" w:fill="FFFFFF"/>
          </w:tcPr>
          <w:p w14:paraId="383BC1E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w:t>
            </w:r>
          </w:p>
        </w:tc>
      </w:tr>
      <w:tr w:rsidR="00A110B5" w:rsidRPr="00B054FD" w14:paraId="22502310"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4DF79FE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FBF373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55B5227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20F772D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FFD6C8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8389F3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(0.6, 7.2)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F41526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(2.1, 6.1)</w:t>
            </w:r>
          </w:p>
        </w:tc>
        <w:tc>
          <w:tcPr>
            <w:tcW w:w="626" w:type="dxa"/>
            <w:tcBorders>
              <w:top w:val="nil"/>
              <w:left w:val="single" w:sz="12" w:space="0" w:color="FF9E3C"/>
              <w:bottom w:val="single" w:sz="12" w:space="0" w:color="FF9E3C"/>
              <w:right w:val="single" w:sz="12" w:space="0" w:color="FF9E3C"/>
            </w:tcBorders>
            <w:shd w:val="clear" w:color="000000" w:fill="FFFFFF"/>
          </w:tcPr>
          <w:p w14:paraId="48032D8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3CF78F4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003F955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3F05D0AC"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775DE01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Red. Connec. Church</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676B0BA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2.70</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10AAE72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2.22</w:t>
            </w:r>
          </w:p>
        </w:tc>
        <w:tc>
          <w:tcPr>
            <w:tcW w:w="1084" w:type="dxa"/>
            <w:tcBorders>
              <w:top w:val="nil"/>
              <w:left w:val="single" w:sz="12" w:space="0" w:color="FF9E3C"/>
              <w:bottom w:val="nil"/>
              <w:right w:val="single" w:sz="12" w:space="0" w:color="FF9E3C"/>
            </w:tcBorders>
            <w:shd w:val="clear" w:color="000000" w:fill="FFFFFF"/>
            <w:vAlign w:val="center"/>
          </w:tcPr>
          <w:p w14:paraId="077282B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4F0D34C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8AF1DD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0117E57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2.4</w:t>
            </w:r>
          </w:p>
        </w:tc>
        <w:tc>
          <w:tcPr>
            <w:tcW w:w="626" w:type="dxa"/>
            <w:tcBorders>
              <w:top w:val="nil"/>
              <w:left w:val="single" w:sz="12" w:space="0" w:color="FF9E3C"/>
              <w:bottom w:val="nil"/>
              <w:right w:val="single" w:sz="12" w:space="0" w:color="FF9E3C"/>
            </w:tcBorders>
            <w:shd w:val="clear" w:color="000000" w:fill="FFFFFF"/>
          </w:tcPr>
          <w:p w14:paraId="0CCB00D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.01</w:t>
            </w:r>
          </w:p>
        </w:tc>
        <w:tc>
          <w:tcPr>
            <w:tcW w:w="709" w:type="dxa"/>
            <w:tcBorders>
              <w:top w:val="nil"/>
              <w:left w:val="single" w:sz="12" w:space="0" w:color="FF9E3C"/>
              <w:bottom w:val="nil"/>
              <w:right w:val="single" w:sz="12" w:space="0" w:color="FF9E3C"/>
            </w:tcBorders>
            <w:shd w:val="clear" w:color="000000" w:fill="FFFFFF"/>
          </w:tcPr>
          <w:p w14:paraId="62EB0BB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w:t>
            </w:r>
          </w:p>
        </w:tc>
        <w:tc>
          <w:tcPr>
            <w:tcW w:w="850" w:type="dxa"/>
            <w:tcBorders>
              <w:top w:val="nil"/>
              <w:left w:val="single" w:sz="12" w:space="0" w:color="FF9E3C"/>
              <w:bottom w:val="nil"/>
              <w:right w:val="single" w:sz="12" w:space="0" w:color="FF9E3C"/>
            </w:tcBorders>
            <w:shd w:val="clear" w:color="000000" w:fill="FFFFFF"/>
          </w:tcPr>
          <w:p w14:paraId="6E2C92B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.29</w:t>
            </w:r>
          </w:p>
        </w:tc>
      </w:tr>
      <w:tr w:rsidR="00A110B5" w:rsidRPr="00B054FD" w14:paraId="65D4DFF5"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5D232DE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29A5B5F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5542888A"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747CFEB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A453BA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D0E48E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8100B5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(1.2, 4.6)</w:t>
            </w:r>
          </w:p>
        </w:tc>
        <w:tc>
          <w:tcPr>
            <w:tcW w:w="626" w:type="dxa"/>
            <w:tcBorders>
              <w:top w:val="nil"/>
              <w:left w:val="single" w:sz="12" w:space="0" w:color="FF9E3C"/>
              <w:bottom w:val="single" w:sz="12" w:space="0" w:color="FF9E3C"/>
              <w:right w:val="single" w:sz="12" w:space="0" w:color="FF9E3C"/>
            </w:tcBorders>
            <w:shd w:val="clear" w:color="000000" w:fill="FFFFFF"/>
          </w:tcPr>
          <w:p w14:paraId="5A906D6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71C3312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6842CD8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25FD3288"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32A0A14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Shame Community</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57571FF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2.39</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447323E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2.01</w:t>
            </w:r>
          </w:p>
        </w:tc>
        <w:tc>
          <w:tcPr>
            <w:tcW w:w="1084" w:type="dxa"/>
            <w:tcBorders>
              <w:top w:val="nil"/>
              <w:left w:val="single" w:sz="12" w:space="0" w:color="FF9E3C"/>
              <w:bottom w:val="nil"/>
              <w:right w:val="single" w:sz="12" w:space="0" w:color="FF9E3C"/>
            </w:tcBorders>
            <w:shd w:val="clear" w:color="000000" w:fill="FFFFFF"/>
            <w:vAlign w:val="center"/>
          </w:tcPr>
          <w:p w14:paraId="1034F31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5A5F811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1CE83C3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0.8</w:t>
            </w:r>
          </w:p>
        </w:tc>
        <w:tc>
          <w:tcPr>
            <w:tcW w:w="1020" w:type="dxa"/>
            <w:tcBorders>
              <w:top w:val="nil"/>
              <w:left w:val="single" w:sz="12" w:space="0" w:color="FF9E3C"/>
              <w:bottom w:val="nil"/>
              <w:right w:val="single" w:sz="12" w:space="0" w:color="FF9E3C"/>
            </w:tcBorders>
            <w:shd w:val="clear" w:color="000000" w:fill="FFFFFF"/>
            <w:vAlign w:val="center"/>
          </w:tcPr>
          <w:p w14:paraId="145B53F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5.3</w:t>
            </w:r>
          </w:p>
        </w:tc>
        <w:tc>
          <w:tcPr>
            <w:tcW w:w="626" w:type="dxa"/>
            <w:tcBorders>
              <w:top w:val="nil"/>
              <w:left w:val="single" w:sz="12" w:space="0" w:color="FF9E3C"/>
              <w:bottom w:val="nil"/>
              <w:right w:val="single" w:sz="12" w:space="0" w:color="FF9E3C"/>
            </w:tcBorders>
            <w:shd w:val="clear" w:color="000000" w:fill="FFFFFF"/>
          </w:tcPr>
          <w:p w14:paraId="0EB1DF5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w:t>
            </w:r>
          </w:p>
        </w:tc>
        <w:tc>
          <w:tcPr>
            <w:tcW w:w="709" w:type="dxa"/>
            <w:tcBorders>
              <w:top w:val="nil"/>
              <w:left w:val="single" w:sz="12" w:space="0" w:color="FF9E3C"/>
              <w:bottom w:val="nil"/>
              <w:right w:val="single" w:sz="12" w:space="0" w:color="FF9E3C"/>
            </w:tcBorders>
            <w:shd w:val="clear" w:color="000000" w:fill="FFFFFF"/>
          </w:tcPr>
          <w:p w14:paraId="58D2AD1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.25</w:t>
            </w:r>
          </w:p>
        </w:tc>
        <w:tc>
          <w:tcPr>
            <w:tcW w:w="850" w:type="dxa"/>
            <w:tcBorders>
              <w:top w:val="nil"/>
              <w:left w:val="single" w:sz="12" w:space="0" w:color="FF9E3C"/>
              <w:bottom w:val="nil"/>
              <w:right w:val="single" w:sz="12" w:space="0" w:color="FF9E3C"/>
            </w:tcBorders>
            <w:shd w:val="clear" w:color="000000" w:fill="FFFFFF"/>
          </w:tcPr>
          <w:p w14:paraId="2546BE3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.36</w:t>
            </w:r>
          </w:p>
        </w:tc>
      </w:tr>
      <w:tr w:rsidR="00A110B5" w:rsidRPr="00B054FD" w14:paraId="7D5B61E4"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7D88555B"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723F8EF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0B5CDDA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04B0C2A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C28A98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EFD967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(0.0, 4.9)</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181F99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(3.4, 8.1)</w:t>
            </w:r>
          </w:p>
        </w:tc>
        <w:tc>
          <w:tcPr>
            <w:tcW w:w="626" w:type="dxa"/>
            <w:tcBorders>
              <w:top w:val="nil"/>
              <w:left w:val="single" w:sz="12" w:space="0" w:color="FF9E3C"/>
              <w:bottom w:val="single" w:sz="12" w:space="0" w:color="FF9E3C"/>
              <w:right w:val="single" w:sz="12" w:space="0" w:color="FF9E3C"/>
            </w:tcBorders>
            <w:shd w:val="clear" w:color="000000" w:fill="FFFFFF"/>
          </w:tcPr>
          <w:p w14:paraId="6251160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5BC80F1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24F8F1A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0A12FD7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35C759F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Outcast Comm.</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3BD264F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2.36</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11783F9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2.70</w:t>
            </w:r>
          </w:p>
        </w:tc>
        <w:tc>
          <w:tcPr>
            <w:tcW w:w="1084" w:type="dxa"/>
            <w:tcBorders>
              <w:top w:val="nil"/>
              <w:left w:val="single" w:sz="12" w:space="0" w:color="FF9E3C"/>
              <w:bottom w:val="nil"/>
              <w:right w:val="single" w:sz="12" w:space="0" w:color="FF9E3C"/>
            </w:tcBorders>
            <w:shd w:val="clear" w:color="000000" w:fill="FFFFFF"/>
            <w:vAlign w:val="center"/>
          </w:tcPr>
          <w:p w14:paraId="4D2C078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2D299C1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3054D95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223D6E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3.6</w:t>
            </w:r>
          </w:p>
        </w:tc>
        <w:tc>
          <w:tcPr>
            <w:tcW w:w="626" w:type="dxa"/>
            <w:tcBorders>
              <w:top w:val="nil"/>
              <w:left w:val="single" w:sz="12" w:space="0" w:color="FF9E3C"/>
              <w:bottom w:val="nil"/>
              <w:right w:val="single" w:sz="12" w:space="0" w:color="FF9E3C"/>
            </w:tcBorders>
            <w:shd w:val="clear" w:color="000000" w:fill="FFFFFF"/>
          </w:tcPr>
          <w:p w14:paraId="73F7F0A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w:t>
            </w:r>
          </w:p>
        </w:tc>
        <w:tc>
          <w:tcPr>
            <w:tcW w:w="709" w:type="dxa"/>
            <w:tcBorders>
              <w:top w:val="nil"/>
              <w:left w:val="single" w:sz="12" w:space="0" w:color="FF9E3C"/>
              <w:bottom w:val="nil"/>
              <w:right w:val="single" w:sz="12" w:space="0" w:color="FF9E3C"/>
            </w:tcBorders>
            <w:shd w:val="clear" w:color="000000" w:fill="FFFFFF"/>
          </w:tcPr>
          <w:p w14:paraId="09D8DC6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w:t>
            </w:r>
          </w:p>
        </w:tc>
        <w:tc>
          <w:tcPr>
            <w:tcW w:w="850" w:type="dxa"/>
            <w:tcBorders>
              <w:top w:val="nil"/>
              <w:left w:val="single" w:sz="12" w:space="0" w:color="FF9E3C"/>
              <w:bottom w:val="nil"/>
              <w:right w:val="single" w:sz="12" w:space="0" w:color="FF9E3C"/>
            </w:tcBorders>
            <w:shd w:val="clear" w:color="000000" w:fill="FFFFFF"/>
          </w:tcPr>
          <w:p w14:paraId="5F8B9D0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.37</w:t>
            </w:r>
          </w:p>
        </w:tc>
      </w:tr>
      <w:tr w:rsidR="00A110B5" w:rsidRPr="00B054FD" w14:paraId="342978D6"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159195D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0D2F39D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7CBD9C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126EA93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A5EA1D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B73561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(0.0, 3.6)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2B9EDB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(2.1, 6.1)</w:t>
            </w:r>
          </w:p>
        </w:tc>
        <w:tc>
          <w:tcPr>
            <w:tcW w:w="626" w:type="dxa"/>
            <w:tcBorders>
              <w:top w:val="nil"/>
              <w:left w:val="single" w:sz="12" w:space="0" w:color="FF9E3C"/>
              <w:bottom w:val="single" w:sz="12" w:space="0" w:color="FF9E3C"/>
              <w:right w:val="single" w:sz="12" w:space="0" w:color="FF9E3C"/>
            </w:tcBorders>
            <w:shd w:val="clear" w:color="000000" w:fill="FFFFFF"/>
          </w:tcPr>
          <w:p w14:paraId="61E27FD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49504C9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289696F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2D311366"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360D890D"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Crime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404F935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2.33</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47D50FE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3.09</w:t>
            </w:r>
          </w:p>
        </w:tc>
        <w:tc>
          <w:tcPr>
            <w:tcW w:w="1084" w:type="dxa"/>
            <w:tcBorders>
              <w:top w:val="nil"/>
              <w:left w:val="single" w:sz="12" w:space="0" w:color="FF9E3C"/>
              <w:bottom w:val="nil"/>
              <w:right w:val="single" w:sz="12" w:space="0" w:color="FF9E3C"/>
            </w:tcBorders>
            <w:shd w:val="clear" w:color="000000" w:fill="FFFFFF"/>
            <w:vAlign w:val="center"/>
          </w:tcPr>
          <w:p w14:paraId="53CF145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A4B184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3DEF461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w:t>
            </w:r>
          </w:p>
        </w:tc>
        <w:tc>
          <w:tcPr>
            <w:tcW w:w="1020" w:type="dxa"/>
            <w:tcBorders>
              <w:top w:val="nil"/>
              <w:left w:val="single" w:sz="12" w:space="0" w:color="FF9E3C"/>
              <w:bottom w:val="nil"/>
              <w:right w:val="single" w:sz="12" w:space="0" w:color="FF9E3C"/>
            </w:tcBorders>
            <w:shd w:val="clear" w:color="000000" w:fill="FFFFFF"/>
            <w:vAlign w:val="center"/>
          </w:tcPr>
          <w:p w14:paraId="1F61BD1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2.7</w:t>
            </w:r>
          </w:p>
        </w:tc>
        <w:tc>
          <w:tcPr>
            <w:tcW w:w="626" w:type="dxa"/>
            <w:tcBorders>
              <w:top w:val="nil"/>
              <w:left w:val="single" w:sz="12" w:space="0" w:color="FF9E3C"/>
              <w:bottom w:val="nil"/>
              <w:right w:val="single" w:sz="12" w:space="0" w:color="FF9E3C"/>
            </w:tcBorders>
            <w:shd w:val="clear" w:color="000000" w:fill="FFFFFF"/>
          </w:tcPr>
          <w:p w14:paraId="039F430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.06</w:t>
            </w:r>
          </w:p>
        </w:tc>
        <w:tc>
          <w:tcPr>
            <w:tcW w:w="709" w:type="dxa"/>
            <w:tcBorders>
              <w:top w:val="nil"/>
              <w:left w:val="single" w:sz="12" w:space="0" w:color="FF9E3C"/>
              <w:bottom w:val="nil"/>
              <w:right w:val="single" w:sz="12" w:space="0" w:color="FF9E3C"/>
            </w:tcBorders>
            <w:shd w:val="clear" w:color="000000" w:fill="FFFFFF"/>
          </w:tcPr>
          <w:p w14:paraId="0FDAC46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w:t>
            </w:r>
          </w:p>
        </w:tc>
        <w:tc>
          <w:tcPr>
            <w:tcW w:w="850" w:type="dxa"/>
            <w:tcBorders>
              <w:top w:val="nil"/>
              <w:left w:val="single" w:sz="12" w:space="0" w:color="FF9E3C"/>
              <w:bottom w:val="nil"/>
              <w:right w:val="single" w:sz="12" w:space="0" w:color="FF9E3C"/>
            </w:tcBorders>
            <w:shd w:val="clear" w:color="000000" w:fill="FFFFFF"/>
          </w:tcPr>
          <w:p w14:paraId="56AC5B2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.36</w:t>
            </w:r>
          </w:p>
        </w:tc>
      </w:tr>
      <w:tr w:rsidR="00A110B5" w:rsidRPr="00B054FD" w14:paraId="1AF68288"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4EC2070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04952CC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69E3AAD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5E1D6D5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9F98DA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5BB5B9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(0.3, 6.1)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FB489B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(1.4, 4.9)</w:t>
            </w:r>
          </w:p>
        </w:tc>
        <w:tc>
          <w:tcPr>
            <w:tcW w:w="626" w:type="dxa"/>
            <w:tcBorders>
              <w:top w:val="nil"/>
              <w:left w:val="single" w:sz="12" w:space="0" w:color="FF9E3C"/>
              <w:bottom w:val="single" w:sz="12" w:space="0" w:color="FF9E3C"/>
              <w:right w:val="single" w:sz="12" w:space="0" w:color="FF9E3C"/>
            </w:tcBorders>
            <w:shd w:val="clear" w:color="000000" w:fill="FFFFFF"/>
          </w:tcPr>
          <w:p w14:paraId="2C14FD1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3C3F192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5BB3C76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3A0E8C1F"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7DFA5E6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Theft Government</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09040B0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2.17</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7B26F5C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2.36</w:t>
            </w:r>
          </w:p>
        </w:tc>
        <w:tc>
          <w:tcPr>
            <w:tcW w:w="1084" w:type="dxa"/>
            <w:tcBorders>
              <w:top w:val="nil"/>
              <w:left w:val="single" w:sz="12" w:space="0" w:color="FF9E3C"/>
              <w:bottom w:val="nil"/>
              <w:right w:val="single" w:sz="12" w:space="0" w:color="FF9E3C"/>
            </w:tcBorders>
            <w:shd w:val="clear" w:color="000000" w:fill="FFFFFF"/>
            <w:vAlign w:val="center"/>
          </w:tcPr>
          <w:p w14:paraId="20AF0FD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7700327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5D9D5E1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w:t>
            </w:r>
          </w:p>
        </w:tc>
        <w:tc>
          <w:tcPr>
            <w:tcW w:w="1020" w:type="dxa"/>
            <w:tcBorders>
              <w:top w:val="nil"/>
              <w:left w:val="single" w:sz="12" w:space="0" w:color="FF9E3C"/>
              <w:bottom w:val="nil"/>
              <w:right w:val="single" w:sz="12" w:space="0" w:color="FF9E3C"/>
            </w:tcBorders>
            <w:shd w:val="clear" w:color="000000" w:fill="FFFFFF"/>
            <w:vAlign w:val="center"/>
          </w:tcPr>
          <w:p w14:paraId="792E93C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5.3</w:t>
            </w:r>
          </w:p>
        </w:tc>
        <w:tc>
          <w:tcPr>
            <w:tcW w:w="626" w:type="dxa"/>
            <w:tcBorders>
              <w:top w:val="nil"/>
              <w:left w:val="single" w:sz="12" w:space="0" w:color="FF9E3C"/>
              <w:bottom w:val="nil"/>
              <w:right w:val="single" w:sz="12" w:space="0" w:color="FF9E3C"/>
            </w:tcBorders>
            <w:shd w:val="clear" w:color="000000" w:fill="FFFFFF"/>
          </w:tcPr>
          <w:p w14:paraId="0AE939A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.07</w:t>
            </w:r>
          </w:p>
        </w:tc>
        <w:tc>
          <w:tcPr>
            <w:tcW w:w="709" w:type="dxa"/>
            <w:tcBorders>
              <w:top w:val="nil"/>
              <w:left w:val="single" w:sz="12" w:space="0" w:color="FF9E3C"/>
              <w:bottom w:val="nil"/>
              <w:right w:val="single" w:sz="12" w:space="0" w:color="FF9E3C"/>
            </w:tcBorders>
            <w:shd w:val="clear" w:color="000000" w:fill="FFFFFF"/>
          </w:tcPr>
          <w:p w14:paraId="305674C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.35</w:t>
            </w:r>
          </w:p>
        </w:tc>
        <w:tc>
          <w:tcPr>
            <w:tcW w:w="850" w:type="dxa"/>
            <w:tcBorders>
              <w:top w:val="nil"/>
              <w:left w:val="single" w:sz="12" w:space="0" w:color="FF9E3C"/>
              <w:bottom w:val="nil"/>
              <w:right w:val="single" w:sz="12" w:space="0" w:color="FF9E3C"/>
            </w:tcBorders>
            <w:shd w:val="clear" w:color="000000" w:fill="FFFFFF"/>
          </w:tcPr>
          <w:p w14:paraId="7FCB6C8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r>
      <w:tr w:rsidR="00A110B5" w:rsidRPr="00B054FD" w14:paraId="1FDB8CAC"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5B225375"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4EE8934F"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4B68157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730B5E6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(0.0,16.0)</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632554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3FEBBB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(1.0, 8.3)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E735DE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(3.4, 8.1)</w:t>
            </w:r>
          </w:p>
        </w:tc>
        <w:tc>
          <w:tcPr>
            <w:tcW w:w="626" w:type="dxa"/>
            <w:tcBorders>
              <w:top w:val="nil"/>
              <w:left w:val="single" w:sz="12" w:space="0" w:color="FF9E3C"/>
              <w:bottom w:val="single" w:sz="12" w:space="0" w:color="FF9E3C"/>
              <w:right w:val="single" w:sz="12" w:space="0" w:color="FF9E3C"/>
            </w:tcBorders>
            <w:shd w:val="clear" w:color="000000" w:fill="FFFFFF"/>
          </w:tcPr>
          <w:p w14:paraId="2AE6304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5BD6C0A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58AA7F1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7FAB365E"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44B0761B"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Red. Connec. Community</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40AFB88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2.17</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30481C1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2.03</w:t>
            </w:r>
          </w:p>
        </w:tc>
        <w:tc>
          <w:tcPr>
            <w:tcW w:w="1084" w:type="dxa"/>
            <w:tcBorders>
              <w:top w:val="nil"/>
              <w:left w:val="single" w:sz="12" w:space="0" w:color="FF9E3C"/>
              <w:bottom w:val="nil"/>
              <w:right w:val="single" w:sz="12" w:space="0" w:color="FF9E3C"/>
            </w:tcBorders>
            <w:shd w:val="clear" w:color="000000" w:fill="FFFFFF"/>
            <w:vAlign w:val="center"/>
          </w:tcPr>
          <w:p w14:paraId="596B806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0C295FD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4.2</w:t>
            </w:r>
          </w:p>
        </w:tc>
        <w:tc>
          <w:tcPr>
            <w:tcW w:w="1020" w:type="dxa"/>
            <w:tcBorders>
              <w:top w:val="nil"/>
              <w:left w:val="single" w:sz="12" w:space="0" w:color="FF9E3C"/>
              <w:bottom w:val="nil"/>
              <w:right w:val="single" w:sz="12" w:space="0" w:color="FF9E3C"/>
            </w:tcBorders>
            <w:shd w:val="clear" w:color="000000" w:fill="FFFFFF"/>
            <w:vAlign w:val="center"/>
          </w:tcPr>
          <w:p w14:paraId="2A4E509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0.8</w:t>
            </w:r>
          </w:p>
        </w:tc>
        <w:tc>
          <w:tcPr>
            <w:tcW w:w="1020" w:type="dxa"/>
            <w:tcBorders>
              <w:top w:val="nil"/>
              <w:left w:val="single" w:sz="12" w:space="0" w:color="FF9E3C"/>
              <w:bottom w:val="nil"/>
              <w:right w:val="single" w:sz="12" w:space="0" w:color="FF9E3C"/>
            </w:tcBorders>
            <w:shd w:val="clear" w:color="000000" w:fill="FFFFFF"/>
            <w:vAlign w:val="center"/>
          </w:tcPr>
          <w:p w14:paraId="19774F8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7.0</w:t>
            </w:r>
          </w:p>
        </w:tc>
        <w:tc>
          <w:tcPr>
            <w:tcW w:w="626" w:type="dxa"/>
            <w:tcBorders>
              <w:top w:val="nil"/>
              <w:left w:val="single" w:sz="12" w:space="0" w:color="FF9E3C"/>
              <w:bottom w:val="nil"/>
              <w:right w:val="single" w:sz="12" w:space="0" w:color="FF9E3C"/>
            </w:tcBorders>
            <w:shd w:val="clear" w:color="000000" w:fill="FFFFFF"/>
          </w:tcPr>
          <w:p w14:paraId="1132EC9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.09</w:t>
            </w:r>
          </w:p>
        </w:tc>
        <w:tc>
          <w:tcPr>
            <w:tcW w:w="709" w:type="dxa"/>
            <w:tcBorders>
              <w:top w:val="nil"/>
              <w:left w:val="single" w:sz="12" w:space="0" w:color="FF9E3C"/>
              <w:bottom w:val="nil"/>
              <w:right w:val="single" w:sz="12" w:space="0" w:color="FF9E3C"/>
            </w:tcBorders>
            <w:shd w:val="clear" w:color="000000" w:fill="FFFFFF"/>
          </w:tcPr>
          <w:p w14:paraId="69AB7B6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.30</w:t>
            </w:r>
          </w:p>
        </w:tc>
        <w:tc>
          <w:tcPr>
            <w:tcW w:w="850" w:type="dxa"/>
            <w:tcBorders>
              <w:top w:val="nil"/>
              <w:left w:val="single" w:sz="12" w:space="0" w:color="FF9E3C"/>
              <w:bottom w:val="nil"/>
              <w:right w:val="single" w:sz="12" w:space="0" w:color="FF9E3C"/>
            </w:tcBorders>
            <w:shd w:val="clear" w:color="000000" w:fill="FFFFFF"/>
          </w:tcPr>
          <w:p w14:paraId="72AA05B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.36</w:t>
            </w:r>
          </w:p>
        </w:tc>
      </w:tr>
      <w:tr w:rsidR="00A110B5" w:rsidRPr="00B054FD" w14:paraId="796DED2B"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6651A72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6586C934"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7EE1ACA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32A9579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591018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(0.2,23.1)</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46F3BC0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(0.0, 4.9)</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F8156A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(4.8,10.0)</w:t>
            </w:r>
          </w:p>
        </w:tc>
        <w:tc>
          <w:tcPr>
            <w:tcW w:w="626" w:type="dxa"/>
            <w:tcBorders>
              <w:top w:val="nil"/>
              <w:left w:val="single" w:sz="12" w:space="0" w:color="FF9E3C"/>
              <w:bottom w:val="single" w:sz="12" w:space="0" w:color="FF9E3C"/>
              <w:right w:val="single" w:sz="12" w:space="0" w:color="FF9E3C"/>
            </w:tcBorders>
            <w:shd w:val="clear" w:color="000000" w:fill="FFFFFF"/>
          </w:tcPr>
          <w:p w14:paraId="6FE5ECA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62B5A8E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6E1D69B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6B55D380"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09307A58"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Violence</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23D22ED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2.14</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515C337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1.29</w:t>
            </w:r>
          </w:p>
        </w:tc>
        <w:tc>
          <w:tcPr>
            <w:tcW w:w="1084" w:type="dxa"/>
            <w:tcBorders>
              <w:top w:val="nil"/>
              <w:left w:val="single" w:sz="12" w:space="0" w:color="FF9E3C"/>
              <w:bottom w:val="nil"/>
              <w:right w:val="single" w:sz="12" w:space="0" w:color="FF9E3C"/>
            </w:tcBorders>
            <w:shd w:val="clear" w:color="000000" w:fill="FFFFFF"/>
            <w:vAlign w:val="center"/>
          </w:tcPr>
          <w:p w14:paraId="592F470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05C3C4F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4268C64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4.7</w:t>
            </w:r>
          </w:p>
        </w:tc>
        <w:tc>
          <w:tcPr>
            <w:tcW w:w="1020" w:type="dxa"/>
            <w:tcBorders>
              <w:top w:val="nil"/>
              <w:left w:val="single" w:sz="12" w:space="0" w:color="FF9E3C"/>
              <w:bottom w:val="nil"/>
              <w:right w:val="single" w:sz="12" w:space="0" w:color="FF9E3C"/>
            </w:tcBorders>
            <w:shd w:val="clear" w:color="000000" w:fill="FFFFFF"/>
            <w:vAlign w:val="center"/>
          </w:tcPr>
          <w:p w14:paraId="488C27C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13.1</w:t>
            </w:r>
          </w:p>
        </w:tc>
        <w:tc>
          <w:tcPr>
            <w:tcW w:w="626" w:type="dxa"/>
            <w:tcBorders>
              <w:top w:val="nil"/>
              <w:left w:val="single" w:sz="12" w:space="0" w:color="FF9E3C"/>
              <w:bottom w:val="nil"/>
              <w:right w:val="single" w:sz="12" w:space="0" w:color="FF9E3C"/>
            </w:tcBorders>
            <w:shd w:val="clear" w:color="000000" w:fill="FFFFFF"/>
          </w:tcPr>
          <w:p w14:paraId="43DED2C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w:t>
            </w:r>
          </w:p>
        </w:tc>
        <w:tc>
          <w:tcPr>
            <w:tcW w:w="709" w:type="dxa"/>
            <w:tcBorders>
              <w:top w:val="nil"/>
              <w:left w:val="single" w:sz="12" w:space="0" w:color="FF9E3C"/>
              <w:bottom w:val="nil"/>
              <w:right w:val="single" w:sz="12" w:space="0" w:color="FF9E3C"/>
            </w:tcBorders>
            <w:shd w:val="clear" w:color="000000" w:fill="FFFFFF"/>
          </w:tcPr>
          <w:p w14:paraId="56494C8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.50</w:t>
            </w:r>
          </w:p>
        </w:tc>
        <w:tc>
          <w:tcPr>
            <w:tcW w:w="850" w:type="dxa"/>
            <w:tcBorders>
              <w:top w:val="nil"/>
              <w:left w:val="single" w:sz="12" w:space="0" w:color="FF9E3C"/>
              <w:bottom w:val="nil"/>
              <w:right w:val="single" w:sz="12" w:space="0" w:color="FF9E3C"/>
            </w:tcBorders>
            <w:shd w:val="clear" w:color="000000" w:fill="FFFFFF"/>
          </w:tcPr>
          <w:p w14:paraId="550992E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.31</w:t>
            </w:r>
          </w:p>
        </w:tc>
      </w:tr>
      <w:tr w:rsidR="00A110B5" w:rsidRPr="00B054FD" w14:paraId="7063B3BE"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569FD40E"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4C96EEFB"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555B017A"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1F548D8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9C700B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274141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(1.9,10.4)</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A32E65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(10.1,16.8)</w:t>
            </w:r>
          </w:p>
        </w:tc>
        <w:tc>
          <w:tcPr>
            <w:tcW w:w="626" w:type="dxa"/>
            <w:tcBorders>
              <w:top w:val="nil"/>
              <w:left w:val="single" w:sz="12" w:space="0" w:color="FF9E3C"/>
              <w:bottom w:val="single" w:sz="12" w:space="0" w:color="FF9E3C"/>
              <w:right w:val="single" w:sz="12" w:space="0" w:color="FF9E3C"/>
            </w:tcBorders>
            <w:shd w:val="clear" w:color="000000" w:fill="FFFFFF"/>
          </w:tcPr>
          <w:p w14:paraId="7DBB250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0F87F80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6E41E10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5A948135"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3BF38253"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Children Neglected</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07DB7F3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2.05</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0AAB813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1.68</w:t>
            </w:r>
          </w:p>
        </w:tc>
        <w:tc>
          <w:tcPr>
            <w:tcW w:w="1084" w:type="dxa"/>
            <w:tcBorders>
              <w:top w:val="nil"/>
              <w:left w:val="single" w:sz="12" w:space="0" w:color="FF9E3C"/>
              <w:bottom w:val="nil"/>
              <w:right w:val="single" w:sz="12" w:space="0" w:color="FF9E3C"/>
            </w:tcBorders>
            <w:shd w:val="clear" w:color="000000" w:fill="FFFFFF"/>
            <w:vAlign w:val="center"/>
          </w:tcPr>
          <w:p w14:paraId="70893C4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5BDB329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8.3</w:t>
            </w:r>
          </w:p>
        </w:tc>
        <w:tc>
          <w:tcPr>
            <w:tcW w:w="1020" w:type="dxa"/>
            <w:tcBorders>
              <w:top w:val="nil"/>
              <w:left w:val="single" w:sz="12" w:space="0" w:color="FF9E3C"/>
              <w:bottom w:val="nil"/>
              <w:right w:val="single" w:sz="12" w:space="0" w:color="FF9E3C"/>
            </w:tcBorders>
            <w:shd w:val="clear" w:color="000000" w:fill="FFFFFF"/>
            <w:vAlign w:val="center"/>
          </w:tcPr>
          <w:p w14:paraId="03306B7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6.2</w:t>
            </w:r>
          </w:p>
        </w:tc>
        <w:tc>
          <w:tcPr>
            <w:tcW w:w="1020" w:type="dxa"/>
            <w:tcBorders>
              <w:top w:val="nil"/>
              <w:left w:val="single" w:sz="12" w:space="0" w:color="FF9E3C"/>
              <w:bottom w:val="nil"/>
              <w:right w:val="single" w:sz="12" w:space="0" w:color="FF9E3C"/>
            </w:tcBorders>
            <w:shd w:val="clear" w:color="000000" w:fill="FFFFFF"/>
            <w:vAlign w:val="center"/>
          </w:tcPr>
          <w:p w14:paraId="7396F52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9.0</w:t>
            </w:r>
          </w:p>
        </w:tc>
        <w:tc>
          <w:tcPr>
            <w:tcW w:w="626" w:type="dxa"/>
            <w:tcBorders>
              <w:top w:val="nil"/>
              <w:left w:val="single" w:sz="12" w:space="0" w:color="FF9E3C"/>
              <w:bottom w:val="nil"/>
              <w:right w:val="single" w:sz="12" w:space="0" w:color="FF9E3C"/>
            </w:tcBorders>
            <w:shd w:val="clear" w:color="000000" w:fill="FFFFFF"/>
          </w:tcPr>
          <w:p w14:paraId="0147422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.08</w:t>
            </w:r>
          </w:p>
        </w:tc>
        <w:tc>
          <w:tcPr>
            <w:tcW w:w="709" w:type="dxa"/>
            <w:tcBorders>
              <w:top w:val="nil"/>
              <w:left w:val="single" w:sz="12" w:space="0" w:color="FF9E3C"/>
              <w:bottom w:val="nil"/>
              <w:right w:val="single" w:sz="12" w:space="0" w:color="FF9E3C"/>
            </w:tcBorders>
            <w:shd w:val="clear" w:color="000000" w:fill="FFFFFF"/>
          </w:tcPr>
          <w:p w14:paraId="25C23F2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.29</w:t>
            </w:r>
          </w:p>
        </w:tc>
        <w:tc>
          <w:tcPr>
            <w:tcW w:w="850" w:type="dxa"/>
            <w:tcBorders>
              <w:top w:val="nil"/>
              <w:left w:val="single" w:sz="12" w:space="0" w:color="FF9E3C"/>
              <w:bottom w:val="nil"/>
              <w:right w:val="single" w:sz="12" w:space="0" w:color="FF9E3C"/>
            </w:tcBorders>
            <w:shd w:val="clear" w:color="000000" w:fill="FFFFFF"/>
          </w:tcPr>
          <w:p w14:paraId="27FE1C6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.34</w:t>
            </w:r>
          </w:p>
        </w:tc>
      </w:tr>
      <w:tr w:rsidR="00A110B5" w:rsidRPr="00B054FD" w14:paraId="7251AFC1"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0E2DB20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0A13513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221F9E4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320891FE"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DD5829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(1.5,28.5)</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52FF68A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(2.9,12.3)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2B5E459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(6.5,12.2)</w:t>
            </w:r>
          </w:p>
        </w:tc>
        <w:tc>
          <w:tcPr>
            <w:tcW w:w="626" w:type="dxa"/>
            <w:tcBorders>
              <w:top w:val="nil"/>
              <w:left w:val="single" w:sz="12" w:space="0" w:color="FF9E3C"/>
              <w:bottom w:val="single" w:sz="12" w:space="0" w:color="FF9E3C"/>
              <w:right w:val="single" w:sz="12" w:space="0" w:color="FF9E3C"/>
            </w:tcBorders>
            <w:shd w:val="clear" w:color="000000" w:fill="FFFFFF"/>
          </w:tcPr>
          <w:p w14:paraId="5AA0FF9B"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6D7AD54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1C548A7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661AE4D3"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42D070DB"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Took Money</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5186513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1.99</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28E63B5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2.01</w:t>
            </w:r>
          </w:p>
        </w:tc>
        <w:tc>
          <w:tcPr>
            <w:tcW w:w="1084" w:type="dxa"/>
            <w:tcBorders>
              <w:top w:val="nil"/>
              <w:left w:val="single" w:sz="12" w:space="0" w:color="FF9E3C"/>
              <w:bottom w:val="nil"/>
              <w:right w:val="single" w:sz="12" w:space="0" w:color="FF9E3C"/>
            </w:tcBorders>
            <w:shd w:val="clear" w:color="000000" w:fill="FFFFFF"/>
            <w:vAlign w:val="center"/>
          </w:tcPr>
          <w:p w14:paraId="237E5CD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7.7</w:t>
            </w:r>
          </w:p>
        </w:tc>
        <w:tc>
          <w:tcPr>
            <w:tcW w:w="1020" w:type="dxa"/>
            <w:tcBorders>
              <w:top w:val="nil"/>
              <w:left w:val="single" w:sz="12" w:space="0" w:color="FF9E3C"/>
              <w:bottom w:val="nil"/>
              <w:right w:val="single" w:sz="12" w:space="0" w:color="FF9E3C"/>
            </w:tcBorders>
            <w:shd w:val="clear" w:color="000000" w:fill="FFFFFF"/>
            <w:vAlign w:val="center"/>
          </w:tcPr>
          <w:p w14:paraId="41BC190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68188CC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2.3</w:t>
            </w:r>
          </w:p>
        </w:tc>
        <w:tc>
          <w:tcPr>
            <w:tcW w:w="1020" w:type="dxa"/>
            <w:tcBorders>
              <w:top w:val="nil"/>
              <w:left w:val="single" w:sz="12" w:space="0" w:color="FF9E3C"/>
              <w:bottom w:val="nil"/>
              <w:right w:val="single" w:sz="12" w:space="0" w:color="FF9E3C"/>
            </w:tcBorders>
            <w:shd w:val="clear" w:color="000000" w:fill="FFFFFF"/>
            <w:vAlign w:val="center"/>
          </w:tcPr>
          <w:p w14:paraId="10DDEF2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9.0</w:t>
            </w:r>
          </w:p>
        </w:tc>
        <w:tc>
          <w:tcPr>
            <w:tcW w:w="626" w:type="dxa"/>
            <w:tcBorders>
              <w:top w:val="nil"/>
              <w:left w:val="single" w:sz="12" w:space="0" w:color="FF9E3C"/>
              <w:bottom w:val="nil"/>
              <w:right w:val="single" w:sz="12" w:space="0" w:color="FF9E3C"/>
            </w:tcBorders>
            <w:shd w:val="clear" w:color="000000" w:fill="FFFFFF"/>
          </w:tcPr>
          <w:p w14:paraId="2D2CC034"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.13</w:t>
            </w:r>
          </w:p>
        </w:tc>
        <w:tc>
          <w:tcPr>
            <w:tcW w:w="709" w:type="dxa"/>
            <w:tcBorders>
              <w:top w:val="nil"/>
              <w:left w:val="single" w:sz="12" w:space="0" w:color="FF9E3C"/>
              <w:bottom w:val="nil"/>
              <w:right w:val="single" w:sz="12" w:space="0" w:color="FF9E3C"/>
            </w:tcBorders>
            <w:shd w:val="clear" w:color="000000" w:fill="FFFFFF"/>
          </w:tcPr>
          <w:p w14:paraId="28D6493C"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.26</w:t>
            </w:r>
          </w:p>
        </w:tc>
        <w:tc>
          <w:tcPr>
            <w:tcW w:w="850" w:type="dxa"/>
            <w:tcBorders>
              <w:top w:val="nil"/>
              <w:left w:val="single" w:sz="12" w:space="0" w:color="FF9E3C"/>
              <w:bottom w:val="nil"/>
              <w:right w:val="single" w:sz="12" w:space="0" w:color="FF9E3C"/>
            </w:tcBorders>
            <w:shd w:val="clear" w:color="000000" w:fill="FFFFFF"/>
          </w:tcPr>
          <w:p w14:paraId="3FC43B1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.37</w:t>
            </w:r>
          </w:p>
        </w:tc>
      </w:tr>
      <w:tr w:rsidR="00A110B5" w:rsidRPr="00B054FD" w14:paraId="51416EDF"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30C950D7"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362F07F2"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45509F7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410255D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(1.3,26.6)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11A33EF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EB3763A"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(0.6, 7.2)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05CB698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(6.5,12.2)</w:t>
            </w:r>
          </w:p>
        </w:tc>
        <w:tc>
          <w:tcPr>
            <w:tcW w:w="626" w:type="dxa"/>
            <w:tcBorders>
              <w:top w:val="nil"/>
              <w:left w:val="single" w:sz="12" w:space="0" w:color="FF9E3C"/>
              <w:bottom w:val="single" w:sz="12" w:space="0" w:color="FF9E3C"/>
              <w:right w:val="single" w:sz="12" w:space="0" w:color="FF9E3C"/>
            </w:tcBorders>
            <w:shd w:val="clear" w:color="000000" w:fill="FFFFFF"/>
          </w:tcPr>
          <w:p w14:paraId="679B834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709" w:type="dxa"/>
            <w:tcBorders>
              <w:top w:val="nil"/>
              <w:left w:val="single" w:sz="12" w:space="0" w:color="FF9E3C"/>
              <w:bottom w:val="single" w:sz="12" w:space="0" w:color="FF9E3C"/>
              <w:right w:val="single" w:sz="12" w:space="0" w:color="FF9E3C"/>
            </w:tcBorders>
            <w:shd w:val="clear" w:color="000000" w:fill="FFFFFF"/>
          </w:tcPr>
          <w:p w14:paraId="54083FF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c>
          <w:tcPr>
            <w:tcW w:w="850" w:type="dxa"/>
            <w:tcBorders>
              <w:top w:val="nil"/>
              <w:left w:val="single" w:sz="12" w:space="0" w:color="FF9E3C"/>
              <w:bottom w:val="single" w:sz="12" w:space="0" w:color="FF9E3C"/>
              <w:right w:val="single" w:sz="12" w:space="0" w:color="FF9E3C"/>
            </w:tcBorders>
            <w:shd w:val="clear" w:color="000000" w:fill="FFFFFF"/>
          </w:tcPr>
          <w:p w14:paraId="5B89D1C6"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w:t>
            </w:r>
          </w:p>
        </w:tc>
      </w:tr>
      <w:tr w:rsidR="00A110B5" w:rsidRPr="00B054FD" w14:paraId="76E20BB1" w14:textId="77777777" w:rsidTr="00F812A7">
        <w:trPr>
          <w:trHeight w:val="195"/>
        </w:trPr>
        <w:tc>
          <w:tcPr>
            <w:tcW w:w="1701" w:type="dxa"/>
            <w:vMerge w:val="restart"/>
            <w:tcBorders>
              <w:top w:val="nil"/>
              <w:left w:val="single" w:sz="12" w:space="0" w:color="FF9E3C"/>
              <w:bottom w:val="single" w:sz="12" w:space="0" w:color="FF9E3C"/>
              <w:right w:val="single" w:sz="12" w:space="0" w:color="FF9E3C"/>
            </w:tcBorders>
            <w:shd w:val="clear" w:color="000000" w:fill="FFFFFF"/>
          </w:tcPr>
          <w:p w14:paraId="564747F6"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r>
              <w:rPr>
                <w:rFonts w:cs="Arial"/>
                <w:color w:val="1C3158"/>
                <w:sz w:val="16"/>
                <w:szCs w:val="16"/>
              </w:rPr>
              <w:t>Pay Money</w:t>
            </w:r>
          </w:p>
        </w:tc>
        <w:tc>
          <w:tcPr>
            <w:tcW w:w="851" w:type="dxa"/>
            <w:vMerge w:val="restart"/>
            <w:tcBorders>
              <w:top w:val="nil"/>
              <w:left w:val="single" w:sz="12" w:space="0" w:color="FF9E3C"/>
              <w:bottom w:val="single" w:sz="12" w:space="0" w:color="FF9E3C"/>
              <w:right w:val="single" w:sz="12" w:space="0" w:color="FF9E3C"/>
            </w:tcBorders>
            <w:shd w:val="clear" w:color="000000" w:fill="FFFFFF"/>
          </w:tcPr>
          <w:p w14:paraId="07A0983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1.70</w:t>
            </w:r>
          </w:p>
        </w:tc>
        <w:tc>
          <w:tcPr>
            <w:tcW w:w="900" w:type="dxa"/>
            <w:vMerge w:val="restart"/>
            <w:tcBorders>
              <w:top w:val="nil"/>
              <w:left w:val="single" w:sz="12" w:space="0" w:color="FF9E3C"/>
              <w:bottom w:val="single" w:sz="12" w:space="0" w:color="FF9E3C"/>
              <w:right w:val="single" w:sz="12" w:space="0" w:color="FF9E3C"/>
            </w:tcBorders>
            <w:shd w:val="clear" w:color="000000" w:fill="FFFFFF"/>
          </w:tcPr>
          <w:p w14:paraId="36FD16E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1.78</w:t>
            </w:r>
          </w:p>
        </w:tc>
        <w:tc>
          <w:tcPr>
            <w:tcW w:w="1084" w:type="dxa"/>
            <w:tcBorders>
              <w:top w:val="nil"/>
              <w:left w:val="single" w:sz="12" w:space="0" w:color="FF9E3C"/>
              <w:bottom w:val="nil"/>
              <w:right w:val="single" w:sz="12" w:space="0" w:color="FF9E3C"/>
            </w:tcBorders>
            <w:shd w:val="clear" w:color="000000" w:fill="FFFFFF"/>
            <w:vAlign w:val="center"/>
          </w:tcPr>
          <w:p w14:paraId="26648558"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c>
          <w:tcPr>
            <w:tcW w:w="1020" w:type="dxa"/>
            <w:tcBorders>
              <w:top w:val="nil"/>
              <w:left w:val="single" w:sz="12" w:space="0" w:color="FF9E3C"/>
              <w:bottom w:val="nil"/>
              <w:right w:val="single" w:sz="12" w:space="0" w:color="FF9E3C"/>
            </w:tcBorders>
            <w:shd w:val="clear" w:color="000000" w:fill="FFFFFF"/>
            <w:vAlign w:val="center"/>
          </w:tcPr>
          <w:p w14:paraId="795C4A3F"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w:t>
            </w:r>
          </w:p>
        </w:tc>
        <w:tc>
          <w:tcPr>
            <w:tcW w:w="1020" w:type="dxa"/>
            <w:tcBorders>
              <w:top w:val="nil"/>
              <w:left w:val="single" w:sz="12" w:space="0" w:color="FF9E3C"/>
              <w:bottom w:val="nil"/>
              <w:right w:val="single" w:sz="12" w:space="0" w:color="FF9E3C"/>
            </w:tcBorders>
            <w:shd w:val="clear" w:color="000000" w:fill="FFFFFF"/>
            <w:vAlign w:val="center"/>
          </w:tcPr>
          <w:p w14:paraId="6499457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6.2</w:t>
            </w:r>
          </w:p>
        </w:tc>
        <w:tc>
          <w:tcPr>
            <w:tcW w:w="1020" w:type="dxa"/>
            <w:tcBorders>
              <w:top w:val="nil"/>
              <w:left w:val="single" w:sz="12" w:space="0" w:color="FF9E3C"/>
              <w:bottom w:val="nil"/>
              <w:right w:val="single" w:sz="12" w:space="0" w:color="FF9E3C"/>
            </w:tcBorders>
            <w:shd w:val="clear" w:color="000000" w:fill="FFFFFF"/>
            <w:vAlign w:val="center"/>
          </w:tcPr>
          <w:p w14:paraId="670A42A3"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14.5</w:t>
            </w:r>
          </w:p>
        </w:tc>
        <w:tc>
          <w:tcPr>
            <w:tcW w:w="626" w:type="dxa"/>
            <w:tcBorders>
              <w:top w:val="nil"/>
              <w:left w:val="single" w:sz="12" w:space="0" w:color="FF9E3C"/>
              <w:bottom w:val="nil"/>
              <w:right w:val="single" w:sz="12" w:space="0" w:color="FF9E3C"/>
            </w:tcBorders>
            <w:shd w:val="clear" w:color="000000" w:fill="FFFFFF"/>
          </w:tcPr>
          <w:p w14:paraId="0FAB5CB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.15</w:t>
            </w:r>
          </w:p>
        </w:tc>
        <w:tc>
          <w:tcPr>
            <w:tcW w:w="709" w:type="dxa"/>
            <w:tcBorders>
              <w:top w:val="nil"/>
              <w:left w:val="single" w:sz="12" w:space="0" w:color="FF9E3C"/>
              <w:bottom w:val="nil"/>
              <w:right w:val="single" w:sz="12" w:space="0" w:color="FF9E3C"/>
            </w:tcBorders>
            <w:shd w:val="clear" w:color="000000" w:fill="FFFFFF"/>
          </w:tcPr>
          <w:p w14:paraId="3C103809"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.32</w:t>
            </w:r>
          </w:p>
        </w:tc>
        <w:tc>
          <w:tcPr>
            <w:tcW w:w="850" w:type="dxa"/>
            <w:tcBorders>
              <w:top w:val="nil"/>
              <w:left w:val="single" w:sz="12" w:space="0" w:color="FF9E3C"/>
              <w:bottom w:val="nil"/>
              <w:right w:val="single" w:sz="12" w:space="0" w:color="FF9E3C"/>
            </w:tcBorders>
            <w:shd w:val="clear" w:color="000000" w:fill="FFFFFF"/>
          </w:tcPr>
          <w:p w14:paraId="55429885"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.38</w:t>
            </w:r>
          </w:p>
        </w:tc>
      </w:tr>
      <w:tr w:rsidR="00A110B5" w:rsidRPr="00B054FD" w14:paraId="2B8805C1" w14:textId="77777777" w:rsidTr="00F812A7">
        <w:trPr>
          <w:trHeight w:val="195"/>
        </w:trPr>
        <w:tc>
          <w:tcPr>
            <w:tcW w:w="1701" w:type="dxa"/>
            <w:vMerge/>
            <w:tcBorders>
              <w:top w:val="nil"/>
              <w:left w:val="single" w:sz="12" w:space="0" w:color="FF9E3C"/>
              <w:bottom w:val="single" w:sz="12" w:space="0" w:color="FF9E3C"/>
              <w:right w:val="single" w:sz="12" w:space="0" w:color="FF9E3C"/>
            </w:tcBorders>
            <w:vAlign w:val="center"/>
          </w:tcPr>
          <w:p w14:paraId="58E77C49"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851" w:type="dxa"/>
            <w:vMerge/>
            <w:tcBorders>
              <w:top w:val="nil"/>
              <w:left w:val="single" w:sz="12" w:space="0" w:color="FF9E3C"/>
              <w:bottom w:val="single" w:sz="12" w:space="0" w:color="FF9E3C"/>
              <w:right w:val="single" w:sz="12" w:space="0" w:color="FF9E3C"/>
            </w:tcBorders>
            <w:vAlign w:val="center"/>
          </w:tcPr>
          <w:p w14:paraId="4397E771"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900" w:type="dxa"/>
            <w:vMerge/>
            <w:tcBorders>
              <w:top w:val="nil"/>
              <w:left w:val="single" w:sz="12" w:space="0" w:color="FF9E3C"/>
              <w:bottom w:val="single" w:sz="12" w:space="0" w:color="FF9E3C"/>
              <w:right w:val="single" w:sz="12" w:space="0" w:color="FF9E3C"/>
            </w:tcBorders>
            <w:vAlign w:val="center"/>
          </w:tcPr>
          <w:p w14:paraId="3596BB9C" w14:textId="77777777" w:rsidR="00A110B5" w:rsidRPr="00B054FD" w:rsidRDefault="00A110B5" w:rsidP="00406FB4">
            <w:pPr>
              <w:tabs>
                <w:tab w:val="clear" w:pos="426"/>
              </w:tabs>
              <w:spacing w:before="0" w:after="0" w:line="240" w:lineRule="auto"/>
              <w:ind w:left="0" w:right="0"/>
              <w:rPr>
                <w:rFonts w:cs="Arial"/>
                <w:color w:val="1C3158"/>
                <w:sz w:val="16"/>
                <w:szCs w:val="16"/>
                <w:lang w:eastAsia="ja-JP"/>
              </w:rPr>
            </w:pPr>
          </w:p>
        </w:tc>
        <w:tc>
          <w:tcPr>
            <w:tcW w:w="1084" w:type="dxa"/>
            <w:tcBorders>
              <w:top w:val="nil"/>
              <w:left w:val="single" w:sz="12" w:space="0" w:color="FF9E3C"/>
              <w:bottom w:val="single" w:sz="12" w:space="0" w:color="FF9E3C"/>
              <w:right w:val="single" w:sz="12" w:space="0" w:color="FF9E3C"/>
            </w:tcBorders>
            <w:shd w:val="clear" w:color="000000" w:fill="FFFFFF"/>
            <w:vAlign w:val="center"/>
          </w:tcPr>
          <w:p w14:paraId="72A8162D"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 xml:space="preserve"> (0.2,21.6)</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3567B9A1"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(0.0,17.2)</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674923F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(2.9,12.3)</w:t>
            </w:r>
          </w:p>
        </w:tc>
        <w:tc>
          <w:tcPr>
            <w:tcW w:w="1020" w:type="dxa"/>
            <w:tcBorders>
              <w:top w:val="nil"/>
              <w:left w:val="single" w:sz="12" w:space="0" w:color="FF9E3C"/>
              <w:bottom w:val="single" w:sz="12" w:space="0" w:color="FF9E3C"/>
              <w:right w:val="single" w:sz="12" w:space="0" w:color="FF9E3C"/>
            </w:tcBorders>
            <w:shd w:val="clear" w:color="000000" w:fill="FFFFFF"/>
            <w:vAlign w:val="center"/>
          </w:tcPr>
          <w:p w14:paraId="7BF48ED7"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r>
              <w:rPr>
                <w:rFonts w:cs="Arial"/>
                <w:color w:val="1C3158"/>
                <w:sz w:val="16"/>
                <w:szCs w:val="16"/>
              </w:rPr>
              <w:t>(11.3,18.4)</w:t>
            </w:r>
          </w:p>
        </w:tc>
        <w:tc>
          <w:tcPr>
            <w:tcW w:w="626" w:type="dxa"/>
            <w:tcBorders>
              <w:top w:val="nil"/>
              <w:left w:val="single" w:sz="12" w:space="0" w:color="FF9E3C"/>
              <w:bottom w:val="single" w:sz="12" w:space="0" w:color="FF9E3C"/>
              <w:right w:val="single" w:sz="12" w:space="0" w:color="FF9E3C"/>
            </w:tcBorders>
            <w:shd w:val="clear" w:color="000000" w:fill="FFFFFF"/>
          </w:tcPr>
          <w:p w14:paraId="7018DA7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p>
        </w:tc>
        <w:tc>
          <w:tcPr>
            <w:tcW w:w="709" w:type="dxa"/>
            <w:tcBorders>
              <w:top w:val="nil"/>
              <w:left w:val="single" w:sz="12" w:space="0" w:color="FF9E3C"/>
              <w:bottom w:val="single" w:sz="12" w:space="0" w:color="FF9E3C"/>
              <w:right w:val="single" w:sz="12" w:space="0" w:color="FF9E3C"/>
            </w:tcBorders>
            <w:shd w:val="clear" w:color="000000" w:fill="FFFFFF"/>
          </w:tcPr>
          <w:p w14:paraId="04812980"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p>
        </w:tc>
        <w:tc>
          <w:tcPr>
            <w:tcW w:w="850" w:type="dxa"/>
            <w:tcBorders>
              <w:top w:val="nil"/>
              <w:left w:val="single" w:sz="12" w:space="0" w:color="FF9E3C"/>
              <w:bottom w:val="single" w:sz="12" w:space="0" w:color="FF9E3C"/>
              <w:right w:val="single" w:sz="12" w:space="0" w:color="FF9E3C"/>
            </w:tcBorders>
            <w:shd w:val="clear" w:color="000000" w:fill="FFFFFF"/>
          </w:tcPr>
          <w:p w14:paraId="6A21BE22" w14:textId="77777777" w:rsidR="00A110B5" w:rsidRPr="00B054FD" w:rsidRDefault="00A110B5" w:rsidP="00406FB4">
            <w:pPr>
              <w:tabs>
                <w:tab w:val="clear" w:pos="426"/>
              </w:tabs>
              <w:spacing w:before="0" w:after="0" w:line="240" w:lineRule="auto"/>
              <w:ind w:left="0" w:right="0"/>
              <w:jc w:val="center"/>
              <w:rPr>
                <w:rFonts w:cs="Arial"/>
                <w:color w:val="1C3158"/>
                <w:sz w:val="16"/>
                <w:szCs w:val="16"/>
                <w:lang w:eastAsia="ja-JP"/>
              </w:rPr>
            </w:pPr>
          </w:p>
        </w:tc>
      </w:tr>
    </w:tbl>
    <w:p w14:paraId="73BEE67C" w14:textId="727C663D" w:rsidR="0061777D" w:rsidRDefault="0061777D" w:rsidP="0061777D">
      <w:pPr>
        <w:pStyle w:val="VRGFBodycontent"/>
      </w:pPr>
      <w:r w:rsidRPr="00A90F05">
        <w:lastRenderedPageBreak/>
        <w:t>For gamblers, ‘</w:t>
      </w:r>
      <w:r w:rsidR="00B12BDA">
        <w:t>assistance m</w:t>
      </w:r>
      <w:r w:rsidR="006A4D7B">
        <w:t xml:space="preserve">arae’ </w:t>
      </w:r>
      <w:r w:rsidRPr="00A90F05">
        <w:t>(4.</w:t>
      </w:r>
      <w:r w:rsidR="006A4D7B">
        <w:t>02</w:t>
      </w:r>
      <w:r w:rsidRPr="00A90F05">
        <w:t>), ‘excluded study’ (2.</w:t>
      </w:r>
      <w:r w:rsidR="006A4D7B">
        <w:t>69</w:t>
      </w:r>
      <w:r w:rsidRPr="00A90F05">
        <w:t>), ‘emergency treatment’ (</w:t>
      </w:r>
      <w:r w:rsidR="006A4D7B">
        <w:t>2.97</w:t>
      </w:r>
      <w:r w:rsidRPr="00A90F05">
        <w:t>), ‘</w:t>
      </w:r>
      <w:r w:rsidR="006A4D7B">
        <w:t>mental illness</w:t>
      </w:r>
      <w:r w:rsidRPr="00A90F05">
        <w:t>’ (1.</w:t>
      </w:r>
      <w:r w:rsidR="006A4D7B">
        <w:t>68</w:t>
      </w:r>
      <w:r w:rsidRPr="00A90F05">
        <w:t>), ‘actual ending’ (2.</w:t>
      </w:r>
      <w:r w:rsidR="006A4D7B">
        <w:t>14</w:t>
      </w:r>
      <w:r w:rsidRPr="00A90F05">
        <w:t>), and ‘</w:t>
      </w:r>
      <w:r w:rsidR="006A4D7B">
        <w:t>arrested driving</w:t>
      </w:r>
      <w:r w:rsidRPr="00A90F05">
        <w:t>’ (2.</w:t>
      </w:r>
      <w:r w:rsidR="006A4D7B">
        <w:t>8</w:t>
      </w:r>
      <w:r w:rsidRPr="00A90F05">
        <w:t>6) were the most severe harm</w:t>
      </w:r>
      <w:r>
        <w:t>s</w:t>
      </w:r>
      <w:r w:rsidRPr="00A90F05">
        <w:t xml:space="preserve"> within the financial, work/study, health, emotional/psychological, relationship, and other domain, respectively</w:t>
      </w:r>
      <w:r w:rsidR="00B40FF8">
        <w:t>.</w:t>
      </w:r>
      <w:r w:rsidR="008610D3">
        <w:t xml:space="preserve"> </w:t>
      </w:r>
      <w:r w:rsidRPr="00A90F05">
        <w:t>In comparison, ‘</w:t>
      </w:r>
      <w:r w:rsidR="00B12BDA">
        <w:t>assistance m</w:t>
      </w:r>
      <w:r w:rsidR="009C3FE4">
        <w:t>arae</w:t>
      </w:r>
      <w:r w:rsidR="009C3FE4" w:rsidRPr="00A90F05">
        <w:t xml:space="preserve">’ </w:t>
      </w:r>
      <w:r w:rsidRPr="00A90F05">
        <w:t>(</w:t>
      </w:r>
      <w:r w:rsidR="009C3FE4">
        <w:t>4.90</w:t>
      </w:r>
      <w:r w:rsidRPr="00A90F05">
        <w:t>), ‘lost job’ (</w:t>
      </w:r>
      <w:r w:rsidR="009C3FE4">
        <w:t>3.24</w:t>
      </w:r>
      <w:r w:rsidRPr="00A90F05">
        <w:t>), ‘</w:t>
      </w:r>
      <w:r w:rsidR="009C3FE4">
        <w:t>living condition</w:t>
      </w:r>
      <w:r w:rsidRPr="00A90F05">
        <w:t>’ (</w:t>
      </w:r>
      <w:r w:rsidR="009C3FE4">
        <w:t>3.13</w:t>
      </w:r>
      <w:r w:rsidRPr="00A90F05">
        <w:t>), ‘</w:t>
      </w:r>
      <w:r w:rsidR="009C3FE4">
        <w:t>mental illness</w:t>
      </w:r>
      <w:r w:rsidRPr="00A90F05">
        <w:t>’ (1.</w:t>
      </w:r>
      <w:r w:rsidR="009C3FE4">
        <w:t>94</w:t>
      </w:r>
      <w:r w:rsidRPr="00A90F05">
        <w:t>), ‘neglected responsibilities</w:t>
      </w:r>
      <w:r w:rsidR="009C3FE4">
        <w:t xml:space="preserve"> </w:t>
      </w:r>
      <w:r w:rsidR="00B12BDA">
        <w:t>whānau</w:t>
      </w:r>
      <w:r w:rsidRPr="00A90F05">
        <w:t>’ (1.</w:t>
      </w:r>
      <w:r w:rsidR="009C3FE4">
        <w:t>94</w:t>
      </w:r>
      <w:r w:rsidRPr="00A90F05">
        <w:t>), and ‘shame c</w:t>
      </w:r>
      <w:r w:rsidR="009C3FE4">
        <w:t>hurch</w:t>
      </w:r>
      <w:r w:rsidRPr="00A90F05">
        <w:t>’ (</w:t>
      </w:r>
      <w:r w:rsidR="009C3FE4">
        <w:t>3.10</w:t>
      </w:r>
      <w:r w:rsidRPr="00A90F05">
        <w:t>) were the most severe harm</w:t>
      </w:r>
      <w:r>
        <w:t>s</w:t>
      </w:r>
      <w:r w:rsidRPr="00A90F05">
        <w:t xml:space="preserve"> for affected others within each of the six corresponding domains</w:t>
      </w:r>
      <w:r w:rsidR="00B40FF8">
        <w:t>.</w:t>
      </w:r>
      <w:r w:rsidR="008610D3">
        <w:t xml:space="preserve"> </w:t>
      </w:r>
      <w:r w:rsidR="009C3FE4">
        <w:t xml:space="preserve">Requiring assistance from </w:t>
      </w:r>
      <w:r w:rsidR="00B12BDA">
        <w:t>m</w:t>
      </w:r>
      <w:r w:rsidR="009C3FE4">
        <w:t>arae</w:t>
      </w:r>
      <w:r w:rsidR="00CD104A">
        <w:t xml:space="preserve"> and feeling like having a mental illness</w:t>
      </w:r>
      <w:r w:rsidR="009C3FE4">
        <w:t xml:space="preserve"> </w:t>
      </w:r>
      <w:r w:rsidRPr="00A90F05">
        <w:t>w</w:t>
      </w:r>
      <w:r w:rsidR="00CD104A">
        <w:t>ere</w:t>
      </w:r>
      <w:r w:rsidRPr="00A90F05">
        <w:t xml:space="preserve"> the most severe financial</w:t>
      </w:r>
      <w:r w:rsidR="00CD104A">
        <w:t xml:space="preserve"> and emotional/psychological</w:t>
      </w:r>
      <w:r w:rsidRPr="00A90F05">
        <w:t xml:space="preserve"> harm</w:t>
      </w:r>
      <w:r w:rsidR="00CD104A">
        <w:t>s</w:t>
      </w:r>
      <w:r w:rsidRPr="00A90F05">
        <w:t xml:space="preserve"> for both gamblers and affected others</w:t>
      </w:r>
      <w:r w:rsidR="00CD104A">
        <w:t xml:space="preserve"> respectively</w:t>
      </w:r>
      <w:r w:rsidR="002D29C5">
        <w:t xml:space="preserve">. </w:t>
      </w:r>
    </w:p>
    <w:p w14:paraId="7D9D09B2" w14:textId="245E7338" w:rsidR="0061777D" w:rsidRDefault="0061777D" w:rsidP="0061777D">
      <w:pPr>
        <w:pStyle w:val="VRGFBodycontent"/>
      </w:pPr>
      <w:r w:rsidRPr="00A90F05">
        <w:t xml:space="preserve">For gamblers, ‘reduced </w:t>
      </w:r>
      <w:r w:rsidR="003D5C08">
        <w:t>beneficial</w:t>
      </w:r>
      <w:r w:rsidR="00BD4CE3">
        <w:t xml:space="preserve"> </w:t>
      </w:r>
      <w:r w:rsidRPr="00A90F05">
        <w:t>expenses’ (</w:t>
      </w:r>
      <w:r w:rsidR="003D5C08">
        <w:t>3.05</w:t>
      </w:r>
      <w:r w:rsidRPr="00A90F05">
        <w:t>), ‘</w:t>
      </w:r>
      <w:r w:rsidR="003D5C08">
        <w:t>conflict classmates</w:t>
      </w:r>
      <w:r w:rsidR="003D5C08" w:rsidRPr="00A90F05">
        <w:t xml:space="preserve">’ </w:t>
      </w:r>
      <w:r w:rsidRPr="00A90F05">
        <w:t>(</w:t>
      </w:r>
      <w:r w:rsidR="003D5C08">
        <w:t>4.04</w:t>
      </w:r>
      <w:r w:rsidRPr="00A90F05">
        <w:t>), ‘</w:t>
      </w:r>
      <w:r w:rsidR="003D5C08">
        <w:t>s</w:t>
      </w:r>
      <w:r w:rsidR="00903AEB">
        <w:t>tress problems</w:t>
      </w:r>
      <w:r w:rsidRPr="00A90F05">
        <w:t>’ (2.</w:t>
      </w:r>
      <w:r w:rsidR="00903AEB">
        <w:t>57</w:t>
      </w:r>
      <w:r w:rsidRPr="00A90F05">
        <w:t>), ‘</w:t>
      </w:r>
      <w:r w:rsidR="003D5C08">
        <w:t>worthless</w:t>
      </w:r>
      <w:r w:rsidR="003D5C08" w:rsidRPr="00A90F05">
        <w:t xml:space="preserve">’ </w:t>
      </w:r>
      <w:r w:rsidRPr="00A90F05">
        <w:t>(</w:t>
      </w:r>
      <w:r w:rsidR="003D5C08">
        <w:t>3.52</w:t>
      </w:r>
      <w:r w:rsidRPr="00A90F05">
        <w:t xml:space="preserve">), ‘increased </w:t>
      </w:r>
      <w:r w:rsidR="003D5C08">
        <w:t>tension</w:t>
      </w:r>
      <w:r w:rsidRPr="00A90F05">
        <w:t>’ (</w:t>
      </w:r>
      <w:r w:rsidR="003D5C08">
        <w:t>3.84</w:t>
      </w:r>
      <w:r w:rsidRPr="00A90F05">
        <w:t>), and ‘</w:t>
      </w:r>
      <w:r w:rsidR="003D5C08">
        <w:t>shame church</w:t>
      </w:r>
      <w:r w:rsidRPr="00A90F05">
        <w:t>’ (</w:t>
      </w:r>
      <w:r w:rsidR="003D5C08">
        <w:t>3.54</w:t>
      </w:r>
      <w:r w:rsidRPr="00A90F05">
        <w:t xml:space="preserve">) </w:t>
      </w:r>
      <w:r>
        <w:t>were the most</w:t>
      </w:r>
      <w:r w:rsidRPr="00A90F05">
        <w:t xml:space="preserve"> </w:t>
      </w:r>
      <w:r>
        <w:t>effective</w:t>
      </w:r>
      <w:r w:rsidRPr="00A90F05">
        <w:t xml:space="preserve"> in discriminating between low and high levels of harmfulness </w:t>
      </w:r>
      <w:r>
        <w:t>for</w:t>
      </w:r>
      <w:r w:rsidRPr="00A90F05">
        <w:t xml:space="preserve"> the financial, work/study, health, emotional/psychological, relationship, and </w:t>
      </w:r>
      <w:r>
        <w:t>‘</w:t>
      </w:r>
      <w:r w:rsidRPr="00A90F05">
        <w:t>other</w:t>
      </w:r>
      <w:r>
        <w:t>’</w:t>
      </w:r>
      <w:r w:rsidRPr="00A90F05">
        <w:t xml:space="preserve"> domain</w:t>
      </w:r>
      <w:r>
        <w:t>s</w:t>
      </w:r>
      <w:r w:rsidR="00B40FF8">
        <w:t>.</w:t>
      </w:r>
      <w:r w:rsidR="008610D3">
        <w:t xml:space="preserve"> </w:t>
      </w:r>
      <w:r w:rsidRPr="00A90F05">
        <w:t>In comparison, ‘reduced beneficial expenses’ (3.</w:t>
      </w:r>
      <w:r w:rsidR="003D5C08">
        <w:t>16</w:t>
      </w:r>
      <w:r w:rsidRPr="00A90F05">
        <w:t>), ‘absent’ (</w:t>
      </w:r>
      <w:r w:rsidR="003D5C08">
        <w:t>3.93</w:t>
      </w:r>
      <w:r w:rsidRPr="00A90F05">
        <w:t>), ‘s</w:t>
      </w:r>
      <w:r w:rsidR="003D5C08">
        <w:t>uicide</w:t>
      </w:r>
      <w:r w:rsidRPr="00A90F05">
        <w:t>’ (</w:t>
      </w:r>
      <w:r w:rsidR="003D5C08">
        <w:t>3.09</w:t>
      </w:r>
      <w:r w:rsidRPr="00A90F05">
        <w:t>), ‘</w:t>
      </w:r>
      <w:r w:rsidR="003D5C08">
        <w:t>extreme distress</w:t>
      </w:r>
      <w:r w:rsidRPr="00A90F05">
        <w:t>’ (2.</w:t>
      </w:r>
      <w:r w:rsidR="003D5C08">
        <w:t>76</w:t>
      </w:r>
      <w:r w:rsidRPr="00A90F05">
        <w:t>), ‘increased conflict’ (2.</w:t>
      </w:r>
      <w:r w:rsidR="003D5C08">
        <w:t>98</w:t>
      </w:r>
      <w:r w:rsidRPr="00A90F05">
        <w:t>), and ‘</w:t>
      </w:r>
      <w:r w:rsidR="003D5C08">
        <w:t>crime</w:t>
      </w:r>
      <w:r w:rsidRPr="00A90F05">
        <w:t>’ (</w:t>
      </w:r>
      <w:r w:rsidR="003D5C08">
        <w:t>3.09</w:t>
      </w:r>
      <w:r w:rsidRPr="00A90F05">
        <w:t>) appeared the best discriminator for affected others within the corresponding domains</w:t>
      </w:r>
      <w:r w:rsidR="00B40FF8">
        <w:t>.</w:t>
      </w:r>
      <w:r w:rsidR="008610D3">
        <w:t xml:space="preserve"> </w:t>
      </w:r>
      <w:r w:rsidRPr="00A90F05">
        <w:t>Hence, ‘</w:t>
      </w:r>
      <w:r w:rsidR="003D5C08">
        <w:t>reduced beneficial expenses</w:t>
      </w:r>
      <w:r w:rsidRPr="00A90F05">
        <w:t xml:space="preserve">’ was the most reliable indicator for </w:t>
      </w:r>
      <w:r w:rsidR="00972032">
        <w:t xml:space="preserve">financial </w:t>
      </w:r>
      <w:r w:rsidRPr="00A90F05">
        <w:t>harms on both gamblers and affected others</w:t>
      </w:r>
      <w:r w:rsidR="00972032">
        <w:t>.</w:t>
      </w:r>
    </w:p>
    <w:p w14:paraId="0C89EC2D" w14:textId="0B122F7A" w:rsidR="0061777D" w:rsidRPr="00A90F05" w:rsidRDefault="0061777D" w:rsidP="0061777D">
      <w:pPr>
        <w:pStyle w:val="VRGFBodycontent"/>
      </w:pPr>
      <w:r w:rsidRPr="00A90F05">
        <w:t>For gamblers, ‘reduced spending’ (</w:t>
      </w:r>
      <w:r w:rsidR="000153FB">
        <w:t>75.4</w:t>
      </w:r>
      <w:r w:rsidRPr="00A90F05">
        <w:t>), ‘reduced performance’ (3</w:t>
      </w:r>
      <w:r w:rsidR="000153FB">
        <w:t>5.1</w:t>
      </w:r>
      <w:r w:rsidRPr="00A90F05">
        <w:t>), ‘reduced sleep worry’ (48.3), ‘</w:t>
      </w:r>
      <w:r w:rsidR="000153FB">
        <w:t>regret</w:t>
      </w:r>
      <w:r w:rsidRPr="00A90F05">
        <w:t>’ (</w:t>
      </w:r>
      <w:r w:rsidR="000153FB">
        <w:t>57.8</w:t>
      </w:r>
      <w:r w:rsidRPr="00A90F05">
        <w:t>), ‘reduced time’ (5</w:t>
      </w:r>
      <w:r w:rsidR="000153FB">
        <w:t>3</w:t>
      </w:r>
      <w:r w:rsidRPr="00A90F05">
        <w:t>.</w:t>
      </w:r>
      <w:r w:rsidR="000153FB">
        <w:t>7</w:t>
      </w:r>
      <w:r w:rsidRPr="00A90F05">
        <w:t>), and ‘pay money’ (1</w:t>
      </w:r>
      <w:r w:rsidR="000153FB">
        <w:t>9.</w:t>
      </w:r>
      <w:r w:rsidRPr="00A90F05">
        <w:t xml:space="preserve">8) were reported by the highest percentage of problem gamblers, within the financial, work/study, health, emotional/psychological, relationship, and </w:t>
      </w:r>
      <w:r>
        <w:t>‘</w:t>
      </w:r>
      <w:r w:rsidRPr="00A90F05">
        <w:t>other</w:t>
      </w:r>
      <w:r>
        <w:t>’</w:t>
      </w:r>
      <w:r w:rsidRPr="00A90F05">
        <w:t xml:space="preserve"> domain</w:t>
      </w:r>
      <w:r>
        <w:t>s</w:t>
      </w:r>
      <w:r w:rsidRPr="00A90F05">
        <w:t xml:space="preserve"> respectively</w:t>
      </w:r>
      <w:r w:rsidR="00B40FF8">
        <w:t>.</w:t>
      </w:r>
      <w:r w:rsidR="008610D3">
        <w:t xml:space="preserve"> </w:t>
      </w:r>
      <w:r w:rsidRPr="00A90F05">
        <w:t>In comparison, ‘reduced spending’ (</w:t>
      </w:r>
      <w:r w:rsidR="00C1049C">
        <w:t>37.5</w:t>
      </w:r>
      <w:r w:rsidRPr="00A90F05">
        <w:t>), ‘reduced performance’ (</w:t>
      </w:r>
      <w:r w:rsidR="00C1049C">
        <w:t>24.9</w:t>
      </w:r>
      <w:r w:rsidRPr="00A90F05">
        <w:t>), ‘reduced sleep worry’ (</w:t>
      </w:r>
      <w:r w:rsidR="00C1049C">
        <w:t>39.2</w:t>
      </w:r>
      <w:r w:rsidRPr="00A90F05">
        <w:t>), ‘distress’ (</w:t>
      </w:r>
      <w:r w:rsidR="00C1049C">
        <w:t>59.8</w:t>
      </w:r>
      <w:r w:rsidRPr="00A90F05">
        <w:t>), ‘increased tension’ (</w:t>
      </w:r>
      <w:r w:rsidR="00C1049C">
        <w:t>45.0</w:t>
      </w:r>
      <w:r w:rsidRPr="00A90F05">
        <w:t>), and ‘</w:t>
      </w:r>
      <w:r w:rsidR="00C1049C">
        <w:t>pay money</w:t>
      </w:r>
      <w:r w:rsidRPr="00A90F05">
        <w:t>’ (</w:t>
      </w:r>
      <w:r w:rsidR="00C1049C">
        <w:t>14.5</w:t>
      </w:r>
      <w:r w:rsidRPr="00A90F05">
        <w:t>) were reported by the highest percentage of affected others, within the corresponding domains</w:t>
      </w:r>
      <w:r w:rsidR="00B40FF8">
        <w:t>.</w:t>
      </w:r>
      <w:r w:rsidR="008610D3">
        <w:t xml:space="preserve"> </w:t>
      </w:r>
      <w:r w:rsidRPr="00A90F05">
        <w:t>Hence, ‘reduced spending’</w:t>
      </w:r>
      <w:r w:rsidR="001B163D">
        <w:t>, ‘reduced performance’, ‘reduced sleep worry’, and ‘pay money’</w:t>
      </w:r>
      <w:r w:rsidRPr="00A90F05">
        <w:t xml:space="preserve"> w</w:t>
      </w:r>
      <w:r w:rsidR="001B163D">
        <w:t xml:space="preserve">ere </w:t>
      </w:r>
      <w:r w:rsidRPr="00A90F05">
        <w:t>harm</w:t>
      </w:r>
      <w:r w:rsidR="001B163D">
        <w:t>s</w:t>
      </w:r>
      <w:r w:rsidRPr="00A90F05">
        <w:t xml:space="preserve"> most frequently reported by both problem gamblers and their affected others</w:t>
      </w:r>
      <w:r w:rsidR="001B163D">
        <w:t xml:space="preserve"> for the</w:t>
      </w:r>
      <w:r w:rsidR="00321943">
        <w:t xml:space="preserve"> financial, work/study, health, and ‘other’</w:t>
      </w:r>
      <w:r w:rsidR="001B163D">
        <w:t xml:space="preserve"> </w:t>
      </w:r>
      <w:r w:rsidR="00321943">
        <w:t>domains respectively</w:t>
      </w:r>
      <w:r w:rsidRPr="00A90F05">
        <w:t>.</w:t>
      </w:r>
    </w:p>
    <w:p w14:paraId="22362D3A" w14:textId="121068CB" w:rsidR="0061777D" w:rsidRPr="00A90F05" w:rsidRDefault="0061777D" w:rsidP="0061777D">
      <w:pPr>
        <w:pStyle w:val="VRGFBodycontent"/>
      </w:pPr>
      <w:r w:rsidRPr="00A90F05">
        <w:t>For gamblers, ‘</w:t>
      </w:r>
      <w:r w:rsidR="0036018B">
        <w:t xml:space="preserve">assistance </w:t>
      </w:r>
      <w:r w:rsidR="00B12BDA">
        <w:t>whānau</w:t>
      </w:r>
      <w:r>
        <w:t>’ (.</w:t>
      </w:r>
      <w:r w:rsidR="0036018B">
        <w:t>49</w:t>
      </w:r>
      <w:r>
        <w:t>), ‘</w:t>
      </w:r>
      <w:r w:rsidR="0036018B">
        <w:t>reduced performance</w:t>
      </w:r>
      <w:r>
        <w:t>’ (.3</w:t>
      </w:r>
      <w:r w:rsidR="0036018B">
        <w:t>8</w:t>
      </w:r>
      <w:r>
        <w:t xml:space="preserve">), </w:t>
      </w:r>
      <w:r w:rsidRPr="00A90F05">
        <w:t>‘reduced sleep worry’ (.</w:t>
      </w:r>
      <w:r w:rsidR="0036018B">
        <w:t>52</w:t>
      </w:r>
      <w:r w:rsidRPr="00A90F05">
        <w:t>), ‘extreme distress’ (.5</w:t>
      </w:r>
      <w:r w:rsidR="0036018B">
        <w:t>4</w:t>
      </w:r>
      <w:r w:rsidRPr="00A90F05">
        <w:t>), ‘increased tension’ (.</w:t>
      </w:r>
      <w:r w:rsidR="0036018B">
        <w:t>48</w:t>
      </w:r>
      <w:r w:rsidRPr="00A90F05">
        <w:t>), and ‘pay money’ (.</w:t>
      </w:r>
      <w:r w:rsidR="0036018B">
        <w:t>4</w:t>
      </w:r>
      <w:r w:rsidRPr="00A90F05">
        <w:t>1) had the highest correlation with their reported PGSI, within the financial, work/study, health, emotional/psychological, relationship, and other domain respectively</w:t>
      </w:r>
      <w:r w:rsidR="00B40FF8">
        <w:t>.</w:t>
      </w:r>
      <w:r w:rsidR="008610D3">
        <w:t xml:space="preserve"> </w:t>
      </w:r>
      <w:r w:rsidRPr="00A90F05">
        <w:t>In comparison, ‘sold items’ (.2</w:t>
      </w:r>
      <w:r w:rsidR="002709CD">
        <w:t>8</w:t>
      </w:r>
      <w:r w:rsidRPr="00A90F05">
        <w:t>), ‘</w:t>
      </w:r>
      <w:r w:rsidR="002709CD">
        <w:t>absent</w:t>
      </w:r>
      <w:r w:rsidRPr="00A90F05">
        <w:t>’ (.2</w:t>
      </w:r>
      <w:r w:rsidR="002709CD">
        <w:t>2</w:t>
      </w:r>
      <w:r w:rsidRPr="00A90F05">
        <w:t>), ‘</w:t>
      </w:r>
      <w:r w:rsidR="002709CD">
        <w:t>reduced sleep worry</w:t>
      </w:r>
      <w:r w:rsidRPr="00A90F05">
        <w:t>’ (.2</w:t>
      </w:r>
      <w:r w:rsidR="002709CD">
        <w:t>6</w:t>
      </w:r>
      <w:r w:rsidRPr="00A90F05">
        <w:t>)</w:t>
      </w:r>
      <w:r>
        <w:t xml:space="preserve">, </w:t>
      </w:r>
      <w:r w:rsidRPr="00A90F05">
        <w:t>‘</w:t>
      </w:r>
      <w:r w:rsidR="002709CD">
        <w:t>hopeless</w:t>
      </w:r>
      <w:r w:rsidRPr="00A90F05">
        <w:t>’ (.</w:t>
      </w:r>
      <w:r w:rsidR="002709CD">
        <w:t>27</w:t>
      </w:r>
      <w:r w:rsidRPr="00A90F05">
        <w:t>), ‘neglected responsibilities</w:t>
      </w:r>
      <w:r w:rsidR="002709CD">
        <w:t xml:space="preserve"> </w:t>
      </w:r>
      <w:r w:rsidR="00B12BDA">
        <w:t>whānau</w:t>
      </w:r>
      <w:r w:rsidRPr="00A90F05">
        <w:t>’ (.</w:t>
      </w:r>
      <w:r w:rsidR="002709CD">
        <w:t>22</w:t>
      </w:r>
      <w:r w:rsidRPr="00A90F05">
        <w:t>), and ‘</w:t>
      </w:r>
      <w:r w:rsidR="002709CD">
        <w:t xml:space="preserve">outcast community; violence; pay money’ </w:t>
      </w:r>
      <w:r w:rsidRPr="00A90F05">
        <w:t>(.1</w:t>
      </w:r>
      <w:r w:rsidR="002709CD">
        <w:t>5</w:t>
      </w:r>
      <w:r w:rsidRPr="00A90F05">
        <w:t>) had the highest correlation with PGSI reported by affected others, within the corresponding domains</w:t>
      </w:r>
      <w:r w:rsidR="00B40FF8">
        <w:t>.</w:t>
      </w:r>
      <w:r w:rsidR="008610D3">
        <w:t xml:space="preserve"> </w:t>
      </w:r>
      <w:r w:rsidRPr="00A90F05">
        <w:t>Hence, ‘reduced sleep worry’, and ‘</w:t>
      </w:r>
      <w:r w:rsidR="009C20B8">
        <w:t>pay money</w:t>
      </w:r>
      <w:r w:rsidRPr="00A90F05">
        <w:t xml:space="preserve">’ were, respectively, the most reliable health, and </w:t>
      </w:r>
      <w:r w:rsidR="00FB39C3">
        <w:t>‘</w:t>
      </w:r>
      <w:r w:rsidR="009C20B8">
        <w:t>other</w:t>
      </w:r>
      <w:r w:rsidR="00FB39C3">
        <w:t>’</w:t>
      </w:r>
      <w:r w:rsidRPr="00A90F05">
        <w:t xml:space="preserve"> consequence of increasing gambling problems, among both gamblers and affected others.</w:t>
      </w:r>
    </w:p>
    <w:p w14:paraId="1371CA5D" w14:textId="37946D0F" w:rsidR="0061777D" w:rsidRPr="00A90F05" w:rsidRDefault="0061777D" w:rsidP="0061777D">
      <w:pPr>
        <w:pStyle w:val="VRGFBodycontent"/>
      </w:pPr>
      <w:r w:rsidRPr="00A90F05">
        <w:t>For gamblers, ‘late bills’ (.</w:t>
      </w:r>
      <w:r w:rsidR="00FB39C3">
        <w:t>51</w:t>
      </w:r>
      <w:r w:rsidRPr="00A90F05">
        <w:t>), ‘reduced performance’ (.5</w:t>
      </w:r>
      <w:r w:rsidR="00FB39C3">
        <w:t>8</w:t>
      </w:r>
      <w:r w:rsidRPr="00A90F05">
        <w:t>), ‘</w:t>
      </w:r>
      <w:r w:rsidR="00FB39C3">
        <w:t>reduced sleep worry</w:t>
      </w:r>
      <w:r w:rsidRPr="00A90F05">
        <w:t>’ (</w:t>
      </w:r>
      <w:r w:rsidR="00FB39C3">
        <w:t>.56</w:t>
      </w:r>
      <w:r w:rsidRPr="00A90F05">
        <w:t>), ‘extreme distress’ (.</w:t>
      </w:r>
      <w:r w:rsidR="00FB39C3">
        <w:t>60</w:t>
      </w:r>
      <w:r w:rsidRPr="00A90F05">
        <w:t>), ‘increased</w:t>
      </w:r>
      <w:r w:rsidR="00FB39C3">
        <w:t xml:space="preserve"> tension</w:t>
      </w:r>
      <w:r w:rsidRPr="00A90F05">
        <w:t>’ (.</w:t>
      </w:r>
      <w:r w:rsidR="00FB39C3">
        <w:t>61</w:t>
      </w:r>
      <w:r w:rsidRPr="00A90F05">
        <w:t>), and ‘</w:t>
      </w:r>
      <w:r w:rsidR="008B0162">
        <w:t>theft government</w:t>
      </w:r>
      <w:r w:rsidRPr="00A90F05">
        <w:t>’ (.</w:t>
      </w:r>
      <w:r w:rsidR="008B0162">
        <w:t>47</w:t>
      </w:r>
      <w:r w:rsidRPr="00A90F05">
        <w:t>) had the highest correlation with their corresponding general domain Likert harm item</w:t>
      </w:r>
      <w:r w:rsidR="00B40FF8">
        <w:t>.</w:t>
      </w:r>
      <w:r w:rsidR="008610D3">
        <w:t xml:space="preserve"> </w:t>
      </w:r>
      <w:r w:rsidRPr="00A90F05">
        <w:t>In comparison, ‘reduced spending’ (.5</w:t>
      </w:r>
      <w:r w:rsidR="008B0162">
        <w:t>7</w:t>
      </w:r>
      <w:r w:rsidRPr="00A90F05">
        <w:t>), ‘reduced performance’ (.5</w:t>
      </w:r>
      <w:r w:rsidR="008B0162">
        <w:t>7</w:t>
      </w:r>
      <w:r w:rsidRPr="00A90F05">
        <w:t>), ‘</w:t>
      </w:r>
      <w:r w:rsidR="008B0162">
        <w:t xml:space="preserve">stress problems </w:t>
      </w:r>
      <w:r w:rsidRPr="00A90F05">
        <w:t>’ (.</w:t>
      </w:r>
      <w:r w:rsidR="008B0162">
        <w:t>53</w:t>
      </w:r>
      <w:r w:rsidRPr="00A90F05">
        <w:t>)</w:t>
      </w:r>
      <w:r w:rsidR="00F542F3">
        <w:t xml:space="preserve">, </w:t>
      </w:r>
      <w:r w:rsidRPr="00A90F05">
        <w:t>‘reduced sleep worry’ (.5</w:t>
      </w:r>
      <w:r w:rsidR="008B0162">
        <w:t>3</w:t>
      </w:r>
      <w:r w:rsidRPr="00A90F05">
        <w:t>), ‘extreme distress’ (.5</w:t>
      </w:r>
      <w:r w:rsidR="008B0162">
        <w:t>7</w:t>
      </w:r>
      <w:r w:rsidRPr="00A90F05">
        <w:t>), ‘increased conflict’ (.</w:t>
      </w:r>
      <w:r w:rsidR="008B0162">
        <w:t>5</w:t>
      </w:r>
      <w:r w:rsidRPr="00A90F05">
        <w:t>6), and ‘violence’ (.5</w:t>
      </w:r>
      <w:r w:rsidR="008B0162">
        <w:t>0</w:t>
      </w:r>
      <w:r w:rsidRPr="00A90F05">
        <w:t>), as reported by affected others, also had the highest correlation with their corresponding general domain item</w:t>
      </w:r>
      <w:r w:rsidR="00B40FF8">
        <w:t>.</w:t>
      </w:r>
      <w:r w:rsidR="008610D3">
        <w:t xml:space="preserve"> </w:t>
      </w:r>
      <w:r w:rsidRPr="00A90F05">
        <w:t>Hence, ‘reduced performance’, ‘</w:t>
      </w:r>
      <w:r w:rsidR="008B0162">
        <w:t>reduced sleep worry</w:t>
      </w:r>
      <w:r w:rsidRPr="00A90F05">
        <w:t xml:space="preserve">’, </w:t>
      </w:r>
      <w:r w:rsidR="008B0162">
        <w:t xml:space="preserve">and </w:t>
      </w:r>
      <w:r w:rsidRPr="00A90F05">
        <w:t xml:space="preserve">‘extreme distress’, were, respectively, the most reliable predictor of general work/study, health, </w:t>
      </w:r>
      <w:r w:rsidR="008B0162">
        <w:t xml:space="preserve">and </w:t>
      </w:r>
      <w:r w:rsidRPr="00A90F05">
        <w:t>emotional/psychological harm, for both gamblers and affected others.</w:t>
      </w:r>
    </w:p>
    <w:p w14:paraId="0F6CFF6B" w14:textId="439EBFC8" w:rsidR="0061777D" w:rsidRDefault="0061777D" w:rsidP="0061777D">
      <w:pPr>
        <w:pStyle w:val="VRGFBodycontent"/>
      </w:pPr>
      <w:r w:rsidRPr="00A90F05">
        <w:t xml:space="preserve">For gamblers, the item-total correlations between ‘reduced </w:t>
      </w:r>
      <w:r w:rsidR="00620952">
        <w:t>beneficial</w:t>
      </w:r>
      <w:r w:rsidR="00BD4CE3">
        <w:t xml:space="preserve"> </w:t>
      </w:r>
      <w:r w:rsidRPr="00A90F05">
        <w:t>expenses’ (.</w:t>
      </w:r>
      <w:r w:rsidR="00620952">
        <w:t>61</w:t>
      </w:r>
      <w:r w:rsidRPr="00A90F05">
        <w:t>), ‘absent’ (.52), ‘stress problems’ (.</w:t>
      </w:r>
      <w:r w:rsidR="00620952">
        <w:t>56</w:t>
      </w:r>
      <w:r w:rsidRPr="00A90F05">
        <w:t>), ‘worthlessness’ (.6</w:t>
      </w:r>
      <w:r w:rsidR="00620952">
        <w:t>5</w:t>
      </w:r>
      <w:r w:rsidRPr="00A90F05">
        <w:t xml:space="preserve">), ‘increased </w:t>
      </w:r>
      <w:r w:rsidR="00620952">
        <w:t>tension</w:t>
      </w:r>
      <w:r w:rsidRPr="00A90F05">
        <w:t>’(.</w:t>
      </w:r>
      <w:r w:rsidR="00620952">
        <w:t>67</w:t>
      </w:r>
      <w:r w:rsidRPr="00A90F05">
        <w:t>)</w:t>
      </w:r>
      <w:r>
        <w:t>,</w:t>
      </w:r>
      <w:r w:rsidR="00620952">
        <w:t xml:space="preserve"> and </w:t>
      </w:r>
      <w:r w:rsidRPr="00A90F05">
        <w:t>‘</w:t>
      </w:r>
      <w:r w:rsidR="00620952">
        <w:t>shame community</w:t>
      </w:r>
      <w:r w:rsidRPr="00A90F05">
        <w:t>’ (.5</w:t>
      </w:r>
      <w:r w:rsidR="00620952">
        <w:t>6</w:t>
      </w:r>
      <w:r w:rsidRPr="00A90F05">
        <w:t>)</w:t>
      </w:r>
      <w:r w:rsidR="00CD512B">
        <w:t xml:space="preserve"> </w:t>
      </w:r>
      <w:r w:rsidRPr="00A90F05">
        <w:lastRenderedPageBreak/>
        <w:t xml:space="preserve">and the rest </w:t>
      </w:r>
      <w:r>
        <w:t xml:space="preserve">of the </w:t>
      </w:r>
      <w:r w:rsidRPr="00A90F05">
        <w:t>items in their corresponding harm domain were strongest in each domain</w:t>
      </w:r>
      <w:r w:rsidR="00B40FF8">
        <w:t>.</w:t>
      </w:r>
      <w:r w:rsidR="008610D3">
        <w:t xml:space="preserve"> </w:t>
      </w:r>
      <w:r w:rsidRPr="00A90F05">
        <w:t>In comparison, ‘reduced beneficial expenses’ (.</w:t>
      </w:r>
      <w:r w:rsidR="00620952">
        <w:t>62</w:t>
      </w:r>
      <w:r w:rsidRPr="00A90F05">
        <w:t>), ‘absent’ (.5</w:t>
      </w:r>
      <w:r w:rsidR="00620952">
        <w:t>7</w:t>
      </w:r>
      <w:r w:rsidRPr="00A90F05">
        <w:t>), ‘depression’ (.5</w:t>
      </w:r>
      <w:r w:rsidR="00620952">
        <w:t>3</w:t>
      </w:r>
      <w:r w:rsidRPr="00A90F05">
        <w:t>), ‘</w:t>
      </w:r>
      <w:r w:rsidR="00620952">
        <w:t>extreme distress</w:t>
      </w:r>
      <w:r w:rsidRPr="00A90F05">
        <w:t>’ (.</w:t>
      </w:r>
      <w:r w:rsidR="00620952">
        <w:t>56</w:t>
      </w:r>
      <w:r w:rsidRPr="00A90F05">
        <w:t>), ‘increased conflict’ (.</w:t>
      </w:r>
      <w:r w:rsidR="00620952">
        <w:t>61</w:t>
      </w:r>
      <w:r w:rsidRPr="00A90F05">
        <w:t>), and ‘</w:t>
      </w:r>
      <w:r w:rsidR="00620952">
        <w:t>pay</w:t>
      </w:r>
      <w:r w:rsidRPr="00A90F05">
        <w:t xml:space="preserve"> money</w:t>
      </w:r>
      <w:r w:rsidR="00C042A6">
        <w:t xml:space="preserve">; theft </w:t>
      </w:r>
      <w:r w:rsidR="0037487A">
        <w:t>government</w:t>
      </w:r>
      <w:r w:rsidRPr="00A90F05">
        <w:t>’ (.</w:t>
      </w:r>
      <w:r w:rsidR="00620952">
        <w:t>38</w:t>
      </w:r>
      <w:r w:rsidRPr="00A90F05">
        <w:t>), as reported by affected others, also had the strongest item-total correlation</w:t>
      </w:r>
      <w:r>
        <w:t>s</w:t>
      </w:r>
      <w:r w:rsidRPr="00A90F05">
        <w:t xml:space="preserve"> for their respective domains</w:t>
      </w:r>
      <w:r w:rsidR="00B40FF8">
        <w:t>.</w:t>
      </w:r>
      <w:r w:rsidR="008610D3">
        <w:t xml:space="preserve"> </w:t>
      </w:r>
      <w:r w:rsidRPr="00A90F05">
        <w:t>Hence,</w:t>
      </w:r>
      <w:r w:rsidR="00620952">
        <w:t xml:space="preserve"> ‘reduced beneficial expenses’ and</w:t>
      </w:r>
      <w:r w:rsidRPr="00A90F05">
        <w:t xml:space="preserve"> ‘absent’ were</w:t>
      </w:r>
      <w:r>
        <w:t xml:space="preserve"> </w:t>
      </w:r>
      <w:r w:rsidR="00620952">
        <w:t>r</w:t>
      </w:r>
      <w:r w:rsidRPr="00A90F05">
        <w:t>espectively the most reliable indicator</w:t>
      </w:r>
      <w:r w:rsidR="00620952">
        <w:t>s</w:t>
      </w:r>
      <w:r w:rsidRPr="00A90F05">
        <w:t xml:space="preserve"> in reflecting the underlying dimension of</w:t>
      </w:r>
      <w:r w:rsidR="00620952">
        <w:t xml:space="preserve"> financial and</w:t>
      </w:r>
      <w:r w:rsidRPr="00A90F05">
        <w:t xml:space="preserve"> work/study harm, for both gamblers and affected others.</w:t>
      </w:r>
    </w:p>
    <w:p w14:paraId="30B3D122" w14:textId="77777777" w:rsidR="007D4718" w:rsidRDefault="007D4718" w:rsidP="0061777D">
      <w:pPr>
        <w:pStyle w:val="VRGFBodycontent"/>
      </w:pPr>
    </w:p>
    <w:p w14:paraId="56299436" w14:textId="048334B2" w:rsidR="00A90F05" w:rsidRPr="00A90F05" w:rsidRDefault="00A90F05" w:rsidP="00C3643F">
      <w:pPr>
        <w:pStyle w:val="VRGFHead2"/>
      </w:pPr>
      <w:bookmarkStart w:id="220" w:name="_Toc430172944"/>
      <w:bookmarkStart w:id="221" w:name="_Toc462738040"/>
      <w:r w:rsidRPr="00C3643F">
        <w:t>Discussion</w:t>
      </w:r>
      <w:bookmarkEnd w:id="220"/>
      <w:bookmarkEnd w:id="221"/>
    </w:p>
    <w:p w14:paraId="3B109099" w14:textId="40C43744" w:rsidR="00EA706B" w:rsidRDefault="00737447" w:rsidP="0061777D">
      <w:pPr>
        <w:pStyle w:val="VRGFBodycontent"/>
      </w:pPr>
      <w:r>
        <w:t>For the most part, t</w:t>
      </w:r>
      <w:r w:rsidR="001018C3">
        <w:t>he pattern of harms experienced</w:t>
      </w:r>
      <w:r>
        <w:t xml:space="preserve"> with increasing gambling problems, appeared to be quite similar for gamblers and affected others</w:t>
      </w:r>
      <w:r w:rsidR="00B40FF8">
        <w:t>.</w:t>
      </w:r>
      <w:r w:rsidR="008610D3">
        <w:t xml:space="preserve"> </w:t>
      </w:r>
      <w:r w:rsidR="00D230ED">
        <w:t>Nonetheless, harms across all domains accumulated more</w:t>
      </w:r>
      <w:r w:rsidR="001018C3">
        <w:t>, and more</w:t>
      </w:r>
      <w:r w:rsidR="00D230ED">
        <w:t xml:space="preserve"> </w:t>
      </w:r>
      <w:r w:rsidR="001018C3">
        <w:t xml:space="preserve">consistently, </w:t>
      </w:r>
      <w:r w:rsidR="00D230ED">
        <w:t>to the gambler compared to the affected other, with respect to increasing gambling problem severity</w:t>
      </w:r>
      <w:r w:rsidR="00B40FF8">
        <w:t>.</w:t>
      </w:r>
      <w:r w:rsidR="008610D3">
        <w:t xml:space="preserve"> </w:t>
      </w:r>
      <w:r w:rsidR="001018C3">
        <w:t xml:space="preserve">This raises the interesting tentative conclusion that whilst the quantity of harm accruing to gamblers and </w:t>
      </w:r>
      <w:r w:rsidR="001D524A">
        <w:t xml:space="preserve">affected </w:t>
      </w:r>
      <w:r w:rsidR="001018C3">
        <w:t>others</w:t>
      </w:r>
      <w:r w:rsidR="00D230ED">
        <w:t xml:space="preserve"> </w:t>
      </w:r>
      <w:r w:rsidR="001018C3">
        <w:t xml:space="preserve">differs, the quality of harm </w:t>
      </w:r>
      <w:r w:rsidR="00BA4E03" w:rsidRPr="00BA4E03">
        <w:rPr>
          <w:i/>
        </w:rPr>
        <w:t>in broad terms</w:t>
      </w:r>
      <w:r w:rsidR="00BA4E03">
        <w:t xml:space="preserve"> </w:t>
      </w:r>
      <w:r w:rsidR="001018C3">
        <w:t>is</w:t>
      </w:r>
      <w:r w:rsidR="00BA4E03">
        <w:t xml:space="preserve"> somewhat</w:t>
      </w:r>
      <w:r w:rsidR="001018C3">
        <w:t xml:space="preserve"> similar</w:t>
      </w:r>
      <w:r w:rsidR="00B40FF8">
        <w:t>.</w:t>
      </w:r>
      <w:r w:rsidR="00BA4E03">
        <w:t xml:space="preserve"> However, this is not to say that specific symptoms of harm do not vary significantly in their prevalence, depending on whether one is a gambler or an affected other. To illustrate, both gamblers and affected others tend to reliably experience more psychological and emotional harms as problems increase. However, gamblers are more likely to experience feelings of shame and remorse, whilst affected others are more likely to experience feelings of anger and hopelessness. A more detailed investigation into the different manifestation of harms in gamblers and affected others is beyond the scope of the present report, but represents an interesting avenue for further research. </w:t>
      </w:r>
      <w:r w:rsidR="00486AF4">
        <w:t>The primary aim of the survey was to obtain a set of harm symptomology, for differing degrees of gambling harm</w:t>
      </w:r>
      <w:r w:rsidR="00B40FF8">
        <w:t>.</w:t>
      </w:r>
      <w:r w:rsidR="008610D3">
        <w:t xml:space="preserve"> </w:t>
      </w:r>
      <w:r w:rsidR="004825FD">
        <w:t>However, t</w:t>
      </w:r>
      <w:r w:rsidR="00D230ED" w:rsidRPr="00D230ED">
        <w:t xml:space="preserve">he </w:t>
      </w:r>
      <w:r w:rsidR="00D230ED">
        <w:t xml:space="preserve">findings also </w:t>
      </w:r>
      <w:r w:rsidR="00D230ED" w:rsidRPr="00D230ED">
        <w:t xml:space="preserve">provide insight into </w:t>
      </w:r>
      <w:r w:rsidR="004825FD">
        <w:t xml:space="preserve">how each of the specific symptoms of </w:t>
      </w:r>
      <w:r w:rsidR="002A2602">
        <w:t>gambling-related</w:t>
      </w:r>
      <w:r w:rsidR="00D230ED" w:rsidRPr="00D230ED">
        <w:t xml:space="preserve"> harm</w:t>
      </w:r>
      <w:r w:rsidR="004825FD">
        <w:t xml:space="preserve"> </w:t>
      </w:r>
      <w:r w:rsidR="00BA4E03">
        <w:t>occurs</w:t>
      </w:r>
      <w:r w:rsidR="004825FD">
        <w:t xml:space="preserve"> with respect to problems</w:t>
      </w:r>
      <w:r w:rsidR="00D230ED" w:rsidRPr="00D230ED">
        <w:t>: in terms of prevalence, as an indicator of increasing harm, and also o</w:t>
      </w:r>
      <w:r w:rsidR="00D230ED">
        <w:t>f increasing gambling problems</w:t>
      </w:r>
      <w:r w:rsidR="00B40FF8">
        <w:t>.</w:t>
      </w:r>
      <w:r w:rsidR="008610D3">
        <w:t xml:space="preserve"> </w:t>
      </w:r>
      <w:r w:rsidR="00EA706B">
        <w:t>Each of the six harm domain</w:t>
      </w:r>
      <w:r w:rsidR="004825FD">
        <w:t>s</w:t>
      </w:r>
      <w:r w:rsidR="00EA706B">
        <w:t xml:space="preserve"> </w:t>
      </w:r>
      <w:r w:rsidR="00D961FD">
        <w:t>is</w:t>
      </w:r>
      <w:r w:rsidR="00EA706B">
        <w:t xml:space="preserve"> discussed separately in the subsequent </w:t>
      </w:r>
      <w:r w:rsidR="00BA4E03">
        <w:t>sub-</w:t>
      </w:r>
      <w:r w:rsidR="00EA706B">
        <w:t xml:space="preserve">sections. </w:t>
      </w:r>
    </w:p>
    <w:p w14:paraId="567C8C3B" w14:textId="77777777" w:rsidR="00E93199" w:rsidRDefault="00E93199" w:rsidP="0061777D">
      <w:pPr>
        <w:pStyle w:val="VRGFBodycontent"/>
      </w:pPr>
    </w:p>
    <w:p w14:paraId="031C8D0D" w14:textId="77777777" w:rsidR="0061777D" w:rsidRPr="00BE1FFC" w:rsidRDefault="0061777D" w:rsidP="00E93199">
      <w:pPr>
        <w:pStyle w:val="VRGFHead3"/>
      </w:pPr>
      <w:bookmarkStart w:id="222" w:name="_Toc430172945"/>
      <w:bookmarkStart w:id="223" w:name="_Toc462738041"/>
      <w:r w:rsidRPr="00BE1FFC">
        <w:t>Financial</w:t>
      </w:r>
      <w:bookmarkEnd w:id="222"/>
      <w:bookmarkEnd w:id="223"/>
    </w:p>
    <w:p w14:paraId="006DA0CE" w14:textId="5F6725CC" w:rsidR="006F7A15" w:rsidRDefault="00C5018A" w:rsidP="0061777D">
      <w:pPr>
        <w:pStyle w:val="VRGFBodycontent"/>
      </w:pPr>
      <w:r>
        <w:t>Requiring assistance from</w:t>
      </w:r>
      <w:r w:rsidR="009C5E5B">
        <w:t xml:space="preserve"> one</w:t>
      </w:r>
      <w:r w:rsidR="00BC19E1">
        <w:t>’</w:t>
      </w:r>
      <w:r w:rsidR="009C5E5B">
        <w:t>s</w:t>
      </w:r>
      <w:r>
        <w:t xml:space="preserve"> </w:t>
      </w:r>
      <w:r w:rsidR="00B12BDA">
        <w:t>m</w:t>
      </w:r>
      <w:r>
        <w:t xml:space="preserve">arae community was </w:t>
      </w:r>
      <w:r w:rsidR="009C5E5B">
        <w:t>the most severe indicator of financial harm among gamblers and affected others</w:t>
      </w:r>
      <w:r w:rsidR="00B40FF8">
        <w:t>.</w:t>
      </w:r>
      <w:r w:rsidR="008610D3">
        <w:t xml:space="preserve"> </w:t>
      </w:r>
      <w:r w:rsidR="006F7A15">
        <w:t>F</w:t>
      </w:r>
      <w:r w:rsidR="003D4892">
        <w:t xml:space="preserve">or both groups it was a fairly unreliable indicator of harm, which may reflect </w:t>
      </w:r>
      <w:r w:rsidR="00EE54B0">
        <w:t xml:space="preserve">its </w:t>
      </w:r>
      <w:r w:rsidR="003D4892">
        <w:t>low prevalence</w:t>
      </w:r>
      <w:r w:rsidR="0048277B">
        <w:t xml:space="preserve">, as well as the fact that it </w:t>
      </w:r>
      <w:r w:rsidR="007E1221">
        <w:t xml:space="preserve">is </w:t>
      </w:r>
      <w:r w:rsidR="005A7BA7">
        <w:t xml:space="preserve">not applicable to some </w:t>
      </w:r>
      <w:r w:rsidR="00EE54B0">
        <w:t xml:space="preserve">population </w:t>
      </w:r>
      <w:r w:rsidR="005A7BA7">
        <w:t>groups</w:t>
      </w:r>
      <w:r w:rsidR="00B40FF8">
        <w:t>.</w:t>
      </w:r>
      <w:r w:rsidR="008610D3">
        <w:t xml:space="preserve"> </w:t>
      </w:r>
      <w:r w:rsidR="002E71C8">
        <w:t>Nevertheless</w:t>
      </w:r>
      <w:r w:rsidR="006F7A15">
        <w:t xml:space="preserve">, </w:t>
      </w:r>
      <w:r w:rsidR="006F7A15" w:rsidRPr="006F7A15">
        <w:t xml:space="preserve">the event only </w:t>
      </w:r>
      <w:r w:rsidR="006F7A15">
        <w:t>occurred</w:t>
      </w:r>
      <w:r w:rsidR="006F7A15" w:rsidRPr="006F7A15">
        <w:t xml:space="preserve"> among problem gamblers</w:t>
      </w:r>
      <w:r w:rsidR="00B40FF8">
        <w:t>.</w:t>
      </w:r>
      <w:r w:rsidR="008610D3">
        <w:t xml:space="preserve"> </w:t>
      </w:r>
      <w:r w:rsidR="006F7A15">
        <w:t xml:space="preserve">This suggests that approaching the </w:t>
      </w:r>
      <w:r w:rsidR="00B12BDA">
        <w:t>m</w:t>
      </w:r>
      <w:r w:rsidR="006F7A15">
        <w:t>arae community may occur</w:t>
      </w:r>
      <w:r w:rsidR="00894FDC">
        <w:t xml:space="preserve"> as a last resort </w:t>
      </w:r>
      <w:r w:rsidR="006F7A15">
        <w:t>once ot</w:t>
      </w:r>
      <w:r w:rsidR="002A2602">
        <w:t>her avenues to resolve gambling-</w:t>
      </w:r>
      <w:r w:rsidR="006F7A15">
        <w:t>related</w:t>
      </w:r>
      <w:r w:rsidR="002A2602">
        <w:t xml:space="preserve"> </w:t>
      </w:r>
      <w:r w:rsidR="006F7A15">
        <w:t xml:space="preserve">issues have been </w:t>
      </w:r>
      <w:r w:rsidR="00894FDC">
        <w:t>exhausted</w:t>
      </w:r>
      <w:r w:rsidR="00B40FF8">
        <w:t>.</w:t>
      </w:r>
      <w:r w:rsidR="008610D3">
        <w:t xml:space="preserve"> </w:t>
      </w:r>
      <w:r w:rsidR="00F60D4F">
        <w:t xml:space="preserve">The least severe indicator of financial harm, </w:t>
      </w:r>
      <w:r w:rsidR="00EE54B0">
        <w:t xml:space="preserve">for </w:t>
      </w:r>
      <w:r w:rsidR="00F60D4F">
        <w:t>both gamblers</w:t>
      </w:r>
      <w:r w:rsidR="00FC2663">
        <w:t xml:space="preserve"> and </w:t>
      </w:r>
      <w:r w:rsidR="00F60D4F">
        <w:t>affected others,</w:t>
      </w:r>
      <w:r w:rsidR="005C1C28">
        <w:t xml:space="preserve"> was reduced spending, which supports the intuitive idea </w:t>
      </w:r>
      <w:r w:rsidR="00D57EDF">
        <w:t>that the</w:t>
      </w:r>
      <w:r w:rsidR="005C1C28">
        <w:t xml:space="preserve"> first impact of gambling </w:t>
      </w:r>
      <w:r w:rsidR="00D57EDF">
        <w:t>problems is to</w:t>
      </w:r>
      <w:r w:rsidR="005C1C28">
        <w:t xml:space="preserve"> reduc</w:t>
      </w:r>
      <w:r w:rsidR="00D57EDF">
        <w:t xml:space="preserve">e </w:t>
      </w:r>
      <w:r w:rsidR="005C1C28">
        <w:t>funds available for recreational activities</w:t>
      </w:r>
      <w:r w:rsidR="00B40FF8">
        <w:t>.</w:t>
      </w:r>
      <w:r w:rsidR="008610D3">
        <w:t xml:space="preserve"> </w:t>
      </w:r>
      <w:r w:rsidR="00366169">
        <w:t xml:space="preserve">Reduced spending on beneficial and essential expenses were among the most reliable indicators </w:t>
      </w:r>
      <w:r w:rsidR="00EE54B0">
        <w:t xml:space="preserve">for </w:t>
      </w:r>
      <w:r w:rsidR="00366169">
        <w:t>both groups</w:t>
      </w:r>
      <w:r w:rsidR="00B40FF8">
        <w:t>.</w:t>
      </w:r>
      <w:r w:rsidR="008610D3">
        <w:t xml:space="preserve"> </w:t>
      </w:r>
      <w:r w:rsidR="00366169">
        <w:t xml:space="preserve">This aligns with </w:t>
      </w:r>
      <w:r w:rsidR="000C7FBD">
        <w:t xml:space="preserve">a fundamental characteristic </w:t>
      </w:r>
      <w:r w:rsidR="00366169">
        <w:t xml:space="preserve">of financial gambling harm </w:t>
      </w:r>
      <w:r w:rsidR="000C7FBD">
        <w:t>–</w:t>
      </w:r>
      <w:r w:rsidR="00366169">
        <w:t xml:space="preserve"> </w:t>
      </w:r>
      <w:r w:rsidR="000C7FBD">
        <w:t xml:space="preserve">which is </w:t>
      </w:r>
      <w:r w:rsidR="00366169">
        <w:t>to reduce and divert money away from basic necessities</w:t>
      </w:r>
      <w:r w:rsidR="00B40FF8">
        <w:t>.</w:t>
      </w:r>
      <w:r w:rsidR="008610D3">
        <w:t xml:space="preserve"> </w:t>
      </w:r>
      <w:r w:rsidR="00E5281D">
        <w:t xml:space="preserve">Requiring assistance from </w:t>
      </w:r>
      <w:r w:rsidR="00B12BDA">
        <w:t>whānau</w:t>
      </w:r>
      <w:r w:rsidR="00E5281D">
        <w:t xml:space="preserve">, and selling items to fund gambling, had quite high escalations in prevalence in the problem category, and unsurprisingly had the strongest correlations the PGSI. </w:t>
      </w:r>
    </w:p>
    <w:p w14:paraId="55F2E92A" w14:textId="04B627B6" w:rsidR="00E93199" w:rsidRDefault="0061777D" w:rsidP="0061777D">
      <w:pPr>
        <w:pStyle w:val="VRGFBodycontent"/>
      </w:pPr>
      <w:r>
        <w:t xml:space="preserve"> </w:t>
      </w:r>
    </w:p>
    <w:p w14:paraId="31AE9615" w14:textId="77777777" w:rsidR="00B35B78" w:rsidRDefault="00B35B78" w:rsidP="0061777D">
      <w:pPr>
        <w:pStyle w:val="VRGFBodycontent"/>
      </w:pPr>
    </w:p>
    <w:p w14:paraId="62E7D46F" w14:textId="77777777" w:rsidR="0061777D" w:rsidRPr="00DB67C7" w:rsidRDefault="0061777D" w:rsidP="00E93199">
      <w:pPr>
        <w:pStyle w:val="VRGFHead3"/>
      </w:pPr>
      <w:bookmarkStart w:id="224" w:name="_Toc430172946"/>
      <w:bookmarkStart w:id="225" w:name="_Toc462738042"/>
      <w:r w:rsidRPr="00DB67C7">
        <w:lastRenderedPageBreak/>
        <w:t>Work/Study</w:t>
      </w:r>
      <w:bookmarkEnd w:id="224"/>
      <w:bookmarkEnd w:id="225"/>
    </w:p>
    <w:p w14:paraId="44311836" w14:textId="02F7A213" w:rsidR="003078CC" w:rsidRDefault="00451461" w:rsidP="0061777D">
      <w:pPr>
        <w:pStyle w:val="VRGFBodycontent"/>
      </w:pPr>
      <w:r>
        <w:t xml:space="preserve">For both gamblers and affected others, being excluded from </w:t>
      </w:r>
      <w:r w:rsidR="00F17DA5">
        <w:t xml:space="preserve">educational </w:t>
      </w:r>
      <w:r>
        <w:t xml:space="preserve">study, losing a job, and conflict with </w:t>
      </w:r>
      <w:r w:rsidR="000C7FBD">
        <w:t xml:space="preserve">colleagues </w:t>
      </w:r>
      <w:r>
        <w:t>were the most severe work/study harms</w:t>
      </w:r>
      <w:r w:rsidR="00B40FF8">
        <w:t>.</w:t>
      </w:r>
      <w:r w:rsidR="008610D3">
        <w:t xml:space="preserve"> </w:t>
      </w:r>
      <w:r>
        <w:t xml:space="preserve">Being absent, late, or reduced performance were the least severe harms for both groups, and </w:t>
      </w:r>
      <w:r w:rsidR="00F17DA5">
        <w:t xml:space="preserve">were </w:t>
      </w:r>
      <w:r>
        <w:t xml:space="preserve">among the most reliable indicators </w:t>
      </w:r>
      <w:r w:rsidR="00FC313B">
        <w:t xml:space="preserve">of harm </w:t>
      </w:r>
      <w:r>
        <w:t>within this domain</w:t>
      </w:r>
      <w:r w:rsidR="00B40FF8">
        <w:t>.</w:t>
      </w:r>
      <w:r w:rsidR="008610D3">
        <w:t xml:space="preserve"> </w:t>
      </w:r>
      <w:r w:rsidR="00337AAC">
        <w:t>Therefore, a reliable early indicator of gambling harm would be missing work/study to gamble, or as a consequence of someone else’s gambling</w:t>
      </w:r>
      <w:r w:rsidR="00B40FF8">
        <w:t>.</w:t>
      </w:r>
      <w:r w:rsidR="008610D3">
        <w:t xml:space="preserve"> </w:t>
      </w:r>
      <w:r w:rsidR="00337AAC">
        <w:t xml:space="preserve">While absenteeism could relate to several co-morbid harms (e.g. health, emotional/psychological harm), as an isolated behaviour </w:t>
      </w:r>
      <w:r w:rsidR="00E156A2">
        <w:t xml:space="preserve">it could be used as a ready, everyday indicator of risk </w:t>
      </w:r>
      <w:r w:rsidR="00F17DA5">
        <w:t xml:space="preserve">for </w:t>
      </w:r>
      <w:r w:rsidR="00E156A2">
        <w:t>both gamblers and affected others</w:t>
      </w:r>
      <w:r w:rsidR="00B40FF8">
        <w:t>.</w:t>
      </w:r>
      <w:r w:rsidR="008610D3">
        <w:t xml:space="preserve"> </w:t>
      </w:r>
      <w:r w:rsidR="00B410A1">
        <w:t>Reduced performance at work/study due to tiredness or distraction was</w:t>
      </w:r>
      <w:r w:rsidR="004C689D">
        <w:t xml:space="preserve"> </w:t>
      </w:r>
      <w:r w:rsidR="00B410A1">
        <w:t>the most reliable consequence of increasing gambling problems for gamblers</w:t>
      </w:r>
      <w:r w:rsidR="00A60006">
        <w:t xml:space="preserve"> and </w:t>
      </w:r>
      <w:r w:rsidR="00B410A1">
        <w:t>affected others</w:t>
      </w:r>
      <w:r w:rsidR="00B40FF8">
        <w:t>.</w:t>
      </w:r>
      <w:r w:rsidR="008610D3">
        <w:t xml:space="preserve"> </w:t>
      </w:r>
      <w:r w:rsidR="004C689D">
        <w:t>Additionally, f</w:t>
      </w:r>
      <w:r w:rsidR="00A60006">
        <w:t>or both groups i</w:t>
      </w:r>
      <w:r w:rsidR="001B454C">
        <w:t xml:space="preserve">t was also the most </w:t>
      </w:r>
      <w:r w:rsidR="00A60006">
        <w:t>reliable predictor of the general work/study harm</w:t>
      </w:r>
      <w:r w:rsidR="004C689D">
        <w:t xml:space="preserve"> domain</w:t>
      </w:r>
      <w:r w:rsidR="00A60006">
        <w:t>, and reported by the highest percentages of problem gamblers and affected others.</w:t>
      </w:r>
      <w:r w:rsidR="00BE3642">
        <w:t xml:space="preserve"> </w:t>
      </w:r>
    </w:p>
    <w:p w14:paraId="380CEAD2" w14:textId="77777777" w:rsidR="00E156A2" w:rsidRDefault="00E156A2" w:rsidP="0061777D">
      <w:pPr>
        <w:pStyle w:val="VRGFBodycontent"/>
      </w:pPr>
    </w:p>
    <w:p w14:paraId="6055F225" w14:textId="52C95F7F" w:rsidR="0061777D" w:rsidRPr="00645F71" w:rsidRDefault="00D230ED" w:rsidP="00E93199">
      <w:pPr>
        <w:pStyle w:val="VRGFHead3"/>
      </w:pPr>
      <w:bookmarkStart w:id="226" w:name="_Toc430172947"/>
      <w:bookmarkStart w:id="227" w:name="_Toc462738043"/>
      <w:r>
        <w:t>H</w:t>
      </w:r>
      <w:r w:rsidR="0061777D" w:rsidRPr="00645F71">
        <w:t>ealth</w:t>
      </w:r>
      <w:bookmarkEnd w:id="226"/>
      <w:bookmarkEnd w:id="227"/>
    </w:p>
    <w:p w14:paraId="0E39BD3E" w14:textId="48640B65" w:rsidR="009061E6" w:rsidRDefault="002918EE" w:rsidP="0061777D">
      <w:pPr>
        <w:pStyle w:val="VRGFBodycontent"/>
      </w:pPr>
      <w:r>
        <w:t xml:space="preserve">Committing acts of self-harm </w:t>
      </w:r>
      <w:r w:rsidR="00A50561">
        <w:t xml:space="preserve">were </w:t>
      </w:r>
      <w:r>
        <w:t xml:space="preserve">among the </w:t>
      </w:r>
      <w:r w:rsidR="00027D60">
        <w:t xml:space="preserve">least prevalent </w:t>
      </w:r>
      <w:r w:rsidR="005329B2">
        <w:t xml:space="preserve">but the </w:t>
      </w:r>
      <w:r>
        <w:t>most severe indicators of health related harm for both gamblers and affected others</w:t>
      </w:r>
      <w:r w:rsidR="00B40FF8">
        <w:t>.</w:t>
      </w:r>
      <w:r w:rsidR="008610D3">
        <w:t xml:space="preserve"> </w:t>
      </w:r>
      <w:r w:rsidR="00586120">
        <w:t xml:space="preserve">Neglecting one’s medical needs (such as not taking prescription medications) was a reliable early indicator of health harm </w:t>
      </w:r>
      <w:r w:rsidR="00A50561">
        <w:t xml:space="preserve">for </w:t>
      </w:r>
      <w:r w:rsidR="00586120">
        <w:t>both groups</w:t>
      </w:r>
      <w:r w:rsidR="00B40FF8">
        <w:t>.</w:t>
      </w:r>
      <w:r w:rsidR="008610D3">
        <w:t xml:space="preserve"> </w:t>
      </w:r>
      <w:r w:rsidR="004A0340">
        <w:t>Other early indicators for gamblers included stress</w:t>
      </w:r>
      <w:r w:rsidR="00A50561">
        <w:t>-</w:t>
      </w:r>
      <w:r w:rsidR="004A0340">
        <w:t>related health problems (such as high blood pressure) and loss of sleep due to worrying about gambling, and for affected others included experiences of depression</w:t>
      </w:r>
      <w:r w:rsidR="00B40FF8">
        <w:t>.</w:t>
      </w:r>
      <w:r w:rsidR="008610D3">
        <w:t xml:space="preserve"> </w:t>
      </w:r>
      <w:r w:rsidR="004A0340">
        <w:t>Reduced sleep due to worrying, for both groups, also had the highest correlation with the PGSI</w:t>
      </w:r>
      <w:r w:rsidR="00B40FF8">
        <w:t>.</w:t>
      </w:r>
      <w:r w:rsidR="008610D3">
        <w:t xml:space="preserve"> </w:t>
      </w:r>
      <w:r w:rsidR="00A52CE5">
        <w:t>This was t</w:t>
      </w:r>
      <w:r w:rsidR="004A0340">
        <w:t>he harm most commonly reported by problem gamblers and affected others, and was the most reliable predictor of the health domain.</w:t>
      </w:r>
      <w:r w:rsidR="00A52CE5">
        <w:t xml:space="preserve"> </w:t>
      </w:r>
    </w:p>
    <w:p w14:paraId="282DCD73" w14:textId="77777777" w:rsidR="00461ED9" w:rsidRDefault="00461ED9" w:rsidP="0061777D">
      <w:pPr>
        <w:pStyle w:val="VRGFBodycontent"/>
      </w:pPr>
    </w:p>
    <w:p w14:paraId="7022FA34" w14:textId="327B5F7C" w:rsidR="0061777D" w:rsidRPr="001A07EB" w:rsidRDefault="0061777D" w:rsidP="00E93199">
      <w:pPr>
        <w:pStyle w:val="VRGFHead3"/>
      </w:pPr>
      <w:bookmarkStart w:id="228" w:name="_Toc430172948"/>
      <w:bookmarkStart w:id="229" w:name="_Toc462738044"/>
      <w:r w:rsidRPr="001A07EB">
        <w:t>Emotional/Psychological</w:t>
      </w:r>
      <w:bookmarkEnd w:id="228"/>
      <w:bookmarkEnd w:id="229"/>
    </w:p>
    <w:p w14:paraId="581DAD71" w14:textId="6C0E802D" w:rsidR="009061E6" w:rsidRDefault="00DE16EE" w:rsidP="0061777D">
      <w:pPr>
        <w:pStyle w:val="VRGFBodycontent"/>
      </w:pPr>
      <w:r w:rsidRPr="00DE16EE">
        <w:t>Feeling worthless and feeling like they had a mental illness were the most extreme harms for both gamblers and affected others within this domain, with mental illness being the least prevalent overall</w:t>
      </w:r>
      <w:r>
        <w:t xml:space="preserve">. </w:t>
      </w:r>
      <w:r w:rsidR="00105D30">
        <w:t>Feeling worthless</w:t>
      </w:r>
      <w:r w:rsidR="00683F58">
        <w:t xml:space="preserve"> was</w:t>
      </w:r>
      <w:r w:rsidR="002815FE">
        <w:t xml:space="preserve"> also</w:t>
      </w:r>
      <w:r w:rsidR="00683F58">
        <w:t xml:space="preserve"> the most </w:t>
      </w:r>
      <w:r w:rsidR="00105D30">
        <w:t>reliable early indicator for gamblers, whereas affected others felt extreme distress</w:t>
      </w:r>
      <w:r w:rsidR="000301D8">
        <w:t xml:space="preserve"> first</w:t>
      </w:r>
      <w:r w:rsidR="00B40FF8">
        <w:t>.</w:t>
      </w:r>
      <w:r w:rsidR="008610D3">
        <w:t xml:space="preserve"> </w:t>
      </w:r>
      <w:r w:rsidR="00EE3367">
        <w:t>Feelings of hopelessness were the most prevalent in all groups but</w:t>
      </w:r>
      <w:r w:rsidR="00176D35">
        <w:t>,</w:t>
      </w:r>
      <w:r w:rsidR="00EE3367">
        <w:t xml:space="preserve"> relatively</w:t>
      </w:r>
      <w:r w:rsidR="00176D35">
        <w:t>,</w:t>
      </w:r>
      <w:r w:rsidR="00EE3367">
        <w:t xml:space="preserve"> </w:t>
      </w:r>
      <w:r w:rsidR="00176D35">
        <w:t xml:space="preserve">was </w:t>
      </w:r>
      <w:r w:rsidR="00EE3367">
        <w:t>less strongly related to general harm</w:t>
      </w:r>
      <w:r w:rsidR="00B40FF8">
        <w:t>.</w:t>
      </w:r>
      <w:r w:rsidR="008610D3">
        <w:t xml:space="preserve"> </w:t>
      </w:r>
      <w:r w:rsidR="00423415">
        <w:t xml:space="preserve">Given the differing roles in gambling </w:t>
      </w:r>
      <w:r w:rsidR="00176D35">
        <w:t xml:space="preserve">for </w:t>
      </w:r>
      <w:r w:rsidR="00423415">
        <w:t>gamblers/affected others</w:t>
      </w:r>
      <w:r w:rsidR="00683F58">
        <w:t xml:space="preserve">, these findings </w:t>
      </w:r>
      <w:r w:rsidR="00176D35">
        <w:t xml:space="preserve">are in </w:t>
      </w:r>
      <w:r w:rsidR="00A52CE5">
        <w:t>accord with intuition regarding the differing primary emotions most likely to be experienced by gamblers and affected others</w:t>
      </w:r>
      <w:r w:rsidR="00B40FF8">
        <w:t>.</w:t>
      </w:r>
      <w:r w:rsidR="008610D3">
        <w:t xml:space="preserve"> </w:t>
      </w:r>
      <w:r w:rsidR="002815FE">
        <w:t xml:space="preserve">Additionally, </w:t>
      </w:r>
      <w:r w:rsidR="00683F58">
        <w:t>feeling vulnerable was</w:t>
      </w:r>
      <w:r w:rsidR="0097479C">
        <w:t xml:space="preserve"> among one of the </w:t>
      </w:r>
      <w:r w:rsidR="009817DE">
        <w:t>most reliable indic</w:t>
      </w:r>
      <w:r w:rsidR="0097479C">
        <w:t>ators for</w:t>
      </w:r>
      <w:r w:rsidR="00683F58">
        <w:t xml:space="preserve"> both groups</w:t>
      </w:r>
      <w:r w:rsidR="0097479C">
        <w:t xml:space="preserve"> within this domain</w:t>
      </w:r>
      <w:r w:rsidR="00B40FF8">
        <w:t>.</w:t>
      </w:r>
      <w:r w:rsidR="008610D3">
        <w:t xml:space="preserve"> </w:t>
      </w:r>
      <w:r w:rsidR="00E533B7">
        <w:t>This suggests that affected others tend to share the susceptibility, and threat to self-regard, that gambling problems instigate.</w:t>
      </w:r>
    </w:p>
    <w:p w14:paraId="08E58738" w14:textId="751E5849" w:rsidR="0061777D" w:rsidRDefault="0061777D" w:rsidP="0061777D">
      <w:pPr>
        <w:pStyle w:val="VRGFBodycontent"/>
      </w:pPr>
    </w:p>
    <w:p w14:paraId="28D4DFC0" w14:textId="3722AF4D" w:rsidR="0061777D" w:rsidRPr="00507CBE" w:rsidRDefault="0061777D" w:rsidP="00E93199">
      <w:pPr>
        <w:pStyle w:val="VRGFHead3"/>
      </w:pPr>
      <w:bookmarkStart w:id="230" w:name="_Toc430172949"/>
      <w:bookmarkStart w:id="231" w:name="_Toc462738045"/>
      <w:r w:rsidRPr="00507CBE">
        <w:t>Relationships</w:t>
      </w:r>
      <w:bookmarkEnd w:id="230"/>
      <w:bookmarkEnd w:id="231"/>
    </w:p>
    <w:p w14:paraId="0593B18E" w14:textId="0E096552" w:rsidR="009061E6" w:rsidRDefault="00351EA8" w:rsidP="0061777D">
      <w:pPr>
        <w:pStyle w:val="VRGFBodycontent"/>
      </w:pPr>
      <w:r>
        <w:t xml:space="preserve">Experiencing greater relationship conflict </w:t>
      </w:r>
      <w:r w:rsidR="003C7D61">
        <w:t xml:space="preserve">was </w:t>
      </w:r>
      <w:r>
        <w:t xml:space="preserve">among the most reliable discriminators and predictors of relationship harms </w:t>
      </w:r>
      <w:r w:rsidR="005A3AD6">
        <w:t xml:space="preserve">for </w:t>
      </w:r>
      <w:r w:rsidR="003C7D61">
        <w:t>gamblers and affected others</w:t>
      </w:r>
      <w:r w:rsidR="00B40FF8">
        <w:t>.</w:t>
      </w:r>
      <w:r w:rsidR="008610D3">
        <w:t xml:space="preserve"> </w:t>
      </w:r>
      <w:r>
        <w:t xml:space="preserve">Conflict within relationships can be </w:t>
      </w:r>
      <w:r w:rsidR="00FC383F">
        <w:t xml:space="preserve">understood </w:t>
      </w:r>
      <w:r>
        <w:t xml:space="preserve">as a reliable indicator of problems, and is </w:t>
      </w:r>
      <w:r w:rsidR="00FC383F">
        <w:t>probably</w:t>
      </w:r>
      <w:r>
        <w:t xml:space="preserve"> a </w:t>
      </w:r>
      <w:r w:rsidR="00FC383F">
        <w:t xml:space="preserve">reliable early </w:t>
      </w:r>
      <w:r w:rsidR="007B2EF3">
        <w:t>s</w:t>
      </w:r>
      <w:r>
        <w:t xml:space="preserve">ignal of </w:t>
      </w:r>
      <w:r w:rsidR="00FC383F">
        <w:t xml:space="preserve">the onset of </w:t>
      </w:r>
      <w:r>
        <w:t xml:space="preserve">gambling </w:t>
      </w:r>
      <w:r w:rsidR="00FC383F">
        <w:t>harm</w:t>
      </w:r>
      <w:r w:rsidR="00B40FF8">
        <w:t>.</w:t>
      </w:r>
      <w:r w:rsidR="008610D3">
        <w:t xml:space="preserve"> </w:t>
      </w:r>
      <w:r>
        <w:t>Interestingly, neglecting one</w:t>
      </w:r>
      <w:r w:rsidR="005A3AD6">
        <w:t>’</w:t>
      </w:r>
      <w:r>
        <w:t>s responsibilities within a relationship was one of the earliest and least severe indicators for gamblers</w:t>
      </w:r>
      <w:r w:rsidR="00B40FF8">
        <w:t>.</w:t>
      </w:r>
      <w:r w:rsidR="008610D3">
        <w:t xml:space="preserve"> </w:t>
      </w:r>
      <w:r>
        <w:t>For affected others</w:t>
      </w:r>
      <w:r w:rsidR="005A3AD6">
        <w:t>,</w:t>
      </w:r>
      <w:r>
        <w:t xml:space="preserve"> however, it was among</w:t>
      </w:r>
      <w:r w:rsidR="008D2EA9">
        <w:t xml:space="preserve"> one of</w:t>
      </w:r>
      <w:r>
        <w:t xml:space="preserve"> </w:t>
      </w:r>
      <w:r>
        <w:lastRenderedPageBreak/>
        <w:t xml:space="preserve">the most severe </w:t>
      </w:r>
      <w:r w:rsidR="008D2EA9">
        <w:t>harms reported within this domain</w:t>
      </w:r>
      <w:r w:rsidR="00B40FF8">
        <w:t>.</w:t>
      </w:r>
      <w:r w:rsidR="008610D3">
        <w:t xml:space="preserve"> </w:t>
      </w:r>
      <w:r w:rsidR="00F82F66">
        <w:t xml:space="preserve">This finding </w:t>
      </w:r>
      <w:r w:rsidR="00D50A5F">
        <w:t>suggests gambling</w:t>
      </w:r>
      <w:r w:rsidR="00CF697A">
        <w:t xml:space="preserve"> </w:t>
      </w:r>
      <w:r w:rsidR="00D50A5F">
        <w:t>caus</w:t>
      </w:r>
      <w:r w:rsidR="00CF697A">
        <w:t>e</w:t>
      </w:r>
      <w:r w:rsidR="005A3AD6">
        <w:t>s</w:t>
      </w:r>
      <w:r w:rsidR="00CF697A">
        <w:t xml:space="preserve"> </w:t>
      </w:r>
      <w:r w:rsidR="00D50A5F">
        <w:t>a ‘cascade’ of relationship neglect for those close to the gambler</w:t>
      </w:r>
      <w:r w:rsidR="00B40FF8">
        <w:t>.</w:t>
      </w:r>
      <w:r w:rsidR="008610D3">
        <w:t xml:space="preserve"> </w:t>
      </w:r>
      <w:r w:rsidR="00D50A5F">
        <w:t>Initially, time and monetary investments into gambling can be compensated for by those close to them</w:t>
      </w:r>
      <w:r w:rsidR="00B40FF8">
        <w:t>.</w:t>
      </w:r>
      <w:r w:rsidR="008610D3">
        <w:t xml:space="preserve"> </w:t>
      </w:r>
      <w:r w:rsidR="00D50A5F">
        <w:t xml:space="preserve">However, as gambling problems increase, the </w:t>
      </w:r>
      <w:r w:rsidR="00CF697A">
        <w:t>affected other</w:t>
      </w:r>
      <w:r w:rsidR="00D50A5F">
        <w:t xml:space="preserve"> will </w:t>
      </w:r>
      <w:r w:rsidR="00CF697A">
        <w:t xml:space="preserve">possibly </w:t>
      </w:r>
      <w:r w:rsidR="00D50A5F">
        <w:t>in turn neglect their own responsibilities - a second</w:t>
      </w:r>
      <w:r w:rsidR="005A3AD6">
        <w:t>-</w:t>
      </w:r>
      <w:r w:rsidR="00D50A5F">
        <w:t>order relationship effect.</w:t>
      </w:r>
      <w:r w:rsidR="00BE3642">
        <w:t xml:space="preserve"> </w:t>
      </w:r>
    </w:p>
    <w:p w14:paraId="454AEF5E" w14:textId="77777777" w:rsidR="001D0510" w:rsidRDefault="001D0510" w:rsidP="0061777D">
      <w:pPr>
        <w:pStyle w:val="VRGFBodycontent"/>
      </w:pPr>
    </w:p>
    <w:p w14:paraId="3173FAFC" w14:textId="59100463" w:rsidR="0061777D" w:rsidRDefault="0061777D" w:rsidP="00E93199">
      <w:pPr>
        <w:pStyle w:val="VRGFHead3"/>
      </w:pPr>
      <w:bookmarkStart w:id="232" w:name="_Toc430172950"/>
      <w:bookmarkStart w:id="233" w:name="_Toc462738046"/>
      <w:r w:rsidRPr="00800B4D">
        <w:t>Other</w:t>
      </w:r>
      <w:bookmarkEnd w:id="232"/>
      <w:bookmarkEnd w:id="233"/>
    </w:p>
    <w:p w14:paraId="2A701279" w14:textId="6A6B8542" w:rsidR="002552FC" w:rsidRPr="002552FC" w:rsidRDefault="002552FC" w:rsidP="002552FC">
      <w:pPr>
        <w:pStyle w:val="VRGFBodycontent"/>
      </w:pPr>
      <w:r>
        <w:t>Caution should be exercised when interpreting IRT analysis results for this d</w:t>
      </w:r>
      <w:r w:rsidR="00652B37">
        <w:t>omain</w:t>
      </w:r>
      <w:r w:rsidR="00B40FF8">
        <w:t>.</w:t>
      </w:r>
      <w:r w:rsidR="008610D3">
        <w:t xml:space="preserve"> </w:t>
      </w:r>
      <w:r w:rsidR="00652B37">
        <w:t>Unlike all other domains, this ‘other’ category did not have a unit</w:t>
      </w:r>
      <w:r w:rsidR="00FF39C5">
        <w:t>ary</w:t>
      </w:r>
      <w:r w:rsidR="00D56F20">
        <w:t xml:space="preserve"> underlying</w:t>
      </w:r>
      <w:r w:rsidR="00FF39C5">
        <w:t xml:space="preserve"> construct attached</w:t>
      </w:r>
      <w:r w:rsidR="00B40FF8">
        <w:t>.</w:t>
      </w:r>
      <w:r w:rsidR="008610D3">
        <w:t xml:space="preserve"> </w:t>
      </w:r>
      <w:r w:rsidR="000400B9">
        <w:t xml:space="preserve">Not paying back money was the item most highly correlated with the PGSI </w:t>
      </w:r>
      <w:r w:rsidR="00687FA4">
        <w:t xml:space="preserve">for </w:t>
      </w:r>
      <w:r w:rsidR="000400B9">
        <w:t>both gamblers and affected others</w:t>
      </w:r>
      <w:r w:rsidR="00B40FF8">
        <w:t>.</w:t>
      </w:r>
      <w:r w:rsidR="008610D3">
        <w:t xml:space="preserve"> </w:t>
      </w:r>
      <w:r w:rsidR="000400B9">
        <w:t xml:space="preserve">This item was also </w:t>
      </w:r>
      <w:r w:rsidR="000400B9" w:rsidRPr="000400B9">
        <w:t>reported by the highest percentages of problem gamblers and affected others</w:t>
      </w:r>
      <w:r w:rsidR="00B40FF8">
        <w:t>.</w:t>
      </w:r>
      <w:r w:rsidR="008610D3">
        <w:t xml:space="preserve"> </w:t>
      </w:r>
      <w:r w:rsidR="00114E96">
        <w:t>Associations with regards to reliability and PGSI were lower for this domain compared to other categories</w:t>
      </w:r>
      <w:r w:rsidR="00B40FF8">
        <w:t>.</w:t>
      </w:r>
      <w:r w:rsidR="008610D3">
        <w:t xml:space="preserve"> </w:t>
      </w:r>
      <w:r w:rsidR="00114E96">
        <w:t xml:space="preserve">This is </w:t>
      </w:r>
      <w:r w:rsidR="00284E89">
        <w:t xml:space="preserve">shown </w:t>
      </w:r>
      <w:r w:rsidR="00114E96">
        <w:t>by the fact that harms in this domain were diverse, specific, and had relatively low prevalence.</w:t>
      </w:r>
    </w:p>
    <w:p w14:paraId="4970607A" w14:textId="25498EA7" w:rsidR="0061777D" w:rsidRDefault="00D63E06" w:rsidP="0061777D">
      <w:pPr>
        <w:pStyle w:val="VRGFBodycontent"/>
      </w:pPr>
      <w:r>
        <w:t xml:space="preserve"> </w:t>
      </w:r>
    </w:p>
    <w:p w14:paraId="5278C85D" w14:textId="19099BD7" w:rsidR="0061777D" w:rsidRPr="00800B4D" w:rsidRDefault="0061777D" w:rsidP="00E93199">
      <w:pPr>
        <w:pStyle w:val="VRGFHead3"/>
      </w:pPr>
      <w:bookmarkStart w:id="234" w:name="_Toc430172951"/>
      <w:bookmarkStart w:id="235" w:name="_Toc462738047"/>
      <w:r>
        <w:t>Conclusions</w:t>
      </w:r>
      <w:bookmarkEnd w:id="234"/>
      <w:bookmarkEnd w:id="235"/>
    </w:p>
    <w:p w14:paraId="0F1861C2" w14:textId="1BEC9058" w:rsidR="00781E8A" w:rsidRDefault="004320D4" w:rsidP="00BB099A">
      <w:pPr>
        <w:pStyle w:val="VRGFBodycontent"/>
      </w:pPr>
      <w:r>
        <w:t>The findings of this chapter</w:t>
      </w:r>
      <w:r w:rsidR="00781E8A">
        <w:t xml:space="preserve"> provide new evidence </w:t>
      </w:r>
      <w:r w:rsidR="008A06B7">
        <w:t xml:space="preserve">on </w:t>
      </w:r>
      <w:r>
        <w:t xml:space="preserve">the broad similarities between gamblers and </w:t>
      </w:r>
      <w:r w:rsidR="00781E8A">
        <w:t xml:space="preserve">those close to them </w:t>
      </w:r>
      <w:r>
        <w:t>in their experiences of harm</w:t>
      </w:r>
      <w:r w:rsidR="00B40FF8">
        <w:t>.</w:t>
      </w:r>
      <w:r w:rsidR="008610D3">
        <w:t xml:space="preserve"> </w:t>
      </w:r>
      <w:r w:rsidR="00041BF4" w:rsidRPr="00A90F05">
        <w:t xml:space="preserve">The findings </w:t>
      </w:r>
      <w:r w:rsidR="00041BF4">
        <w:t>also</w:t>
      </w:r>
      <w:r w:rsidR="00041BF4" w:rsidRPr="00A90F05">
        <w:t xml:space="preserve"> provide </w:t>
      </w:r>
      <w:r w:rsidR="00041BF4">
        <w:t xml:space="preserve">a detailed picture of the type of harms that most effectively discriminate between different levels </w:t>
      </w:r>
      <w:r w:rsidR="008A06B7">
        <w:t xml:space="preserve">of </w:t>
      </w:r>
      <w:r w:rsidR="00041BF4">
        <w:t>problem gambling, and which harms tend to occur most reliably as problems increase</w:t>
      </w:r>
      <w:r w:rsidR="00B40FF8">
        <w:t>.</w:t>
      </w:r>
      <w:r w:rsidR="008610D3">
        <w:t xml:space="preserve"> </w:t>
      </w:r>
      <w:r>
        <w:t xml:space="preserve">A marked difference between the two </w:t>
      </w:r>
      <w:r w:rsidR="00BA4E03">
        <w:t>groups occurred in the quantity</w:t>
      </w:r>
      <w:r>
        <w:t xml:space="preserve"> of harm</w:t>
      </w:r>
      <w:r w:rsidR="00B40FF8">
        <w:t>.</w:t>
      </w:r>
      <w:r w:rsidR="008610D3">
        <w:t xml:space="preserve"> </w:t>
      </w:r>
      <w:r>
        <w:t>Specifically, the beta coefficient between problems and harms for gamblers was twice as high as that of affected others</w:t>
      </w:r>
      <w:r w:rsidR="00B40FF8">
        <w:t>.</w:t>
      </w:r>
      <w:r w:rsidR="008610D3">
        <w:t xml:space="preserve"> </w:t>
      </w:r>
      <w:r>
        <w:t xml:space="preserve">This </w:t>
      </w:r>
      <w:r w:rsidR="007B2EF3">
        <w:t>can be understood</w:t>
      </w:r>
      <w:r>
        <w:t xml:space="preserve"> as gamblers ‘passing on’</w:t>
      </w:r>
      <w:r w:rsidR="007B2EF3">
        <w:t xml:space="preserve"> approximately</w:t>
      </w:r>
      <w:r>
        <w:t xml:space="preserve"> half of their harm</w:t>
      </w:r>
      <w:r w:rsidR="007B2EF3">
        <w:t xml:space="preserve"> symptomology</w:t>
      </w:r>
      <w:r>
        <w:t xml:space="preserve"> to the </w:t>
      </w:r>
      <w:r w:rsidR="007B2EF3">
        <w:t xml:space="preserve">people </w:t>
      </w:r>
      <w:r>
        <w:t>around them</w:t>
      </w:r>
      <w:r w:rsidR="00B40FF8">
        <w:t>.</w:t>
      </w:r>
      <w:r w:rsidR="008610D3">
        <w:t xml:space="preserve"> </w:t>
      </w:r>
      <w:r w:rsidR="00BA4E03">
        <w:t xml:space="preserve">Broad similarities were observed in the quality of harm (at the domain level of description), but differences were apparent in the relative prevalence of specific symptoms between the two groups. </w:t>
      </w:r>
      <w:r>
        <w:t xml:space="preserve">The limitation and issues of affected others assessing the PGSI </w:t>
      </w:r>
      <w:r w:rsidR="007B2EF3">
        <w:t xml:space="preserve">of the gambler </w:t>
      </w:r>
      <w:r>
        <w:t>second-hand need</w:t>
      </w:r>
      <w:r w:rsidR="00855003">
        <w:t>s</w:t>
      </w:r>
      <w:r>
        <w:t xml:space="preserve"> to be acknowledged</w:t>
      </w:r>
      <w:r w:rsidR="00B40FF8">
        <w:t>.</w:t>
      </w:r>
      <w:r w:rsidR="008610D3">
        <w:t xml:space="preserve"> </w:t>
      </w:r>
      <w:r w:rsidR="00A65074">
        <w:t xml:space="preserve">However, there is no </w:t>
      </w:r>
      <w:r w:rsidR="00A65074" w:rsidRPr="00DE16EE">
        <w:rPr>
          <w:i/>
        </w:rPr>
        <w:t>a</w:t>
      </w:r>
      <w:r w:rsidR="00855003" w:rsidRPr="00DE16EE">
        <w:rPr>
          <w:i/>
        </w:rPr>
        <w:t xml:space="preserve"> </w:t>
      </w:r>
      <w:r w:rsidR="00A65074" w:rsidRPr="00DE16EE">
        <w:rPr>
          <w:i/>
        </w:rPr>
        <w:t>priori</w:t>
      </w:r>
      <w:r w:rsidR="00A65074">
        <w:t xml:space="preserve"> reason to necessarily expect that affected others would be better or worse at reporting gambling problems</w:t>
      </w:r>
      <w:r w:rsidR="00B40FF8">
        <w:t>.</w:t>
      </w:r>
      <w:r w:rsidR="008610D3">
        <w:t xml:space="preserve"> </w:t>
      </w:r>
      <w:r w:rsidR="00C9321C">
        <w:t>Whilst gamblers might have better knowledge of their own behaviour and thoughts</w:t>
      </w:r>
      <w:r>
        <w:t xml:space="preserve">, </w:t>
      </w:r>
      <w:r w:rsidR="00034285">
        <w:t>affected others who reflect on the problems of another would be less likely to minimise</w:t>
      </w:r>
      <w:r w:rsidR="00C9321C">
        <w:t xml:space="preserve"> or censor</w:t>
      </w:r>
      <w:r w:rsidR="00034285">
        <w:t xml:space="preserve"> problems</w:t>
      </w:r>
      <w:r w:rsidR="00B40FF8">
        <w:t>.</w:t>
      </w:r>
      <w:r w:rsidR="008610D3">
        <w:t xml:space="preserve"> </w:t>
      </w:r>
      <w:r w:rsidR="00034285">
        <w:t>This was observed</w:t>
      </w:r>
      <w:r w:rsidR="00A406C7">
        <w:t xml:space="preserve"> in the present surve</w:t>
      </w:r>
      <w:r w:rsidR="007D4718">
        <w:t>y</w:t>
      </w:r>
      <w:r w:rsidR="00034285">
        <w:t xml:space="preserve"> </w:t>
      </w:r>
      <w:r w:rsidR="00A406C7">
        <w:t>in that</w:t>
      </w:r>
      <w:r w:rsidR="00034285">
        <w:t xml:space="preserve"> affected others </w:t>
      </w:r>
      <w:r w:rsidR="00B27F23">
        <w:t xml:space="preserve">reported </w:t>
      </w:r>
      <w:r w:rsidR="00034285">
        <w:t xml:space="preserve">a greater mean PGSI score </w:t>
      </w:r>
      <w:r w:rsidR="007E1221">
        <w:t xml:space="preserve">than </w:t>
      </w:r>
      <w:r w:rsidR="00A406C7">
        <w:t>gambler</w:t>
      </w:r>
      <w:r w:rsidR="00855003">
        <w:t>s</w:t>
      </w:r>
      <w:r w:rsidR="00083558">
        <w:t>,</w:t>
      </w:r>
      <w:r w:rsidR="00034285">
        <w:t xml:space="preserve"> </w:t>
      </w:r>
      <w:r w:rsidR="00083558">
        <w:t xml:space="preserve">although </w:t>
      </w:r>
      <w:r w:rsidR="00034285">
        <w:t>this difference accounted for only 6.45% of variance</w:t>
      </w:r>
      <w:r w:rsidR="00083558">
        <w:t xml:space="preserve"> in PGSI scores</w:t>
      </w:r>
      <w:r w:rsidR="00034285">
        <w:t>.</w:t>
      </w:r>
      <w:r w:rsidR="009D7A25">
        <w:t xml:space="preserve"> </w:t>
      </w:r>
      <w:r w:rsidR="000D129E">
        <w:t xml:space="preserve">Additionally, the affected others recruited into this survey were not necessarily associated with the gambler participants. Thus, affected others could have been reporting on gamblers with more severe gambling problems. </w:t>
      </w:r>
    </w:p>
    <w:p w14:paraId="7166CEE0" w14:textId="5B625794" w:rsidR="001B2940" w:rsidRDefault="00781E8A" w:rsidP="00BB099A">
      <w:pPr>
        <w:pStyle w:val="VRGFBodycontent"/>
      </w:pPr>
      <w:r>
        <w:t xml:space="preserve">With respect to the broader project, </w:t>
      </w:r>
      <w:r w:rsidR="0061777D">
        <w:t>the survey</w:t>
      </w:r>
      <w:r>
        <w:t xml:space="preserve"> </w:t>
      </w:r>
      <w:r w:rsidR="0061777D">
        <w:t>provide</w:t>
      </w:r>
      <w:r>
        <w:t>d</w:t>
      </w:r>
      <w:r w:rsidR="0061777D">
        <w:t xml:space="preserve"> a large database of</w:t>
      </w:r>
      <w:r>
        <w:t xml:space="preserve"> harm</w:t>
      </w:r>
      <w:r w:rsidR="000C61A7">
        <w:t xml:space="preserve"> symptomology</w:t>
      </w:r>
      <w:r>
        <w:t xml:space="preserve"> experienced by gamblers and affected others</w:t>
      </w:r>
      <w:r w:rsidR="0061777D">
        <w:t>, across the range of the PGSI</w:t>
      </w:r>
      <w:r w:rsidR="00B40FF8">
        <w:t>.</w:t>
      </w:r>
      <w:r w:rsidR="008610D3">
        <w:t xml:space="preserve"> </w:t>
      </w:r>
      <w:r w:rsidR="000C61A7">
        <w:t xml:space="preserve">This </w:t>
      </w:r>
      <w:r w:rsidR="001D2F23">
        <w:t>was</w:t>
      </w:r>
      <w:r w:rsidR="000C61A7">
        <w:t xml:space="preserve"> applied in </w:t>
      </w:r>
      <w:r w:rsidR="00201759">
        <w:t xml:space="preserve">the </w:t>
      </w:r>
      <w:r w:rsidR="000C61A7">
        <w:t>subsequent phase</w:t>
      </w:r>
      <w:r w:rsidR="00201759">
        <w:t xml:space="preserve"> of this study</w:t>
      </w:r>
      <w:r w:rsidR="00186190">
        <w:t xml:space="preserve"> (reported in the following section)</w:t>
      </w:r>
      <w:r w:rsidR="000C61A7">
        <w:t xml:space="preserve"> to create</w:t>
      </w:r>
      <w:r w:rsidR="0061777D">
        <w:t xml:space="preserve"> condition descriptions </w:t>
      </w:r>
      <w:r w:rsidR="009464E7">
        <w:t xml:space="preserve">associated with differing degrees of </w:t>
      </w:r>
      <w:r w:rsidR="0061777D">
        <w:t>gambling</w:t>
      </w:r>
      <w:r w:rsidR="009464E7">
        <w:t xml:space="preserve"> problems</w:t>
      </w:r>
      <w:r w:rsidR="00B40FF8">
        <w:t>.</w:t>
      </w:r>
      <w:r w:rsidR="008610D3">
        <w:t xml:space="preserve"> </w:t>
      </w:r>
      <w:r w:rsidR="0070799B">
        <w:t>Additionally</w:t>
      </w:r>
      <w:r w:rsidR="0061777D">
        <w:t xml:space="preserve">, </w:t>
      </w:r>
      <w:r w:rsidR="00186190">
        <w:t xml:space="preserve">as a stand-alone study, the results reported above </w:t>
      </w:r>
      <w:r w:rsidR="0061777D">
        <w:t>provide a clearer picture of the prevalence of harm</w:t>
      </w:r>
      <w:r w:rsidR="00937755">
        <w:t xml:space="preserve"> symptomology</w:t>
      </w:r>
      <w:r w:rsidR="0061777D">
        <w:t xml:space="preserve"> due to gambling, and the changing profile of harm as gambling problems increase.</w:t>
      </w:r>
    </w:p>
    <w:p w14:paraId="243DD705" w14:textId="77777777" w:rsidR="002827F5" w:rsidRDefault="002827F5" w:rsidP="00BB099A">
      <w:pPr>
        <w:pStyle w:val="VRGFBodycontent"/>
      </w:pPr>
    </w:p>
    <w:p w14:paraId="736E9449" w14:textId="0D20AA05" w:rsidR="002827F5" w:rsidRDefault="00F61793" w:rsidP="00F61793">
      <w:pPr>
        <w:pStyle w:val="VRGFHead1"/>
      </w:pPr>
      <w:bookmarkStart w:id="236" w:name="_Toc462738048"/>
      <w:r w:rsidRPr="00F61793">
        <w:lastRenderedPageBreak/>
        <w:t>Assessing</w:t>
      </w:r>
      <w:r>
        <w:t xml:space="preserve"> individual level harm from gambling via HRQL </w:t>
      </w:r>
      <w:r w:rsidRPr="007D76F6">
        <w:t>weights</w:t>
      </w:r>
      <w:bookmarkEnd w:id="236"/>
      <w:r>
        <w:t xml:space="preserve"> </w:t>
      </w:r>
    </w:p>
    <w:p w14:paraId="23038A2B" w14:textId="43B8B679" w:rsidR="00F61793" w:rsidRPr="0039415C" w:rsidRDefault="00F61793" w:rsidP="00F61793">
      <w:pPr>
        <w:pStyle w:val="VRGFBodycontent"/>
        <w:rPr>
          <w:rFonts w:eastAsia="MS Mincho"/>
        </w:rPr>
      </w:pPr>
      <w:r w:rsidRPr="00D82AC4">
        <w:rPr>
          <w:rFonts w:eastAsia="MS Mincho"/>
        </w:rPr>
        <w:t xml:space="preserve">The qualitative and quantitative findings reported in previous </w:t>
      </w:r>
      <w:r w:rsidR="00516CB9">
        <w:rPr>
          <w:rFonts w:eastAsia="MS Mincho"/>
        </w:rPr>
        <w:t xml:space="preserve">chapters </w:t>
      </w:r>
      <w:r w:rsidRPr="00D82AC4">
        <w:rPr>
          <w:rFonts w:eastAsia="MS Mincho"/>
        </w:rPr>
        <w:t>provide</w:t>
      </w:r>
      <w:r w:rsidR="00C632A1">
        <w:rPr>
          <w:rFonts w:eastAsia="MS Mincho"/>
        </w:rPr>
        <w:t>d</w:t>
      </w:r>
      <w:r w:rsidRPr="00D82AC4">
        <w:rPr>
          <w:rFonts w:eastAsia="MS Mincho"/>
        </w:rPr>
        <w:t xml:space="preserve"> a comprehensive and detailed description of harms relating to gambling</w:t>
      </w:r>
      <w:r w:rsidR="00B40FF8">
        <w:rPr>
          <w:rFonts w:eastAsia="MS Mincho"/>
        </w:rPr>
        <w:t>.</w:t>
      </w:r>
      <w:r w:rsidR="008610D3">
        <w:rPr>
          <w:rFonts w:eastAsia="MS Mincho"/>
        </w:rPr>
        <w:t xml:space="preserve"> </w:t>
      </w:r>
      <w:r w:rsidRPr="00D82AC4">
        <w:rPr>
          <w:rFonts w:eastAsia="MS Mincho"/>
        </w:rPr>
        <w:t>The</w:t>
      </w:r>
      <w:r w:rsidR="004170F5">
        <w:rPr>
          <w:rFonts w:eastAsia="MS Mincho"/>
        </w:rPr>
        <w:t xml:space="preserve"> national</w:t>
      </w:r>
      <w:r w:rsidRPr="00D82AC4">
        <w:rPr>
          <w:rFonts w:eastAsia="MS Mincho"/>
        </w:rPr>
        <w:t xml:space="preserve"> </w:t>
      </w:r>
      <w:r>
        <w:rPr>
          <w:rFonts w:eastAsia="MS Mincho"/>
        </w:rPr>
        <w:t>survey of harm symptomology with respect to PGSI, in particular,</w:t>
      </w:r>
      <w:r w:rsidRPr="00D82AC4">
        <w:rPr>
          <w:rFonts w:eastAsia="MS Mincho"/>
        </w:rPr>
        <w:t xml:space="preserve"> </w:t>
      </w:r>
      <w:r w:rsidR="00D5445C">
        <w:rPr>
          <w:rFonts w:eastAsia="MS Mincho"/>
        </w:rPr>
        <w:t xml:space="preserve">provided </w:t>
      </w:r>
      <w:r w:rsidRPr="00D82AC4">
        <w:rPr>
          <w:rFonts w:eastAsia="MS Mincho"/>
        </w:rPr>
        <w:t>insight into the increasing number and types of specific harms that occur as the relative impact of problematic gambling grows</w:t>
      </w:r>
      <w:r w:rsidR="00B40FF8">
        <w:rPr>
          <w:rFonts w:eastAsia="MS Mincho"/>
        </w:rPr>
        <w:t>.</w:t>
      </w:r>
      <w:r w:rsidR="008610D3">
        <w:rPr>
          <w:rFonts w:eastAsia="MS Mincho"/>
        </w:rPr>
        <w:t xml:space="preserve"> </w:t>
      </w:r>
      <w:r w:rsidRPr="00D82AC4">
        <w:rPr>
          <w:rFonts w:eastAsia="MS Mincho"/>
        </w:rPr>
        <w:t xml:space="preserve">It </w:t>
      </w:r>
      <w:r w:rsidR="00BC3582">
        <w:rPr>
          <w:rFonts w:eastAsia="MS Mincho"/>
        </w:rPr>
        <w:t xml:space="preserve">became </w:t>
      </w:r>
      <w:r w:rsidRPr="00D82AC4">
        <w:rPr>
          <w:rFonts w:eastAsia="MS Mincho"/>
        </w:rPr>
        <w:t xml:space="preserve">clear that the prevalence of </w:t>
      </w:r>
      <w:r>
        <w:rPr>
          <w:rFonts w:eastAsia="MS Mincho"/>
        </w:rPr>
        <w:t>symptoms</w:t>
      </w:r>
      <w:r w:rsidRPr="00D82AC4">
        <w:rPr>
          <w:rFonts w:eastAsia="MS Mincho"/>
        </w:rPr>
        <w:t xml:space="preserve"> increase with PGSI score or category</w:t>
      </w:r>
      <w:r w:rsidR="00B40FF8">
        <w:rPr>
          <w:rFonts w:eastAsia="MS Mincho"/>
        </w:rPr>
        <w:t>.</w:t>
      </w:r>
      <w:r w:rsidR="008610D3">
        <w:rPr>
          <w:rFonts w:eastAsia="MS Mincho"/>
        </w:rPr>
        <w:t xml:space="preserve"> </w:t>
      </w:r>
      <w:r w:rsidRPr="00D82AC4">
        <w:rPr>
          <w:rFonts w:eastAsia="MS Mincho"/>
        </w:rPr>
        <w:t xml:space="preserve">However, similar to previous research on the topic, the results so far </w:t>
      </w:r>
      <w:r w:rsidRPr="006977C2">
        <w:rPr>
          <w:rFonts w:eastAsia="MS Mincho"/>
        </w:rPr>
        <w:t>do not describe the overall degree of harm experienced either by an individual, or at a population level</w:t>
      </w:r>
      <w:r w:rsidR="00B40FF8" w:rsidRPr="006977C2">
        <w:rPr>
          <w:rFonts w:eastAsia="MS Mincho"/>
        </w:rPr>
        <w:t>.</w:t>
      </w:r>
      <w:r w:rsidR="008610D3" w:rsidRPr="006977C2">
        <w:rPr>
          <w:rFonts w:eastAsia="MS Mincho"/>
        </w:rPr>
        <w:t xml:space="preserve"> </w:t>
      </w:r>
      <w:r w:rsidRPr="006977C2">
        <w:rPr>
          <w:rFonts w:eastAsia="MS Mincho"/>
        </w:rPr>
        <w:t xml:space="preserve">That is, although </w:t>
      </w:r>
      <w:r w:rsidR="00FA2C64" w:rsidRPr="006977C2">
        <w:rPr>
          <w:rFonts w:eastAsia="MS Mincho"/>
        </w:rPr>
        <w:t xml:space="preserve">the data reported in the preceding chapter </w:t>
      </w:r>
      <w:r w:rsidRPr="006977C2">
        <w:rPr>
          <w:rFonts w:eastAsia="MS Mincho"/>
        </w:rPr>
        <w:t>describes the increasing prevalence of harm symptomology as gambling behaviour increases, it does not quantify the effect this harm has on the individual or the population</w:t>
      </w:r>
      <w:r w:rsidR="00B40FF8" w:rsidRPr="006977C2">
        <w:rPr>
          <w:rFonts w:eastAsia="MS Mincho"/>
        </w:rPr>
        <w:t>.</w:t>
      </w:r>
      <w:r w:rsidR="008610D3" w:rsidRPr="006977C2">
        <w:rPr>
          <w:rFonts w:eastAsia="MS Mincho"/>
        </w:rPr>
        <w:t xml:space="preserve"> </w:t>
      </w:r>
      <w:r w:rsidR="00D153C8" w:rsidRPr="006977C2">
        <w:rPr>
          <w:rFonts w:eastAsia="MS Mincho"/>
        </w:rPr>
        <w:t>In this</w:t>
      </w:r>
      <w:r w:rsidR="00430BDA" w:rsidRPr="006977C2">
        <w:rPr>
          <w:rFonts w:eastAsia="MS Mincho"/>
        </w:rPr>
        <w:t xml:space="preserve"> chapter findings from the fourth phase of our study</w:t>
      </w:r>
      <w:r w:rsidR="008A1275" w:rsidRPr="006977C2">
        <w:rPr>
          <w:rFonts w:eastAsia="MS Mincho"/>
        </w:rPr>
        <w:t>,</w:t>
      </w:r>
      <w:r w:rsidR="00430BDA" w:rsidRPr="006977C2">
        <w:rPr>
          <w:rFonts w:eastAsia="MS Mincho"/>
        </w:rPr>
        <w:t xml:space="preserve"> which address this limitation</w:t>
      </w:r>
      <w:r w:rsidR="007D76F6">
        <w:rPr>
          <w:rFonts w:eastAsia="MS Mincho"/>
        </w:rPr>
        <w:t>,</w:t>
      </w:r>
      <w:r w:rsidR="00D153C8" w:rsidRPr="006977C2">
        <w:rPr>
          <w:rFonts w:eastAsia="MS Mincho"/>
        </w:rPr>
        <w:t xml:space="preserve"> </w:t>
      </w:r>
      <w:r w:rsidR="008A1275" w:rsidRPr="006977C2">
        <w:rPr>
          <w:rFonts w:eastAsia="MS Mincho"/>
        </w:rPr>
        <w:t>are</w:t>
      </w:r>
      <w:r w:rsidR="00D153C8" w:rsidRPr="006977C2">
        <w:rPr>
          <w:rFonts w:eastAsia="MS Mincho"/>
        </w:rPr>
        <w:t xml:space="preserve"> presented</w:t>
      </w:r>
      <w:r w:rsidR="00430BDA" w:rsidRPr="006977C2">
        <w:rPr>
          <w:rFonts w:eastAsia="MS Mincho"/>
        </w:rPr>
        <w:t>.</w:t>
      </w:r>
      <w:r w:rsidR="008610D3" w:rsidRPr="006977C2">
        <w:rPr>
          <w:rFonts w:eastAsia="MS Mincho"/>
        </w:rPr>
        <w:t xml:space="preserve"> </w:t>
      </w:r>
      <w:r w:rsidR="00430BDA" w:rsidRPr="0039415C">
        <w:rPr>
          <w:rFonts w:eastAsia="MS Mincho"/>
        </w:rPr>
        <w:t>The objective of this phase was to measure how much a typical individual is harmed, given a certain level of gambling problems, and extrapolate that result to the population level.</w:t>
      </w:r>
      <w:r w:rsidR="008610D3" w:rsidRPr="0039415C">
        <w:rPr>
          <w:rFonts w:eastAsia="MS Mincho"/>
        </w:rPr>
        <w:t xml:space="preserve"> </w:t>
      </w:r>
      <w:r w:rsidRPr="0039415C">
        <w:rPr>
          <w:rFonts w:eastAsia="MS Mincho"/>
        </w:rPr>
        <w:t xml:space="preserve">This </w:t>
      </w:r>
      <w:r w:rsidR="00E40B78" w:rsidRPr="0039415C">
        <w:rPr>
          <w:rFonts w:eastAsia="MS Mincho"/>
        </w:rPr>
        <w:t xml:space="preserve">was </w:t>
      </w:r>
      <w:r w:rsidRPr="0039415C">
        <w:rPr>
          <w:rFonts w:eastAsia="MS Mincho"/>
        </w:rPr>
        <w:t xml:space="preserve">a necessary pre-requisite for meaningful comparisons to be made between </w:t>
      </w:r>
      <w:r w:rsidR="002A2602" w:rsidRPr="0039415C">
        <w:rPr>
          <w:rFonts w:eastAsia="MS Mincho"/>
        </w:rPr>
        <w:t>gambling-related</w:t>
      </w:r>
      <w:r w:rsidRPr="0039415C">
        <w:rPr>
          <w:rFonts w:eastAsia="MS Mincho"/>
        </w:rPr>
        <w:t xml:space="preserve"> harm and the harm caused by other common health conditions, such as alcohol abuse disorder and depression.</w:t>
      </w:r>
    </w:p>
    <w:p w14:paraId="59D859E7" w14:textId="77777777" w:rsidR="00F61793" w:rsidRPr="0039415C" w:rsidRDefault="00F61793" w:rsidP="00F61793">
      <w:pPr>
        <w:tabs>
          <w:tab w:val="clear" w:pos="426"/>
        </w:tabs>
        <w:spacing w:before="0" w:after="0" w:line="240" w:lineRule="auto"/>
        <w:ind w:left="567" w:right="0"/>
        <w:rPr>
          <w:rFonts w:eastAsia="MS Mincho" w:cs="Arial"/>
          <w:szCs w:val="20"/>
        </w:rPr>
      </w:pPr>
    </w:p>
    <w:p w14:paraId="5BFDDB4B" w14:textId="77777777" w:rsidR="00F61793" w:rsidRPr="0039415C" w:rsidRDefault="00F61793" w:rsidP="00F61793">
      <w:pPr>
        <w:pStyle w:val="VRGFHead3"/>
      </w:pPr>
      <w:bookmarkStart w:id="237" w:name="_Toc462738049"/>
      <w:r w:rsidRPr="0039415C">
        <w:t>The importance of a cardinal scale for measuring gambling harm</w:t>
      </w:r>
      <w:bookmarkEnd w:id="237"/>
    </w:p>
    <w:p w14:paraId="34D2A70F" w14:textId="4B331B34" w:rsidR="00F61793" w:rsidRPr="0039415C" w:rsidRDefault="00F61793" w:rsidP="00F61793">
      <w:pPr>
        <w:pStyle w:val="VRGFBodycontent"/>
        <w:rPr>
          <w:rFonts w:eastAsia="MS Mincho"/>
        </w:rPr>
      </w:pPr>
      <w:r w:rsidRPr="0039415C">
        <w:rPr>
          <w:rFonts w:eastAsia="MS Mincho"/>
        </w:rPr>
        <w:t>The PGSI, like most other psychometric measures, yields measurements on an ordinal, rather than a cardinal (or metric) scale</w:t>
      </w:r>
      <w:r w:rsidR="00B40FF8" w:rsidRPr="0039415C">
        <w:rPr>
          <w:rFonts w:eastAsia="MS Mincho"/>
        </w:rPr>
        <w:t>.</w:t>
      </w:r>
      <w:r w:rsidR="008610D3" w:rsidRPr="0039415C">
        <w:rPr>
          <w:rFonts w:eastAsia="MS Mincho"/>
        </w:rPr>
        <w:t xml:space="preserve"> </w:t>
      </w:r>
      <w:r w:rsidRPr="0039415C">
        <w:rPr>
          <w:rFonts w:eastAsia="MS Mincho"/>
        </w:rPr>
        <w:t>This means that intervals between each score on the PGSI are not comparable</w:t>
      </w:r>
      <w:r w:rsidR="00B40FF8" w:rsidRPr="0039415C">
        <w:rPr>
          <w:rFonts w:eastAsia="MS Mincho"/>
        </w:rPr>
        <w:t>.</w:t>
      </w:r>
      <w:r w:rsidR="008610D3" w:rsidRPr="0039415C">
        <w:rPr>
          <w:rFonts w:eastAsia="MS Mincho"/>
        </w:rPr>
        <w:t xml:space="preserve"> </w:t>
      </w:r>
      <w:r w:rsidRPr="0039415C">
        <w:rPr>
          <w:rFonts w:eastAsia="MS Mincho"/>
        </w:rPr>
        <w:t>Thus, it is not possible to make statements of the type ‘An individual with a PGSI score of 8 is harmed twice as much as an individual with a score of 4’</w:t>
      </w:r>
      <w:r w:rsidR="00B40FF8" w:rsidRPr="0039415C">
        <w:rPr>
          <w:rFonts w:eastAsia="MS Mincho"/>
        </w:rPr>
        <w:t>.</w:t>
      </w:r>
      <w:r w:rsidR="008610D3" w:rsidRPr="0039415C">
        <w:rPr>
          <w:rFonts w:eastAsia="MS Mincho"/>
        </w:rPr>
        <w:t xml:space="preserve"> </w:t>
      </w:r>
      <w:r w:rsidRPr="0039415C">
        <w:rPr>
          <w:rFonts w:eastAsia="MS Mincho"/>
        </w:rPr>
        <w:t>Accordingly, it is not possible to compare the following two outcomes as equivalent in benefit in terms of community benefit:</w:t>
      </w:r>
    </w:p>
    <w:p w14:paraId="105FC9FC" w14:textId="77777777" w:rsidR="00F61793" w:rsidRPr="0039415C" w:rsidRDefault="00F61793" w:rsidP="00935E20">
      <w:pPr>
        <w:pStyle w:val="VRGFBulletedlist"/>
        <w:numPr>
          <w:ilvl w:val="0"/>
          <w:numId w:val="0"/>
        </w:numPr>
        <w:ind w:left="1080" w:hanging="360"/>
        <w:rPr>
          <w:rFonts w:eastAsia="MS Mincho"/>
        </w:rPr>
      </w:pPr>
      <w:r w:rsidRPr="0039415C">
        <w:rPr>
          <w:rFonts w:eastAsia="MS Mincho"/>
        </w:rPr>
        <w:t>a)</w:t>
      </w:r>
      <w:r w:rsidRPr="0039415C">
        <w:rPr>
          <w:rFonts w:eastAsia="MS Mincho"/>
        </w:rPr>
        <w:tab/>
        <w:t>Successful treatment/avoidance of gambling problems of 1 individual with a PGSI score of 8 for 5 years.</w:t>
      </w:r>
    </w:p>
    <w:p w14:paraId="45D492BA" w14:textId="77777777" w:rsidR="00F61793" w:rsidRPr="0039415C" w:rsidRDefault="00F61793" w:rsidP="00935E20">
      <w:pPr>
        <w:pStyle w:val="VRGFBulletedlist"/>
        <w:numPr>
          <w:ilvl w:val="0"/>
          <w:numId w:val="0"/>
        </w:numPr>
        <w:ind w:left="1080" w:hanging="360"/>
        <w:rPr>
          <w:rFonts w:eastAsia="MS Mincho"/>
        </w:rPr>
      </w:pPr>
      <w:r w:rsidRPr="0039415C">
        <w:rPr>
          <w:rFonts w:eastAsia="MS Mincho"/>
        </w:rPr>
        <w:t>b)</w:t>
      </w:r>
      <w:r w:rsidRPr="0039415C">
        <w:rPr>
          <w:rFonts w:eastAsia="MS Mincho"/>
        </w:rPr>
        <w:tab/>
        <w:t>Successful treatment/avoidance of gambling problems of 2 individuals with a PGSI score of 4 for 5 years.</w:t>
      </w:r>
    </w:p>
    <w:p w14:paraId="070DBCAB" w14:textId="4E816415" w:rsidR="00F61793" w:rsidRDefault="00F61793" w:rsidP="00F61793">
      <w:pPr>
        <w:pStyle w:val="VRGFBodycontent"/>
        <w:rPr>
          <w:rFonts w:eastAsia="MS Mincho"/>
        </w:rPr>
      </w:pPr>
      <w:r w:rsidRPr="0039415C">
        <w:rPr>
          <w:rFonts w:eastAsia="MS Mincho"/>
        </w:rPr>
        <w:t>In order to estimate the amount of harm that is being experienced, either by an individual, or the population, it is necessary to translate indicators of harm to a cardinal scale</w:t>
      </w:r>
      <w:r w:rsidR="00B40FF8" w:rsidRPr="0039415C">
        <w:rPr>
          <w:rFonts w:eastAsia="MS Mincho"/>
        </w:rPr>
        <w:t>.</w:t>
      </w:r>
      <w:r w:rsidR="008610D3" w:rsidRPr="0039415C">
        <w:rPr>
          <w:rFonts w:eastAsia="MS Mincho"/>
        </w:rPr>
        <w:t xml:space="preserve"> </w:t>
      </w:r>
      <w:r w:rsidRPr="0039415C">
        <w:rPr>
          <w:rFonts w:eastAsia="MS Mincho"/>
        </w:rPr>
        <w:t>Measuring harm on a cardinal scale presents a number of advantages</w:t>
      </w:r>
      <w:r w:rsidR="00B40FF8" w:rsidRPr="0039415C">
        <w:rPr>
          <w:rFonts w:eastAsia="MS Mincho"/>
        </w:rPr>
        <w:t>.</w:t>
      </w:r>
      <w:r w:rsidR="008610D3" w:rsidRPr="0039415C">
        <w:rPr>
          <w:rFonts w:eastAsia="MS Mincho"/>
        </w:rPr>
        <w:t xml:space="preserve"> </w:t>
      </w:r>
      <w:r w:rsidRPr="0039415C">
        <w:rPr>
          <w:rFonts w:eastAsia="MS Mincho"/>
        </w:rPr>
        <w:t>For example, it is possible to infer that an individual who has scored 2</w:t>
      </w:r>
      <w:r w:rsidRPr="0039415C">
        <w:rPr>
          <w:rFonts w:eastAsia="MS Mincho"/>
          <w:i/>
        </w:rPr>
        <w:t>x</w:t>
      </w:r>
      <w:r w:rsidRPr="0039415C">
        <w:rPr>
          <w:rFonts w:eastAsia="MS Mincho"/>
        </w:rPr>
        <w:t xml:space="preserve"> on the measure is suffering from twice the amount of harm as an individual who has scored </w:t>
      </w:r>
      <w:r w:rsidRPr="0039415C">
        <w:rPr>
          <w:rFonts w:eastAsia="MS Mincho"/>
          <w:i/>
        </w:rPr>
        <w:t>x</w:t>
      </w:r>
      <w:r w:rsidR="00B40FF8" w:rsidRPr="0039415C">
        <w:rPr>
          <w:rFonts w:eastAsia="MS Mincho"/>
        </w:rPr>
        <w:t>.</w:t>
      </w:r>
      <w:r w:rsidR="008610D3" w:rsidRPr="0039415C">
        <w:rPr>
          <w:rFonts w:eastAsia="MS Mincho"/>
        </w:rPr>
        <w:t xml:space="preserve"> </w:t>
      </w:r>
      <w:r w:rsidRPr="0039415C">
        <w:rPr>
          <w:rFonts w:eastAsia="MS Mincho"/>
        </w:rPr>
        <w:t xml:space="preserve">Furthermore, with the assumption that the </w:t>
      </w:r>
      <w:r w:rsidR="004170F5" w:rsidRPr="0039415C">
        <w:rPr>
          <w:rFonts w:eastAsia="MS Mincho"/>
        </w:rPr>
        <w:t>well</w:t>
      </w:r>
      <w:r w:rsidR="00500889" w:rsidRPr="0039415C">
        <w:rPr>
          <w:rFonts w:eastAsia="MS Mincho"/>
        </w:rPr>
        <w:t>being</w:t>
      </w:r>
      <w:r w:rsidRPr="0039415C">
        <w:rPr>
          <w:rFonts w:eastAsia="MS Mincho"/>
        </w:rPr>
        <w:t xml:space="preserve"> of different individuals is equally valuable, it is possible to aggregate harms experienced across individuals</w:t>
      </w:r>
      <w:r w:rsidR="00B40FF8" w:rsidRPr="0039415C">
        <w:rPr>
          <w:rFonts w:eastAsia="MS Mincho"/>
        </w:rPr>
        <w:t>.</w:t>
      </w:r>
      <w:r w:rsidR="008610D3" w:rsidRPr="0039415C">
        <w:rPr>
          <w:rFonts w:eastAsia="MS Mincho"/>
        </w:rPr>
        <w:t xml:space="preserve"> </w:t>
      </w:r>
      <w:r w:rsidRPr="0039415C">
        <w:rPr>
          <w:rFonts w:eastAsia="MS Mincho"/>
        </w:rPr>
        <w:t>This enables comparisons between populations, and the evaluation of alternative treatment or policy initiatives with regard to how much they improve the summary measure</w:t>
      </w:r>
      <w:r w:rsidR="00B40FF8" w:rsidRPr="0039415C">
        <w:rPr>
          <w:rFonts w:eastAsia="MS Mincho"/>
        </w:rPr>
        <w:t>.</w:t>
      </w:r>
      <w:r w:rsidR="008610D3" w:rsidRPr="0039415C">
        <w:rPr>
          <w:rFonts w:eastAsia="MS Mincho"/>
        </w:rPr>
        <w:t xml:space="preserve"> </w:t>
      </w:r>
      <w:r w:rsidRPr="0039415C">
        <w:rPr>
          <w:rFonts w:eastAsia="MS Mincho"/>
        </w:rPr>
        <w:t xml:space="preserve">Finally, if a common scale is used for gambling and other conditions, it </w:t>
      </w:r>
      <w:r w:rsidR="00BA5C47" w:rsidRPr="0039415C">
        <w:rPr>
          <w:rFonts w:eastAsia="MS Mincho"/>
        </w:rPr>
        <w:t xml:space="preserve">will be </w:t>
      </w:r>
      <w:r w:rsidRPr="0039415C">
        <w:rPr>
          <w:rFonts w:eastAsia="MS Mincho"/>
        </w:rPr>
        <w:t>possible to make meaningful comparisons of the overall cost to the community between conditions and</w:t>
      </w:r>
      <w:r w:rsidR="00BA5C47" w:rsidRPr="0039415C">
        <w:rPr>
          <w:rFonts w:eastAsia="MS Mincho"/>
        </w:rPr>
        <w:t>,</w:t>
      </w:r>
      <w:r w:rsidRPr="0039415C">
        <w:rPr>
          <w:rFonts w:eastAsia="MS Mincho"/>
        </w:rPr>
        <w:t xml:space="preserve"> thereby</w:t>
      </w:r>
      <w:r w:rsidR="00BA5C47" w:rsidRPr="0039415C">
        <w:rPr>
          <w:rFonts w:eastAsia="MS Mincho"/>
        </w:rPr>
        <w:t>,</w:t>
      </w:r>
      <w:r w:rsidRPr="0039415C">
        <w:rPr>
          <w:rFonts w:eastAsia="MS Mincho"/>
        </w:rPr>
        <w:t xml:space="preserve"> make informed decisions about how to allocate scarce resources to different issues.</w:t>
      </w:r>
    </w:p>
    <w:p w14:paraId="11C06EA3" w14:textId="77777777" w:rsidR="00B35B78" w:rsidRDefault="00B35B78" w:rsidP="00F61793">
      <w:pPr>
        <w:pStyle w:val="VRGFBodycontent"/>
        <w:rPr>
          <w:rFonts w:eastAsia="MS Mincho"/>
        </w:rPr>
      </w:pPr>
    </w:p>
    <w:p w14:paraId="1C7D4528" w14:textId="77777777" w:rsidR="00F61793" w:rsidRPr="00D302D0" w:rsidRDefault="00F61793" w:rsidP="00F61793">
      <w:pPr>
        <w:pStyle w:val="VRGFHead3"/>
      </w:pPr>
      <w:bookmarkStart w:id="238" w:name="_Toc462738050"/>
      <w:r w:rsidRPr="00A8440A">
        <w:lastRenderedPageBreak/>
        <w:t>Summary measures of population health</w:t>
      </w:r>
      <w:bookmarkEnd w:id="238"/>
    </w:p>
    <w:p w14:paraId="0CD2E268" w14:textId="6A1AE69C" w:rsidR="00F61793" w:rsidRPr="0039415C" w:rsidRDefault="00F61793" w:rsidP="00F61793">
      <w:pPr>
        <w:pStyle w:val="VRGFBodycontent"/>
        <w:rPr>
          <w:rFonts w:eastAsia="MS Mincho"/>
        </w:rPr>
      </w:pPr>
      <w:r w:rsidRPr="00D82AC4">
        <w:rPr>
          <w:rFonts w:eastAsia="MS Mincho"/>
        </w:rPr>
        <w:t xml:space="preserve">In order to create a cardinal measure of gambling harm it is useful to apply summary measures commonly </w:t>
      </w:r>
      <w:r w:rsidR="00B102F3">
        <w:rPr>
          <w:rFonts w:eastAsia="MS Mincho"/>
        </w:rPr>
        <w:t>utilised</w:t>
      </w:r>
      <w:r w:rsidR="00B102F3" w:rsidRPr="00D82AC4">
        <w:rPr>
          <w:rFonts w:eastAsia="MS Mincho"/>
        </w:rPr>
        <w:t xml:space="preserve"> </w:t>
      </w:r>
      <w:r w:rsidRPr="00D82AC4">
        <w:rPr>
          <w:rFonts w:eastAsia="MS Mincho"/>
        </w:rPr>
        <w:t>in population health research</w:t>
      </w:r>
      <w:r w:rsidR="00B40FF8">
        <w:rPr>
          <w:rFonts w:eastAsia="MS Mincho"/>
        </w:rPr>
        <w:t>.</w:t>
      </w:r>
      <w:r w:rsidR="008610D3">
        <w:rPr>
          <w:rFonts w:eastAsia="MS Mincho"/>
        </w:rPr>
        <w:t xml:space="preserve"> </w:t>
      </w:r>
      <w:r w:rsidRPr="00D82AC4">
        <w:rPr>
          <w:rFonts w:eastAsia="MS Mincho"/>
        </w:rPr>
        <w:t xml:space="preserve">Summary measures combine data on mortality and non-fatal health outcomes into a single </w:t>
      </w:r>
      <w:r>
        <w:rPr>
          <w:rFonts w:eastAsia="MS Mincho"/>
        </w:rPr>
        <w:t>metric</w:t>
      </w:r>
      <w:r w:rsidRPr="00D82AC4">
        <w:rPr>
          <w:rFonts w:eastAsia="MS Mincho"/>
        </w:rPr>
        <w:t xml:space="preserve"> to quantify the health of a population (WHO, 2009)</w:t>
      </w:r>
      <w:r w:rsidR="00B40FF8">
        <w:rPr>
          <w:rFonts w:eastAsia="MS Mincho"/>
        </w:rPr>
        <w:t>.</w:t>
      </w:r>
      <w:r w:rsidR="008610D3">
        <w:rPr>
          <w:rFonts w:eastAsia="MS Mincho"/>
        </w:rPr>
        <w:t xml:space="preserve"> </w:t>
      </w:r>
      <w:r w:rsidRPr="00D82AC4">
        <w:rPr>
          <w:rFonts w:eastAsia="MS Mincho"/>
        </w:rPr>
        <w:t xml:space="preserve">These measures are </w:t>
      </w:r>
      <w:r w:rsidR="00A8440A">
        <w:rPr>
          <w:rFonts w:eastAsia="MS Mincho"/>
        </w:rPr>
        <w:t>utilised</w:t>
      </w:r>
      <w:r w:rsidRPr="00D82AC4">
        <w:rPr>
          <w:rFonts w:eastAsia="MS Mincho"/>
        </w:rPr>
        <w:t xml:space="preserve"> for a variety </w:t>
      </w:r>
      <w:r>
        <w:rPr>
          <w:rFonts w:eastAsia="MS Mincho"/>
        </w:rPr>
        <w:t>of purposes, such as comparing the</w:t>
      </w:r>
      <w:r w:rsidRPr="00D82AC4">
        <w:rPr>
          <w:rFonts w:eastAsia="MS Mincho"/>
        </w:rPr>
        <w:t xml:space="preserve"> experiences of health between populations </w:t>
      </w:r>
      <w:r w:rsidR="008F3330">
        <w:rPr>
          <w:rFonts w:eastAsia="MS Mincho"/>
        </w:rPr>
        <w:t xml:space="preserve">in different countries </w:t>
      </w:r>
      <w:r w:rsidRPr="00D82AC4">
        <w:rPr>
          <w:rFonts w:eastAsia="MS Mincho"/>
        </w:rPr>
        <w:t>(e.g. Aaronson et al., 1992), identifying inequalities within populations (Gakidou, Murray, &amp; Frenk, 2000) and in determining cost effectiveness of health interventions (Holmes, Hemmett, &amp; Garfield, 2005; Solberg, Maciosek, &amp; Edwards, 2008)</w:t>
      </w:r>
      <w:r w:rsidR="00B40FF8">
        <w:rPr>
          <w:rFonts w:eastAsia="MS Mincho"/>
        </w:rPr>
        <w:t>.</w:t>
      </w:r>
      <w:r w:rsidR="008610D3">
        <w:rPr>
          <w:rFonts w:eastAsia="MS Mincho"/>
        </w:rPr>
        <w:t xml:space="preserve"> </w:t>
      </w:r>
      <w:r w:rsidRPr="00D82AC4">
        <w:rPr>
          <w:rFonts w:eastAsia="MS Mincho"/>
        </w:rPr>
        <w:t>This knowledge can assist in setting priorities for health planning, service provision, research and development activities (Nord, 1999)</w:t>
      </w:r>
      <w:r w:rsidR="00B40FF8">
        <w:rPr>
          <w:rFonts w:eastAsia="MS Mincho"/>
        </w:rPr>
        <w:t>.</w:t>
      </w:r>
      <w:r w:rsidR="008610D3">
        <w:rPr>
          <w:rFonts w:eastAsia="MS Mincho"/>
        </w:rPr>
        <w:t xml:space="preserve"> </w:t>
      </w:r>
      <w:r w:rsidRPr="00D82AC4">
        <w:rPr>
          <w:rFonts w:eastAsia="MS Mincho"/>
        </w:rPr>
        <w:t xml:space="preserve">There is clear public benefit in allocating the most resources to problems that are proven to cause the greatest harm, thereby achieving the optimal return on </w:t>
      </w:r>
      <w:r w:rsidRPr="0039415C">
        <w:rPr>
          <w:rFonts w:eastAsia="MS Mincho"/>
        </w:rPr>
        <w:t xml:space="preserve">investment. </w:t>
      </w:r>
    </w:p>
    <w:p w14:paraId="11445F37" w14:textId="1ED31751" w:rsidR="00F61793" w:rsidRPr="00D82AC4" w:rsidRDefault="00F61793" w:rsidP="00F61793">
      <w:pPr>
        <w:pStyle w:val="VRGFBodycontent"/>
        <w:rPr>
          <w:rFonts w:eastAsia="MS Mincho"/>
        </w:rPr>
      </w:pPr>
      <w:r w:rsidRPr="0039415C">
        <w:rPr>
          <w:rFonts w:eastAsia="MS Mincho"/>
        </w:rPr>
        <w:t xml:space="preserve">There are several common summary measures that </w:t>
      </w:r>
      <w:r w:rsidR="008F3330" w:rsidRPr="0039415C">
        <w:rPr>
          <w:rFonts w:eastAsia="MS Mincho"/>
        </w:rPr>
        <w:t xml:space="preserve">simultaneously </w:t>
      </w:r>
      <w:r w:rsidRPr="0039415C">
        <w:rPr>
          <w:rFonts w:eastAsia="MS Mincho"/>
        </w:rPr>
        <w:t>capture the combined impact of both mortality and morbidity</w:t>
      </w:r>
      <w:r w:rsidR="00B40FF8" w:rsidRPr="0039415C">
        <w:rPr>
          <w:rFonts w:eastAsia="MS Mincho"/>
        </w:rPr>
        <w:t>.</w:t>
      </w:r>
      <w:r w:rsidR="008610D3" w:rsidRPr="0039415C">
        <w:rPr>
          <w:rFonts w:eastAsia="MS Mincho"/>
        </w:rPr>
        <w:t xml:space="preserve"> </w:t>
      </w:r>
      <w:r w:rsidRPr="0039415C">
        <w:rPr>
          <w:rFonts w:eastAsia="MS Mincho"/>
        </w:rPr>
        <w:t>They are collectively referred to as Health Adjusted Life Years (HALYs), and the two most commonly used measures are Quality Adjusted Life Years (QALYs) and Disability Adjusted Life Years (DALYs)</w:t>
      </w:r>
      <w:r w:rsidR="00B40FF8" w:rsidRPr="0039415C">
        <w:rPr>
          <w:rFonts w:eastAsia="MS Mincho"/>
        </w:rPr>
        <w:t>.</w:t>
      </w:r>
      <w:r w:rsidR="008610D3" w:rsidRPr="0039415C">
        <w:rPr>
          <w:rFonts w:eastAsia="MS Mincho"/>
        </w:rPr>
        <w:t xml:space="preserve"> </w:t>
      </w:r>
      <w:r w:rsidRPr="0039415C">
        <w:rPr>
          <w:rFonts w:eastAsia="MS Mincho"/>
        </w:rPr>
        <w:t>The two measures differ in a number of key aspects but both are calculated using Health Related Quality of Life (HRQL) weights</w:t>
      </w:r>
      <w:r w:rsidR="005C251E">
        <w:rPr>
          <w:rFonts w:eastAsia="MS Mincho"/>
        </w:rPr>
        <w:t>, otherwise known as utilities</w:t>
      </w:r>
      <w:r w:rsidR="00B40FF8" w:rsidRPr="0039415C">
        <w:rPr>
          <w:rFonts w:eastAsia="MS Mincho"/>
        </w:rPr>
        <w:t>.</w:t>
      </w:r>
      <w:r w:rsidR="008610D3" w:rsidRPr="0039415C">
        <w:rPr>
          <w:rFonts w:eastAsia="MS Mincho"/>
        </w:rPr>
        <w:t xml:space="preserve"> </w:t>
      </w:r>
      <w:r w:rsidRPr="0039415C">
        <w:rPr>
          <w:rFonts w:eastAsia="MS Mincho"/>
        </w:rPr>
        <w:t>These weights, described below, capture deviations from a normal and unaffected enjoyment of life.</w:t>
      </w:r>
      <w:r w:rsidRPr="00D82AC4">
        <w:rPr>
          <w:rFonts w:eastAsia="MS Mincho"/>
        </w:rPr>
        <w:t xml:space="preserve"> </w:t>
      </w:r>
    </w:p>
    <w:p w14:paraId="070573A3" w14:textId="77777777" w:rsidR="00F61793" w:rsidRDefault="00F61793" w:rsidP="00F61793">
      <w:pPr>
        <w:tabs>
          <w:tab w:val="clear" w:pos="426"/>
        </w:tabs>
        <w:spacing w:before="0" w:after="0" w:line="240" w:lineRule="auto"/>
        <w:ind w:left="567" w:right="0"/>
        <w:rPr>
          <w:rFonts w:eastAsia="MS Mincho" w:cs="Arial"/>
          <w:b/>
          <w:sz w:val="28"/>
          <w:szCs w:val="28"/>
        </w:rPr>
      </w:pPr>
    </w:p>
    <w:p w14:paraId="7731DF98" w14:textId="77777777" w:rsidR="00F61793" w:rsidRPr="00D302D0" w:rsidRDefault="00F61793" w:rsidP="00F61793">
      <w:pPr>
        <w:pStyle w:val="VRGFHead3"/>
      </w:pPr>
      <w:bookmarkStart w:id="239" w:name="_Toc462738051"/>
      <w:r w:rsidRPr="00D302D0">
        <w:t>Health Related Quality of Life (HRQL) weights</w:t>
      </w:r>
      <w:bookmarkEnd w:id="239"/>
      <w:r w:rsidRPr="00D302D0">
        <w:t xml:space="preserve"> </w:t>
      </w:r>
    </w:p>
    <w:p w14:paraId="4F5BD0F0" w14:textId="696CEFDF" w:rsidR="00F61793" w:rsidRPr="00D82AC4" w:rsidRDefault="00F61793" w:rsidP="00F61793">
      <w:pPr>
        <w:pStyle w:val="VRGFBodycontent"/>
        <w:rPr>
          <w:rFonts w:eastAsia="MS Mincho"/>
        </w:rPr>
      </w:pPr>
      <w:r w:rsidRPr="0039415C">
        <w:rPr>
          <w:rFonts w:eastAsia="MS Mincho"/>
        </w:rPr>
        <w:t xml:space="preserve">The construct of </w:t>
      </w:r>
      <w:r w:rsidR="00AD180E" w:rsidRPr="0039415C">
        <w:rPr>
          <w:rFonts w:eastAsia="MS Mincho"/>
        </w:rPr>
        <w:t>Health Related Quality of Life (</w:t>
      </w:r>
      <w:r w:rsidRPr="0039415C">
        <w:rPr>
          <w:rFonts w:eastAsia="MS Mincho"/>
        </w:rPr>
        <w:t>HRQL</w:t>
      </w:r>
      <w:r w:rsidR="00AD180E" w:rsidRPr="0039415C">
        <w:rPr>
          <w:rFonts w:eastAsia="MS Mincho"/>
        </w:rPr>
        <w:t>)</w:t>
      </w:r>
      <w:r w:rsidRPr="0039415C">
        <w:rPr>
          <w:rFonts w:eastAsia="MS Mincho"/>
        </w:rPr>
        <w:t xml:space="preserve"> is operationalised as a health state utility</w:t>
      </w:r>
      <w:r w:rsidR="00AD180E" w:rsidRPr="0039415C">
        <w:rPr>
          <w:rFonts w:eastAsia="MS Mincho"/>
        </w:rPr>
        <w:t>, or weight</w:t>
      </w:r>
      <w:r w:rsidR="00B40FF8" w:rsidRPr="0039415C">
        <w:rPr>
          <w:rFonts w:eastAsia="MS Mincho"/>
        </w:rPr>
        <w:t>.</w:t>
      </w:r>
      <w:r w:rsidR="008610D3" w:rsidRPr="0039415C">
        <w:rPr>
          <w:rFonts w:eastAsia="MS Mincho"/>
        </w:rPr>
        <w:t xml:space="preserve"> </w:t>
      </w:r>
      <w:r w:rsidRPr="0039415C">
        <w:rPr>
          <w:rFonts w:eastAsia="MS Mincho"/>
        </w:rPr>
        <w:t>This utility represents the benefit to an individual in living one year in the condition specified and</w:t>
      </w:r>
      <w:r w:rsidR="008F3330" w:rsidRPr="0039415C">
        <w:rPr>
          <w:rFonts w:eastAsia="MS Mincho"/>
        </w:rPr>
        <w:t>,</w:t>
      </w:r>
      <w:r w:rsidRPr="0039415C">
        <w:rPr>
          <w:rFonts w:eastAsia="MS Mincho"/>
        </w:rPr>
        <w:t xml:space="preserve"> when measured across a sample, reflects a consensus view of preferences for different health outcomes</w:t>
      </w:r>
      <w:r w:rsidR="00B40FF8" w:rsidRPr="0039415C">
        <w:rPr>
          <w:rFonts w:eastAsia="MS Mincho"/>
        </w:rPr>
        <w:t>.</w:t>
      </w:r>
      <w:r w:rsidR="008610D3" w:rsidRPr="0039415C">
        <w:rPr>
          <w:rFonts w:eastAsia="MS Mincho"/>
        </w:rPr>
        <w:t xml:space="preserve"> </w:t>
      </w:r>
      <w:r w:rsidRPr="0039415C">
        <w:rPr>
          <w:rFonts w:eastAsia="MS Mincho"/>
        </w:rPr>
        <w:t xml:space="preserve">By convention, they are estimated on a </w:t>
      </w:r>
      <w:r w:rsidR="0039415C" w:rsidRPr="0039415C">
        <w:rPr>
          <w:rFonts w:eastAsia="MS Mincho"/>
        </w:rPr>
        <w:t xml:space="preserve">cardinal </w:t>
      </w:r>
      <w:r w:rsidRPr="0039415C">
        <w:rPr>
          <w:rFonts w:eastAsia="MS Mincho"/>
        </w:rPr>
        <w:t xml:space="preserve">scale between zero and one; with either zero or one being equivalent to death and the other end of the scale reflecting ideal health and </w:t>
      </w:r>
      <w:r w:rsidR="004322F3" w:rsidRPr="0039415C">
        <w:rPr>
          <w:rFonts w:eastAsia="MS Mincho"/>
        </w:rPr>
        <w:t>wellbeing</w:t>
      </w:r>
      <w:r w:rsidR="00B40FF8" w:rsidRPr="0039415C">
        <w:rPr>
          <w:rFonts w:eastAsia="MS Mincho"/>
        </w:rPr>
        <w:t>.</w:t>
      </w:r>
      <w:r w:rsidR="008610D3" w:rsidRPr="0039415C">
        <w:rPr>
          <w:rFonts w:eastAsia="MS Mincho"/>
        </w:rPr>
        <w:t xml:space="preserve"> </w:t>
      </w:r>
      <w:r w:rsidRPr="0039415C">
        <w:rPr>
          <w:rFonts w:eastAsia="MS Mincho"/>
        </w:rPr>
        <w:t xml:space="preserve">Thus, the utility (or benefit) to both the individual and the community, of a single individual living a year in optimal health and </w:t>
      </w:r>
      <w:r w:rsidR="004170F5" w:rsidRPr="0039415C">
        <w:rPr>
          <w:rFonts w:eastAsia="MS Mincho"/>
        </w:rPr>
        <w:t>well</w:t>
      </w:r>
      <w:r w:rsidR="004322F3" w:rsidRPr="0039415C">
        <w:rPr>
          <w:rFonts w:eastAsia="MS Mincho"/>
        </w:rPr>
        <w:t>being</w:t>
      </w:r>
      <w:r w:rsidRPr="0039415C">
        <w:rPr>
          <w:rFonts w:eastAsia="MS Mincho"/>
        </w:rPr>
        <w:t xml:space="preserve"> is standardised to </w:t>
      </w:r>
      <w:r w:rsidRPr="00BA49F6">
        <w:rPr>
          <w:rFonts w:eastAsia="MS Mincho"/>
        </w:rPr>
        <w:t>u</w:t>
      </w:r>
      <w:r w:rsidR="0039415C" w:rsidRPr="00BA49F6">
        <w:rPr>
          <w:rFonts w:eastAsia="MS Mincho"/>
        </w:rPr>
        <w:t>tili</w:t>
      </w:r>
      <w:r w:rsidRPr="00BA49F6">
        <w:rPr>
          <w:rFonts w:eastAsia="MS Mincho"/>
        </w:rPr>
        <w:t>ty</w:t>
      </w:r>
      <w:r w:rsidR="00B40FF8" w:rsidRPr="00BA49F6">
        <w:rPr>
          <w:rFonts w:eastAsia="MS Mincho"/>
        </w:rPr>
        <w:t>.</w:t>
      </w:r>
      <w:r w:rsidR="008610D3" w:rsidRPr="00BA49F6">
        <w:rPr>
          <w:rFonts w:eastAsia="MS Mincho"/>
        </w:rPr>
        <w:t xml:space="preserve"> </w:t>
      </w:r>
      <w:r w:rsidR="00BA49F6">
        <w:rPr>
          <w:rFonts w:eastAsia="MS Mincho"/>
        </w:rPr>
        <w:t>Gambling-related h</w:t>
      </w:r>
      <w:r w:rsidRPr="00BA49F6">
        <w:rPr>
          <w:rFonts w:eastAsia="MS Mincho"/>
        </w:rPr>
        <w:t>arm can</w:t>
      </w:r>
      <w:r w:rsidR="008F3330" w:rsidRPr="00BA49F6">
        <w:rPr>
          <w:rFonts w:eastAsia="MS Mincho"/>
        </w:rPr>
        <w:t>,</w:t>
      </w:r>
      <w:r w:rsidRPr="00BA49F6">
        <w:rPr>
          <w:rFonts w:eastAsia="MS Mincho"/>
        </w:rPr>
        <w:t xml:space="preserve"> therefore</w:t>
      </w:r>
      <w:r w:rsidR="008F3330" w:rsidRPr="00BA49F6">
        <w:rPr>
          <w:rFonts w:eastAsia="MS Mincho"/>
        </w:rPr>
        <w:t>,</w:t>
      </w:r>
      <w:r w:rsidRPr="00BA49F6">
        <w:rPr>
          <w:rFonts w:eastAsia="MS Mincho"/>
        </w:rPr>
        <w:t xml:space="preserve"> be described as a decrement to one’s utility U, or 1-U, which is the operational definition we shall apply subsequently in this report.</w:t>
      </w:r>
      <w:r w:rsidRPr="00D82AC4">
        <w:rPr>
          <w:rFonts w:eastAsia="MS Mincho"/>
        </w:rPr>
        <w:t xml:space="preserve"> </w:t>
      </w:r>
    </w:p>
    <w:p w14:paraId="106B77CF" w14:textId="1A73F887" w:rsidR="00F61793" w:rsidRDefault="00F61793" w:rsidP="00F61793">
      <w:pPr>
        <w:pStyle w:val="VRGFBodycontent"/>
        <w:rPr>
          <w:rFonts w:eastAsia="MS Mincho"/>
        </w:rPr>
      </w:pPr>
      <w:r w:rsidRPr="002D225F">
        <w:rPr>
          <w:rFonts w:eastAsia="MS Mincho"/>
        </w:rPr>
        <w:t xml:space="preserve">In health economics, </w:t>
      </w:r>
      <w:r w:rsidR="00C918B2" w:rsidRPr="002D225F">
        <w:rPr>
          <w:rFonts w:eastAsia="MS Mincho"/>
        </w:rPr>
        <w:t xml:space="preserve">HRQL </w:t>
      </w:r>
      <w:r w:rsidRPr="002D225F">
        <w:rPr>
          <w:rFonts w:eastAsia="MS Mincho"/>
        </w:rPr>
        <w:t>utilities are often combined with incidence, duration, relapse, and mortality data in order to generate quality-adjusted life years (QALYs) for use in cost-utility analyses, interventions and policy</w:t>
      </w:r>
      <w:r w:rsidR="00B40FF8" w:rsidRPr="002D225F">
        <w:rPr>
          <w:rFonts w:eastAsia="MS Mincho"/>
        </w:rPr>
        <w:t>.</w:t>
      </w:r>
      <w:r w:rsidR="008610D3" w:rsidRPr="002D225F">
        <w:rPr>
          <w:rFonts w:eastAsia="MS Mincho"/>
        </w:rPr>
        <w:t xml:space="preserve"> </w:t>
      </w:r>
      <w:r w:rsidRPr="002D225F">
        <w:rPr>
          <w:rFonts w:eastAsia="MS Mincho"/>
        </w:rPr>
        <w:t>For example, two treatments for an illness may extend the life expectancy of an individual by 10 years</w:t>
      </w:r>
      <w:r w:rsidR="00B40FF8" w:rsidRPr="002D225F">
        <w:rPr>
          <w:rFonts w:eastAsia="MS Mincho"/>
        </w:rPr>
        <w:t>.</w:t>
      </w:r>
      <w:r w:rsidR="008610D3" w:rsidRPr="002D225F">
        <w:rPr>
          <w:rFonts w:eastAsia="MS Mincho"/>
        </w:rPr>
        <w:t xml:space="preserve"> </w:t>
      </w:r>
      <w:r w:rsidRPr="002D225F">
        <w:rPr>
          <w:rFonts w:eastAsia="MS Mincho"/>
        </w:rPr>
        <w:t>However, treatment A may restore the individual to full health (U=1) while treatment B may restore the individual to only partial health (U=0.5)</w:t>
      </w:r>
      <w:r w:rsidR="00B40FF8" w:rsidRPr="002D225F">
        <w:rPr>
          <w:rFonts w:eastAsia="MS Mincho"/>
        </w:rPr>
        <w:t>.</w:t>
      </w:r>
      <w:r w:rsidR="008610D3" w:rsidRPr="002D225F">
        <w:rPr>
          <w:rFonts w:eastAsia="MS Mincho"/>
        </w:rPr>
        <w:t xml:space="preserve"> </w:t>
      </w:r>
      <w:r w:rsidRPr="002D225F">
        <w:rPr>
          <w:rFonts w:eastAsia="MS Mincho"/>
        </w:rPr>
        <w:t>Treatment A yields 10*1.0=10 QALYs, while treatment B yields 10*0.5=5 QALYs</w:t>
      </w:r>
      <w:r w:rsidR="00B40FF8" w:rsidRPr="002D225F">
        <w:rPr>
          <w:rFonts w:eastAsia="MS Mincho"/>
        </w:rPr>
        <w:t>.</w:t>
      </w:r>
      <w:r w:rsidR="008610D3" w:rsidRPr="002D225F">
        <w:rPr>
          <w:rFonts w:eastAsia="MS Mincho"/>
        </w:rPr>
        <w:t xml:space="preserve"> </w:t>
      </w:r>
      <w:r w:rsidRPr="002D225F">
        <w:rPr>
          <w:rFonts w:eastAsia="MS Mincho"/>
        </w:rPr>
        <w:t>From this simple example, it can be seen that QALYs represent a numerical integration of health utilities over time</w:t>
      </w:r>
      <w:r w:rsidR="00B40FF8" w:rsidRPr="002D225F">
        <w:rPr>
          <w:rFonts w:eastAsia="MS Mincho"/>
        </w:rPr>
        <w:t>.</w:t>
      </w:r>
      <w:r w:rsidR="008610D3" w:rsidRPr="002D225F">
        <w:rPr>
          <w:rFonts w:eastAsia="MS Mincho"/>
        </w:rPr>
        <w:t xml:space="preserve"> </w:t>
      </w:r>
      <w:r w:rsidRPr="002D225F">
        <w:rPr>
          <w:rFonts w:eastAsia="MS Mincho"/>
        </w:rPr>
        <w:t>It is also possible to aggregate QALYs over individuals</w:t>
      </w:r>
      <w:r w:rsidR="00B40FF8" w:rsidRPr="002D225F">
        <w:rPr>
          <w:rFonts w:eastAsia="MS Mincho"/>
        </w:rPr>
        <w:t>.</w:t>
      </w:r>
      <w:r w:rsidR="008610D3" w:rsidRPr="002D225F">
        <w:rPr>
          <w:rFonts w:eastAsia="MS Mincho"/>
        </w:rPr>
        <w:t xml:space="preserve"> </w:t>
      </w:r>
      <w:r w:rsidRPr="002D225F">
        <w:rPr>
          <w:rFonts w:eastAsia="MS Mincho"/>
        </w:rPr>
        <w:t>For example, consider two treatment alternatives of a chronic condition that are of equivalent cost</w:t>
      </w:r>
      <w:r w:rsidR="00B40FF8" w:rsidRPr="002D225F">
        <w:rPr>
          <w:rFonts w:eastAsia="MS Mincho"/>
        </w:rPr>
        <w:t>.</w:t>
      </w:r>
      <w:r w:rsidR="008610D3" w:rsidRPr="002D225F">
        <w:rPr>
          <w:rFonts w:eastAsia="MS Mincho"/>
        </w:rPr>
        <w:t xml:space="preserve"> </w:t>
      </w:r>
      <w:r w:rsidRPr="002D225F">
        <w:rPr>
          <w:rFonts w:eastAsia="MS Mincho"/>
        </w:rPr>
        <w:t>Treatment A is a symptom relief medication, resulting in an improvement in utility from 0.5 to 0.55 in 100,000 individuals</w:t>
      </w:r>
      <w:r w:rsidR="00B40FF8" w:rsidRPr="002D225F">
        <w:rPr>
          <w:rFonts w:eastAsia="MS Mincho"/>
        </w:rPr>
        <w:t>.</w:t>
      </w:r>
      <w:r w:rsidR="008610D3" w:rsidRPr="002D225F">
        <w:rPr>
          <w:rFonts w:eastAsia="MS Mincho"/>
        </w:rPr>
        <w:t xml:space="preserve"> </w:t>
      </w:r>
      <w:r w:rsidRPr="002D225F">
        <w:rPr>
          <w:rFonts w:eastAsia="MS Mincho"/>
        </w:rPr>
        <w:t>Treatment B is surgery leading to complete cure, improving utility from 0.5 to 1.0 in 1</w:t>
      </w:r>
      <w:r w:rsidR="008F3330" w:rsidRPr="002D225F">
        <w:rPr>
          <w:rFonts w:eastAsia="MS Mincho"/>
        </w:rPr>
        <w:t>,</w:t>
      </w:r>
      <w:r w:rsidRPr="002D225F">
        <w:rPr>
          <w:rFonts w:eastAsia="MS Mincho"/>
        </w:rPr>
        <w:t>000 individuals</w:t>
      </w:r>
      <w:r w:rsidR="00B40FF8" w:rsidRPr="002D225F">
        <w:rPr>
          <w:rFonts w:eastAsia="MS Mincho"/>
        </w:rPr>
        <w:t>.</w:t>
      </w:r>
      <w:r w:rsidR="008610D3" w:rsidRPr="002D225F">
        <w:rPr>
          <w:rFonts w:eastAsia="MS Mincho"/>
        </w:rPr>
        <w:t xml:space="preserve"> </w:t>
      </w:r>
      <w:r w:rsidRPr="002D225F">
        <w:rPr>
          <w:rFonts w:eastAsia="MS Mincho"/>
        </w:rPr>
        <w:t>Treatment A yields 0.05*100,000 = 5000 QALYs per annum</w:t>
      </w:r>
      <w:r w:rsidR="00B40FF8" w:rsidRPr="002D225F">
        <w:rPr>
          <w:rFonts w:eastAsia="MS Mincho"/>
        </w:rPr>
        <w:t>.</w:t>
      </w:r>
      <w:r w:rsidR="008610D3" w:rsidRPr="002D225F">
        <w:rPr>
          <w:rFonts w:eastAsia="MS Mincho"/>
        </w:rPr>
        <w:t xml:space="preserve"> </w:t>
      </w:r>
      <w:r w:rsidRPr="002D225F">
        <w:rPr>
          <w:rFonts w:eastAsia="MS Mincho"/>
        </w:rPr>
        <w:t>Treatment B yields 0.5*1000 = 500 QALYs per annum</w:t>
      </w:r>
      <w:r w:rsidR="00B40FF8" w:rsidRPr="002D225F">
        <w:rPr>
          <w:rFonts w:eastAsia="MS Mincho"/>
        </w:rPr>
        <w:t>.</w:t>
      </w:r>
      <w:r w:rsidR="008610D3">
        <w:rPr>
          <w:rFonts w:eastAsia="MS Mincho"/>
        </w:rPr>
        <w:t xml:space="preserve"> </w:t>
      </w:r>
      <w:r w:rsidRPr="00D82AC4">
        <w:rPr>
          <w:rFonts w:eastAsia="MS Mincho"/>
        </w:rPr>
        <w:t xml:space="preserve">Research on the use of health utilities and QALYs is extensive, and though not without controversy, remains a </w:t>
      </w:r>
      <w:r>
        <w:rPr>
          <w:rFonts w:eastAsia="MS Mincho"/>
        </w:rPr>
        <w:t>widely accepted</w:t>
      </w:r>
      <w:r w:rsidRPr="00D82AC4">
        <w:rPr>
          <w:rFonts w:eastAsia="MS Mincho"/>
        </w:rPr>
        <w:t xml:space="preserve"> methodology for health priority setting from a public health perspective.</w:t>
      </w:r>
    </w:p>
    <w:p w14:paraId="7B9CA521" w14:textId="133B257E" w:rsidR="00F61793" w:rsidRPr="00D302D0" w:rsidRDefault="00AD180E" w:rsidP="00F61793">
      <w:pPr>
        <w:pStyle w:val="VRGFHead4"/>
      </w:pPr>
      <w:r>
        <w:lastRenderedPageBreak/>
        <w:t xml:space="preserve">QALYs to </w:t>
      </w:r>
      <w:r w:rsidR="00F61793" w:rsidRPr="00D302D0">
        <w:t>DALYs</w:t>
      </w:r>
      <w:r>
        <w:t xml:space="preserve"> comparison</w:t>
      </w:r>
    </w:p>
    <w:p w14:paraId="4377D661" w14:textId="3157F16E" w:rsidR="00F61793" w:rsidRPr="00D82AC4" w:rsidRDefault="00F61793" w:rsidP="00F61793">
      <w:pPr>
        <w:pStyle w:val="VRGFBodycontent"/>
        <w:rPr>
          <w:rFonts w:eastAsia="MS Mincho"/>
        </w:rPr>
      </w:pPr>
      <w:r w:rsidRPr="00D82AC4">
        <w:rPr>
          <w:rFonts w:eastAsia="MS Mincho"/>
        </w:rPr>
        <w:t xml:space="preserve">In addition to QALYs, disability adjusted life years </w:t>
      </w:r>
      <w:r w:rsidR="002B70BF">
        <w:rPr>
          <w:rFonts w:eastAsia="MS Mincho"/>
        </w:rPr>
        <w:t xml:space="preserve">(DALYs) </w:t>
      </w:r>
      <w:r w:rsidRPr="00D82AC4">
        <w:rPr>
          <w:rFonts w:eastAsia="MS Mincho"/>
        </w:rPr>
        <w:t>are another summary measure commonly applied in population health research</w:t>
      </w:r>
      <w:r w:rsidR="00B40FF8">
        <w:rPr>
          <w:rFonts w:eastAsia="MS Mincho"/>
        </w:rPr>
        <w:t>.</w:t>
      </w:r>
      <w:r w:rsidR="008610D3">
        <w:rPr>
          <w:rFonts w:eastAsia="MS Mincho"/>
        </w:rPr>
        <w:t xml:space="preserve"> </w:t>
      </w:r>
      <w:r w:rsidRPr="00D82AC4">
        <w:rPr>
          <w:rFonts w:eastAsia="MS Mincho"/>
        </w:rPr>
        <w:t>Some differences between the two measures are apparent:</w:t>
      </w:r>
    </w:p>
    <w:p w14:paraId="67681696" w14:textId="05282A70" w:rsidR="00F61793" w:rsidRPr="00C56CCA" w:rsidRDefault="00191866" w:rsidP="00191866">
      <w:pPr>
        <w:pStyle w:val="VRGFHead5"/>
      </w:pPr>
      <w:r>
        <w:t>QALYs</w:t>
      </w:r>
    </w:p>
    <w:p w14:paraId="1F37600C" w14:textId="4503D6D7" w:rsidR="00F61793" w:rsidRPr="00D82AC4" w:rsidRDefault="00F61793" w:rsidP="00072984">
      <w:pPr>
        <w:pStyle w:val="VRGFBulletedlist"/>
        <w:rPr>
          <w:rFonts w:eastAsia="MS Mincho"/>
          <w:lang w:eastAsia="ja-JP"/>
        </w:rPr>
      </w:pPr>
      <w:r w:rsidRPr="00D82AC4">
        <w:rPr>
          <w:rFonts w:eastAsia="MS Mincho"/>
          <w:lang w:eastAsia="ja-JP"/>
        </w:rPr>
        <w:t xml:space="preserve">Were </w:t>
      </w:r>
      <w:r w:rsidRPr="00072984">
        <w:rPr>
          <w:rFonts w:eastAsia="MS Mincho"/>
        </w:rPr>
        <w:t>developed</w:t>
      </w:r>
      <w:r w:rsidRPr="00D82AC4">
        <w:rPr>
          <w:rFonts w:eastAsia="MS Mincho"/>
          <w:lang w:eastAsia="ja-JP"/>
        </w:rPr>
        <w:t xml:space="preserve"> from the late 1960s with a purpose of quantifying the health or quality of life gain from health interventions</w:t>
      </w:r>
      <w:r w:rsidR="00B40FF8">
        <w:rPr>
          <w:rFonts w:eastAsia="MS Mincho"/>
          <w:lang w:eastAsia="ja-JP"/>
        </w:rPr>
        <w:t>.</w:t>
      </w:r>
      <w:r w:rsidR="008610D3">
        <w:rPr>
          <w:rFonts w:eastAsia="MS Mincho"/>
          <w:lang w:eastAsia="ja-JP"/>
        </w:rPr>
        <w:t xml:space="preserve"> </w:t>
      </w:r>
      <w:r w:rsidRPr="00D82AC4">
        <w:rPr>
          <w:rFonts w:eastAsia="MS Mincho"/>
          <w:lang w:eastAsia="ja-JP"/>
        </w:rPr>
        <w:t>The focus is on the improved utility gained, reflective of the influence of economists in the development of the measure, and</w:t>
      </w:r>
      <w:r>
        <w:rPr>
          <w:rFonts w:eastAsia="MS Mincho"/>
          <w:lang w:eastAsia="ja-JP"/>
        </w:rPr>
        <w:t xml:space="preserve"> being</w:t>
      </w:r>
      <w:r w:rsidRPr="00D82AC4">
        <w:rPr>
          <w:rFonts w:eastAsia="MS Mincho"/>
          <w:lang w:eastAsia="ja-JP"/>
        </w:rPr>
        <w:t xml:space="preserve"> ground</w:t>
      </w:r>
      <w:r>
        <w:rPr>
          <w:rFonts w:eastAsia="MS Mincho"/>
          <w:lang w:eastAsia="ja-JP"/>
        </w:rPr>
        <w:t>ed</w:t>
      </w:r>
      <w:r w:rsidRPr="00D82AC4">
        <w:rPr>
          <w:rFonts w:eastAsia="MS Mincho"/>
          <w:lang w:eastAsia="ja-JP"/>
        </w:rPr>
        <w:t xml:space="preserve"> in welfare economics and expected utility theory.</w:t>
      </w:r>
    </w:p>
    <w:p w14:paraId="2A6C60E3" w14:textId="5AA7021E" w:rsidR="00F61793" w:rsidRPr="00D82AC4" w:rsidRDefault="00F61793" w:rsidP="00F61793">
      <w:pPr>
        <w:pStyle w:val="VRGFBulletedlist"/>
        <w:rPr>
          <w:rFonts w:eastAsia="MS Mincho"/>
          <w:lang w:eastAsia="ja-JP"/>
        </w:rPr>
      </w:pPr>
      <w:r>
        <w:rPr>
          <w:rFonts w:eastAsia="MS Mincho"/>
          <w:lang w:eastAsia="ja-JP"/>
        </w:rPr>
        <w:t>T</w:t>
      </w:r>
      <w:r w:rsidRPr="00D82AC4">
        <w:rPr>
          <w:rFonts w:eastAsia="MS Mincho"/>
          <w:lang w:eastAsia="ja-JP"/>
        </w:rPr>
        <w:t>raditionally attach HRQL weights (the morbidity component of a HALY) to decrements in physical functioning caused by the disease, rather than the diseases themselves</w:t>
      </w:r>
      <w:r w:rsidR="00B40FF8">
        <w:rPr>
          <w:rFonts w:eastAsia="MS Mincho"/>
          <w:lang w:eastAsia="ja-JP"/>
        </w:rPr>
        <w:t>.</w:t>
      </w:r>
      <w:r w:rsidR="008610D3">
        <w:rPr>
          <w:rFonts w:eastAsia="MS Mincho"/>
          <w:lang w:eastAsia="ja-JP"/>
        </w:rPr>
        <w:t xml:space="preserve"> </w:t>
      </w:r>
      <w:r w:rsidRPr="00D82AC4">
        <w:rPr>
          <w:rFonts w:eastAsia="MS Mincho"/>
          <w:lang w:eastAsia="ja-JP"/>
        </w:rPr>
        <w:t>This is done indirectly, by assessing the condition using generic measures.</w:t>
      </w:r>
    </w:p>
    <w:p w14:paraId="1ACDA49B" w14:textId="7EAD0576" w:rsidR="00F61793" w:rsidRPr="00D82AC4" w:rsidRDefault="00F61793" w:rsidP="00F61793">
      <w:pPr>
        <w:pStyle w:val="VRGFBulletedlist"/>
        <w:rPr>
          <w:rFonts w:eastAsia="MS Mincho"/>
          <w:lang w:eastAsia="ja-JP"/>
        </w:rPr>
      </w:pPr>
      <w:r w:rsidRPr="00D82AC4">
        <w:rPr>
          <w:rFonts w:eastAsia="MS Mincho"/>
          <w:lang w:eastAsia="ja-JP"/>
        </w:rPr>
        <w:t>Are calculated so that a score of zero represents death and a score of</w:t>
      </w:r>
      <w:r>
        <w:rPr>
          <w:rFonts w:eastAsia="MS Mincho"/>
          <w:lang w:eastAsia="ja-JP"/>
        </w:rPr>
        <w:t xml:space="preserve"> one</w:t>
      </w:r>
      <w:r w:rsidRPr="00D82AC4">
        <w:rPr>
          <w:rFonts w:eastAsia="MS Mincho"/>
          <w:lang w:eastAsia="ja-JP"/>
        </w:rPr>
        <w:t xml:space="preserve"> represents ideal health</w:t>
      </w:r>
      <w:r w:rsidR="00B40FF8">
        <w:rPr>
          <w:rFonts w:eastAsia="MS Mincho"/>
          <w:lang w:eastAsia="ja-JP"/>
        </w:rPr>
        <w:t>.</w:t>
      </w:r>
      <w:r w:rsidR="008610D3">
        <w:rPr>
          <w:rFonts w:eastAsia="MS Mincho"/>
          <w:lang w:eastAsia="ja-JP"/>
        </w:rPr>
        <w:t xml:space="preserve"> </w:t>
      </w:r>
      <w:r w:rsidRPr="00D82AC4">
        <w:rPr>
          <w:rFonts w:eastAsia="MS Mincho"/>
          <w:lang w:eastAsia="ja-JP"/>
        </w:rPr>
        <w:t>Therefore, the QALY measures the equivalent healthy years lived wi</w:t>
      </w:r>
      <w:r>
        <w:rPr>
          <w:rFonts w:eastAsia="MS Mincho"/>
          <w:lang w:eastAsia="ja-JP"/>
        </w:rPr>
        <w:t>thout the disease or condition.</w:t>
      </w:r>
    </w:p>
    <w:p w14:paraId="5E30945D" w14:textId="5C328028" w:rsidR="00F61793" w:rsidRPr="00C56CCA" w:rsidRDefault="00191866" w:rsidP="00191866">
      <w:pPr>
        <w:pStyle w:val="VRGFHead5"/>
      </w:pPr>
      <w:r>
        <w:t>DALYs</w:t>
      </w:r>
    </w:p>
    <w:p w14:paraId="08B8AD9F" w14:textId="597C1A4D" w:rsidR="00F61793" w:rsidRPr="00D82AC4" w:rsidRDefault="00F61793" w:rsidP="00F61793">
      <w:pPr>
        <w:pStyle w:val="VRGFBulletedlist"/>
        <w:rPr>
          <w:rFonts w:eastAsia="MS Mincho"/>
        </w:rPr>
      </w:pPr>
      <w:r w:rsidRPr="00D82AC4">
        <w:rPr>
          <w:rFonts w:eastAsia="MS Mincho"/>
        </w:rPr>
        <w:t>Were originally c</w:t>
      </w:r>
      <w:r>
        <w:rPr>
          <w:rFonts w:eastAsia="MS Mincho"/>
        </w:rPr>
        <w:t>onceptualised by Murray and Lopez</w:t>
      </w:r>
      <w:r w:rsidRPr="00D82AC4">
        <w:rPr>
          <w:rFonts w:eastAsia="MS Mincho"/>
        </w:rPr>
        <w:t xml:space="preserve"> (1996) </w:t>
      </w:r>
      <w:r w:rsidR="00AA6DA7">
        <w:rPr>
          <w:rFonts w:eastAsia="MS Mincho"/>
        </w:rPr>
        <w:t>to</w:t>
      </w:r>
      <w:r w:rsidRPr="00D82AC4">
        <w:rPr>
          <w:rFonts w:eastAsia="MS Mincho"/>
        </w:rPr>
        <w:t xml:space="preserve"> captur</w:t>
      </w:r>
      <w:r w:rsidR="00AA6DA7">
        <w:rPr>
          <w:rFonts w:eastAsia="MS Mincho"/>
        </w:rPr>
        <w:t>e</w:t>
      </w:r>
      <w:r w:rsidRPr="00D82AC4">
        <w:rPr>
          <w:rFonts w:eastAsia="MS Mincho"/>
        </w:rPr>
        <w:t xml:space="preserve"> the gap between a population’s experience of health and a hypothetical ideal of health</w:t>
      </w:r>
      <w:r w:rsidR="00B40FF8">
        <w:rPr>
          <w:rFonts w:eastAsia="MS Mincho"/>
        </w:rPr>
        <w:t>.</w:t>
      </w:r>
      <w:r w:rsidR="008610D3">
        <w:rPr>
          <w:rFonts w:eastAsia="MS Mincho"/>
        </w:rPr>
        <w:t xml:space="preserve"> </w:t>
      </w:r>
      <w:r w:rsidRPr="00D82AC4">
        <w:rPr>
          <w:rFonts w:eastAsia="MS Mincho"/>
        </w:rPr>
        <w:t>The focus and purpose of the DALY reflects the health and medical demography background of its developers in terms of the aspects of health it values</w:t>
      </w:r>
      <w:r w:rsidR="00B40FF8">
        <w:rPr>
          <w:rFonts w:eastAsia="MS Mincho"/>
        </w:rPr>
        <w:t>.</w:t>
      </w:r>
      <w:r w:rsidR="008610D3">
        <w:rPr>
          <w:rFonts w:eastAsia="MS Mincho"/>
        </w:rPr>
        <w:t xml:space="preserve"> </w:t>
      </w:r>
      <w:r w:rsidRPr="00D82AC4">
        <w:rPr>
          <w:rFonts w:eastAsia="MS Mincho"/>
        </w:rPr>
        <w:t>In particular, these measures were originally envisioned to capture aspects of physical health and suffering.</w:t>
      </w:r>
    </w:p>
    <w:p w14:paraId="2FE96D93" w14:textId="77777777" w:rsidR="00F61793" w:rsidRPr="00D82AC4" w:rsidRDefault="00F61793" w:rsidP="00F61793">
      <w:pPr>
        <w:pStyle w:val="VRGFBulletedlist"/>
        <w:rPr>
          <w:rFonts w:eastAsia="MS Mincho"/>
        </w:rPr>
      </w:pPr>
      <w:r w:rsidRPr="00D82AC4">
        <w:rPr>
          <w:rFonts w:eastAsia="MS Mincho"/>
        </w:rPr>
        <w:t xml:space="preserve">Tend to attach the HRQL directly to the diseases rather than to the individual health states. </w:t>
      </w:r>
    </w:p>
    <w:p w14:paraId="291D7ED0" w14:textId="5CF434D9" w:rsidR="00F61793" w:rsidRPr="00915B59" w:rsidRDefault="00F61793" w:rsidP="00F61793">
      <w:pPr>
        <w:pStyle w:val="VRGFBulletedlist"/>
        <w:rPr>
          <w:rFonts w:eastAsia="MS Mincho"/>
        </w:rPr>
      </w:pPr>
      <w:r w:rsidRPr="00D82AC4">
        <w:rPr>
          <w:rFonts w:eastAsia="MS Mincho"/>
        </w:rPr>
        <w:t>Are calculated so that zero is equivalent to no disability (perfect health) and one is death</w:t>
      </w:r>
      <w:r w:rsidR="00B40FF8">
        <w:rPr>
          <w:rFonts w:eastAsia="MS Mincho"/>
        </w:rPr>
        <w:t>.</w:t>
      </w:r>
      <w:r w:rsidR="008610D3">
        <w:rPr>
          <w:rFonts w:eastAsia="MS Mincho"/>
        </w:rPr>
        <w:t xml:space="preserve"> </w:t>
      </w:r>
      <w:r w:rsidRPr="00D82AC4">
        <w:rPr>
          <w:rFonts w:eastAsia="MS Mincho"/>
        </w:rPr>
        <w:t>Therefore</w:t>
      </w:r>
      <w:r w:rsidR="00AA6DA7">
        <w:rPr>
          <w:rFonts w:eastAsia="MS Mincho"/>
        </w:rPr>
        <w:t>,</w:t>
      </w:r>
      <w:r w:rsidRPr="00D82AC4">
        <w:rPr>
          <w:rFonts w:eastAsia="MS Mincho"/>
        </w:rPr>
        <w:t xml:space="preserve"> a DALY measures the loss of health due to infirmity</w:t>
      </w:r>
      <w:r>
        <w:rPr>
          <w:rFonts w:eastAsia="MS Mincho"/>
        </w:rPr>
        <w:t>.</w:t>
      </w:r>
    </w:p>
    <w:p w14:paraId="6B96C64E" w14:textId="6BD468DB" w:rsidR="00F61793" w:rsidRDefault="00F61793" w:rsidP="00F61793">
      <w:pPr>
        <w:pStyle w:val="VRGFBodycontent"/>
        <w:rPr>
          <w:rFonts w:eastAsia="MS Mincho"/>
        </w:rPr>
      </w:pPr>
      <w:r w:rsidRPr="00D82AC4">
        <w:rPr>
          <w:rFonts w:eastAsia="MS Mincho"/>
        </w:rPr>
        <w:t>Both DALY and QALY measures necessarily assum</w:t>
      </w:r>
      <w:r>
        <w:rPr>
          <w:rFonts w:eastAsia="MS Mincho"/>
        </w:rPr>
        <w:t>e</w:t>
      </w:r>
      <w:r w:rsidRPr="00D82AC4">
        <w:rPr>
          <w:rFonts w:eastAsia="MS Mincho"/>
        </w:rPr>
        <w:t xml:space="preserve"> an “average” burden for a disease state or health condition that varies between individuals but is</w:t>
      </w:r>
      <w:r w:rsidR="00AA6DA7">
        <w:rPr>
          <w:rFonts w:eastAsia="MS Mincho"/>
        </w:rPr>
        <w:t>,</w:t>
      </w:r>
      <w:r w:rsidRPr="00D82AC4">
        <w:rPr>
          <w:rFonts w:eastAsia="MS Mincho"/>
        </w:rPr>
        <w:t xml:space="preserve"> nevertheless</w:t>
      </w:r>
      <w:r w:rsidR="00AA6DA7">
        <w:rPr>
          <w:rFonts w:eastAsia="MS Mincho"/>
        </w:rPr>
        <w:t>,</w:t>
      </w:r>
      <w:r w:rsidRPr="00D82AC4">
        <w:rPr>
          <w:rFonts w:eastAsia="MS Mincho"/>
        </w:rPr>
        <w:t xml:space="preserve"> accurate when summed across the population.</w:t>
      </w:r>
    </w:p>
    <w:p w14:paraId="124288E3" w14:textId="77777777" w:rsidR="00F61793" w:rsidRPr="00D82AC4" w:rsidRDefault="00F61793" w:rsidP="00F61793">
      <w:pPr>
        <w:pStyle w:val="VRGFBodycontent"/>
        <w:rPr>
          <w:rFonts w:eastAsia="MS Mincho"/>
        </w:rPr>
      </w:pPr>
    </w:p>
    <w:p w14:paraId="1D8A2B55" w14:textId="5F1A0054" w:rsidR="00F61793" w:rsidRPr="00D302D0" w:rsidRDefault="00F61793" w:rsidP="00191866">
      <w:pPr>
        <w:pStyle w:val="VRGFHead3"/>
      </w:pPr>
      <w:bookmarkStart w:id="240" w:name="_Toc462738052"/>
      <w:r w:rsidRPr="00D302D0">
        <w:t>Measuring H</w:t>
      </w:r>
      <w:r w:rsidR="007E0ED1">
        <w:t>R</w:t>
      </w:r>
      <w:r w:rsidRPr="00D302D0">
        <w:t>QL</w:t>
      </w:r>
      <w:bookmarkEnd w:id="240"/>
    </w:p>
    <w:p w14:paraId="58AD1E90" w14:textId="0BFBC66B" w:rsidR="00F61793" w:rsidRDefault="00F61793" w:rsidP="00F61793">
      <w:pPr>
        <w:pStyle w:val="VRGFBodycontent"/>
        <w:rPr>
          <w:rFonts w:eastAsia="MS Mincho"/>
        </w:rPr>
      </w:pPr>
      <w:r w:rsidRPr="00D82AC4">
        <w:rPr>
          <w:rFonts w:eastAsia="MS Mincho"/>
        </w:rPr>
        <w:t xml:space="preserve">Two main components are required for measuring HRQL, which we </w:t>
      </w:r>
      <w:r w:rsidR="0012726B">
        <w:rPr>
          <w:rFonts w:eastAsia="MS Mincho"/>
        </w:rPr>
        <w:t>have</w:t>
      </w:r>
      <w:r w:rsidR="0012726B" w:rsidRPr="00D82AC4">
        <w:rPr>
          <w:rFonts w:eastAsia="MS Mincho"/>
        </w:rPr>
        <w:t xml:space="preserve"> </w:t>
      </w:r>
      <w:r w:rsidRPr="00D82AC4">
        <w:rPr>
          <w:rFonts w:eastAsia="MS Mincho"/>
        </w:rPr>
        <w:t>appl</w:t>
      </w:r>
      <w:r w:rsidR="0012726B">
        <w:rPr>
          <w:rFonts w:eastAsia="MS Mincho"/>
        </w:rPr>
        <w:t>ied</w:t>
      </w:r>
      <w:r w:rsidRPr="00D82AC4">
        <w:rPr>
          <w:rFonts w:eastAsia="MS Mincho"/>
        </w:rPr>
        <w:t xml:space="preserve"> to assessing gambling harm</w:t>
      </w:r>
      <w:r w:rsidR="00B40FF8">
        <w:rPr>
          <w:rFonts w:eastAsia="MS Mincho"/>
        </w:rPr>
        <w:t>.</w:t>
      </w:r>
      <w:r w:rsidR="008610D3">
        <w:rPr>
          <w:rFonts w:eastAsia="MS Mincho"/>
        </w:rPr>
        <w:t xml:space="preserve"> </w:t>
      </w:r>
      <w:r w:rsidRPr="00D82AC4">
        <w:rPr>
          <w:rFonts w:eastAsia="MS Mincho"/>
        </w:rPr>
        <w:t>The first component is the definition and description of a set of health states of interest, along with establishing an appropriate reference point</w:t>
      </w:r>
      <w:r>
        <w:rPr>
          <w:rFonts w:eastAsia="MS Mincho"/>
        </w:rPr>
        <w:t xml:space="preserve"> that is free from harms arising from the condition</w:t>
      </w:r>
      <w:r w:rsidR="00B40FF8">
        <w:rPr>
          <w:rFonts w:eastAsia="MS Mincho"/>
        </w:rPr>
        <w:t>.</w:t>
      </w:r>
      <w:r w:rsidR="008610D3">
        <w:rPr>
          <w:rFonts w:eastAsia="MS Mincho"/>
        </w:rPr>
        <w:t xml:space="preserve"> </w:t>
      </w:r>
      <w:r w:rsidRPr="00D82AC4">
        <w:rPr>
          <w:rFonts w:eastAsia="MS Mincho"/>
        </w:rPr>
        <w:t>The second component involves elicitation and estimation of valuations of the health states</w:t>
      </w:r>
      <w:r>
        <w:rPr>
          <w:rFonts w:eastAsia="MS Mincho"/>
        </w:rPr>
        <w:t xml:space="preserve"> corresponding to these health </w:t>
      </w:r>
      <w:r w:rsidR="00D351D5">
        <w:rPr>
          <w:rFonts w:eastAsia="MS Mincho"/>
        </w:rPr>
        <w:t>conditions</w:t>
      </w:r>
      <w:r>
        <w:rPr>
          <w:rFonts w:eastAsia="MS Mincho"/>
        </w:rPr>
        <w:t>,</w:t>
      </w:r>
      <w:r w:rsidRPr="00D82AC4">
        <w:rPr>
          <w:rFonts w:eastAsia="MS Mincho"/>
        </w:rPr>
        <w:t xml:space="preserve"> so as to permit estimation of </w:t>
      </w:r>
      <w:r w:rsidR="002D225F">
        <w:rPr>
          <w:rFonts w:eastAsia="MS Mincho"/>
        </w:rPr>
        <w:t xml:space="preserve">health state </w:t>
      </w:r>
      <w:r w:rsidRPr="00D82AC4">
        <w:rPr>
          <w:rFonts w:eastAsia="MS Mincho"/>
        </w:rPr>
        <w:t xml:space="preserve">utilities on the [0,1] </w:t>
      </w:r>
      <w:r w:rsidR="002D225F">
        <w:rPr>
          <w:rFonts w:eastAsia="MS Mincho"/>
        </w:rPr>
        <w:t xml:space="preserve">cardinal </w:t>
      </w:r>
      <w:r w:rsidRPr="00D82AC4">
        <w:rPr>
          <w:rFonts w:eastAsia="MS Mincho"/>
        </w:rPr>
        <w:t>scale.</w:t>
      </w:r>
    </w:p>
    <w:p w14:paraId="047A6D7B" w14:textId="77777777" w:rsidR="00F61793" w:rsidRPr="00D82AC4" w:rsidRDefault="00F61793" w:rsidP="00F61793">
      <w:pPr>
        <w:pStyle w:val="VRGFBodycontent"/>
        <w:rPr>
          <w:rFonts w:eastAsia="MS Mincho"/>
        </w:rPr>
      </w:pPr>
    </w:p>
    <w:p w14:paraId="67C6C220" w14:textId="25C63DDB" w:rsidR="00F61793" w:rsidRPr="00D82AC4" w:rsidRDefault="00F61793" w:rsidP="00191866">
      <w:pPr>
        <w:pStyle w:val="VRGFHead4"/>
      </w:pPr>
      <w:r w:rsidRPr="00D302D0">
        <w:lastRenderedPageBreak/>
        <w:t>Condition descriptions</w:t>
      </w:r>
    </w:p>
    <w:p w14:paraId="09363CE7" w14:textId="1D8ED35F" w:rsidR="00F61793" w:rsidRPr="00D82AC4" w:rsidRDefault="00F61793" w:rsidP="00F61793">
      <w:pPr>
        <w:pStyle w:val="VRGFBodycontent"/>
        <w:rPr>
          <w:rFonts w:eastAsia="MS Mincho"/>
        </w:rPr>
      </w:pPr>
      <w:r w:rsidRPr="00D82AC4">
        <w:rPr>
          <w:rFonts w:eastAsia="MS Mincho"/>
        </w:rPr>
        <w:t>Standard health state valuation protocols require stimuli in the form of a description of the sequelae, i.e. a concise description of the condition to be evaluated</w:t>
      </w:r>
      <w:r w:rsidR="00B40FF8">
        <w:rPr>
          <w:rFonts w:eastAsia="MS Mincho"/>
        </w:rPr>
        <w:t>.</w:t>
      </w:r>
      <w:r w:rsidR="008610D3">
        <w:rPr>
          <w:rFonts w:eastAsia="MS Mincho"/>
        </w:rPr>
        <w:t xml:space="preserve"> </w:t>
      </w:r>
      <w:r w:rsidRPr="00D82AC4">
        <w:rPr>
          <w:rFonts w:eastAsia="MS Mincho"/>
        </w:rPr>
        <w:t>In standard evaluations of health-related conditions, many conditions are treated as binary in character; that is, one is understood to either have the condition or not</w:t>
      </w:r>
      <w:r w:rsidR="00B40FF8">
        <w:rPr>
          <w:rFonts w:eastAsia="MS Mincho"/>
        </w:rPr>
        <w:t>.</w:t>
      </w:r>
      <w:r w:rsidR="008610D3">
        <w:rPr>
          <w:rFonts w:eastAsia="MS Mincho"/>
        </w:rPr>
        <w:t xml:space="preserve"> </w:t>
      </w:r>
      <w:r w:rsidRPr="00D82AC4">
        <w:rPr>
          <w:rFonts w:eastAsia="MS Mincho"/>
        </w:rPr>
        <w:t xml:space="preserve">For example, the condition ‘Amphetamine dependence’ is described </w:t>
      </w:r>
      <w:r>
        <w:rPr>
          <w:rFonts w:eastAsia="MS Mincho"/>
        </w:rPr>
        <w:t>as</w:t>
      </w:r>
      <w:r w:rsidRPr="00D82AC4">
        <w:rPr>
          <w:rFonts w:eastAsia="MS Mincho"/>
        </w:rPr>
        <w:t>:</w:t>
      </w:r>
    </w:p>
    <w:p w14:paraId="00CB0E43" w14:textId="0AFDCFF1" w:rsidR="00F61793" w:rsidRPr="00D82AC4" w:rsidRDefault="00F61793" w:rsidP="00F61793">
      <w:pPr>
        <w:pStyle w:val="Quote"/>
        <w:rPr>
          <w:rFonts w:eastAsia="MS Mincho"/>
        </w:rPr>
      </w:pPr>
      <w:r w:rsidRPr="00D82AC4">
        <w:rPr>
          <w:rFonts w:eastAsia="MS Mincho"/>
        </w:rPr>
        <w:t>“Uses stimulants (drugs) and has difficulty controlling the habit</w:t>
      </w:r>
      <w:r w:rsidR="00577AC5">
        <w:rPr>
          <w:rFonts w:eastAsia="MS Mincho"/>
        </w:rPr>
        <w:t>.</w:t>
      </w:r>
      <w:r w:rsidR="008610D3">
        <w:rPr>
          <w:rFonts w:eastAsia="MS Mincho"/>
        </w:rPr>
        <w:t xml:space="preserve"> </w:t>
      </w:r>
      <w:r w:rsidRPr="00D82AC4">
        <w:rPr>
          <w:rFonts w:eastAsia="MS Mincho"/>
        </w:rPr>
        <w:t>The person sometimes has depression, hallucinations and mood swings, and has difficulty in daily activities.”</w:t>
      </w:r>
    </w:p>
    <w:p w14:paraId="08EED77E" w14:textId="77777777" w:rsidR="00F61793" w:rsidRDefault="00F61793" w:rsidP="00F61793">
      <w:pPr>
        <w:tabs>
          <w:tab w:val="clear" w:pos="426"/>
        </w:tabs>
        <w:spacing w:before="0" w:after="0" w:line="240" w:lineRule="auto"/>
        <w:ind w:left="567" w:right="0"/>
        <w:jc w:val="right"/>
        <w:rPr>
          <w:rFonts w:eastAsia="MS Mincho" w:cs="Arial"/>
          <w:szCs w:val="20"/>
        </w:rPr>
      </w:pPr>
      <w:r w:rsidRPr="00D82AC4">
        <w:rPr>
          <w:rFonts w:eastAsia="MS Mincho" w:cs="Arial"/>
          <w:szCs w:val="20"/>
        </w:rPr>
        <w:t>(Salomon et al</w:t>
      </w:r>
      <w:r>
        <w:rPr>
          <w:rFonts w:eastAsia="MS Mincho" w:cs="Arial"/>
          <w:szCs w:val="20"/>
        </w:rPr>
        <w:t>.</w:t>
      </w:r>
      <w:r w:rsidRPr="00D82AC4">
        <w:rPr>
          <w:rFonts w:eastAsia="MS Mincho" w:cs="Arial"/>
          <w:szCs w:val="20"/>
        </w:rPr>
        <w:t>, 2013)</w:t>
      </w:r>
    </w:p>
    <w:p w14:paraId="4DCDA443" w14:textId="77777777" w:rsidR="00F61793" w:rsidRPr="00D82AC4" w:rsidRDefault="00F61793" w:rsidP="00F61793">
      <w:pPr>
        <w:tabs>
          <w:tab w:val="clear" w:pos="426"/>
        </w:tabs>
        <w:spacing w:before="0" w:after="0" w:line="240" w:lineRule="auto"/>
        <w:ind w:left="567" w:right="0"/>
        <w:jc w:val="right"/>
        <w:rPr>
          <w:rFonts w:eastAsia="MS Mincho" w:cs="Arial"/>
          <w:szCs w:val="20"/>
        </w:rPr>
      </w:pPr>
    </w:p>
    <w:p w14:paraId="6523791D" w14:textId="3134B7D5" w:rsidR="00F61793" w:rsidRPr="00D82AC4" w:rsidRDefault="00F61793" w:rsidP="00F61793">
      <w:pPr>
        <w:pStyle w:val="VRGFBodycontent"/>
        <w:rPr>
          <w:rFonts w:eastAsia="MS Mincho"/>
        </w:rPr>
      </w:pPr>
      <w:r w:rsidRPr="00D82AC4">
        <w:rPr>
          <w:rFonts w:eastAsia="MS Mincho"/>
        </w:rPr>
        <w:t xml:space="preserve">Other conditions, such as alcohol use disorder, are treated using several (e.g. </w:t>
      </w:r>
      <w:r w:rsidR="006D3506">
        <w:rPr>
          <w:rFonts w:eastAsia="MS Mincho"/>
        </w:rPr>
        <w:t>three</w:t>
      </w:r>
      <w:r w:rsidRPr="00D82AC4">
        <w:rPr>
          <w:rFonts w:eastAsia="MS Mincho"/>
        </w:rPr>
        <w:t>) standard condition descriptions</w:t>
      </w:r>
      <w:r w:rsidR="00577AC5">
        <w:rPr>
          <w:rFonts w:eastAsia="MS Mincho"/>
        </w:rPr>
        <w:t>.</w:t>
      </w:r>
      <w:r w:rsidR="008610D3">
        <w:rPr>
          <w:rFonts w:eastAsia="MS Mincho"/>
        </w:rPr>
        <w:t xml:space="preserve"> </w:t>
      </w:r>
      <w:r w:rsidRPr="00D82AC4">
        <w:rPr>
          <w:rFonts w:eastAsia="MS Mincho"/>
        </w:rPr>
        <w:t>The severe level of this condition is described as:</w:t>
      </w:r>
    </w:p>
    <w:p w14:paraId="1CEA3CBB" w14:textId="44472466" w:rsidR="00F61793" w:rsidRPr="00D82AC4" w:rsidRDefault="00F61793" w:rsidP="00F61793">
      <w:pPr>
        <w:pStyle w:val="Quote"/>
        <w:rPr>
          <w:rFonts w:eastAsia="MS Mincho"/>
        </w:rPr>
      </w:pPr>
      <w:r w:rsidRPr="00D82AC4">
        <w:rPr>
          <w:rFonts w:eastAsia="MS Mincho"/>
        </w:rPr>
        <w:t>“Gets drunk almost every day and is unable to control the urge to drink</w:t>
      </w:r>
      <w:r w:rsidR="00577AC5">
        <w:rPr>
          <w:rFonts w:eastAsia="MS Mincho"/>
        </w:rPr>
        <w:t>.</w:t>
      </w:r>
      <w:r w:rsidR="008610D3">
        <w:rPr>
          <w:rFonts w:eastAsia="MS Mincho"/>
        </w:rPr>
        <w:t xml:space="preserve"> </w:t>
      </w:r>
      <w:r w:rsidRPr="00D82AC4">
        <w:rPr>
          <w:rFonts w:eastAsia="MS Mincho"/>
        </w:rPr>
        <w:t>Drinking and recovering replaces most daily activities</w:t>
      </w:r>
      <w:r w:rsidR="00577AC5">
        <w:rPr>
          <w:rFonts w:eastAsia="MS Mincho"/>
        </w:rPr>
        <w:t>.</w:t>
      </w:r>
      <w:r w:rsidR="008610D3">
        <w:rPr>
          <w:rFonts w:eastAsia="MS Mincho"/>
        </w:rPr>
        <w:t xml:space="preserve"> </w:t>
      </w:r>
      <w:r w:rsidRPr="00D82AC4">
        <w:rPr>
          <w:rFonts w:eastAsia="MS Mincho"/>
        </w:rPr>
        <w:t>The person has difficulty thinking, remembering and communicating, and feels constant pain and fatigue.”</w:t>
      </w:r>
    </w:p>
    <w:p w14:paraId="61289AB0" w14:textId="77777777" w:rsidR="00F61793" w:rsidRDefault="00F61793" w:rsidP="00F61793">
      <w:pPr>
        <w:tabs>
          <w:tab w:val="clear" w:pos="426"/>
        </w:tabs>
        <w:spacing w:before="0" w:after="0" w:line="240" w:lineRule="auto"/>
        <w:ind w:left="567" w:right="0"/>
        <w:jc w:val="right"/>
        <w:rPr>
          <w:rFonts w:eastAsia="MS Mincho" w:cs="Arial"/>
          <w:szCs w:val="20"/>
        </w:rPr>
      </w:pPr>
      <w:r w:rsidRPr="00D82AC4">
        <w:rPr>
          <w:rFonts w:eastAsia="MS Mincho" w:cs="Arial"/>
          <w:szCs w:val="20"/>
        </w:rPr>
        <w:t>(Salomon et al</w:t>
      </w:r>
      <w:r>
        <w:rPr>
          <w:rFonts w:eastAsia="MS Mincho" w:cs="Arial"/>
          <w:szCs w:val="20"/>
        </w:rPr>
        <w:t>.</w:t>
      </w:r>
      <w:r w:rsidRPr="00D82AC4">
        <w:rPr>
          <w:rFonts w:eastAsia="MS Mincho" w:cs="Arial"/>
          <w:szCs w:val="20"/>
        </w:rPr>
        <w:t xml:space="preserve">, 2013) </w:t>
      </w:r>
    </w:p>
    <w:p w14:paraId="6DC33A16" w14:textId="77777777" w:rsidR="00F61793" w:rsidRPr="00D82AC4" w:rsidRDefault="00F61793" w:rsidP="00F61793">
      <w:pPr>
        <w:tabs>
          <w:tab w:val="clear" w:pos="426"/>
        </w:tabs>
        <w:spacing w:before="0" w:after="0" w:line="240" w:lineRule="auto"/>
        <w:ind w:left="567" w:right="0"/>
        <w:jc w:val="right"/>
        <w:rPr>
          <w:rFonts w:eastAsia="MS Mincho" w:cs="Arial"/>
          <w:szCs w:val="20"/>
        </w:rPr>
      </w:pPr>
    </w:p>
    <w:p w14:paraId="75984A43" w14:textId="1D750418" w:rsidR="00F61793" w:rsidRPr="00D82AC4" w:rsidRDefault="00F61793" w:rsidP="00F61793">
      <w:pPr>
        <w:pStyle w:val="VRGFBodycontent"/>
        <w:rPr>
          <w:rFonts w:eastAsia="MS Mincho"/>
        </w:rPr>
      </w:pPr>
      <w:r w:rsidRPr="002D225F">
        <w:rPr>
          <w:rFonts w:eastAsia="MS Mincho"/>
        </w:rPr>
        <w:t>This relatively simple approach to condition description is most appropriate when the condition is discrete and the symptoms are quite homogenous in the affected population</w:t>
      </w:r>
      <w:r w:rsidR="00577AC5" w:rsidRPr="002D225F">
        <w:rPr>
          <w:rFonts w:eastAsia="MS Mincho"/>
        </w:rPr>
        <w:t>.</w:t>
      </w:r>
      <w:r w:rsidR="008610D3" w:rsidRPr="002D225F">
        <w:rPr>
          <w:rFonts w:eastAsia="MS Mincho"/>
        </w:rPr>
        <w:t xml:space="preserve"> </w:t>
      </w:r>
      <w:r w:rsidRPr="002D225F">
        <w:rPr>
          <w:rFonts w:eastAsia="MS Mincho"/>
        </w:rPr>
        <w:t>However, it might be criticised when applied to gambling</w:t>
      </w:r>
      <w:r w:rsidR="00577AC5" w:rsidRPr="002D225F">
        <w:rPr>
          <w:rFonts w:eastAsia="MS Mincho"/>
        </w:rPr>
        <w:t>.</w:t>
      </w:r>
      <w:r w:rsidR="008610D3" w:rsidRPr="002D225F">
        <w:rPr>
          <w:rFonts w:eastAsia="MS Mincho"/>
        </w:rPr>
        <w:t xml:space="preserve"> </w:t>
      </w:r>
      <w:r w:rsidRPr="002D225F">
        <w:rPr>
          <w:rFonts w:eastAsia="MS Mincho"/>
        </w:rPr>
        <w:t>There is not a binary classification as ‘suffering from gambling harms’ or not, but rather a spectrum that increases, on average, with respect to gambling problems</w:t>
      </w:r>
      <w:r w:rsidR="00577AC5" w:rsidRPr="002D225F">
        <w:rPr>
          <w:rFonts w:eastAsia="MS Mincho"/>
        </w:rPr>
        <w:t>.</w:t>
      </w:r>
      <w:r w:rsidR="008610D3" w:rsidRPr="002D225F">
        <w:rPr>
          <w:rFonts w:eastAsia="MS Mincho"/>
        </w:rPr>
        <w:t xml:space="preserve"> </w:t>
      </w:r>
      <w:r w:rsidRPr="002D225F">
        <w:rPr>
          <w:rFonts w:eastAsia="MS Mincho"/>
        </w:rPr>
        <w:t xml:space="preserve">While disordered gambling can be defined in terms of the Diagnostic and Statistical Manual of Mental Disorders, fifth edition (DSM-5), the description does not exclusively rest on ‘harms’ but also other subjective experiences </w:t>
      </w:r>
      <w:r w:rsidRPr="00BA49F6">
        <w:rPr>
          <w:rFonts w:eastAsia="MS Mincho"/>
        </w:rPr>
        <w:t>such as #5</w:t>
      </w:r>
      <w:r w:rsidR="0012726B" w:rsidRPr="00BA49F6">
        <w:rPr>
          <w:rFonts w:eastAsia="MS Mincho"/>
        </w:rPr>
        <w:t>,</w:t>
      </w:r>
      <w:r w:rsidRPr="00BA49F6">
        <w:rPr>
          <w:rFonts w:eastAsia="MS Mincho"/>
        </w:rPr>
        <w:t xml:space="preserve"> ‘often gambles when feeling distressed’</w:t>
      </w:r>
      <w:r w:rsidR="00577AC5" w:rsidRPr="00BA49F6">
        <w:rPr>
          <w:rFonts w:eastAsia="MS Mincho"/>
        </w:rPr>
        <w:t>.</w:t>
      </w:r>
      <w:r w:rsidR="008610D3" w:rsidRPr="00BA49F6">
        <w:rPr>
          <w:rFonts w:eastAsia="MS Mincho"/>
        </w:rPr>
        <w:t xml:space="preserve"> </w:t>
      </w:r>
      <w:r w:rsidRPr="00BA49F6">
        <w:rPr>
          <w:rFonts w:eastAsia="MS Mincho"/>
        </w:rPr>
        <w:t>Whilst gambling disorders can be assessed in an interview using the DSM-5 (as an internationally agreed definition), the experience of harms occurring to people is not well described by the DSM-5 items</w:t>
      </w:r>
      <w:r w:rsidR="00577AC5" w:rsidRPr="00BA49F6">
        <w:rPr>
          <w:rFonts w:eastAsia="MS Mincho"/>
        </w:rPr>
        <w:t>.</w:t>
      </w:r>
      <w:r w:rsidR="008610D3" w:rsidRPr="00BA49F6">
        <w:rPr>
          <w:rFonts w:eastAsia="MS Mincho"/>
        </w:rPr>
        <w:t xml:space="preserve"> </w:t>
      </w:r>
      <w:r w:rsidRPr="00BA49F6">
        <w:rPr>
          <w:rFonts w:eastAsia="MS Mincho"/>
        </w:rPr>
        <w:t>A clearer harms-based description of the experience of gambling problems would appear to be needed to evaluate the decrement to quality of life from the experience of gambling problems</w:t>
      </w:r>
      <w:r w:rsidR="00577AC5" w:rsidRPr="00BA49F6">
        <w:rPr>
          <w:rFonts w:eastAsia="MS Mincho"/>
        </w:rPr>
        <w:t>.</w:t>
      </w:r>
      <w:r w:rsidR="008610D3" w:rsidRPr="00BA49F6">
        <w:rPr>
          <w:rFonts w:eastAsia="MS Mincho"/>
        </w:rPr>
        <w:t xml:space="preserve"> </w:t>
      </w:r>
      <w:r w:rsidRPr="00BA49F6">
        <w:rPr>
          <w:rFonts w:eastAsia="MS Mincho"/>
        </w:rPr>
        <w:t xml:space="preserve">Finally, data collected in the previous </w:t>
      </w:r>
      <w:r w:rsidR="0012726B" w:rsidRPr="00BA49F6">
        <w:rPr>
          <w:rFonts w:eastAsia="MS Mincho"/>
        </w:rPr>
        <w:t xml:space="preserve">phases </w:t>
      </w:r>
      <w:r w:rsidRPr="00BA49F6">
        <w:rPr>
          <w:rFonts w:eastAsia="MS Mincho"/>
        </w:rPr>
        <w:t>of this project confirm the research consensus that there is significant heterogeneity in the experience of gambling harms in the population, even given a fixed level of gambling problems</w:t>
      </w:r>
      <w:r w:rsidR="00577AC5" w:rsidRPr="00BA49F6">
        <w:rPr>
          <w:rFonts w:eastAsia="MS Mincho"/>
        </w:rPr>
        <w:t>.</w:t>
      </w:r>
      <w:r w:rsidR="008610D3" w:rsidRPr="00BA49F6">
        <w:rPr>
          <w:rFonts w:eastAsia="MS Mincho"/>
        </w:rPr>
        <w:t xml:space="preserve"> </w:t>
      </w:r>
      <w:r w:rsidRPr="00BA49F6">
        <w:rPr>
          <w:rFonts w:eastAsia="MS Mincho"/>
        </w:rPr>
        <w:t>If gambling problems and harms are assumed to be both diverse and dimensional (with respect to problems) in their occurrence</w:t>
      </w:r>
      <w:r w:rsidRPr="002D225F">
        <w:rPr>
          <w:rFonts w:eastAsia="MS Mincho"/>
        </w:rPr>
        <w:t xml:space="preserve"> in the population, then a less discrete approach to condition description is required</w:t>
      </w:r>
      <w:r w:rsidR="00577AC5" w:rsidRPr="002D225F">
        <w:rPr>
          <w:rFonts w:eastAsia="MS Mincho"/>
        </w:rPr>
        <w:t>.</w:t>
      </w:r>
      <w:r w:rsidR="008610D3" w:rsidRPr="002D225F">
        <w:rPr>
          <w:rFonts w:eastAsia="MS Mincho"/>
        </w:rPr>
        <w:t xml:space="preserve"> </w:t>
      </w:r>
      <w:r w:rsidRPr="002D225F">
        <w:rPr>
          <w:rFonts w:eastAsia="MS Mincho"/>
        </w:rPr>
        <w:t>There are several examples of such an approach in the literature</w:t>
      </w:r>
      <w:r w:rsidR="00577AC5" w:rsidRPr="002D225F">
        <w:rPr>
          <w:rFonts w:eastAsia="MS Mincho"/>
        </w:rPr>
        <w:t>.</w:t>
      </w:r>
      <w:r w:rsidR="008610D3" w:rsidRPr="002D225F">
        <w:rPr>
          <w:rFonts w:eastAsia="MS Mincho"/>
        </w:rPr>
        <w:t xml:space="preserve"> </w:t>
      </w:r>
      <w:r w:rsidRPr="002D225F">
        <w:rPr>
          <w:rFonts w:eastAsia="MS Mincho"/>
        </w:rPr>
        <w:t xml:space="preserve">One study evaluating the impact of cancer </w:t>
      </w:r>
      <w:r w:rsidR="0012726B" w:rsidRPr="002D225F">
        <w:rPr>
          <w:rFonts w:eastAsia="MS Mincho"/>
        </w:rPr>
        <w:t xml:space="preserve">(Llewellyn-Thomas et al., 1984) </w:t>
      </w:r>
      <w:r w:rsidRPr="002D225F">
        <w:rPr>
          <w:rFonts w:eastAsia="MS Mincho"/>
        </w:rPr>
        <w:t>interviewed 12 patients with a broad spectrum of symptoms and prepared a number of condition descriptions based on case studies.</w:t>
      </w:r>
      <w:r w:rsidRPr="00D82AC4">
        <w:rPr>
          <w:rFonts w:eastAsia="MS Mincho"/>
        </w:rPr>
        <w:t xml:space="preserve"> </w:t>
      </w:r>
    </w:p>
    <w:p w14:paraId="6E65D84F" w14:textId="77777777" w:rsidR="00F61793" w:rsidRPr="00D82AC4" w:rsidRDefault="00F61793" w:rsidP="00F61793">
      <w:pPr>
        <w:tabs>
          <w:tab w:val="clear" w:pos="426"/>
        </w:tabs>
        <w:spacing w:before="0" w:after="0" w:line="240" w:lineRule="auto"/>
        <w:ind w:left="567" w:right="0"/>
        <w:rPr>
          <w:rFonts w:eastAsia="MS Mincho" w:cs="Arial"/>
          <w:szCs w:val="20"/>
        </w:rPr>
      </w:pPr>
      <w:r w:rsidRPr="00D82AC4">
        <w:rPr>
          <w:rFonts w:eastAsia="MS Mincho" w:cs="Arial"/>
          <w:szCs w:val="20"/>
        </w:rPr>
        <w:t>For example:</w:t>
      </w:r>
    </w:p>
    <w:p w14:paraId="27F2167B" w14:textId="46337241" w:rsidR="00F61793" w:rsidRPr="00D82AC4" w:rsidRDefault="00F61793" w:rsidP="0005505C">
      <w:pPr>
        <w:pStyle w:val="Quote"/>
        <w:rPr>
          <w:rFonts w:eastAsia="MS Mincho" w:cs="Arial"/>
          <w:szCs w:val="20"/>
        </w:rPr>
      </w:pPr>
      <w:r w:rsidRPr="00D82AC4">
        <w:rPr>
          <w:rFonts w:eastAsia="MS Mincho"/>
        </w:rPr>
        <w:t>“… I am unable to work</w:t>
      </w:r>
      <w:r w:rsidR="00577AC5">
        <w:rPr>
          <w:rFonts w:eastAsia="MS Mincho"/>
        </w:rPr>
        <w:t>.</w:t>
      </w:r>
      <w:r w:rsidR="008610D3">
        <w:rPr>
          <w:rFonts w:eastAsia="MS Mincho"/>
        </w:rPr>
        <w:t xml:space="preserve"> </w:t>
      </w:r>
      <w:r w:rsidRPr="00D82AC4">
        <w:rPr>
          <w:rFonts w:eastAsia="MS Mincho"/>
        </w:rPr>
        <w:t>I am tired and sleep poorly due to discomfort in my back and arm</w:t>
      </w:r>
      <w:r w:rsidR="00577AC5">
        <w:rPr>
          <w:rFonts w:eastAsia="MS Mincho"/>
        </w:rPr>
        <w:t>.</w:t>
      </w:r>
      <w:r w:rsidR="008610D3">
        <w:rPr>
          <w:rFonts w:eastAsia="MS Mincho"/>
        </w:rPr>
        <w:t xml:space="preserve"> </w:t>
      </w:r>
      <w:r w:rsidRPr="00D82AC4">
        <w:rPr>
          <w:rFonts w:eastAsia="MS Mincho"/>
        </w:rPr>
        <w:t>I am worried about my health and finances</w:t>
      </w:r>
      <w:r w:rsidR="00577AC5">
        <w:rPr>
          <w:rFonts w:eastAsia="MS Mincho"/>
        </w:rPr>
        <w:t>.</w:t>
      </w:r>
      <w:r w:rsidR="008610D3">
        <w:rPr>
          <w:rFonts w:eastAsia="MS Mincho"/>
        </w:rPr>
        <w:t xml:space="preserve"> </w:t>
      </w:r>
      <w:r w:rsidRPr="00D82AC4">
        <w:rPr>
          <w:rFonts w:eastAsia="MS Mincho"/>
        </w:rPr>
        <w:t>I am able to drive my car and I make an effort to walk about my neighbourhood.”</w:t>
      </w:r>
      <w:r w:rsidR="0005505C">
        <w:rPr>
          <w:rFonts w:eastAsia="MS Mincho"/>
        </w:rPr>
        <w:t xml:space="preserve"> </w:t>
      </w:r>
      <w:r w:rsidRPr="0005505C">
        <w:rPr>
          <w:rFonts w:eastAsia="MS Mincho" w:cs="Arial"/>
          <w:i w:val="0"/>
          <w:szCs w:val="20"/>
        </w:rPr>
        <w:t>(Case A)</w:t>
      </w:r>
    </w:p>
    <w:p w14:paraId="1685EDA5" w14:textId="196D01E1" w:rsidR="00F61793" w:rsidRDefault="00F61793" w:rsidP="0005505C">
      <w:pPr>
        <w:pStyle w:val="Quote"/>
        <w:rPr>
          <w:rFonts w:eastAsia="MS Mincho" w:cs="Arial"/>
          <w:szCs w:val="20"/>
        </w:rPr>
      </w:pPr>
      <w:r w:rsidRPr="00D82AC4">
        <w:rPr>
          <w:rFonts w:eastAsia="MS Mincho"/>
        </w:rPr>
        <w:t>“… I have been tired and weak and unable to work</w:t>
      </w:r>
      <w:r w:rsidR="00577AC5">
        <w:rPr>
          <w:rFonts w:eastAsia="MS Mincho"/>
        </w:rPr>
        <w:t>.</w:t>
      </w:r>
      <w:r w:rsidR="008610D3">
        <w:rPr>
          <w:rFonts w:eastAsia="MS Mincho"/>
        </w:rPr>
        <w:t xml:space="preserve"> </w:t>
      </w:r>
      <w:r w:rsidRPr="00D82AC4">
        <w:rPr>
          <w:rFonts w:eastAsia="MS Mincho"/>
        </w:rPr>
        <w:t>I have lost 15 pounds in weight</w:t>
      </w:r>
      <w:r w:rsidR="00577AC5">
        <w:rPr>
          <w:rFonts w:eastAsia="MS Mincho"/>
        </w:rPr>
        <w:t>.</w:t>
      </w:r>
      <w:r w:rsidR="008610D3">
        <w:rPr>
          <w:rFonts w:eastAsia="MS Mincho"/>
        </w:rPr>
        <w:t xml:space="preserve"> </w:t>
      </w:r>
      <w:r w:rsidRPr="00D82AC4">
        <w:rPr>
          <w:rFonts w:eastAsia="MS Mincho"/>
        </w:rPr>
        <w:t>I walk slowly, and travel outside the house is difficult</w:t>
      </w:r>
      <w:r w:rsidR="00577AC5">
        <w:rPr>
          <w:rFonts w:eastAsia="MS Mincho"/>
        </w:rPr>
        <w:t>.</w:t>
      </w:r>
      <w:r w:rsidR="008610D3">
        <w:rPr>
          <w:rFonts w:eastAsia="MS Mincho"/>
        </w:rPr>
        <w:t xml:space="preserve"> </w:t>
      </w:r>
      <w:r w:rsidRPr="00D82AC4">
        <w:rPr>
          <w:rFonts w:eastAsia="MS Mincho"/>
        </w:rPr>
        <w:t>Much of the day I am alone, lying down in my bedroom</w:t>
      </w:r>
      <w:r w:rsidR="00577AC5">
        <w:rPr>
          <w:rFonts w:eastAsia="MS Mincho"/>
        </w:rPr>
        <w:t>.</w:t>
      </w:r>
      <w:r w:rsidR="008610D3">
        <w:rPr>
          <w:rFonts w:eastAsia="MS Mincho"/>
        </w:rPr>
        <w:t xml:space="preserve"> </w:t>
      </w:r>
      <w:r w:rsidRPr="00D82AC4">
        <w:rPr>
          <w:rFonts w:eastAsia="MS Mincho"/>
        </w:rPr>
        <w:t>Social contact with my friends is reduced.”</w:t>
      </w:r>
      <w:r w:rsidR="0005505C">
        <w:rPr>
          <w:rFonts w:eastAsia="MS Mincho"/>
        </w:rPr>
        <w:t xml:space="preserve"> </w:t>
      </w:r>
      <w:r w:rsidRPr="0005505C">
        <w:rPr>
          <w:rFonts w:eastAsia="MS Mincho" w:cs="Arial"/>
          <w:i w:val="0"/>
          <w:szCs w:val="20"/>
        </w:rPr>
        <w:t>(Case D)</w:t>
      </w:r>
    </w:p>
    <w:p w14:paraId="6B538264" w14:textId="114B9372" w:rsidR="00F61793" w:rsidRPr="004214D3" w:rsidRDefault="00F61793" w:rsidP="00F61793">
      <w:pPr>
        <w:pStyle w:val="VRGFBodycontent"/>
        <w:rPr>
          <w:rFonts w:eastAsia="MS Mincho"/>
        </w:rPr>
      </w:pPr>
      <w:r w:rsidRPr="004214D3">
        <w:rPr>
          <w:rFonts w:eastAsia="MS Mincho"/>
        </w:rPr>
        <w:lastRenderedPageBreak/>
        <w:t>These condition descriptions were assumed to provide a fair coverage of the experience of having cancer and then employed for the purpose of direct elicitation of health utilities</w:t>
      </w:r>
      <w:r w:rsidR="00577AC5" w:rsidRPr="004214D3">
        <w:rPr>
          <w:rFonts w:eastAsia="MS Mincho"/>
        </w:rPr>
        <w:t>.</w:t>
      </w:r>
      <w:r w:rsidR="008610D3" w:rsidRPr="004214D3">
        <w:rPr>
          <w:rFonts w:eastAsia="MS Mincho"/>
        </w:rPr>
        <w:t xml:space="preserve"> </w:t>
      </w:r>
      <w:r w:rsidRPr="004214D3">
        <w:rPr>
          <w:rFonts w:eastAsia="MS Mincho"/>
        </w:rPr>
        <w:t>The final utility estimate was an aggregate of elicitations of all 12 condition descriptions.</w:t>
      </w:r>
    </w:p>
    <w:p w14:paraId="7DBE1BA1" w14:textId="03BF3C05" w:rsidR="00F61793" w:rsidRDefault="00F61793" w:rsidP="00F61793">
      <w:pPr>
        <w:pStyle w:val="VRGFBodycontent"/>
        <w:rPr>
          <w:rFonts w:eastAsia="MS Mincho"/>
        </w:rPr>
      </w:pPr>
      <w:r w:rsidRPr="004214D3">
        <w:rPr>
          <w:rFonts w:eastAsia="MS Mincho"/>
        </w:rPr>
        <w:t>The use of condition</w:t>
      </w:r>
      <w:r w:rsidRPr="00D82AC4">
        <w:rPr>
          <w:rFonts w:eastAsia="MS Mincho"/>
        </w:rPr>
        <w:t xml:space="preserve"> descriptions (or vignettes) is a common method for describing conditions for subsequent direct or indirect evaluation (e.g. Bennett, Torrance, Boyle, Guscott, &amp; Moran, 2000; Bennett, Torrance, </w:t>
      </w:r>
      <w:r w:rsidRPr="00BA49F6">
        <w:rPr>
          <w:rFonts w:eastAsia="MS Mincho"/>
        </w:rPr>
        <w:t>Moran, Smith, &amp; Goldsmith, 1997)</w:t>
      </w:r>
      <w:r w:rsidR="00577AC5" w:rsidRPr="00BA49F6">
        <w:rPr>
          <w:rFonts w:eastAsia="MS Mincho"/>
        </w:rPr>
        <w:t>.</w:t>
      </w:r>
      <w:r w:rsidR="008610D3" w:rsidRPr="00BA49F6">
        <w:rPr>
          <w:rFonts w:eastAsia="MS Mincho"/>
        </w:rPr>
        <w:t xml:space="preserve"> </w:t>
      </w:r>
      <w:r w:rsidRPr="00BA49F6">
        <w:rPr>
          <w:rFonts w:eastAsia="MS Mincho"/>
        </w:rPr>
        <w:t>However, care must be taken in specifying appropriate condition descriptions to ensure that the elicited HRQL valuations match the affected population</w:t>
      </w:r>
      <w:r w:rsidR="00577AC5" w:rsidRPr="00BA49F6">
        <w:rPr>
          <w:rFonts w:eastAsia="MS Mincho"/>
        </w:rPr>
        <w:t>.</w:t>
      </w:r>
      <w:r w:rsidR="008610D3" w:rsidRPr="00BA49F6">
        <w:rPr>
          <w:rFonts w:eastAsia="MS Mincho"/>
        </w:rPr>
        <w:t xml:space="preserve"> </w:t>
      </w:r>
      <w:r w:rsidRPr="00BA49F6">
        <w:rPr>
          <w:rFonts w:eastAsia="MS Mincho"/>
        </w:rPr>
        <w:t>For example, Gray et al., (2014) reviewed health state descriptions used in seven direct preference studies of stroke survivors, and found broad variation in the amount of detail provided, and the representation of the condition in the descriptions that could not be explained by differing degrees of condition severity</w:t>
      </w:r>
      <w:r w:rsidR="00577AC5" w:rsidRPr="00BA49F6">
        <w:rPr>
          <w:rFonts w:eastAsia="MS Mincho"/>
        </w:rPr>
        <w:t>.</w:t>
      </w:r>
      <w:r w:rsidR="008610D3" w:rsidRPr="00BA49F6">
        <w:rPr>
          <w:rFonts w:eastAsia="MS Mincho"/>
        </w:rPr>
        <w:t xml:space="preserve"> </w:t>
      </w:r>
      <w:r w:rsidRPr="00BA49F6">
        <w:rPr>
          <w:rFonts w:eastAsia="MS Mincho"/>
        </w:rPr>
        <w:t>They concluded that this variation in condition description raised concerns as to the validity of the results</w:t>
      </w:r>
      <w:r w:rsidR="00577AC5" w:rsidRPr="00BA49F6">
        <w:rPr>
          <w:rFonts w:eastAsia="MS Mincho"/>
        </w:rPr>
        <w:t>.</w:t>
      </w:r>
      <w:r w:rsidR="008610D3" w:rsidRPr="00BA49F6">
        <w:rPr>
          <w:rFonts w:eastAsia="MS Mincho"/>
        </w:rPr>
        <w:t xml:space="preserve"> </w:t>
      </w:r>
      <w:r w:rsidRPr="00BA49F6">
        <w:rPr>
          <w:rFonts w:eastAsia="MS Mincho"/>
        </w:rPr>
        <w:t xml:space="preserve">Given that we expect harms from gambling to be highly diverse, the present study </w:t>
      </w:r>
      <w:r w:rsidR="0064413C" w:rsidRPr="00BA49F6">
        <w:rPr>
          <w:rFonts w:eastAsia="MS Mincho"/>
        </w:rPr>
        <w:t>describes</w:t>
      </w:r>
      <w:r w:rsidRPr="00BA49F6">
        <w:rPr>
          <w:rFonts w:eastAsia="MS Mincho"/>
        </w:rPr>
        <w:t xml:space="preserve"> a conservative approach to defining condition descriptions, using a large set of condition descriptions to ensure adequate coverage of the population of affected individuals.</w:t>
      </w:r>
    </w:p>
    <w:p w14:paraId="0136DF83" w14:textId="77777777" w:rsidR="00F61793" w:rsidRPr="00D82AC4" w:rsidRDefault="00F61793" w:rsidP="00F61793">
      <w:pPr>
        <w:pStyle w:val="VRGFBodycontent"/>
        <w:rPr>
          <w:rFonts w:eastAsia="MS Mincho"/>
        </w:rPr>
      </w:pPr>
    </w:p>
    <w:p w14:paraId="312946FC" w14:textId="038B8125" w:rsidR="00F61793" w:rsidRPr="00D302D0" w:rsidRDefault="004214D3" w:rsidP="00191866">
      <w:pPr>
        <w:pStyle w:val="VRGFHead3"/>
      </w:pPr>
      <w:bookmarkStart w:id="241" w:name="_Toc462738053"/>
      <w:r>
        <w:t xml:space="preserve">Valuation methods </w:t>
      </w:r>
      <w:r w:rsidR="00F61793" w:rsidRPr="00D302D0">
        <w:t xml:space="preserve">for HRQL </w:t>
      </w:r>
      <w:r w:rsidR="00252BC4">
        <w:t xml:space="preserve">utility </w:t>
      </w:r>
      <w:r w:rsidR="00F61793" w:rsidRPr="00D302D0">
        <w:t>elicitation</w:t>
      </w:r>
      <w:bookmarkEnd w:id="241"/>
    </w:p>
    <w:p w14:paraId="521E73FA" w14:textId="19E607C4" w:rsidR="00BE0795" w:rsidRDefault="00F61793" w:rsidP="00F61793">
      <w:pPr>
        <w:pStyle w:val="VRGFBodycontent"/>
        <w:rPr>
          <w:rFonts w:eastAsia="MS Mincho"/>
        </w:rPr>
      </w:pPr>
      <w:r>
        <w:rPr>
          <w:rFonts w:eastAsia="MS Mincho"/>
        </w:rPr>
        <w:t xml:space="preserve">Before outlining the </w:t>
      </w:r>
      <w:r w:rsidRPr="00D82AC4">
        <w:rPr>
          <w:rFonts w:eastAsia="MS Mincho"/>
        </w:rPr>
        <w:t xml:space="preserve">protocols </w:t>
      </w:r>
      <w:r>
        <w:rPr>
          <w:rFonts w:eastAsia="MS Mincho"/>
        </w:rPr>
        <w:t xml:space="preserve">used in the present study </w:t>
      </w:r>
      <w:r w:rsidRPr="00D82AC4">
        <w:rPr>
          <w:rFonts w:eastAsia="MS Mincho"/>
        </w:rPr>
        <w:t>for eliciting HRQL</w:t>
      </w:r>
      <w:r w:rsidR="00252BC4">
        <w:rPr>
          <w:rFonts w:eastAsia="MS Mincho"/>
        </w:rPr>
        <w:t xml:space="preserve"> gambling harm utilities</w:t>
      </w:r>
      <w:r>
        <w:rPr>
          <w:rFonts w:eastAsia="MS Mincho"/>
        </w:rPr>
        <w:t xml:space="preserve">, </w:t>
      </w:r>
      <w:r w:rsidRPr="00D82AC4">
        <w:rPr>
          <w:rFonts w:eastAsia="MS Mincho"/>
        </w:rPr>
        <w:t xml:space="preserve">we will first distinguish between direct and indirect </w:t>
      </w:r>
      <w:r w:rsidR="00BE0795">
        <w:rPr>
          <w:rFonts w:eastAsia="MS Mincho"/>
        </w:rPr>
        <w:t xml:space="preserve">valuation </w:t>
      </w:r>
      <w:r w:rsidR="004214D3">
        <w:rPr>
          <w:rFonts w:eastAsia="MS Mincho"/>
        </w:rPr>
        <w:t>methods</w:t>
      </w:r>
      <w:r w:rsidR="00BE0795" w:rsidRPr="00D82AC4">
        <w:rPr>
          <w:rFonts w:eastAsia="MS Mincho"/>
        </w:rPr>
        <w:t xml:space="preserve"> </w:t>
      </w:r>
      <w:r w:rsidRPr="00D82AC4">
        <w:rPr>
          <w:rFonts w:eastAsia="MS Mincho"/>
        </w:rPr>
        <w:t>for eliciting the impact of conditions on one’s quality of life</w:t>
      </w:r>
      <w:r w:rsidR="00577AC5">
        <w:rPr>
          <w:rFonts w:eastAsia="MS Mincho"/>
        </w:rPr>
        <w:t>.</w:t>
      </w:r>
      <w:r w:rsidR="008610D3">
        <w:rPr>
          <w:rFonts w:eastAsia="MS Mincho"/>
        </w:rPr>
        <w:t xml:space="preserve"> </w:t>
      </w:r>
    </w:p>
    <w:p w14:paraId="0E4D8B2F" w14:textId="28C49AD5" w:rsidR="00BE0795" w:rsidRPr="00D302D0" w:rsidRDefault="00BE0795" w:rsidP="00BE0795">
      <w:pPr>
        <w:pStyle w:val="VRGFHead4"/>
      </w:pPr>
      <w:r w:rsidRPr="00D302D0">
        <w:t>Direct versus indirect methods</w:t>
      </w:r>
    </w:p>
    <w:p w14:paraId="4847FBA7" w14:textId="1974B2CD" w:rsidR="00F61793" w:rsidRPr="004214D3" w:rsidRDefault="00F61793" w:rsidP="00F61793">
      <w:pPr>
        <w:pStyle w:val="VRGFBodycontent"/>
        <w:rPr>
          <w:rFonts w:eastAsia="MS Mincho"/>
        </w:rPr>
      </w:pPr>
      <w:r w:rsidRPr="00D82AC4">
        <w:rPr>
          <w:rFonts w:eastAsia="MS Mincho"/>
        </w:rPr>
        <w:t xml:space="preserve">A two-stage, or </w:t>
      </w:r>
      <w:r w:rsidRPr="00B109E5">
        <w:rPr>
          <w:rFonts w:eastAsia="MS Mincho"/>
          <w:b/>
        </w:rPr>
        <w:t>indirect approach</w:t>
      </w:r>
      <w:r w:rsidRPr="00D82AC4">
        <w:rPr>
          <w:rFonts w:eastAsia="MS Mincho"/>
        </w:rPr>
        <w:t xml:space="preserve"> involves matching the condition to a dimensional profile, which is then linked to a HRQL</w:t>
      </w:r>
      <w:r w:rsidR="00577AC5">
        <w:rPr>
          <w:rFonts w:eastAsia="MS Mincho"/>
        </w:rPr>
        <w:t>.</w:t>
      </w:r>
      <w:r w:rsidR="008610D3">
        <w:rPr>
          <w:rFonts w:eastAsia="MS Mincho"/>
        </w:rPr>
        <w:t xml:space="preserve"> </w:t>
      </w:r>
      <w:r w:rsidRPr="00D82AC4">
        <w:rPr>
          <w:rFonts w:eastAsia="MS Mincho"/>
        </w:rPr>
        <w:t>Using this method, a standardised descriptor of dec</w:t>
      </w:r>
      <w:r w:rsidR="004170F5">
        <w:rPr>
          <w:rFonts w:eastAsia="MS Mincho"/>
        </w:rPr>
        <w:t>rements to functioning and well</w:t>
      </w:r>
      <w:r w:rsidRPr="00D82AC4">
        <w:rPr>
          <w:rFonts w:eastAsia="MS Mincho"/>
        </w:rPr>
        <w:t>being to the condition is applied</w:t>
      </w:r>
      <w:r w:rsidR="00577AC5">
        <w:rPr>
          <w:rFonts w:eastAsia="MS Mincho"/>
        </w:rPr>
        <w:t>.</w:t>
      </w:r>
      <w:r w:rsidR="008610D3">
        <w:rPr>
          <w:rFonts w:eastAsia="MS Mincho"/>
        </w:rPr>
        <w:t xml:space="preserve"> </w:t>
      </w:r>
      <w:r w:rsidRPr="00D82AC4">
        <w:rPr>
          <w:rFonts w:eastAsia="MS Mincho"/>
        </w:rPr>
        <w:t>Published instruments include the Health Utilities Index (HUI;</w:t>
      </w:r>
      <w:r>
        <w:rPr>
          <w:rFonts w:eastAsia="MS Mincho"/>
        </w:rPr>
        <w:t xml:space="preserve"> </w:t>
      </w:r>
      <w:r w:rsidRPr="00D82AC4">
        <w:rPr>
          <w:rFonts w:eastAsia="MS Mincho"/>
        </w:rPr>
        <w:t>Torrance, Zhang, Feeny, Furlong, &amp; B</w:t>
      </w:r>
      <w:r w:rsidR="004170F5">
        <w:rPr>
          <w:rFonts w:eastAsia="MS Mincho"/>
        </w:rPr>
        <w:t>arr, 1992), the Quality of Well-</w:t>
      </w:r>
      <w:r w:rsidRPr="00D82AC4">
        <w:rPr>
          <w:rFonts w:eastAsia="MS Mincho"/>
        </w:rPr>
        <w:t>Being Scale (QWB; Kaplan &amp; Bush, 1982) and the EurQol (EQ-5D; Hurst et al., 1994)</w:t>
      </w:r>
      <w:r w:rsidR="00577AC5">
        <w:rPr>
          <w:rFonts w:eastAsia="MS Mincho"/>
        </w:rPr>
        <w:t>.</w:t>
      </w:r>
      <w:r w:rsidR="008610D3">
        <w:rPr>
          <w:rFonts w:eastAsia="MS Mincho"/>
        </w:rPr>
        <w:t xml:space="preserve"> </w:t>
      </w:r>
      <w:r w:rsidRPr="00D82AC4">
        <w:rPr>
          <w:rFonts w:eastAsia="MS Mincho"/>
        </w:rPr>
        <w:t>The EQ-5D, for example, asks participants to rate their wellbeing on five dimensions</w:t>
      </w:r>
      <w:r>
        <w:rPr>
          <w:rFonts w:eastAsia="MS Mincho"/>
        </w:rPr>
        <w:t>:</w:t>
      </w:r>
      <w:r w:rsidRPr="00D82AC4">
        <w:rPr>
          <w:rFonts w:eastAsia="MS Mincho"/>
        </w:rPr>
        <w:t xml:space="preserve"> mobility, self-care, usual activities, pain/discomfort, and anxiety/depression</w:t>
      </w:r>
      <w:r w:rsidR="00577AC5">
        <w:rPr>
          <w:rFonts w:eastAsia="MS Mincho"/>
        </w:rPr>
        <w:t>.</w:t>
      </w:r>
      <w:r w:rsidR="008610D3">
        <w:rPr>
          <w:rFonts w:eastAsia="MS Mincho"/>
        </w:rPr>
        <w:t xml:space="preserve"> </w:t>
      </w:r>
      <w:r w:rsidRPr="00D82AC4">
        <w:rPr>
          <w:rFonts w:eastAsia="MS Mincho"/>
        </w:rPr>
        <w:t>These results are then converted to a utility using previously established values</w:t>
      </w:r>
      <w:r w:rsidR="00577AC5">
        <w:rPr>
          <w:rFonts w:eastAsia="MS Mincho"/>
        </w:rPr>
        <w:t>.</w:t>
      </w:r>
      <w:r w:rsidR="008610D3">
        <w:rPr>
          <w:rFonts w:eastAsia="MS Mincho"/>
        </w:rPr>
        <w:t xml:space="preserve"> </w:t>
      </w:r>
      <w:r w:rsidRPr="00D82AC4">
        <w:rPr>
          <w:rFonts w:eastAsia="MS Mincho"/>
        </w:rPr>
        <w:t>This can provide a convenient method for establishing utilities for</w:t>
      </w:r>
      <w:r>
        <w:rPr>
          <w:rFonts w:eastAsia="MS Mincho"/>
        </w:rPr>
        <w:t xml:space="preserve"> </w:t>
      </w:r>
      <w:r w:rsidRPr="00D82AC4">
        <w:rPr>
          <w:rFonts w:eastAsia="MS Mincho"/>
        </w:rPr>
        <w:t>new conditions, since after employing the instrument, a researcher can consult standard tables to obtain the HRQL (</w:t>
      </w:r>
      <w:r w:rsidRPr="00D82AC4">
        <w:t>Arnold, Girling, Stevens, &amp; Lilford,</w:t>
      </w:r>
      <w:r w:rsidRPr="00D82AC4">
        <w:rPr>
          <w:rFonts w:eastAsia="MS Mincho"/>
        </w:rPr>
        <w:t xml:space="preserve"> 2009)</w:t>
      </w:r>
      <w:r w:rsidR="00577AC5">
        <w:rPr>
          <w:rFonts w:eastAsia="MS Mincho"/>
        </w:rPr>
        <w:t>.</w:t>
      </w:r>
      <w:r w:rsidR="008610D3">
        <w:rPr>
          <w:rFonts w:eastAsia="MS Mincho"/>
        </w:rPr>
        <w:t xml:space="preserve"> </w:t>
      </w:r>
      <w:r w:rsidRPr="00D82AC4">
        <w:rPr>
          <w:rFonts w:eastAsia="MS Mincho"/>
        </w:rPr>
        <w:t xml:space="preserve">Using the </w:t>
      </w:r>
      <w:r w:rsidRPr="00B109E5">
        <w:rPr>
          <w:rFonts w:eastAsia="MS Mincho"/>
          <w:b/>
        </w:rPr>
        <w:t>direct approach</w:t>
      </w:r>
      <w:r w:rsidRPr="00D82AC4">
        <w:rPr>
          <w:rFonts w:eastAsia="MS Mincho"/>
        </w:rPr>
        <w:t xml:space="preserve">, the HRQL of a new condition is directly evaluated – either by those experiencing the condition personally, or third </w:t>
      </w:r>
      <w:r w:rsidRPr="004214D3">
        <w:rPr>
          <w:rFonts w:eastAsia="MS Mincho"/>
        </w:rPr>
        <w:t xml:space="preserve">parties via the use of condition descriptions. </w:t>
      </w:r>
    </w:p>
    <w:p w14:paraId="59387785" w14:textId="37CE03E5" w:rsidR="00BE0795" w:rsidRPr="00D82AC4" w:rsidRDefault="00F61793" w:rsidP="00F61793">
      <w:pPr>
        <w:pStyle w:val="VRGFBodycontent"/>
        <w:rPr>
          <w:rFonts w:eastAsia="MS Mincho"/>
        </w:rPr>
      </w:pPr>
      <w:r w:rsidRPr="004214D3">
        <w:rPr>
          <w:rFonts w:eastAsia="MS Mincho"/>
        </w:rPr>
        <w:t>Indirect approaches have some advantages in maximising comparability between conditions, but arguably lose sensitivity and validity when compared to direct evaluation of condition-specific descriptions (Rowen, Brazier, Tsuchiya, Young, &amp; Ibbotson, 2012), especially when the scope of the generic measure is not a good fit to the condition under evaluation</w:t>
      </w:r>
      <w:r w:rsidR="00577AC5" w:rsidRPr="004214D3">
        <w:rPr>
          <w:rFonts w:eastAsia="MS Mincho"/>
        </w:rPr>
        <w:t>.</w:t>
      </w:r>
      <w:r w:rsidR="008610D3" w:rsidRPr="004214D3">
        <w:rPr>
          <w:rFonts w:eastAsia="MS Mincho"/>
        </w:rPr>
        <w:t xml:space="preserve"> </w:t>
      </w:r>
      <w:r w:rsidRPr="004214D3">
        <w:rPr>
          <w:rFonts w:eastAsia="MS Mincho"/>
        </w:rPr>
        <w:t xml:space="preserve">This </w:t>
      </w:r>
      <w:r w:rsidRPr="00D82AC4">
        <w:rPr>
          <w:rFonts w:eastAsia="MS Mincho"/>
        </w:rPr>
        <w:t xml:space="preserve">is arguably true in </w:t>
      </w:r>
      <w:r w:rsidR="006410C4">
        <w:rPr>
          <w:rFonts w:eastAsia="MS Mincho"/>
        </w:rPr>
        <w:t xml:space="preserve">for </w:t>
      </w:r>
      <w:r w:rsidRPr="00D82AC4">
        <w:rPr>
          <w:rFonts w:eastAsia="MS Mincho"/>
        </w:rPr>
        <w:t>gambling</w:t>
      </w:r>
      <w:r w:rsidR="00577AC5">
        <w:rPr>
          <w:rFonts w:eastAsia="MS Mincho"/>
        </w:rPr>
        <w:t>.</w:t>
      </w:r>
      <w:r w:rsidR="008610D3">
        <w:rPr>
          <w:rFonts w:eastAsia="MS Mincho"/>
        </w:rPr>
        <w:t xml:space="preserve"> </w:t>
      </w:r>
      <w:r w:rsidRPr="00D82AC4">
        <w:rPr>
          <w:rFonts w:eastAsia="MS Mincho"/>
        </w:rPr>
        <w:t xml:space="preserve">For example, relationship dysfunction appears to play a major role in the experience </w:t>
      </w:r>
      <w:r>
        <w:rPr>
          <w:rFonts w:eastAsia="MS Mincho"/>
        </w:rPr>
        <w:t xml:space="preserve">of </w:t>
      </w:r>
      <w:r w:rsidRPr="00D82AC4">
        <w:rPr>
          <w:rFonts w:eastAsia="MS Mincho"/>
        </w:rPr>
        <w:t>gambling harm (see previous chapter)</w:t>
      </w:r>
      <w:r w:rsidR="00577AC5">
        <w:rPr>
          <w:rFonts w:eastAsia="MS Mincho"/>
        </w:rPr>
        <w:t>.</w:t>
      </w:r>
      <w:r w:rsidR="008610D3">
        <w:rPr>
          <w:rFonts w:eastAsia="MS Mincho"/>
        </w:rPr>
        <w:t xml:space="preserve"> </w:t>
      </w:r>
      <w:r w:rsidRPr="00D82AC4">
        <w:rPr>
          <w:rFonts w:eastAsia="MS Mincho"/>
        </w:rPr>
        <w:t xml:space="preserve">However, relationships are not represented on the EQ-5D, </w:t>
      </w:r>
      <w:r>
        <w:rPr>
          <w:rFonts w:eastAsia="MS Mincho"/>
        </w:rPr>
        <w:t xml:space="preserve">potentially </w:t>
      </w:r>
      <w:r w:rsidRPr="00D82AC4">
        <w:rPr>
          <w:rFonts w:eastAsia="MS Mincho"/>
        </w:rPr>
        <w:t>leading to an underestimate of harm</w:t>
      </w:r>
      <w:r>
        <w:rPr>
          <w:rFonts w:eastAsia="MS Mincho"/>
        </w:rPr>
        <w:t xml:space="preserve"> when applied to gambling</w:t>
      </w:r>
      <w:r w:rsidR="00577AC5">
        <w:rPr>
          <w:rFonts w:eastAsia="MS Mincho"/>
        </w:rPr>
        <w:t>.</w:t>
      </w:r>
      <w:r w:rsidR="008610D3">
        <w:rPr>
          <w:rFonts w:eastAsia="MS Mincho"/>
        </w:rPr>
        <w:t xml:space="preserve"> </w:t>
      </w:r>
      <w:r w:rsidRPr="00D82AC4">
        <w:rPr>
          <w:rFonts w:eastAsia="MS Mincho"/>
        </w:rPr>
        <w:t xml:space="preserve">Therefore, the approach of the present study </w:t>
      </w:r>
      <w:r w:rsidR="006410C4">
        <w:rPr>
          <w:rFonts w:eastAsia="MS Mincho"/>
        </w:rPr>
        <w:t>wa</w:t>
      </w:r>
      <w:r w:rsidRPr="00D82AC4">
        <w:rPr>
          <w:rFonts w:eastAsia="MS Mincho"/>
        </w:rPr>
        <w:t xml:space="preserve">s to employ a direct method of </w:t>
      </w:r>
      <w:r w:rsidR="00252BC4">
        <w:rPr>
          <w:rFonts w:eastAsia="MS Mincho"/>
        </w:rPr>
        <w:t xml:space="preserve">HRQL </w:t>
      </w:r>
      <w:r w:rsidRPr="00D82AC4">
        <w:rPr>
          <w:rFonts w:eastAsia="MS Mincho"/>
        </w:rPr>
        <w:t>utility estimation</w:t>
      </w:r>
      <w:r w:rsidR="006410C4">
        <w:rPr>
          <w:rFonts w:eastAsia="MS Mincho"/>
        </w:rPr>
        <w:t>,</w:t>
      </w:r>
      <w:r>
        <w:rPr>
          <w:rFonts w:eastAsia="MS Mincho"/>
        </w:rPr>
        <w:t xml:space="preserve"> i.e. presenting participants with specific vignettes for utility evaluation</w:t>
      </w:r>
      <w:r w:rsidRPr="00D82AC4">
        <w:rPr>
          <w:rFonts w:eastAsia="MS Mincho"/>
        </w:rPr>
        <w:t>.</w:t>
      </w:r>
      <w:r>
        <w:rPr>
          <w:rFonts w:eastAsia="MS Mincho"/>
        </w:rPr>
        <w:t xml:space="preserve"> </w:t>
      </w:r>
    </w:p>
    <w:p w14:paraId="401CB9A0" w14:textId="77777777" w:rsidR="00F61793" w:rsidRPr="00D82AC4" w:rsidRDefault="00F61793" w:rsidP="00F61793">
      <w:pPr>
        <w:tabs>
          <w:tab w:val="clear" w:pos="426"/>
        </w:tabs>
        <w:spacing w:before="0" w:after="0" w:line="240" w:lineRule="auto"/>
        <w:ind w:left="567" w:right="0"/>
        <w:rPr>
          <w:rFonts w:eastAsia="MS Mincho" w:cs="Arial"/>
          <w:szCs w:val="20"/>
        </w:rPr>
      </w:pPr>
    </w:p>
    <w:p w14:paraId="290A0944" w14:textId="1AF36160" w:rsidR="00F61793" w:rsidRPr="00D302D0" w:rsidRDefault="00F61793" w:rsidP="00191866">
      <w:pPr>
        <w:pStyle w:val="VRGFHead4"/>
      </w:pPr>
      <w:r w:rsidRPr="00D302D0">
        <w:lastRenderedPageBreak/>
        <w:t>Protocols</w:t>
      </w:r>
      <w:r w:rsidR="0082638C">
        <w:t xml:space="preserve"> of direct methods for HRQL utility elicitation</w:t>
      </w:r>
    </w:p>
    <w:p w14:paraId="33B6995F" w14:textId="3575485F" w:rsidR="00F61793" w:rsidRDefault="00F61793" w:rsidP="00F61793">
      <w:pPr>
        <w:pStyle w:val="VRGFBodycontent"/>
        <w:rPr>
          <w:rFonts w:eastAsia="MS Mincho"/>
        </w:rPr>
      </w:pPr>
      <w:r w:rsidRPr="00D82AC4">
        <w:rPr>
          <w:rFonts w:eastAsia="MS Mincho"/>
        </w:rPr>
        <w:t xml:space="preserve">Measurement frameworks for HRQL rely on the use of </w:t>
      </w:r>
      <w:r w:rsidR="004214D3">
        <w:rPr>
          <w:rFonts w:eastAsia="MS Mincho"/>
        </w:rPr>
        <w:t>valuations for</w:t>
      </w:r>
      <w:r w:rsidRPr="00D82AC4">
        <w:rPr>
          <w:rFonts w:eastAsia="MS Mincho"/>
        </w:rPr>
        <w:t xml:space="preserve"> eliciting the utilities that reflect the HRQL associated with </w:t>
      </w:r>
      <w:r w:rsidR="0082638C">
        <w:rPr>
          <w:rFonts w:eastAsia="MS Mincho"/>
        </w:rPr>
        <w:t>the</w:t>
      </w:r>
      <w:r w:rsidRPr="00D82AC4">
        <w:rPr>
          <w:rFonts w:eastAsia="MS Mincho"/>
        </w:rPr>
        <w:t xml:space="preserve"> </w:t>
      </w:r>
      <w:r w:rsidR="004214D3">
        <w:rPr>
          <w:rFonts w:eastAsia="MS Mincho"/>
        </w:rPr>
        <w:t>health state</w:t>
      </w:r>
      <w:r w:rsidR="00577AC5">
        <w:rPr>
          <w:rFonts w:eastAsia="MS Mincho"/>
        </w:rPr>
        <w:t>.</w:t>
      </w:r>
      <w:r w:rsidR="008610D3">
        <w:rPr>
          <w:rFonts w:eastAsia="MS Mincho"/>
        </w:rPr>
        <w:t xml:space="preserve"> </w:t>
      </w:r>
      <w:r w:rsidRPr="00D82AC4">
        <w:rPr>
          <w:rFonts w:eastAsia="MS Mincho"/>
        </w:rPr>
        <w:t xml:space="preserve">Three </w:t>
      </w:r>
      <w:r w:rsidR="00425BA4">
        <w:rPr>
          <w:rFonts w:eastAsia="MS Mincho"/>
        </w:rPr>
        <w:t>established</w:t>
      </w:r>
      <w:r w:rsidR="00425BA4" w:rsidRPr="00D82AC4">
        <w:rPr>
          <w:rFonts w:eastAsia="MS Mincho"/>
        </w:rPr>
        <w:t xml:space="preserve"> </w:t>
      </w:r>
      <w:r w:rsidR="0082638C">
        <w:rPr>
          <w:rFonts w:eastAsia="MS Mincho"/>
        </w:rPr>
        <w:t xml:space="preserve">valuation methods </w:t>
      </w:r>
      <w:r w:rsidRPr="00D82AC4">
        <w:rPr>
          <w:rFonts w:eastAsia="MS Mincho"/>
        </w:rPr>
        <w:t xml:space="preserve">for </w:t>
      </w:r>
      <w:r w:rsidR="0082638C">
        <w:rPr>
          <w:rFonts w:eastAsia="MS Mincho"/>
        </w:rPr>
        <w:t xml:space="preserve">directly </w:t>
      </w:r>
      <w:r w:rsidRPr="00D82AC4">
        <w:rPr>
          <w:rFonts w:eastAsia="MS Mincho"/>
        </w:rPr>
        <w:t xml:space="preserve">eliciting cardinal utility </w:t>
      </w:r>
      <w:r w:rsidR="00425BA4">
        <w:rPr>
          <w:rFonts w:eastAsia="MS Mincho"/>
        </w:rPr>
        <w:t>values (</w:t>
      </w:r>
      <w:r w:rsidRPr="00D82AC4">
        <w:rPr>
          <w:rFonts w:eastAsia="MS Mincho"/>
        </w:rPr>
        <w:t>weights</w:t>
      </w:r>
      <w:r w:rsidR="00425BA4">
        <w:rPr>
          <w:rFonts w:eastAsia="MS Mincho"/>
        </w:rPr>
        <w:t>)</w:t>
      </w:r>
      <w:r w:rsidRPr="00D82AC4">
        <w:rPr>
          <w:rFonts w:eastAsia="MS Mincho"/>
        </w:rPr>
        <w:t xml:space="preserve"> for HRQL in</w:t>
      </w:r>
      <w:r>
        <w:rPr>
          <w:rFonts w:eastAsia="MS Mincho"/>
        </w:rPr>
        <w:t>clude the Time Trade-Off</w:t>
      </w:r>
      <w:r w:rsidR="0099561D">
        <w:rPr>
          <w:rFonts w:eastAsia="MS Mincho"/>
        </w:rPr>
        <w:t xml:space="preserve"> (TTO)</w:t>
      </w:r>
      <w:r w:rsidRPr="00D82AC4">
        <w:rPr>
          <w:rFonts w:eastAsia="MS Mincho"/>
        </w:rPr>
        <w:t>,</w:t>
      </w:r>
      <w:r>
        <w:rPr>
          <w:rFonts w:eastAsia="MS Mincho"/>
        </w:rPr>
        <w:t xml:space="preserve"> Visual Analogue Scale</w:t>
      </w:r>
      <w:r w:rsidR="0099561D">
        <w:rPr>
          <w:rFonts w:eastAsia="MS Mincho"/>
        </w:rPr>
        <w:t xml:space="preserve"> (VAS)</w:t>
      </w:r>
      <w:r>
        <w:rPr>
          <w:rFonts w:eastAsia="MS Mincho"/>
        </w:rPr>
        <w:t>,</w:t>
      </w:r>
      <w:r w:rsidRPr="00D82AC4">
        <w:rPr>
          <w:rFonts w:eastAsia="MS Mincho"/>
        </w:rPr>
        <w:t xml:space="preserve"> and Standard Gamble (SG).</w:t>
      </w:r>
      <w:r w:rsidR="0082638C">
        <w:rPr>
          <w:rFonts w:eastAsia="MS Mincho"/>
        </w:rPr>
        <w:t xml:space="preserve"> A</w:t>
      </w:r>
      <w:r w:rsidR="00425BA4">
        <w:rPr>
          <w:rFonts w:eastAsia="MS Mincho"/>
        </w:rPr>
        <w:t xml:space="preserve"> fourth</w:t>
      </w:r>
      <w:r w:rsidR="0082638C">
        <w:rPr>
          <w:rFonts w:eastAsia="MS Mincho"/>
        </w:rPr>
        <w:t xml:space="preserve"> </w:t>
      </w:r>
      <w:r w:rsidR="00425BA4">
        <w:rPr>
          <w:rFonts w:eastAsia="MS Mincho"/>
        </w:rPr>
        <w:t xml:space="preserve">emerging </w:t>
      </w:r>
      <w:r w:rsidR="0082638C">
        <w:rPr>
          <w:rFonts w:eastAsia="MS Mincho"/>
        </w:rPr>
        <w:t>method</w:t>
      </w:r>
      <w:r w:rsidR="00425BA4">
        <w:rPr>
          <w:rFonts w:eastAsia="MS Mincho"/>
        </w:rPr>
        <w:t xml:space="preserve">, which has predominantly been used in indirect HRQL measures (i.e. EQ-5D), is </w:t>
      </w:r>
      <w:r w:rsidR="0099561D">
        <w:rPr>
          <w:rFonts w:eastAsia="MS Mincho"/>
        </w:rPr>
        <w:t xml:space="preserve">the </w:t>
      </w:r>
      <w:r w:rsidR="00425BA4">
        <w:rPr>
          <w:rFonts w:eastAsia="MS Mincho"/>
        </w:rPr>
        <w:t>Discrete Choice Experiment</w:t>
      </w:r>
      <w:r w:rsidR="0099561D">
        <w:rPr>
          <w:rFonts w:eastAsia="MS Mincho"/>
        </w:rPr>
        <w:t xml:space="preserve"> (DCE)</w:t>
      </w:r>
      <w:r w:rsidR="00425BA4">
        <w:rPr>
          <w:rFonts w:eastAsia="MS Mincho"/>
        </w:rPr>
        <w:t xml:space="preserve">. </w:t>
      </w:r>
    </w:p>
    <w:p w14:paraId="7F26A13C" w14:textId="77777777" w:rsidR="00F61793" w:rsidRPr="00D82AC4" w:rsidRDefault="00F61793" w:rsidP="00F61793">
      <w:pPr>
        <w:pStyle w:val="VRGFBodycontent"/>
        <w:rPr>
          <w:rFonts w:eastAsia="MS Mincho"/>
        </w:rPr>
      </w:pPr>
    </w:p>
    <w:p w14:paraId="08046A55" w14:textId="77777777" w:rsidR="00F61793" w:rsidRPr="00C56CCA" w:rsidRDefault="00F61793" w:rsidP="00191866">
      <w:pPr>
        <w:pStyle w:val="VRGFHead5"/>
      </w:pPr>
      <w:r w:rsidRPr="00C56CCA">
        <w:t>T</w:t>
      </w:r>
      <w:r>
        <w:t xml:space="preserve">ime </w:t>
      </w:r>
      <w:r w:rsidRPr="00C56CCA">
        <w:t>T</w:t>
      </w:r>
      <w:r>
        <w:t>rade-</w:t>
      </w:r>
      <w:r w:rsidRPr="00C56CCA">
        <w:t>O</w:t>
      </w:r>
      <w:r>
        <w:t>ff (TTO)</w:t>
      </w:r>
    </w:p>
    <w:p w14:paraId="2C6FED90" w14:textId="3C70A289" w:rsidR="00F61793" w:rsidRDefault="00F61793" w:rsidP="00F61793">
      <w:pPr>
        <w:pStyle w:val="VRGFBodycontent"/>
        <w:rPr>
          <w:rFonts w:eastAsia="MS Mincho"/>
        </w:rPr>
      </w:pPr>
      <w:r w:rsidRPr="00D82AC4">
        <w:rPr>
          <w:rFonts w:eastAsia="MS Mincho"/>
        </w:rPr>
        <w:t xml:space="preserve">A discrete </w:t>
      </w:r>
      <w:r>
        <w:rPr>
          <w:rFonts w:eastAsia="MS Mincho"/>
        </w:rPr>
        <w:t xml:space="preserve">time trade-off </w:t>
      </w:r>
      <w:r w:rsidRPr="00D82AC4">
        <w:rPr>
          <w:rFonts w:eastAsia="MS Mincho"/>
        </w:rPr>
        <w:t>valuation asks respondents to make a choice between two scenarios – living for a fixed amount of time (for example 10 years) with an impaired health state, or living for a shorter period of time in ideal health</w:t>
      </w:r>
      <w:r w:rsidR="00577AC5">
        <w:rPr>
          <w:rFonts w:eastAsia="MS Mincho"/>
        </w:rPr>
        <w:t>.</w:t>
      </w:r>
      <w:r w:rsidR="008610D3">
        <w:rPr>
          <w:rFonts w:eastAsia="MS Mincho"/>
        </w:rPr>
        <w:t xml:space="preserve"> </w:t>
      </w:r>
      <w:r w:rsidRPr="00D82AC4">
        <w:rPr>
          <w:rFonts w:eastAsia="MS Mincho"/>
        </w:rPr>
        <w:t>The time period spent in full health is varied against the poorer health state until the respondent answers to being indifferent between the two choices</w:t>
      </w:r>
      <w:r w:rsidR="00577AC5">
        <w:rPr>
          <w:rFonts w:eastAsia="MS Mincho"/>
        </w:rPr>
        <w:t>.</w:t>
      </w:r>
      <w:r w:rsidR="008610D3">
        <w:rPr>
          <w:rFonts w:eastAsia="MS Mincho"/>
        </w:rPr>
        <w:t xml:space="preserve"> </w:t>
      </w:r>
      <w:r w:rsidRPr="00D82AC4">
        <w:rPr>
          <w:rFonts w:eastAsia="MS Mincho"/>
        </w:rPr>
        <w:t>A variation on the discrete TTO is to require respondents to directly indicate a proportion of time they would be willing to give up in order to avoid the condition</w:t>
      </w:r>
      <w:r w:rsidR="00577AC5">
        <w:rPr>
          <w:rFonts w:eastAsia="MS Mincho"/>
        </w:rPr>
        <w:t>.</w:t>
      </w:r>
      <w:r w:rsidR="008610D3">
        <w:rPr>
          <w:rFonts w:eastAsia="MS Mincho"/>
        </w:rPr>
        <w:t xml:space="preserve"> </w:t>
      </w:r>
      <w:r w:rsidRPr="00D82AC4">
        <w:rPr>
          <w:rFonts w:eastAsia="MS Mincho"/>
        </w:rPr>
        <w:t>For example, consider a participant is willing to sacrifice 3 of the 10 years left to live in ideal health without depression</w:t>
      </w:r>
      <w:r w:rsidR="00577AC5">
        <w:rPr>
          <w:rFonts w:eastAsia="MS Mincho"/>
        </w:rPr>
        <w:t>.</w:t>
      </w:r>
      <w:r w:rsidR="008610D3">
        <w:rPr>
          <w:rFonts w:eastAsia="MS Mincho"/>
        </w:rPr>
        <w:t xml:space="preserve"> </w:t>
      </w:r>
      <w:r w:rsidRPr="00D82AC4">
        <w:rPr>
          <w:rFonts w:eastAsia="MS Mincho"/>
        </w:rPr>
        <w:t>This implies that 10 years with depression is equivalent to 7 years in good health and</w:t>
      </w:r>
      <w:r w:rsidR="00262ED1">
        <w:rPr>
          <w:rFonts w:eastAsia="MS Mincho"/>
        </w:rPr>
        <w:t>,</w:t>
      </w:r>
      <w:r w:rsidRPr="00D82AC4">
        <w:rPr>
          <w:rFonts w:eastAsia="MS Mincho"/>
        </w:rPr>
        <w:t xml:space="preserve"> therefore</w:t>
      </w:r>
      <w:r w:rsidR="00262ED1">
        <w:rPr>
          <w:rFonts w:eastAsia="MS Mincho"/>
        </w:rPr>
        <w:t>,</w:t>
      </w:r>
      <w:r w:rsidRPr="00D82AC4">
        <w:rPr>
          <w:rFonts w:eastAsia="MS Mincho"/>
        </w:rPr>
        <w:t xml:space="preserve"> that </w:t>
      </w:r>
      <w:r w:rsidRPr="00302276">
        <w:rPr>
          <w:rFonts w:eastAsia="MS Mincho"/>
        </w:rPr>
        <w:t xml:space="preserve">the HRQL </w:t>
      </w:r>
      <w:r w:rsidR="00302276">
        <w:rPr>
          <w:rFonts w:eastAsia="MS Mincho"/>
        </w:rPr>
        <w:t xml:space="preserve">utility </w:t>
      </w:r>
      <w:r w:rsidRPr="00302276">
        <w:rPr>
          <w:rFonts w:eastAsia="MS Mincho"/>
        </w:rPr>
        <w:t>of depression is 0.7 – or equivalently, that the harm accrued with each year of living with depression is 0.3</w:t>
      </w:r>
      <w:r w:rsidR="00577AC5" w:rsidRPr="00302276">
        <w:rPr>
          <w:rFonts w:eastAsia="MS Mincho"/>
        </w:rPr>
        <w:t>.</w:t>
      </w:r>
      <w:r w:rsidR="008610D3" w:rsidRPr="00302276">
        <w:rPr>
          <w:rFonts w:eastAsia="MS Mincho"/>
        </w:rPr>
        <w:t xml:space="preserve"> </w:t>
      </w:r>
      <w:r w:rsidRPr="00302276">
        <w:rPr>
          <w:rFonts w:eastAsia="MS Mincho"/>
        </w:rPr>
        <w:t>See</w:t>
      </w:r>
      <w:r w:rsidR="00935E20" w:rsidRPr="00302276">
        <w:rPr>
          <w:rFonts w:eastAsia="MS Mincho"/>
        </w:rPr>
        <w:t xml:space="preserve"> </w:t>
      </w:r>
      <w:r w:rsidRPr="00302276">
        <w:rPr>
          <w:rFonts w:eastAsia="MS Mincho"/>
        </w:rPr>
        <w:fldChar w:fldCharType="begin"/>
      </w:r>
      <w:r w:rsidRPr="00302276">
        <w:rPr>
          <w:rFonts w:eastAsia="MS Mincho"/>
        </w:rPr>
        <w:instrText xml:space="preserve"> REF _Ref429646841 \h </w:instrText>
      </w:r>
      <w:r w:rsidR="00302276">
        <w:rPr>
          <w:rFonts w:eastAsia="MS Mincho"/>
        </w:rPr>
        <w:instrText xml:space="preserve"> \* MERGEFORMAT </w:instrText>
      </w:r>
      <w:r w:rsidRPr="00302276">
        <w:rPr>
          <w:rFonts w:eastAsia="MS Mincho"/>
        </w:rPr>
      </w:r>
      <w:r w:rsidRPr="00302276">
        <w:rPr>
          <w:rFonts w:eastAsia="MS Mincho"/>
        </w:rPr>
        <w:fldChar w:fldCharType="separate"/>
      </w:r>
      <w:r w:rsidR="0006479A">
        <w:t xml:space="preserve">Figure </w:t>
      </w:r>
      <w:r w:rsidR="0006479A">
        <w:rPr>
          <w:noProof/>
        </w:rPr>
        <w:t>5.</w:t>
      </w:r>
      <w:r w:rsidR="0006479A">
        <w:t xml:space="preserve"> </w:t>
      </w:r>
      <w:r w:rsidRPr="00302276">
        <w:rPr>
          <w:rFonts w:eastAsia="MS Mincho"/>
        </w:rPr>
        <w:fldChar w:fldCharType="end"/>
      </w:r>
      <w:r w:rsidRPr="00302276">
        <w:rPr>
          <w:rFonts w:eastAsia="MS Mincho"/>
        </w:rPr>
        <w:t>for an example of the calculation of utility from TTO (Whitehead &amp; Ali, 2010)</w:t>
      </w:r>
      <w:r w:rsidR="00577AC5" w:rsidRPr="00302276">
        <w:rPr>
          <w:rFonts w:eastAsia="MS Mincho"/>
        </w:rPr>
        <w:t>.</w:t>
      </w:r>
      <w:r w:rsidR="008610D3" w:rsidRPr="00302276">
        <w:rPr>
          <w:rFonts w:eastAsia="MS Mincho"/>
        </w:rPr>
        <w:t xml:space="preserve"> </w:t>
      </w:r>
      <w:r w:rsidRPr="00302276">
        <w:rPr>
          <w:rFonts w:eastAsia="MS Mincho"/>
        </w:rPr>
        <w:t>The TTO is consistent with economic models of decision-making and is fundamentally connected to the concept of utility (Whitehead &amp; Ali, 2010)</w:t>
      </w:r>
      <w:r w:rsidR="00577AC5" w:rsidRPr="00302276">
        <w:rPr>
          <w:rFonts w:eastAsia="MS Mincho"/>
        </w:rPr>
        <w:t>.</w:t>
      </w:r>
      <w:r w:rsidR="008610D3" w:rsidRPr="00302276">
        <w:rPr>
          <w:rFonts w:eastAsia="MS Mincho"/>
        </w:rPr>
        <w:t xml:space="preserve"> </w:t>
      </w:r>
      <w:r w:rsidRPr="00302276">
        <w:rPr>
          <w:rFonts w:eastAsia="MS Mincho"/>
        </w:rPr>
        <w:t>However, the TTO has been criticised for being too complex for many respondents (</w:t>
      </w:r>
      <w:r w:rsidR="00063FD0" w:rsidRPr="00302276">
        <w:rPr>
          <w:rFonts w:eastAsia="MS Mincho"/>
        </w:rPr>
        <w:t xml:space="preserve">Dolan &amp; Stalmeier, 2003; </w:t>
      </w:r>
      <w:r w:rsidRPr="00302276">
        <w:rPr>
          <w:rFonts w:eastAsia="MS Mincho"/>
        </w:rPr>
        <w:t>Rowen, Brazier, &amp; Van Hout, 201</w:t>
      </w:r>
      <w:r w:rsidR="00063FD0" w:rsidRPr="00302276">
        <w:rPr>
          <w:rFonts w:eastAsia="MS Mincho"/>
        </w:rPr>
        <w:t>5</w:t>
      </w:r>
      <w:r w:rsidRPr="00302276">
        <w:rPr>
          <w:rFonts w:eastAsia="MS Mincho"/>
        </w:rPr>
        <w:t>; Smith, Sherriff, Damschroder, Loewenstein, &amp; Ubel, 2006)</w:t>
      </w:r>
      <w:r w:rsidR="00577AC5" w:rsidRPr="00302276">
        <w:rPr>
          <w:rFonts w:eastAsia="MS Mincho"/>
        </w:rPr>
        <w:t>.</w:t>
      </w:r>
      <w:r w:rsidR="008610D3" w:rsidRPr="00302276">
        <w:rPr>
          <w:rFonts w:eastAsia="MS Mincho"/>
        </w:rPr>
        <w:t xml:space="preserve"> </w:t>
      </w:r>
      <w:r w:rsidRPr="00302276">
        <w:rPr>
          <w:rFonts w:eastAsia="MS Mincho"/>
        </w:rPr>
        <w:t>Accordingly, some researchers recommend</w:t>
      </w:r>
      <w:r w:rsidRPr="00D82AC4">
        <w:rPr>
          <w:rFonts w:eastAsia="MS Mincho"/>
        </w:rPr>
        <w:t xml:space="preserve"> that the TTO is administered face-to-face by an interviewer amongst small samples and amongst ‘experts’, such as health professionals (Norman et al., 2010; Shah, Lloyd, Oppe, &amp; Devlin, 2013)</w:t>
      </w:r>
      <w:r>
        <w:rPr>
          <w:rFonts w:eastAsia="MS Mincho"/>
        </w:rPr>
        <w:t>.</w:t>
      </w:r>
    </w:p>
    <w:p w14:paraId="1B52C17A" w14:textId="77777777" w:rsidR="00B35B78" w:rsidRPr="00D82AC4" w:rsidRDefault="00B35B78" w:rsidP="00F61793">
      <w:pPr>
        <w:pStyle w:val="VRGFBodycontent"/>
        <w:rPr>
          <w:rFonts w:eastAsia="MS Mincho"/>
        </w:rPr>
      </w:pPr>
    </w:p>
    <w:p w14:paraId="66F18C52" w14:textId="77777777" w:rsidR="00F61793" w:rsidRDefault="00F61793" w:rsidP="0005505C">
      <w:pPr>
        <w:tabs>
          <w:tab w:val="clear" w:pos="426"/>
        </w:tabs>
        <w:spacing w:before="0" w:after="120" w:line="240" w:lineRule="auto"/>
        <w:ind w:left="0" w:right="0"/>
        <w:rPr>
          <w:rFonts w:eastAsia="MS Mincho" w:cs="Arial"/>
          <w:szCs w:val="20"/>
        </w:rPr>
      </w:pPr>
      <w:r w:rsidRPr="00020611">
        <w:rPr>
          <w:rFonts w:eastAsia="MS Mincho" w:cs="Arial"/>
          <w:noProof/>
          <w:sz w:val="24"/>
          <w:szCs w:val="24"/>
          <w:lang w:val="en-NZ" w:eastAsia="en-NZ"/>
        </w:rPr>
        <w:drawing>
          <wp:inline distT="0" distB="0" distL="0" distR="0" wp14:anchorId="0BA5CA1F" wp14:editId="39B89C6D">
            <wp:extent cx="5060798" cy="2988310"/>
            <wp:effectExtent l="19050" t="19050" r="26035"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66605" cy="2991739"/>
                    </a:xfrm>
                    <a:prstGeom prst="rect">
                      <a:avLst/>
                    </a:prstGeom>
                    <a:ln>
                      <a:solidFill>
                        <a:schemeClr val="tx1"/>
                      </a:solidFill>
                    </a:ln>
                  </pic:spPr>
                </pic:pic>
              </a:graphicData>
            </a:graphic>
          </wp:inline>
        </w:drawing>
      </w:r>
    </w:p>
    <w:p w14:paraId="5BA10266" w14:textId="47A209D0" w:rsidR="00F61793" w:rsidRDefault="00935E20" w:rsidP="00935E20">
      <w:pPr>
        <w:pStyle w:val="Caption"/>
        <w:rPr>
          <w:color w:val="1C3158"/>
        </w:rPr>
      </w:pPr>
      <w:bookmarkStart w:id="242" w:name="_Ref445407778"/>
      <w:bookmarkStart w:id="243" w:name="_Ref429646841"/>
      <w:bookmarkStart w:id="244" w:name="_Toc440900308"/>
      <w:bookmarkStart w:id="245" w:name="_Toc462738088"/>
      <w:r>
        <w:t xml:space="preserve">Figure </w:t>
      </w:r>
      <w:fldSimple w:instr=" SEQ Figure \* ARABIC ">
        <w:r w:rsidR="0006479A">
          <w:rPr>
            <w:noProof/>
          </w:rPr>
          <w:t>5</w:t>
        </w:r>
      </w:fldSimple>
      <w:bookmarkEnd w:id="242"/>
      <w:r w:rsidR="00577AC5">
        <w:t>.</w:t>
      </w:r>
      <w:r w:rsidR="008610D3">
        <w:t xml:space="preserve"> </w:t>
      </w:r>
      <w:bookmarkEnd w:id="243"/>
      <w:r w:rsidR="00F61793" w:rsidRPr="0082634A">
        <w:rPr>
          <w:color w:val="1C3158"/>
        </w:rPr>
        <w:t>Time Trade-Off</w:t>
      </w:r>
      <w:bookmarkEnd w:id="244"/>
      <w:bookmarkEnd w:id="245"/>
      <w:r w:rsidR="00F61793" w:rsidRPr="0082634A">
        <w:rPr>
          <w:color w:val="1C3158"/>
        </w:rPr>
        <w:t xml:space="preserve"> </w:t>
      </w:r>
    </w:p>
    <w:p w14:paraId="6EBFC749" w14:textId="77777777" w:rsidR="00E069CA" w:rsidRDefault="00E069CA" w:rsidP="00E069CA">
      <w:pPr>
        <w:pStyle w:val="VRGFBodycontent"/>
        <w:rPr>
          <w:u w:val="single"/>
        </w:rPr>
      </w:pPr>
    </w:p>
    <w:p w14:paraId="6ADC2A61" w14:textId="77777777" w:rsidR="00B35B78" w:rsidRPr="00B35B78" w:rsidRDefault="00B35B78" w:rsidP="00B35B78">
      <w:pPr>
        <w:rPr>
          <w:rFonts w:eastAsia="MS Mincho"/>
        </w:rPr>
      </w:pPr>
    </w:p>
    <w:p w14:paraId="72436D3C" w14:textId="77777777" w:rsidR="00F61793" w:rsidRPr="00C56CCA" w:rsidRDefault="00F61793" w:rsidP="00191866">
      <w:pPr>
        <w:pStyle w:val="VRGFHead5"/>
      </w:pPr>
      <w:r w:rsidRPr="00C56CCA">
        <w:t>V</w:t>
      </w:r>
      <w:r>
        <w:t xml:space="preserve">isual </w:t>
      </w:r>
      <w:r w:rsidRPr="00C56CCA">
        <w:t>A</w:t>
      </w:r>
      <w:r>
        <w:t xml:space="preserve">nalogue </w:t>
      </w:r>
      <w:r w:rsidRPr="00C56CCA">
        <w:t>S</w:t>
      </w:r>
      <w:r>
        <w:t>cale (VAS)</w:t>
      </w:r>
    </w:p>
    <w:p w14:paraId="1FC29940" w14:textId="67548CE8" w:rsidR="00F61793" w:rsidRDefault="00F61793" w:rsidP="00F61793">
      <w:pPr>
        <w:pStyle w:val="VRGFBodycontent"/>
        <w:rPr>
          <w:rFonts w:eastAsia="MS Mincho"/>
        </w:rPr>
      </w:pPr>
      <w:r w:rsidRPr="00D82AC4">
        <w:rPr>
          <w:rFonts w:eastAsia="MS Mincho"/>
        </w:rPr>
        <w:t>T</w:t>
      </w:r>
      <w:r>
        <w:rPr>
          <w:rFonts w:eastAsia="MS Mincho"/>
        </w:rPr>
        <w:t>he VAS</w:t>
      </w:r>
      <w:r w:rsidRPr="00D82AC4">
        <w:rPr>
          <w:rFonts w:eastAsia="MS Mincho"/>
        </w:rPr>
        <w:t xml:space="preserve"> is a rating </w:t>
      </w:r>
      <w:r>
        <w:rPr>
          <w:rFonts w:eastAsia="MS Mincho"/>
        </w:rPr>
        <w:t>protocol</w:t>
      </w:r>
      <w:r w:rsidRPr="00D82AC4">
        <w:rPr>
          <w:rFonts w:eastAsia="MS Mincho"/>
        </w:rPr>
        <w:t xml:space="preserve"> in which health states are evaluated by asking the respondent to indicate where on the scale from ‘0 – worst imaginable’ to ‘100 – best imaginable’ they would place the health state</w:t>
      </w:r>
      <w:r w:rsidR="00577AC5">
        <w:rPr>
          <w:rFonts w:eastAsia="MS Mincho"/>
        </w:rPr>
        <w:t>.</w:t>
      </w:r>
      <w:r w:rsidR="008610D3">
        <w:rPr>
          <w:rFonts w:eastAsia="MS Mincho"/>
        </w:rPr>
        <w:t xml:space="preserve"> </w:t>
      </w:r>
      <w:r w:rsidRPr="0082638C">
        <w:rPr>
          <w:rFonts w:eastAsia="MS Mincho"/>
        </w:rPr>
        <w:t xml:space="preserve">The HRQL </w:t>
      </w:r>
      <w:r w:rsidR="0082638C" w:rsidRPr="0082638C">
        <w:rPr>
          <w:rFonts w:eastAsia="MS Mincho"/>
        </w:rPr>
        <w:t xml:space="preserve">utility </w:t>
      </w:r>
      <w:r w:rsidRPr="0082638C">
        <w:rPr>
          <w:rFonts w:eastAsia="MS Mincho"/>
        </w:rPr>
        <w:t>estimate is simply the rating from the VAS transformed into a value from 0 to 1.</w:t>
      </w:r>
    </w:p>
    <w:p w14:paraId="077DE8DF" w14:textId="4E1D7F55" w:rsidR="00F61793" w:rsidRDefault="00F61793" w:rsidP="00F61793">
      <w:pPr>
        <w:pStyle w:val="VRGFBodycontent"/>
        <w:rPr>
          <w:rFonts w:eastAsia="MS Mincho"/>
        </w:rPr>
      </w:pPr>
      <w:r w:rsidRPr="00D82AC4">
        <w:rPr>
          <w:rFonts w:eastAsia="MS Mincho"/>
        </w:rPr>
        <w:t>There has been some criticism of VAS for evaluating HRQL, partly due to</w:t>
      </w:r>
      <w:r>
        <w:rPr>
          <w:rFonts w:eastAsia="MS Mincho"/>
        </w:rPr>
        <w:t xml:space="preserve"> a perceived </w:t>
      </w:r>
      <w:r w:rsidRPr="00D82AC4">
        <w:rPr>
          <w:rFonts w:eastAsia="MS Mincho"/>
        </w:rPr>
        <w:t>lack of theoretical validity, and recognition of the potential of scale biases, e.g. end-of-scale bias, where ratings at the extreme ends of the scale are avoided (</w:t>
      </w:r>
      <w:r w:rsidR="00D6657B" w:rsidRPr="00D82AC4">
        <w:rPr>
          <w:rFonts w:eastAsia="MS Mincho"/>
        </w:rPr>
        <w:t>Stubbs et al., 2000</w:t>
      </w:r>
      <w:r w:rsidR="00D6657B">
        <w:rPr>
          <w:rFonts w:eastAsia="MS Mincho"/>
        </w:rPr>
        <w:t xml:space="preserve">; </w:t>
      </w:r>
      <w:r w:rsidR="00D6657B" w:rsidRPr="00D82AC4">
        <w:rPr>
          <w:rFonts w:eastAsia="MS Mincho"/>
        </w:rPr>
        <w:t xml:space="preserve">Tolley, 2009; </w:t>
      </w:r>
      <w:r w:rsidRPr="00D82AC4">
        <w:rPr>
          <w:rFonts w:eastAsia="MS Mincho"/>
        </w:rPr>
        <w:t>Whitehead &amp; Ali, 2010)</w:t>
      </w:r>
      <w:r w:rsidR="00577AC5">
        <w:rPr>
          <w:rFonts w:eastAsia="MS Mincho"/>
        </w:rPr>
        <w:t>.</w:t>
      </w:r>
      <w:r w:rsidR="008610D3">
        <w:rPr>
          <w:rFonts w:eastAsia="MS Mincho"/>
        </w:rPr>
        <w:t xml:space="preserve"> </w:t>
      </w:r>
      <w:r w:rsidRPr="00D82AC4">
        <w:rPr>
          <w:rFonts w:eastAsia="MS Mincho"/>
        </w:rPr>
        <w:t>Nord</w:t>
      </w:r>
      <w:r>
        <w:rPr>
          <w:rFonts w:eastAsia="MS Mincho"/>
        </w:rPr>
        <w:t>, Menzel, and Richardson</w:t>
      </w:r>
      <w:r w:rsidRPr="00D82AC4">
        <w:rPr>
          <w:rFonts w:eastAsia="MS Mincho"/>
        </w:rPr>
        <w:t xml:space="preserve"> (2006) note</w:t>
      </w:r>
      <w:r>
        <w:rPr>
          <w:rFonts w:eastAsia="MS Mincho"/>
        </w:rPr>
        <w:t>d</w:t>
      </w:r>
      <w:r w:rsidRPr="00D82AC4">
        <w:rPr>
          <w:rFonts w:eastAsia="MS Mincho"/>
        </w:rPr>
        <w:t xml:space="preserve"> that interval differences on the VAS should be weighted more strongly at the extremes of the bounded scale, suggesting a transformation to accomplish this</w:t>
      </w:r>
      <w:r w:rsidR="00577AC5">
        <w:rPr>
          <w:rFonts w:eastAsia="MS Mincho"/>
        </w:rPr>
        <w:t>.</w:t>
      </w:r>
      <w:r w:rsidR="008610D3">
        <w:rPr>
          <w:rFonts w:eastAsia="MS Mincho"/>
        </w:rPr>
        <w:t xml:space="preserve"> </w:t>
      </w:r>
      <w:r>
        <w:rPr>
          <w:rFonts w:eastAsia="MS Mincho"/>
        </w:rPr>
        <w:t>Mathers, Vos, Lopez, Salomon, and Ezzati</w:t>
      </w:r>
      <w:r w:rsidRPr="00D82AC4">
        <w:rPr>
          <w:rFonts w:eastAsia="MS Mincho"/>
        </w:rPr>
        <w:t xml:space="preserve"> (2001) </w:t>
      </w:r>
      <w:r>
        <w:rPr>
          <w:rFonts w:eastAsia="MS Mincho"/>
        </w:rPr>
        <w:t>recommend</w:t>
      </w:r>
      <w:r w:rsidR="005E5AFB">
        <w:rPr>
          <w:rFonts w:eastAsia="MS Mincho"/>
        </w:rPr>
        <w:t>ed</w:t>
      </w:r>
      <w:r>
        <w:rPr>
          <w:rFonts w:eastAsia="MS Mincho"/>
        </w:rPr>
        <w:t xml:space="preserve"> </w:t>
      </w:r>
      <w:r w:rsidRPr="00D82AC4">
        <w:rPr>
          <w:rFonts w:eastAsia="MS Mincho"/>
        </w:rPr>
        <w:t>that a sufficient number of different states with different severity levels should be</w:t>
      </w:r>
      <w:r>
        <w:rPr>
          <w:rFonts w:eastAsia="MS Mincho"/>
        </w:rPr>
        <w:t xml:space="preserve"> provided as reference points</w:t>
      </w:r>
      <w:r w:rsidRPr="00D82AC4">
        <w:rPr>
          <w:rFonts w:eastAsia="MS Mincho"/>
        </w:rPr>
        <w:t xml:space="preserve"> on the VAS</w:t>
      </w:r>
      <w:r>
        <w:rPr>
          <w:rFonts w:eastAsia="MS Mincho"/>
        </w:rPr>
        <w:t>,</w:t>
      </w:r>
      <w:r w:rsidRPr="00D82AC4">
        <w:rPr>
          <w:rFonts w:eastAsia="MS Mincho"/>
        </w:rPr>
        <w:t xml:space="preserve"> in order to ensure respondents minimise scaling distortions, which </w:t>
      </w:r>
      <w:r w:rsidR="00006D53">
        <w:rPr>
          <w:rFonts w:eastAsia="MS Mincho"/>
        </w:rPr>
        <w:t xml:space="preserve">is </w:t>
      </w:r>
      <w:r w:rsidRPr="00D82AC4">
        <w:rPr>
          <w:rFonts w:eastAsia="MS Mincho"/>
        </w:rPr>
        <w:t>typically observed when only a few states are considered</w:t>
      </w:r>
      <w:r w:rsidR="00577AC5">
        <w:rPr>
          <w:rFonts w:eastAsia="MS Mincho"/>
        </w:rPr>
        <w:t>.</w:t>
      </w:r>
      <w:r w:rsidR="008610D3">
        <w:rPr>
          <w:rFonts w:eastAsia="MS Mincho"/>
        </w:rPr>
        <w:t xml:space="preserve"> </w:t>
      </w:r>
      <w:r w:rsidRPr="00D82AC4">
        <w:rPr>
          <w:rFonts w:eastAsia="MS Mincho"/>
        </w:rPr>
        <w:t>This accords with reports in the literature of the use of ordinal ranking of alternative health conditions in conjunction with the VAS (Salomon &amp; Murray, 2004)</w:t>
      </w:r>
      <w:r w:rsidR="00577AC5">
        <w:rPr>
          <w:rFonts w:eastAsia="MS Mincho"/>
        </w:rPr>
        <w:t>.</w:t>
      </w:r>
      <w:r w:rsidR="008610D3">
        <w:rPr>
          <w:rFonts w:eastAsia="MS Mincho"/>
        </w:rPr>
        <w:t xml:space="preserve"> </w:t>
      </w:r>
      <w:r w:rsidRPr="00D82AC4">
        <w:rPr>
          <w:rFonts w:eastAsia="MS Mincho"/>
        </w:rPr>
        <w:t>Despite theoretical concerns with the VAS, it has been found to perform well relative to other methods</w:t>
      </w:r>
      <w:r w:rsidR="00577AC5">
        <w:rPr>
          <w:rFonts w:eastAsia="MS Mincho"/>
        </w:rPr>
        <w:t>.</w:t>
      </w:r>
      <w:r w:rsidR="008610D3">
        <w:rPr>
          <w:rFonts w:eastAsia="MS Mincho"/>
        </w:rPr>
        <w:t xml:space="preserve"> </w:t>
      </w:r>
      <w:r w:rsidRPr="00D82AC4">
        <w:rPr>
          <w:rFonts w:eastAsia="MS Mincho"/>
        </w:rPr>
        <w:t xml:space="preserve">For example, Badia, Monserrat, Roset, and Herdman, (1999) found that that the VAS </w:t>
      </w:r>
      <w:r w:rsidR="00302276">
        <w:rPr>
          <w:rFonts w:eastAsia="MS Mincho"/>
        </w:rPr>
        <w:t xml:space="preserve">was slightly more feasible and reliable </w:t>
      </w:r>
      <w:r w:rsidRPr="00D82AC4">
        <w:rPr>
          <w:rFonts w:eastAsia="MS Mincho"/>
        </w:rPr>
        <w:t>than the T</w:t>
      </w:r>
      <w:r>
        <w:rPr>
          <w:rFonts w:eastAsia="MS Mincho"/>
        </w:rPr>
        <w:t xml:space="preserve">TO </w:t>
      </w:r>
      <w:r w:rsidRPr="00302276">
        <w:rPr>
          <w:rFonts w:eastAsia="MS Mincho"/>
        </w:rPr>
        <w:t>for health state valuation</w:t>
      </w:r>
      <w:r w:rsidR="00302276" w:rsidRPr="00302276">
        <w:rPr>
          <w:rFonts w:eastAsia="MS Mincho"/>
        </w:rPr>
        <w:t>,</w:t>
      </w:r>
      <w:r w:rsidR="00302276">
        <w:rPr>
          <w:rFonts w:eastAsia="MS Mincho"/>
        </w:rPr>
        <w:t xml:space="preserve"> but that the TTO was better able to discriminate between health states</w:t>
      </w:r>
      <w:r w:rsidR="00577AC5">
        <w:rPr>
          <w:rFonts w:eastAsia="MS Mincho"/>
        </w:rPr>
        <w:t>.</w:t>
      </w:r>
      <w:r w:rsidR="008610D3">
        <w:rPr>
          <w:rFonts w:eastAsia="MS Mincho"/>
        </w:rPr>
        <w:t xml:space="preserve"> </w:t>
      </w:r>
      <w:r w:rsidRPr="00D82AC4">
        <w:rPr>
          <w:rFonts w:eastAsia="MS Mincho"/>
        </w:rPr>
        <w:t xml:space="preserve">Gudex, Dolan, Kind, </w:t>
      </w:r>
      <w:r>
        <w:rPr>
          <w:rFonts w:eastAsia="MS Mincho"/>
        </w:rPr>
        <w:t>and Williams</w:t>
      </w:r>
      <w:r w:rsidRPr="00D82AC4">
        <w:rPr>
          <w:rFonts w:eastAsia="MS Mincho"/>
        </w:rPr>
        <w:t xml:space="preserve"> </w:t>
      </w:r>
      <w:r>
        <w:rPr>
          <w:rFonts w:eastAsia="MS Mincho"/>
        </w:rPr>
        <w:t>(</w:t>
      </w:r>
      <w:r w:rsidRPr="00D82AC4">
        <w:rPr>
          <w:rFonts w:eastAsia="MS Mincho"/>
        </w:rPr>
        <w:t>1996)</w:t>
      </w:r>
      <w:r>
        <w:rPr>
          <w:rFonts w:eastAsia="MS Mincho"/>
        </w:rPr>
        <w:t xml:space="preserve"> also </w:t>
      </w:r>
      <w:r w:rsidRPr="00D82AC4">
        <w:rPr>
          <w:rFonts w:eastAsia="MS Mincho"/>
        </w:rPr>
        <w:t>found that the VAS had good test-retest reliability</w:t>
      </w:r>
      <w:r w:rsidR="00577AC5">
        <w:rPr>
          <w:rFonts w:eastAsia="MS Mincho"/>
        </w:rPr>
        <w:t>.</w:t>
      </w:r>
      <w:r w:rsidR="008610D3">
        <w:rPr>
          <w:rFonts w:eastAsia="MS Mincho"/>
        </w:rPr>
        <w:t xml:space="preserve"> </w:t>
      </w:r>
      <w:r w:rsidRPr="00D82AC4">
        <w:rPr>
          <w:rFonts w:eastAsia="MS Mincho"/>
        </w:rPr>
        <w:t xml:space="preserve">More recently, Parkin </w:t>
      </w:r>
      <w:r>
        <w:rPr>
          <w:rFonts w:eastAsia="MS Mincho"/>
        </w:rPr>
        <w:t>and Devlin</w:t>
      </w:r>
      <w:r w:rsidRPr="00D82AC4">
        <w:rPr>
          <w:rFonts w:eastAsia="MS Mincho"/>
        </w:rPr>
        <w:t xml:space="preserve"> (2006)</w:t>
      </w:r>
      <w:r w:rsidR="005E5AFB">
        <w:rPr>
          <w:rFonts w:eastAsia="MS Mincho"/>
        </w:rPr>
        <w:t xml:space="preserve"> who</w:t>
      </w:r>
      <w:r w:rsidRPr="00D82AC4">
        <w:rPr>
          <w:rFonts w:eastAsia="MS Mincho"/>
        </w:rPr>
        <w:t xml:space="preserve"> reviewed findings regarding the VAS, </w:t>
      </w:r>
      <w:r w:rsidR="00E133F6">
        <w:rPr>
          <w:rFonts w:eastAsia="MS Mincho"/>
        </w:rPr>
        <w:t xml:space="preserve">made </w:t>
      </w:r>
      <w:r w:rsidRPr="00D82AC4">
        <w:rPr>
          <w:rFonts w:eastAsia="MS Mincho"/>
        </w:rPr>
        <w:t xml:space="preserve">a strong defence of the protocol for health state valuations, arguing that it </w:t>
      </w:r>
      <w:r w:rsidR="00E133F6">
        <w:rPr>
          <w:rFonts w:eastAsia="MS Mincho"/>
        </w:rPr>
        <w:t>performed</w:t>
      </w:r>
      <w:r w:rsidR="00E133F6" w:rsidRPr="00D82AC4">
        <w:rPr>
          <w:rFonts w:eastAsia="MS Mincho"/>
        </w:rPr>
        <w:t xml:space="preserve"> </w:t>
      </w:r>
      <w:r w:rsidRPr="00D82AC4">
        <w:rPr>
          <w:rFonts w:eastAsia="MS Mincho"/>
        </w:rPr>
        <w:t xml:space="preserve">well empirically compared to alternative methods. </w:t>
      </w:r>
    </w:p>
    <w:p w14:paraId="23323773" w14:textId="77777777" w:rsidR="005C251E" w:rsidRDefault="005C251E" w:rsidP="00F61793">
      <w:pPr>
        <w:pStyle w:val="VRGFBodycontent"/>
        <w:rPr>
          <w:rFonts w:eastAsia="MS Mincho"/>
        </w:rPr>
      </w:pPr>
    </w:p>
    <w:p w14:paraId="7AB6077E" w14:textId="77777777" w:rsidR="0099561D" w:rsidRPr="00C56CCA" w:rsidRDefault="0099561D" w:rsidP="0099561D">
      <w:pPr>
        <w:pStyle w:val="VRGFHead5"/>
      </w:pPr>
      <w:r w:rsidRPr="00D153C8">
        <w:t>Standard Gamble (SG)</w:t>
      </w:r>
    </w:p>
    <w:p w14:paraId="344A6196" w14:textId="6B069D15" w:rsidR="0099561D" w:rsidRPr="00302276" w:rsidRDefault="0099561D" w:rsidP="0099561D">
      <w:pPr>
        <w:pStyle w:val="VRGFBodycontent"/>
        <w:rPr>
          <w:rFonts w:eastAsia="MS Mincho"/>
        </w:rPr>
      </w:pPr>
      <w:r w:rsidRPr="00D82AC4">
        <w:rPr>
          <w:rFonts w:eastAsia="MS Mincho"/>
        </w:rPr>
        <w:t>The standard gamble is a valuation method which offers the respondent a choice to make a decision between a 100% certainty of remaining in a particular health state, or taking a gamble for a better health state (e.g. 20% probability of full health) or a worse health state (e.g. 80% probability of death)</w:t>
      </w:r>
      <w:r>
        <w:rPr>
          <w:rFonts w:eastAsia="MS Mincho"/>
        </w:rPr>
        <w:t xml:space="preserve">. </w:t>
      </w:r>
      <w:r w:rsidRPr="00D82AC4">
        <w:rPr>
          <w:rFonts w:eastAsia="MS Mincho"/>
        </w:rPr>
        <w:t xml:space="preserve">The probability of death is varied in the standard gamble until the individual is indifferent between the certainty of remaining in the health </w:t>
      </w:r>
      <w:r w:rsidRPr="00302276">
        <w:rPr>
          <w:rFonts w:eastAsia="MS Mincho"/>
        </w:rPr>
        <w:t xml:space="preserve">state and the gamble. The probability of the better outcome at this indifference point generates the health state utility. For example, a SG task may yield a result that an individual is indifferent between the option of: (a) certainty of living with severe multiple sclerosis, and (b) a 70% probability of living in full health. The health state valuation for multiple sclerosis for this example is 0.7. </w:t>
      </w:r>
    </w:p>
    <w:p w14:paraId="248E983A" w14:textId="31554DEB" w:rsidR="0099561D" w:rsidRDefault="0099561D" w:rsidP="0099561D">
      <w:pPr>
        <w:pStyle w:val="VRGFBodycontent"/>
        <w:rPr>
          <w:rFonts w:eastAsia="MS Mincho"/>
        </w:rPr>
      </w:pPr>
      <w:r w:rsidRPr="00302276">
        <w:rPr>
          <w:rFonts w:eastAsia="MS Mincho"/>
        </w:rPr>
        <w:t>The SG has some disadvantages. It is relatively time-consuming, and applying the concept of probabilities can be difficult for respondents (Tolley, 2009). Another criticism of the standard gamble is that it may elicit responses that not only reflect the value that person places on the health state but their attitude towards risk taking (</w:t>
      </w:r>
      <w:r w:rsidR="00D6657B" w:rsidRPr="00302276">
        <w:rPr>
          <w:rFonts w:eastAsia="MS Mincho"/>
        </w:rPr>
        <w:t xml:space="preserve">Mathers et al., 2001; </w:t>
      </w:r>
      <w:r w:rsidRPr="00302276">
        <w:rPr>
          <w:rFonts w:eastAsia="MS Mincho"/>
        </w:rPr>
        <w:t xml:space="preserve">Tolley, 2009; Torrance, Furlong, Feeny, &amp; Boyle, 1995). This suggests that the health state utility </w:t>
      </w:r>
      <w:r>
        <w:rPr>
          <w:rFonts w:eastAsia="MS Mincho"/>
        </w:rPr>
        <w:t>elicited</w:t>
      </w:r>
      <w:r w:rsidRPr="00302276">
        <w:rPr>
          <w:rFonts w:eastAsia="MS Mincho"/>
        </w:rPr>
        <w:t xml:space="preserve"> from the SG is dependent on the population surveyed, where a higher tendency towards risk behaviour would result in a lower HRQL utility for the health state and vice versa. This may be problematic when used in populations of gamblers, where their evaluation of the condition may be confounded</w:t>
      </w:r>
      <w:r w:rsidRPr="00D82AC4">
        <w:rPr>
          <w:rFonts w:eastAsia="MS Mincho"/>
        </w:rPr>
        <w:t xml:space="preserve"> with a propensity towards risk-taking behaviour</w:t>
      </w:r>
      <w:r>
        <w:rPr>
          <w:rFonts w:eastAsia="MS Mincho"/>
        </w:rPr>
        <w:t xml:space="preserve">. </w:t>
      </w:r>
      <w:r w:rsidRPr="00D82AC4">
        <w:rPr>
          <w:rFonts w:eastAsia="MS Mincho"/>
        </w:rPr>
        <w:t>While the SG has been described</w:t>
      </w:r>
      <w:r>
        <w:rPr>
          <w:rFonts w:eastAsia="MS Mincho"/>
        </w:rPr>
        <w:t xml:space="preserve"> as</w:t>
      </w:r>
      <w:r w:rsidRPr="00D82AC4">
        <w:rPr>
          <w:rFonts w:eastAsia="MS Mincho"/>
        </w:rPr>
        <w:t xml:space="preserve"> the ‘gold standard’ of direct valuation methods (</w:t>
      </w:r>
      <w:r>
        <w:rPr>
          <w:rFonts w:eastAsia="MS Mincho"/>
        </w:rPr>
        <w:t xml:space="preserve">Mathers et al., </w:t>
      </w:r>
      <w:r w:rsidRPr="00D82AC4">
        <w:rPr>
          <w:rFonts w:eastAsia="MS Mincho"/>
        </w:rPr>
        <w:t>2001), its complexity and vulnerability to risk aversion bias has led some researchers to advocate the TTO as a more reliable and sound valuation method (Tolley, 2009).</w:t>
      </w:r>
    </w:p>
    <w:p w14:paraId="27C1B1AA" w14:textId="04A25D9D" w:rsidR="00252BC4" w:rsidRPr="00C56CCA" w:rsidRDefault="00252BC4" w:rsidP="00252BC4">
      <w:pPr>
        <w:pStyle w:val="VRGFHead5"/>
      </w:pPr>
      <w:r>
        <w:lastRenderedPageBreak/>
        <w:t>Discrete Choice</w:t>
      </w:r>
      <w:r w:rsidR="00456C72">
        <w:t xml:space="preserve"> Experiments</w:t>
      </w:r>
      <w:r>
        <w:t xml:space="preserve"> (DC</w:t>
      </w:r>
      <w:r w:rsidR="00456C72">
        <w:t>E</w:t>
      </w:r>
      <w:r>
        <w:t>)</w:t>
      </w:r>
    </w:p>
    <w:p w14:paraId="2D2EE34C" w14:textId="190730B2" w:rsidR="00EA5EA6" w:rsidRDefault="00456C72" w:rsidP="00EA5EA6">
      <w:pPr>
        <w:pStyle w:val="VRGFBodycontent"/>
        <w:rPr>
          <w:rFonts w:eastAsia="MS Mincho"/>
        </w:rPr>
      </w:pPr>
      <w:r>
        <w:rPr>
          <w:rFonts w:eastAsia="MS Mincho"/>
        </w:rPr>
        <w:t>In recent years Discrete Choice Experiments (DCE), also known as pair</w:t>
      </w:r>
      <w:r w:rsidR="00063FD0">
        <w:rPr>
          <w:rFonts w:eastAsia="MS Mincho"/>
        </w:rPr>
        <w:t>wise</w:t>
      </w:r>
      <w:r>
        <w:rPr>
          <w:rFonts w:eastAsia="MS Mincho"/>
        </w:rPr>
        <w:t xml:space="preserve"> comparisons, ha</w:t>
      </w:r>
      <w:r w:rsidR="0008537D">
        <w:rPr>
          <w:rFonts w:eastAsia="MS Mincho"/>
        </w:rPr>
        <w:t>s</w:t>
      </w:r>
      <w:r>
        <w:rPr>
          <w:rFonts w:eastAsia="MS Mincho"/>
        </w:rPr>
        <w:t xml:space="preserve"> emerged as an alternative health-state valuation </w:t>
      </w:r>
      <w:r w:rsidR="00402FDE">
        <w:rPr>
          <w:rFonts w:eastAsia="MS Mincho"/>
        </w:rPr>
        <w:t>method to overcome the complexities of the TTO, VAS, and SG techniques (Rowen</w:t>
      </w:r>
      <w:r w:rsidR="00AB3BF6">
        <w:rPr>
          <w:rFonts w:eastAsia="MS Mincho"/>
        </w:rPr>
        <w:t xml:space="preserve"> et al., </w:t>
      </w:r>
      <w:r w:rsidR="00402FDE">
        <w:rPr>
          <w:rFonts w:eastAsia="MS Mincho"/>
        </w:rPr>
        <w:t xml:space="preserve">2015). </w:t>
      </w:r>
      <w:r w:rsidR="00FB080A">
        <w:rPr>
          <w:rFonts w:eastAsia="MS Mincho"/>
        </w:rPr>
        <w:t xml:space="preserve">DCE is a preference-based </w:t>
      </w:r>
      <w:r w:rsidR="00402FDE" w:rsidRPr="00402FDE">
        <w:rPr>
          <w:rFonts w:eastAsia="MS Mincho"/>
          <w:i/>
        </w:rPr>
        <w:t>ordinal measure</w:t>
      </w:r>
      <w:r w:rsidR="00402FDE">
        <w:rPr>
          <w:rFonts w:eastAsia="MS Mincho"/>
        </w:rPr>
        <w:t xml:space="preserve">, </w:t>
      </w:r>
      <w:r w:rsidR="00FB080A">
        <w:rPr>
          <w:rFonts w:eastAsia="MS Mincho"/>
        </w:rPr>
        <w:t xml:space="preserve">which requires a choice between </w:t>
      </w:r>
      <w:r w:rsidR="00402FDE">
        <w:rPr>
          <w:rFonts w:eastAsia="MS Mincho"/>
        </w:rPr>
        <w:t xml:space="preserve">the better-worse </w:t>
      </w:r>
      <w:r w:rsidR="00FB080A">
        <w:rPr>
          <w:rFonts w:eastAsia="MS Mincho"/>
        </w:rPr>
        <w:t xml:space="preserve">of </w:t>
      </w:r>
      <w:r w:rsidR="00402FDE">
        <w:rPr>
          <w:rFonts w:eastAsia="MS Mincho"/>
        </w:rPr>
        <w:t>two health states (</w:t>
      </w:r>
      <w:r w:rsidR="00FB080A">
        <w:t xml:space="preserve">Brazier, Rowen, Yang, &amp; Tsuchiya, 2012; </w:t>
      </w:r>
      <w:r w:rsidR="00AD41C1">
        <w:rPr>
          <w:rFonts w:eastAsia="MS Mincho"/>
        </w:rPr>
        <w:t xml:space="preserve">Rowen et al., </w:t>
      </w:r>
      <w:r w:rsidR="00053645">
        <w:rPr>
          <w:rFonts w:eastAsia="MS Mincho"/>
        </w:rPr>
        <w:t>2015</w:t>
      </w:r>
      <w:r w:rsidR="009F3501">
        <w:rPr>
          <w:rFonts w:eastAsia="MS Mincho"/>
        </w:rPr>
        <w:t>;</w:t>
      </w:r>
      <w:r w:rsidR="009F3501" w:rsidRPr="009F3501">
        <w:rPr>
          <w:rFonts w:eastAsia="MS Mincho"/>
        </w:rPr>
        <w:t xml:space="preserve"> </w:t>
      </w:r>
      <w:r w:rsidR="009F3501">
        <w:rPr>
          <w:rFonts w:eastAsia="MS Mincho"/>
        </w:rPr>
        <w:t>Stolk, Oppe, Scalone, &amp; Krabbe, 2010</w:t>
      </w:r>
      <w:r w:rsidR="0008537D">
        <w:rPr>
          <w:rFonts w:eastAsia="MS Mincho"/>
        </w:rPr>
        <w:t>)</w:t>
      </w:r>
      <w:r w:rsidR="00402FDE">
        <w:rPr>
          <w:rFonts w:eastAsia="MS Mincho"/>
        </w:rPr>
        <w:t xml:space="preserve">. </w:t>
      </w:r>
      <w:r w:rsidR="00F66DFC">
        <w:rPr>
          <w:rFonts w:eastAsia="MS Mincho"/>
        </w:rPr>
        <w:t>The key challeng</w:t>
      </w:r>
      <w:r w:rsidR="00EA5EA6">
        <w:rPr>
          <w:rFonts w:eastAsia="MS Mincho"/>
        </w:rPr>
        <w:t xml:space="preserve">e of using DCE to generate health-related utilities is designing the best DCE method and analyses to model </w:t>
      </w:r>
      <w:r w:rsidR="00F66DFC">
        <w:rPr>
          <w:rFonts w:eastAsia="MS Mincho"/>
        </w:rPr>
        <w:t xml:space="preserve">the latent utility function from the ordinal DCE data onto </w:t>
      </w:r>
      <w:r w:rsidR="00387378">
        <w:rPr>
          <w:rFonts w:eastAsia="MS Mincho"/>
        </w:rPr>
        <w:t xml:space="preserve">a </w:t>
      </w:r>
      <w:r w:rsidR="00F66DFC">
        <w:rPr>
          <w:rFonts w:eastAsia="MS Mincho"/>
        </w:rPr>
        <w:t xml:space="preserve">cardinal 1-0 </w:t>
      </w:r>
      <w:r w:rsidR="00EA5EA6">
        <w:rPr>
          <w:rFonts w:eastAsia="MS Mincho"/>
        </w:rPr>
        <w:t xml:space="preserve">utility </w:t>
      </w:r>
      <w:r w:rsidR="00F66DFC">
        <w:rPr>
          <w:rFonts w:eastAsia="MS Mincho"/>
        </w:rPr>
        <w:t>scale</w:t>
      </w:r>
      <w:r w:rsidR="00EA5EA6">
        <w:rPr>
          <w:rFonts w:eastAsia="MS Mincho"/>
        </w:rPr>
        <w:t xml:space="preserve">. </w:t>
      </w:r>
    </w:p>
    <w:p w14:paraId="39435AAA" w14:textId="572F8330" w:rsidR="00236213" w:rsidRDefault="00236213" w:rsidP="00236213">
      <w:pPr>
        <w:pStyle w:val="VRGFBodycontent"/>
      </w:pPr>
      <w:r>
        <w:t xml:space="preserve">A twenty-year literature review (1990-2008) on the use of DCEs in health economic studies was conducted by de Bekker-Grob, Ryan, and Gerard (2010) focusing on the experimental design, estimation procedures, and response validity of DCE. They identified 114 DCE studies covering a wide range of objectives, and only two studies used DCE to estimate utility weights within the QALY framework by anchoring valuations onto the TTO </w:t>
      </w:r>
      <w:r w:rsidR="008E7D60">
        <w:t xml:space="preserve">or SG </w:t>
      </w:r>
      <w:r>
        <w:t>full health (1) to death (0) scale. However, only one of these studies measured the utility of a specify health state – Glaucoma (Burr, Kilonzo, Vale, &amp; Ryan, 2007), and the other measured the utility of older adults’ social care outcomes (Ryan, Netten, Skatun, &amp; Smith, 2006). At the time of th</w:t>
      </w:r>
      <w:r w:rsidR="008E7D60">
        <w:t>eir</w:t>
      </w:r>
      <w:r>
        <w:t xml:space="preserve"> review, the authors criticised the use of utility weights based on DCE ordinal data and their interpretation at a </w:t>
      </w:r>
      <w:r w:rsidR="00AD41C1">
        <w:t xml:space="preserve">cardinal level (de Bekker-Grob et al., </w:t>
      </w:r>
      <w:r>
        <w:t>2010).</w:t>
      </w:r>
    </w:p>
    <w:p w14:paraId="0A6E598C" w14:textId="4DEB1630" w:rsidR="00606A88" w:rsidRDefault="00236213" w:rsidP="00606A88">
      <w:pPr>
        <w:pStyle w:val="VRGFBodycontent"/>
        <w:rPr>
          <w:rFonts w:eastAsia="MS Mincho"/>
        </w:rPr>
      </w:pPr>
      <w:r>
        <w:rPr>
          <w:rFonts w:eastAsia="MS Mincho"/>
        </w:rPr>
        <w:t xml:space="preserve">Since this 2010 </w:t>
      </w:r>
      <w:r w:rsidR="008E7D60">
        <w:rPr>
          <w:rFonts w:eastAsia="MS Mincho"/>
        </w:rPr>
        <w:t>paper</w:t>
      </w:r>
      <w:r>
        <w:rPr>
          <w:rFonts w:eastAsia="MS Mincho"/>
        </w:rPr>
        <w:t>, the popularity of DCEs has increased with the majority of studies using DCE to estimate utilities for health states sourced from generic preference-based health instruments, most predominantly the EQ-5D (</w:t>
      </w:r>
      <w:r>
        <w:t>Bansback, Brazier, Tsuchiya, &amp; Anis, 2012; Bansback, Hole, Mulhern, &amp; Tsuchiya, 2014; Pullenayegum &amp; Xie, 2013; R</w:t>
      </w:r>
      <w:r>
        <w:rPr>
          <w:rFonts w:eastAsia="MS Mincho"/>
        </w:rPr>
        <w:t>obinson, Spencer, &amp; Moffatt, 2015; Stolk</w:t>
      </w:r>
      <w:r w:rsidR="00AD41C1">
        <w:rPr>
          <w:rFonts w:eastAsia="MS Mincho"/>
        </w:rPr>
        <w:t xml:space="preserve"> et al., </w:t>
      </w:r>
      <w:r>
        <w:rPr>
          <w:rFonts w:eastAsia="MS Mincho"/>
        </w:rPr>
        <w:t>2010;</w:t>
      </w:r>
      <w:r w:rsidRPr="00A20EFF">
        <w:rPr>
          <w:rFonts w:eastAsia="MS Mincho"/>
        </w:rPr>
        <w:t xml:space="preserve"> </w:t>
      </w:r>
      <w:r>
        <w:rPr>
          <w:rFonts w:eastAsia="MS Mincho"/>
        </w:rPr>
        <w:t xml:space="preserve">Viney et al, 2014). </w:t>
      </w:r>
      <w:r w:rsidR="00606A88">
        <w:rPr>
          <w:rFonts w:eastAsia="MS Mincho"/>
        </w:rPr>
        <w:t xml:space="preserve">Of recent, utilities for </w:t>
      </w:r>
      <w:r>
        <w:rPr>
          <w:rFonts w:eastAsia="MS Mincho"/>
        </w:rPr>
        <w:t>specific health states have been measured using DCE methods</w:t>
      </w:r>
      <w:r w:rsidR="00606A88">
        <w:rPr>
          <w:rFonts w:eastAsia="MS Mincho"/>
        </w:rPr>
        <w:t xml:space="preserve">, such as </w:t>
      </w:r>
      <w:r>
        <w:rPr>
          <w:rFonts w:eastAsia="MS Mincho"/>
        </w:rPr>
        <w:t>asthma (</w:t>
      </w:r>
      <w:r w:rsidR="00606A88">
        <w:t>Brazier</w:t>
      </w:r>
      <w:r w:rsidR="00AD41C1">
        <w:t xml:space="preserve"> et al., </w:t>
      </w:r>
      <w:r w:rsidR="00606A88">
        <w:t xml:space="preserve">2012; </w:t>
      </w:r>
      <w:r>
        <w:rPr>
          <w:rFonts w:eastAsia="MS Mincho"/>
        </w:rPr>
        <w:t>Rowen</w:t>
      </w:r>
      <w:r w:rsidR="00AD41C1">
        <w:rPr>
          <w:rFonts w:eastAsia="MS Mincho"/>
        </w:rPr>
        <w:t xml:space="preserve"> et al., </w:t>
      </w:r>
      <w:r>
        <w:rPr>
          <w:rFonts w:eastAsia="MS Mincho"/>
        </w:rPr>
        <w:t xml:space="preserve">2015), </w:t>
      </w:r>
      <w:r w:rsidR="00606A88">
        <w:rPr>
          <w:rFonts w:eastAsia="MS Mincho"/>
        </w:rPr>
        <w:t>overactive bladder (</w:t>
      </w:r>
      <w:r w:rsidR="00606A88">
        <w:t xml:space="preserve">Brazier et al., 2012), sexual quality of life (Ratcliffe, Brazier, Tsuchiya, Symonds, &amp; Brown, 2009), and the 2010 and 2013 Global Burden of Disease studies (Salomon et al., 2012; 2015). </w:t>
      </w:r>
    </w:p>
    <w:p w14:paraId="5A3E27D2" w14:textId="3903E204" w:rsidR="0066191B" w:rsidRDefault="00586558" w:rsidP="00A64A33">
      <w:pPr>
        <w:pStyle w:val="VRGFBodycontent"/>
      </w:pPr>
      <w:r>
        <w:rPr>
          <w:rFonts w:eastAsia="MS Mincho"/>
        </w:rPr>
        <w:t>Researchers vary in their approach to DCE design as they attempt to find the ‘best’ method. Studies range from presenting respondents with the traditional choice between the best or worst of two hypothetical health states (</w:t>
      </w:r>
      <w:r w:rsidR="00A64A33">
        <w:rPr>
          <w:rFonts w:eastAsia="MS Mincho"/>
        </w:rPr>
        <w:t xml:space="preserve">Brazier et al., 2012; </w:t>
      </w:r>
      <w:r w:rsidR="00A64A33">
        <w:t>Burr</w:t>
      </w:r>
      <w:r w:rsidR="00C90B3F">
        <w:t xml:space="preserve"> et al., </w:t>
      </w:r>
      <w:r w:rsidR="00A64A33">
        <w:t xml:space="preserve">2007; Ratcliffe et al., 2009; </w:t>
      </w:r>
      <w:r w:rsidR="00C90B3F">
        <w:t xml:space="preserve">Ryan et al., 2006; </w:t>
      </w:r>
      <w:r w:rsidR="00A20272">
        <w:rPr>
          <w:rFonts w:eastAsia="MS Mincho"/>
        </w:rPr>
        <w:t xml:space="preserve">Salomon et al, 2012; Salomon et al., 2015; </w:t>
      </w:r>
      <w:r w:rsidR="00A64A33">
        <w:t>Stolk et al., 2010; V</w:t>
      </w:r>
      <w:r w:rsidR="00A64A33">
        <w:rPr>
          <w:rFonts w:eastAsia="MS Mincho"/>
        </w:rPr>
        <w:t>iney et al., 2014</w:t>
      </w:r>
      <w:r>
        <w:rPr>
          <w:rFonts w:eastAsia="MS Mincho"/>
        </w:rPr>
        <w:t>), two health states and a third ‘dead’ state</w:t>
      </w:r>
      <w:r w:rsidR="00A64A33">
        <w:rPr>
          <w:rFonts w:eastAsia="MS Mincho"/>
        </w:rPr>
        <w:t xml:space="preserve"> (Brazier et al., 2012; Stolk et al., 2010; Viney et al., 2014)</w:t>
      </w:r>
      <w:r>
        <w:rPr>
          <w:rFonts w:eastAsia="MS Mincho"/>
        </w:rPr>
        <w:t xml:space="preserve">, the incorporation of duration of the health state </w:t>
      </w:r>
      <w:r w:rsidR="00C90B3F">
        <w:rPr>
          <w:rFonts w:eastAsia="MS Mincho"/>
        </w:rPr>
        <w:t xml:space="preserve">in a DCE-TTO design </w:t>
      </w:r>
      <w:r>
        <w:rPr>
          <w:rFonts w:eastAsia="MS Mincho"/>
        </w:rPr>
        <w:t>(</w:t>
      </w:r>
      <w:r w:rsidR="00C90B3F">
        <w:rPr>
          <w:rFonts w:eastAsia="MS Mincho"/>
        </w:rPr>
        <w:t>Bansback et al., 2012; Bansback et al., 2014;</w:t>
      </w:r>
      <w:r w:rsidR="00C90B3F" w:rsidRPr="00C90B3F">
        <w:rPr>
          <w:rFonts w:eastAsia="MS Mincho"/>
        </w:rPr>
        <w:t xml:space="preserve"> </w:t>
      </w:r>
      <w:r w:rsidR="00C90B3F">
        <w:rPr>
          <w:rFonts w:eastAsia="MS Mincho"/>
        </w:rPr>
        <w:t>Viney et al, 2014</w:t>
      </w:r>
      <w:r w:rsidR="008E7D60">
        <w:rPr>
          <w:rFonts w:eastAsia="MS Mincho"/>
        </w:rPr>
        <w:t>)</w:t>
      </w:r>
      <w:r w:rsidR="00C90B3F">
        <w:rPr>
          <w:rFonts w:eastAsia="MS Mincho"/>
        </w:rPr>
        <w:t xml:space="preserve"> </w:t>
      </w:r>
      <w:r w:rsidR="009C332B">
        <w:rPr>
          <w:rFonts w:eastAsia="MS Mincho"/>
        </w:rPr>
        <w:t xml:space="preserve">trade-off between treatment groups in a </w:t>
      </w:r>
      <w:r>
        <w:rPr>
          <w:rFonts w:eastAsia="MS Mincho"/>
        </w:rPr>
        <w:t>DCE-</w:t>
      </w:r>
      <w:r w:rsidR="009C332B">
        <w:rPr>
          <w:rFonts w:eastAsia="MS Mincho"/>
        </w:rPr>
        <w:t xml:space="preserve">SG </w:t>
      </w:r>
      <w:r w:rsidR="008E7D60">
        <w:rPr>
          <w:rFonts w:eastAsia="MS Mincho"/>
        </w:rPr>
        <w:t xml:space="preserve">design </w:t>
      </w:r>
      <w:r w:rsidR="009C332B">
        <w:rPr>
          <w:rFonts w:eastAsia="MS Mincho"/>
        </w:rPr>
        <w:t>(</w:t>
      </w:r>
      <w:r w:rsidR="009C332B">
        <w:t xml:space="preserve">Robinson et al., 2015) </w:t>
      </w:r>
      <w:r w:rsidR="008E7D60">
        <w:rPr>
          <w:rFonts w:eastAsia="MS Mincho"/>
        </w:rPr>
        <w:t xml:space="preserve">a </w:t>
      </w:r>
      <w:r w:rsidR="009C332B">
        <w:rPr>
          <w:rFonts w:eastAsia="MS Mincho"/>
        </w:rPr>
        <w:t>DCE-</w:t>
      </w:r>
      <w:r>
        <w:rPr>
          <w:rFonts w:eastAsia="MS Mincho"/>
        </w:rPr>
        <w:t>PTO</w:t>
      </w:r>
      <w:r w:rsidR="008E7D60">
        <w:rPr>
          <w:rFonts w:eastAsia="MS Mincho"/>
        </w:rPr>
        <w:t xml:space="preserve"> </w:t>
      </w:r>
      <w:r w:rsidR="00A64A33">
        <w:rPr>
          <w:rFonts w:eastAsia="MS Mincho"/>
        </w:rPr>
        <w:t>design</w:t>
      </w:r>
      <w:r w:rsidR="009C332B">
        <w:rPr>
          <w:rFonts w:eastAsia="MS Mincho"/>
        </w:rPr>
        <w:t xml:space="preserve"> </w:t>
      </w:r>
      <w:r w:rsidR="00A64A33">
        <w:rPr>
          <w:rFonts w:eastAsia="MS Mincho"/>
        </w:rPr>
        <w:t>(</w:t>
      </w:r>
      <w:r w:rsidR="00C90B3F">
        <w:t>Lancsar, Wildman, Donaldson, Ryan, &amp; Baker, 2011</w:t>
      </w:r>
      <w:r w:rsidR="004A15D5">
        <w:t>)</w:t>
      </w:r>
      <w:r w:rsidR="0066191B">
        <w:t>, or a combined DCE</w:t>
      </w:r>
      <w:r w:rsidR="00541C1C">
        <w:t xml:space="preserve"> and ‘</w:t>
      </w:r>
      <w:r w:rsidR="0066191B">
        <w:t>population health equivalence design</w:t>
      </w:r>
      <w:r w:rsidR="00541C1C">
        <w:t>’ (the antecedent to the PTO)</w:t>
      </w:r>
      <w:r w:rsidR="0066191B">
        <w:t xml:space="preserve"> which </w:t>
      </w:r>
      <w:r w:rsidR="004A15D5">
        <w:t>asks respondents to choose which of two health programs produce the ‘greater overall population health benefit’ (</w:t>
      </w:r>
      <w:r w:rsidR="0066191B">
        <w:rPr>
          <w:rFonts w:eastAsia="MS Mincho"/>
        </w:rPr>
        <w:t>Salomon et al, 2012; Salomon et al., 2015</w:t>
      </w:r>
      <w:r w:rsidR="004A15D5">
        <w:rPr>
          <w:rFonts w:eastAsia="MS Mincho"/>
        </w:rPr>
        <w:t>).</w:t>
      </w:r>
    </w:p>
    <w:p w14:paraId="2B073964" w14:textId="74FC5D2A" w:rsidR="0019488D" w:rsidRDefault="009C332B" w:rsidP="00983AF0">
      <w:pPr>
        <w:pStyle w:val="VRGFBodycontent"/>
        <w:rPr>
          <w:rFonts w:eastAsia="MS Mincho"/>
        </w:rPr>
      </w:pPr>
      <w:r>
        <w:t xml:space="preserve">The statistical analyses in transforming </w:t>
      </w:r>
      <w:r w:rsidR="00C65DAD">
        <w:t xml:space="preserve">the latent utility from </w:t>
      </w:r>
      <w:r>
        <w:t>DCE ordinal data onto the cardinal 1-0 utility s</w:t>
      </w:r>
      <w:r w:rsidR="008E7D60">
        <w:t>cale</w:t>
      </w:r>
      <w:r w:rsidR="00C65DAD">
        <w:t xml:space="preserve"> is complex and challenging and requir</w:t>
      </w:r>
      <w:r w:rsidR="00E23040">
        <w:t>es</w:t>
      </w:r>
      <w:r w:rsidR="00C65DAD">
        <w:t xml:space="preserve"> anchoring values to an arbitrary 1-0 scale (</w:t>
      </w:r>
      <w:r w:rsidR="00E47430">
        <w:t>Rowen et al., 2015</w:t>
      </w:r>
      <w:r w:rsidR="00C65DAD">
        <w:t xml:space="preserve">). </w:t>
      </w:r>
      <w:r w:rsidR="00B075BB">
        <w:t>L</w:t>
      </w:r>
      <w:r w:rsidR="00C65DAD">
        <w:t xml:space="preserve">ogit </w:t>
      </w:r>
      <w:r w:rsidR="00B075BB">
        <w:t>or probit regression</w:t>
      </w:r>
      <w:r w:rsidR="00C65DAD">
        <w:t xml:space="preserve"> models</w:t>
      </w:r>
      <w:r w:rsidR="00B075BB">
        <w:t xml:space="preserve"> to anchor </w:t>
      </w:r>
      <w:r w:rsidR="00337454">
        <w:t xml:space="preserve">coefficient </w:t>
      </w:r>
      <w:r w:rsidR="00B075BB">
        <w:t>values to the “</w:t>
      </w:r>
      <w:r w:rsidR="00EA5EA6">
        <w:rPr>
          <w:rFonts w:eastAsia="MS Mincho"/>
        </w:rPr>
        <w:t>full health</w:t>
      </w:r>
      <w:r w:rsidR="00E23040">
        <w:rPr>
          <w:rFonts w:eastAsia="MS Mincho"/>
        </w:rPr>
        <w:t>”</w:t>
      </w:r>
      <w:r w:rsidR="00337454">
        <w:rPr>
          <w:rFonts w:eastAsia="MS Mincho"/>
        </w:rPr>
        <w:t xml:space="preserve"> or “perfect health”</w:t>
      </w:r>
      <w:r w:rsidR="00EA5EA6">
        <w:rPr>
          <w:rFonts w:eastAsia="MS Mincho"/>
        </w:rPr>
        <w:t xml:space="preserve"> (1) to “dead” (0) scale </w:t>
      </w:r>
      <w:r w:rsidR="00B075BB">
        <w:rPr>
          <w:rFonts w:eastAsia="MS Mincho"/>
        </w:rPr>
        <w:t>data are typically used, methods differing from</w:t>
      </w:r>
      <w:r w:rsidR="009817B5">
        <w:rPr>
          <w:rFonts w:eastAsia="MS Mincho"/>
        </w:rPr>
        <w:t xml:space="preserve"> anchoring </w:t>
      </w:r>
      <w:r w:rsidR="00B075BB">
        <w:rPr>
          <w:rFonts w:eastAsia="MS Mincho"/>
        </w:rPr>
        <w:t>onto TTO</w:t>
      </w:r>
      <w:r w:rsidR="00834173">
        <w:rPr>
          <w:rFonts w:eastAsia="MS Mincho"/>
        </w:rPr>
        <w:t xml:space="preserve"> </w:t>
      </w:r>
      <w:r w:rsidR="00337454">
        <w:rPr>
          <w:rFonts w:eastAsia="MS Mincho"/>
        </w:rPr>
        <w:t>data</w:t>
      </w:r>
      <w:r w:rsidR="00834173">
        <w:rPr>
          <w:rFonts w:eastAsia="MS Mincho"/>
        </w:rPr>
        <w:t xml:space="preserve"> (Brazie</w:t>
      </w:r>
      <w:r w:rsidR="00AF5FF0">
        <w:rPr>
          <w:rFonts w:eastAsia="MS Mincho"/>
        </w:rPr>
        <w:t>r</w:t>
      </w:r>
      <w:r w:rsidR="00834173">
        <w:rPr>
          <w:rFonts w:eastAsia="MS Mincho"/>
        </w:rPr>
        <w:t xml:space="preserve"> et al., 2012; </w:t>
      </w:r>
      <w:r w:rsidR="00AF5FF0">
        <w:t xml:space="preserve">Pullenayegum &amp; Xie, 2013; </w:t>
      </w:r>
      <w:r w:rsidR="00337454">
        <w:rPr>
          <w:rFonts w:eastAsia="MS Mincho"/>
        </w:rPr>
        <w:t xml:space="preserve">Ratcliffe et al., 2009; </w:t>
      </w:r>
      <w:r w:rsidR="00834173">
        <w:rPr>
          <w:rFonts w:eastAsia="MS Mincho"/>
        </w:rPr>
        <w:t>Rowen et al., 2015</w:t>
      </w:r>
      <w:r w:rsidR="00337454">
        <w:rPr>
          <w:rFonts w:eastAsia="MS Mincho"/>
        </w:rPr>
        <w:t>; Stolk et al., 2010</w:t>
      </w:r>
      <w:r w:rsidR="00834173">
        <w:rPr>
          <w:rFonts w:eastAsia="MS Mincho"/>
        </w:rPr>
        <w:t>)</w:t>
      </w:r>
      <w:r w:rsidR="00DA39A1">
        <w:rPr>
          <w:rFonts w:eastAsia="MS Mincho"/>
        </w:rPr>
        <w:t>,</w:t>
      </w:r>
      <w:r w:rsidR="00834173">
        <w:rPr>
          <w:rFonts w:eastAsia="MS Mincho"/>
        </w:rPr>
        <w:t xml:space="preserve"> </w:t>
      </w:r>
      <w:r w:rsidR="00337454">
        <w:rPr>
          <w:rFonts w:eastAsia="MS Mincho"/>
        </w:rPr>
        <w:t>c</w:t>
      </w:r>
      <w:r w:rsidR="00834173">
        <w:rPr>
          <w:rFonts w:eastAsia="MS Mincho"/>
        </w:rPr>
        <w:t xml:space="preserve">ombined </w:t>
      </w:r>
      <w:r w:rsidR="00B075BB">
        <w:rPr>
          <w:rFonts w:eastAsia="MS Mincho"/>
        </w:rPr>
        <w:t xml:space="preserve">DCE-TTO </w:t>
      </w:r>
      <w:r w:rsidR="00834173">
        <w:rPr>
          <w:rFonts w:eastAsia="MS Mincho"/>
        </w:rPr>
        <w:t xml:space="preserve">data </w:t>
      </w:r>
      <w:r w:rsidR="00B075BB">
        <w:rPr>
          <w:rFonts w:eastAsia="MS Mincho"/>
        </w:rPr>
        <w:t>(</w:t>
      </w:r>
      <w:r w:rsidR="00834173">
        <w:rPr>
          <w:rFonts w:eastAsia="MS Mincho"/>
        </w:rPr>
        <w:t xml:space="preserve">Bansback et al., 2012; Bansback et al., 2014; </w:t>
      </w:r>
      <w:r w:rsidR="00B075BB">
        <w:rPr>
          <w:rFonts w:eastAsia="MS Mincho"/>
        </w:rPr>
        <w:t>Rowen et al., 2015</w:t>
      </w:r>
      <w:r w:rsidR="00834173">
        <w:rPr>
          <w:rFonts w:eastAsia="MS Mincho"/>
        </w:rPr>
        <w:t>; Viney et al., 2015</w:t>
      </w:r>
      <w:r w:rsidR="00B075BB">
        <w:rPr>
          <w:rFonts w:eastAsia="MS Mincho"/>
        </w:rPr>
        <w:t>)</w:t>
      </w:r>
      <w:r w:rsidR="00834173">
        <w:rPr>
          <w:rFonts w:eastAsia="MS Mincho"/>
        </w:rPr>
        <w:t xml:space="preserve">, </w:t>
      </w:r>
      <w:r w:rsidR="009817B5">
        <w:rPr>
          <w:rFonts w:eastAsia="MS Mincho"/>
        </w:rPr>
        <w:t xml:space="preserve">a third “dead” state dummy variable (Brazier et al., 2012; Rowen et al., 2015; Stolk et al., 2010), to the “best” (1) and “worse” (0) health states in line with the logical ordering on the classification system (i.e. EQ-5D) (Robinson et al., 2015; Ryan et al., 2006), </w:t>
      </w:r>
      <w:r w:rsidR="009817B5">
        <w:rPr>
          <w:rFonts w:eastAsia="MS Mincho"/>
        </w:rPr>
        <w:lastRenderedPageBreak/>
        <w:t xml:space="preserve">using a </w:t>
      </w:r>
      <w:r w:rsidR="009817B5" w:rsidRPr="00DA39A1">
        <w:rPr>
          <w:rFonts w:eastAsia="MS Mincho"/>
        </w:rPr>
        <w:t>compensating variation</w:t>
      </w:r>
      <w:r w:rsidR="009817B5">
        <w:rPr>
          <w:rFonts w:eastAsia="MS Mincho"/>
        </w:rPr>
        <w:t xml:space="preserve"> </w:t>
      </w:r>
      <w:r w:rsidR="009817B5" w:rsidRPr="00DA39A1">
        <w:rPr>
          <w:rFonts w:eastAsia="MS Mincho"/>
        </w:rPr>
        <w:t>(CV) approach</w:t>
      </w:r>
      <w:r w:rsidR="009817B5">
        <w:rPr>
          <w:rFonts w:eastAsia="MS Mincho"/>
        </w:rPr>
        <w:t xml:space="preserve"> (Lancsar et al., 2011), or </w:t>
      </w:r>
      <w:r w:rsidR="004A15D5">
        <w:rPr>
          <w:rFonts w:eastAsia="MS Mincho"/>
        </w:rPr>
        <w:t xml:space="preserve">to </w:t>
      </w:r>
      <w:r w:rsidR="0066191B">
        <w:rPr>
          <w:rFonts w:eastAsia="MS Mincho"/>
        </w:rPr>
        <w:t>population health equivalence data</w:t>
      </w:r>
      <w:r w:rsidR="00541C1C">
        <w:rPr>
          <w:rFonts w:eastAsia="MS Mincho"/>
        </w:rPr>
        <w:t xml:space="preserve"> </w:t>
      </w:r>
      <w:r w:rsidR="0019488D">
        <w:rPr>
          <w:rFonts w:eastAsia="MS Mincho"/>
        </w:rPr>
        <w:t>on a 0-1 disability scale (</w:t>
      </w:r>
      <w:r w:rsidR="00DA39A1">
        <w:rPr>
          <w:rFonts w:eastAsia="MS Mincho"/>
        </w:rPr>
        <w:t>Salomon et al, 2012; Salomon et al., 2015</w:t>
      </w:r>
      <w:r w:rsidR="0019488D">
        <w:rPr>
          <w:rFonts w:eastAsia="MS Mincho"/>
        </w:rPr>
        <w:t xml:space="preserve">) where 1 represents “dead or as bad as dead” (Nord, 2013). </w:t>
      </w:r>
    </w:p>
    <w:p w14:paraId="09C20681" w14:textId="6C3A9302" w:rsidR="00022AD8" w:rsidRDefault="0019488D" w:rsidP="00983AF0">
      <w:pPr>
        <w:pStyle w:val="VRGFBodycontent"/>
        <w:rPr>
          <w:rFonts w:eastAsia="MS Mincho"/>
        </w:rPr>
      </w:pPr>
      <w:r>
        <w:rPr>
          <w:rFonts w:eastAsia="MS Mincho"/>
        </w:rPr>
        <w:t xml:space="preserve">Alongside this variability in the approach to modelling DCE data, is evidence that different statistical models produce different results when compared to </w:t>
      </w:r>
      <w:r w:rsidR="00022AD8">
        <w:rPr>
          <w:rFonts w:eastAsia="MS Mincho"/>
        </w:rPr>
        <w:t>o</w:t>
      </w:r>
      <w:r>
        <w:rPr>
          <w:rFonts w:eastAsia="MS Mincho"/>
        </w:rPr>
        <w:t xml:space="preserve">ther DCE </w:t>
      </w:r>
      <w:r w:rsidR="00022AD8">
        <w:rPr>
          <w:rFonts w:eastAsia="MS Mincho"/>
        </w:rPr>
        <w:t xml:space="preserve">approaches </w:t>
      </w:r>
      <w:r>
        <w:rPr>
          <w:rFonts w:eastAsia="MS Mincho"/>
        </w:rPr>
        <w:t>(</w:t>
      </w:r>
      <w:r w:rsidR="00022AD8">
        <w:t xml:space="preserve">Brazier et al., 2012; </w:t>
      </w:r>
      <w:r>
        <w:rPr>
          <w:rFonts w:eastAsia="MS Mincho"/>
        </w:rPr>
        <w:t>Rowen et al., 2015)</w:t>
      </w:r>
      <w:r w:rsidR="00022AD8">
        <w:rPr>
          <w:rFonts w:eastAsia="MS Mincho"/>
        </w:rPr>
        <w:t>. DCE derived utilities have also been shown to yield higher values than TTO (</w:t>
      </w:r>
      <w:r w:rsidR="00585EC1">
        <w:rPr>
          <w:rFonts w:eastAsia="MS Mincho"/>
        </w:rPr>
        <w:t xml:space="preserve">Bansback et al., 2012; </w:t>
      </w:r>
      <w:r w:rsidR="00022AD8">
        <w:t>Brazier et al., 2012; Stolk et al., 2010; Viney et al., 2014)</w:t>
      </w:r>
      <w:r w:rsidR="00585EC1">
        <w:t xml:space="preserve">, </w:t>
      </w:r>
      <w:r w:rsidR="00022AD8">
        <w:t>the VAS (</w:t>
      </w:r>
      <w:r w:rsidR="00585EC1">
        <w:t xml:space="preserve">Burr et al., 2007; </w:t>
      </w:r>
      <w:r w:rsidR="00022AD8">
        <w:t>Stolk et al., 2010)</w:t>
      </w:r>
      <w:r w:rsidR="00585EC1">
        <w:rPr>
          <w:rFonts w:eastAsia="MS Mincho"/>
        </w:rPr>
        <w:t>, an</w:t>
      </w:r>
      <w:r>
        <w:rPr>
          <w:rFonts w:eastAsia="MS Mincho"/>
        </w:rPr>
        <w:t xml:space="preserve">d rank data </w:t>
      </w:r>
      <w:r w:rsidR="00585EC1">
        <w:rPr>
          <w:rFonts w:eastAsia="MS Mincho"/>
        </w:rPr>
        <w:t>(Ratcliffe et al., 2009</w:t>
      </w:r>
      <w:r>
        <w:rPr>
          <w:rFonts w:eastAsia="MS Mincho"/>
        </w:rPr>
        <w:t>).</w:t>
      </w:r>
      <w:r w:rsidR="00A02CA9">
        <w:rPr>
          <w:rFonts w:eastAsia="MS Mincho"/>
        </w:rPr>
        <w:t xml:space="preserve"> </w:t>
      </w:r>
    </w:p>
    <w:p w14:paraId="59912875" w14:textId="241FA91A" w:rsidR="00603EE2" w:rsidRDefault="00721099" w:rsidP="00603EE2">
      <w:pPr>
        <w:pStyle w:val="VRGFBodycontent"/>
        <w:rPr>
          <w:rFonts w:eastAsia="MS Mincho"/>
        </w:rPr>
      </w:pPr>
      <w:r>
        <w:rPr>
          <w:rFonts w:eastAsia="MS Mincho"/>
        </w:rPr>
        <w:t xml:space="preserve">In the </w:t>
      </w:r>
      <w:r w:rsidR="009B6346">
        <w:rPr>
          <w:rFonts w:eastAsia="MS Mincho"/>
        </w:rPr>
        <w:t xml:space="preserve">health-state utility context </w:t>
      </w:r>
      <w:r w:rsidR="009366DF">
        <w:rPr>
          <w:rFonts w:eastAsia="MS Mincho"/>
        </w:rPr>
        <w:t xml:space="preserve">several </w:t>
      </w:r>
      <w:r w:rsidR="002D1EC4">
        <w:rPr>
          <w:rFonts w:eastAsia="MS Mincho"/>
        </w:rPr>
        <w:t xml:space="preserve">weaknesses </w:t>
      </w:r>
      <w:r w:rsidR="009366DF">
        <w:rPr>
          <w:rFonts w:eastAsia="MS Mincho"/>
        </w:rPr>
        <w:t xml:space="preserve">of DCE have been put forward, including that many respondents don’t see health states as being worse or better than dead (Brazier et al., 2012; Rowen et al., 2015), the addition of duration into the DCE task adds complexity (Rowen et al., 2015), their general inability to derive individual-level utility values (violating the assumption of variance heterogeneity) which require a large number of paired comparison </w:t>
      </w:r>
      <w:r w:rsidR="00BC4E03">
        <w:rPr>
          <w:rFonts w:eastAsia="MS Mincho"/>
        </w:rPr>
        <w:t xml:space="preserve">typically avoided due to </w:t>
      </w:r>
      <w:r w:rsidR="009366DF">
        <w:rPr>
          <w:rFonts w:eastAsia="MS Mincho"/>
        </w:rPr>
        <w:t>complicating the design or overburdening respondents (</w:t>
      </w:r>
      <w:r w:rsidR="002D1EC4">
        <w:rPr>
          <w:rFonts w:eastAsia="MS Mincho"/>
        </w:rPr>
        <w:t xml:space="preserve">Bansback et al., 2014; </w:t>
      </w:r>
      <w:r w:rsidR="009366DF">
        <w:rPr>
          <w:rFonts w:eastAsia="MS Mincho"/>
        </w:rPr>
        <w:t xml:space="preserve">Lanscar &amp; Louviere, 2008; Flynn, 2010; </w:t>
      </w:r>
      <w:r w:rsidR="00BC4E03">
        <w:rPr>
          <w:rFonts w:eastAsia="MS Mincho"/>
        </w:rPr>
        <w:t xml:space="preserve">Flynn, Louviere, Peters, &amp; Coast, 2010; </w:t>
      </w:r>
      <w:r w:rsidR="009366DF">
        <w:rPr>
          <w:rFonts w:eastAsia="MS Mincho"/>
        </w:rPr>
        <w:t>Robinson et al., 2015</w:t>
      </w:r>
      <w:r w:rsidR="002D1EC4">
        <w:rPr>
          <w:rFonts w:eastAsia="MS Mincho"/>
        </w:rPr>
        <w:t>) lack of evidence of external validity (</w:t>
      </w:r>
      <w:r w:rsidR="00BC4E03">
        <w:rPr>
          <w:rFonts w:eastAsia="MS Mincho"/>
        </w:rPr>
        <w:t>de Bekker-Gro</w:t>
      </w:r>
      <w:r w:rsidR="00AD41C1">
        <w:rPr>
          <w:rFonts w:eastAsia="MS Mincho"/>
        </w:rPr>
        <w:t xml:space="preserve">b et al., </w:t>
      </w:r>
      <w:r w:rsidR="00BC4E03">
        <w:rPr>
          <w:rFonts w:eastAsia="MS Mincho"/>
        </w:rPr>
        <w:t xml:space="preserve">2010; </w:t>
      </w:r>
      <w:r w:rsidR="002D1EC4">
        <w:rPr>
          <w:rFonts w:eastAsia="MS Mincho"/>
        </w:rPr>
        <w:t>Lanscar &amp; Louviere, 2008), smaller DCE designs violation of the assumption of the independence of irrelevant alternative (in multinominal logit models) (Bansback et al., 2012; Stolk et al., 2010)</w:t>
      </w:r>
      <w:r w:rsidR="00BC4E03">
        <w:rPr>
          <w:rFonts w:eastAsia="MS Mincho"/>
        </w:rPr>
        <w:t xml:space="preserve">, </w:t>
      </w:r>
      <w:r w:rsidR="009366DF">
        <w:rPr>
          <w:rFonts w:eastAsia="MS Mincho"/>
        </w:rPr>
        <w:t xml:space="preserve">DCE methods are not widely used due to the </w:t>
      </w:r>
      <w:r w:rsidR="00603EE2">
        <w:rPr>
          <w:rFonts w:eastAsia="MS Mincho"/>
        </w:rPr>
        <w:t>challenge of anchoring ordinal data onto the 1-0 QALY scale</w:t>
      </w:r>
      <w:r w:rsidR="009366DF">
        <w:rPr>
          <w:rFonts w:eastAsia="MS Mincho"/>
        </w:rPr>
        <w:t xml:space="preserve"> (Rowen et al., 2015)</w:t>
      </w:r>
      <w:r w:rsidR="00BC4E03">
        <w:rPr>
          <w:rFonts w:eastAsia="MS Mincho"/>
        </w:rPr>
        <w:t>, and the lack of guidance to calculate the minimum sample size requirements (de Bekker-Grob, Donkers, Jonker, &amp; Stolk, 2015).</w:t>
      </w:r>
    </w:p>
    <w:p w14:paraId="22F14F8D" w14:textId="71D1324A" w:rsidR="00A02CA9" w:rsidRDefault="009B6346" w:rsidP="00A02CA9">
      <w:pPr>
        <w:pStyle w:val="VRGFBodycontent"/>
        <w:rPr>
          <w:rFonts w:eastAsia="MS Mincho"/>
        </w:rPr>
      </w:pPr>
      <w:r>
        <w:rPr>
          <w:rFonts w:eastAsia="MS Mincho"/>
        </w:rPr>
        <w:t>Finally, t</w:t>
      </w:r>
      <w:r w:rsidR="00A02CA9">
        <w:rPr>
          <w:rFonts w:eastAsia="MS Mincho"/>
        </w:rPr>
        <w:t xml:space="preserve">his lack of consensus on the DCE design, statistical modelling, and results has researchers advocating for further research comparing DCE methods for deriving health state utilities (Bansback et al., 2014; </w:t>
      </w:r>
      <w:r w:rsidR="00A02CA9">
        <w:t>Brazier et al., 2012;</w:t>
      </w:r>
      <w:r w:rsidR="00BC4E03">
        <w:t xml:space="preserve"> de Bekker-Grob et al., 2010;</w:t>
      </w:r>
      <w:r w:rsidR="00A02CA9">
        <w:t xml:space="preserve"> </w:t>
      </w:r>
      <w:r w:rsidR="00BC4E03">
        <w:t xml:space="preserve">Gu, Norman, &amp; Viney, 2014; </w:t>
      </w:r>
      <w:r w:rsidR="00A02CA9">
        <w:t xml:space="preserve">Nord, 2013; </w:t>
      </w:r>
      <w:r w:rsidR="002D1EC4">
        <w:t xml:space="preserve">Ratcliffe et al., 2009; </w:t>
      </w:r>
      <w:r w:rsidR="00A02CA9">
        <w:rPr>
          <w:rFonts w:eastAsia="MS Mincho"/>
        </w:rPr>
        <w:t>Robinson et al., 2015; Rowen et al., 2015; Stolk et al., 2010;</w:t>
      </w:r>
      <w:r w:rsidR="00A02CA9" w:rsidRPr="00A20EFF">
        <w:rPr>
          <w:rFonts w:eastAsia="MS Mincho"/>
        </w:rPr>
        <w:t xml:space="preserve"> </w:t>
      </w:r>
      <w:r w:rsidR="00A02CA9">
        <w:rPr>
          <w:rFonts w:eastAsia="MS Mincho"/>
        </w:rPr>
        <w:t xml:space="preserve">Viney et al, 2014). Based on the lack of validity of the DCE method, the current research into gambling-related harm utilities has ruled out using </w:t>
      </w:r>
      <w:r w:rsidR="00603EE2">
        <w:rPr>
          <w:rFonts w:eastAsia="MS Mincho"/>
        </w:rPr>
        <w:t xml:space="preserve">a </w:t>
      </w:r>
      <w:r w:rsidR="00A02CA9">
        <w:rPr>
          <w:rFonts w:eastAsia="MS Mincho"/>
        </w:rPr>
        <w:t>DCE methodology</w:t>
      </w:r>
      <w:r w:rsidR="00603EE2">
        <w:rPr>
          <w:rFonts w:eastAsia="MS Mincho"/>
        </w:rPr>
        <w:t>.</w:t>
      </w:r>
    </w:p>
    <w:p w14:paraId="57423BC8" w14:textId="77777777" w:rsidR="00EA5EA6" w:rsidRDefault="00EA5EA6" w:rsidP="00A008A5">
      <w:pPr>
        <w:pStyle w:val="VRGFBodycontent"/>
        <w:rPr>
          <w:color w:val="211D1E"/>
          <w:sz w:val="21"/>
          <w:szCs w:val="21"/>
        </w:rPr>
      </w:pPr>
    </w:p>
    <w:p w14:paraId="3F38CE94" w14:textId="77777777" w:rsidR="00F61793" w:rsidRPr="00D302D0" w:rsidRDefault="00F61793" w:rsidP="00191866">
      <w:pPr>
        <w:pStyle w:val="VRGFHead3"/>
      </w:pPr>
      <w:bookmarkStart w:id="246" w:name="_Toc462738054"/>
      <w:r w:rsidRPr="00D302D0">
        <w:t>Applying summary measures to the current research</w:t>
      </w:r>
      <w:bookmarkEnd w:id="246"/>
    </w:p>
    <w:p w14:paraId="0159E82C" w14:textId="4F96E61C" w:rsidR="00F61793" w:rsidRDefault="00F61793" w:rsidP="00F61793">
      <w:pPr>
        <w:pStyle w:val="VRGFBodycontent"/>
        <w:rPr>
          <w:rFonts w:eastAsia="MS Mincho"/>
        </w:rPr>
      </w:pPr>
      <w:r w:rsidRPr="00D82AC4">
        <w:rPr>
          <w:rFonts w:eastAsia="MS Mincho"/>
        </w:rPr>
        <w:t>Outcomes from summary measures can be calculated and applied in two different ways: as health expectancies and health gaps</w:t>
      </w:r>
      <w:r w:rsidR="00BF0218">
        <w:rPr>
          <w:rFonts w:eastAsia="MS Mincho"/>
        </w:rPr>
        <w:t>.</w:t>
      </w:r>
      <w:r w:rsidR="008610D3">
        <w:rPr>
          <w:rFonts w:eastAsia="MS Mincho"/>
        </w:rPr>
        <w:t xml:space="preserve"> </w:t>
      </w:r>
      <w:r w:rsidRPr="00D82AC4">
        <w:rPr>
          <w:rFonts w:eastAsia="MS Mincho"/>
        </w:rPr>
        <w:t xml:space="preserve">Health expectancies reflect life expectancies from birth that take into </w:t>
      </w:r>
      <w:r w:rsidRPr="0043466E">
        <w:rPr>
          <w:rFonts w:eastAsia="MS Mincho"/>
        </w:rPr>
        <w:t xml:space="preserve">account lower </w:t>
      </w:r>
      <w:r w:rsidR="0043466E">
        <w:rPr>
          <w:rFonts w:eastAsia="MS Mincho"/>
        </w:rPr>
        <w:t>utilities</w:t>
      </w:r>
      <w:r w:rsidR="0043466E" w:rsidRPr="0043466E">
        <w:rPr>
          <w:rFonts w:eastAsia="MS Mincho"/>
        </w:rPr>
        <w:t xml:space="preserve"> </w:t>
      </w:r>
      <w:r w:rsidRPr="0043466E">
        <w:rPr>
          <w:rFonts w:eastAsia="MS Mincho"/>
        </w:rPr>
        <w:t>for years lived in health states worse than full health (Murray, Salomon, &amp; Mathers, 2000)</w:t>
      </w:r>
      <w:r w:rsidR="00BF0218" w:rsidRPr="0043466E">
        <w:rPr>
          <w:rFonts w:eastAsia="MS Mincho"/>
        </w:rPr>
        <w:t>.</w:t>
      </w:r>
      <w:r w:rsidR="008610D3" w:rsidRPr="0043466E">
        <w:rPr>
          <w:rFonts w:eastAsia="MS Mincho"/>
        </w:rPr>
        <w:t xml:space="preserve"> </w:t>
      </w:r>
      <w:r w:rsidRPr="0043466E">
        <w:rPr>
          <w:rFonts w:eastAsia="MS Mincho"/>
        </w:rPr>
        <w:t>Most useful for the current study</w:t>
      </w:r>
      <w:r w:rsidR="00AA1EAC" w:rsidRPr="0043466E">
        <w:rPr>
          <w:rFonts w:eastAsia="MS Mincho"/>
        </w:rPr>
        <w:t>,</w:t>
      </w:r>
      <w:r w:rsidRPr="0043466E">
        <w:rPr>
          <w:rFonts w:eastAsia="MS Mincho"/>
        </w:rPr>
        <w:t xml:space="preserve"> however, are health-gap measures that quantify the difference between actual health and some stated norm or goal health status</w:t>
      </w:r>
      <w:r w:rsidR="00BF0218" w:rsidRPr="0043466E">
        <w:rPr>
          <w:rFonts w:eastAsia="MS Mincho"/>
        </w:rPr>
        <w:t>.</w:t>
      </w:r>
      <w:r w:rsidR="008610D3" w:rsidRPr="0043466E">
        <w:rPr>
          <w:rFonts w:eastAsia="MS Mincho"/>
        </w:rPr>
        <w:t xml:space="preserve"> </w:t>
      </w:r>
      <w:r w:rsidRPr="0043466E">
        <w:rPr>
          <w:rFonts w:eastAsia="MS Mincho"/>
        </w:rPr>
        <w:t>These measures provide a common metric for population health that link the experience of health gaps with the potential health gain from interventions</w:t>
      </w:r>
      <w:r w:rsidR="00BF0218" w:rsidRPr="0043466E">
        <w:rPr>
          <w:rFonts w:eastAsia="MS Mincho"/>
        </w:rPr>
        <w:t>.</w:t>
      </w:r>
      <w:r w:rsidR="008610D3" w:rsidRPr="0043466E">
        <w:rPr>
          <w:rFonts w:eastAsia="MS Mincho"/>
        </w:rPr>
        <w:t xml:space="preserve"> </w:t>
      </w:r>
      <w:r w:rsidRPr="0043466E">
        <w:rPr>
          <w:rFonts w:eastAsia="MS Mincho"/>
        </w:rPr>
        <w:t>Health gaps are measured on a common metric scale</w:t>
      </w:r>
      <w:r w:rsidR="00AA1EAC" w:rsidRPr="0043466E">
        <w:rPr>
          <w:rFonts w:eastAsia="MS Mincho"/>
        </w:rPr>
        <w:t>,</w:t>
      </w:r>
      <w:r w:rsidRPr="0043466E">
        <w:rPr>
          <w:rFonts w:eastAsia="MS Mincho"/>
        </w:rPr>
        <w:t xml:space="preserve"> which allows for relative comparisons across a number of different diseases and social problems, including problem gambling</w:t>
      </w:r>
      <w:r w:rsidR="00BF0218" w:rsidRPr="0043466E">
        <w:rPr>
          <w:rFonts w:eastAsia="MS Mincho"/>
        </w:rPr>
        <w:t>.</w:t>
      </w:r>
      <w:r w:rsidR="008610D3" w:rsidRPr="0043466E">
        <w:rPr>
          <w:rFonts w:eastAsia="MS Mincho"/>
        </w:rPr>
        <w:t xml:space="preserve"> </w:t>
      </w:r>
      <w:r w:rsidRPr="0043466E">
        <w:rPr>
          <w:rFonts w:eastAsia="MS Mincho"/>
        </w:rPr>
        <w:t>This is particularly</w:t>
      </w:r>
      <w:r w:rsidRPr="00D82AC4">
        <w:rPr>
          <w:rFonts w:eastAsia="MS Mincho"/>
        </w:rPr>
        <w:t xml:space="preserve"> useful for priority setting processes as it allows relative comparison of potential effectiveness of remedial action.</w:t>
      </w:r>
    </w:p>
    <w:p w14:paraId="712CA2BE" w14:textId="77777777" w:rsidR="00F61793" w:rsidRPr="00D82AC4" w:rsidRDefault="00F61793" w:rsidP="00F61793">
      <w:pPr>
        <w:pStyle w:val="VRGFBodycontent"/>
        <w:rPr>
          <w:rFonts w:eastAsia="MS Mincho"/>
        </w:rPr>
      </w:pPr>
    </w:p>
    <w:p w14:paraId="586C4D28" w14:textId="0E960882" w:rsidR="00F61793" w:rsidRPr="00D302D0" w:rsidRDefault="00F61793" w:rsidP="00292BC2">
      <w:pPr>
        <w:pStyle w:val="VRGFHead3"/>
        <w:keepNext/>
      </w:pPr>
      <w:bookmarkStart w:id="247" w:name="_Toc462738055"/>
      <w:r w:rsidRPr="00D302D0">
        <w:lastRenderedPageBreak/>
        <w:t>Limitations / considerations to choice of measure</w:t>
      </w:r>
      <w:r w:rsidR="007E3C29">
        <w:t xml:space="preserve"> for gambling-related harm</w:t>
      </w:r>
      <w:bookmarkEnd w:id="247"/>
    </w:p>
    <w:p w14:paraId="4DD8DFC2" w14:textId="36ED7B10" w:rsidR="00F61793" w:rsidRPr="007E3C29" w:rsidRDefault="00F61793" w:rsidP="00F61793">
      <w:pPr>
        <w:pStyle w:val="VRGFBodycontent"/>
        <w:rPr>
          <w:rFonts w:eastAsia="MS Mincho"/>
        </w:rPr>
      </w:pPr>
      <w:r w:rsidRPr="00D82AC4">
        <w:rPr>
          <w:rFonts w:eastAsia="MS Mincho"/>
        </w:rPr>
        <w:t xml:space="preserve">Two main obstacles restrict the utilisation of a standard health </w:t>
      </w:r>
      <w:r w:rsidR="00292BC2">
        <w:rPr>
          <w:rFonts w:eastAsia="MS Mincho"/>
        </w:rPr>
        <w:t>decrement</w:t>
      </w:r>
      <w:r w:rsidRPr="00D82AC4">
        <w:rPr>
          <w:rFonts w:eastAsia="MS Mincho"/>
        </w:rPr>
        <w:t xml:space="preserve"> measure to capture the impact of </w:t>
      </w:r>
      <w:r w:rsidR="002A2602">
        <w:rPr>
          <w:rFonts w:eastAsia="MS Mincho"/>
        </w:rPr>
        <w:t>gambling-related</w:t>
      </w:r>
      <w:r w:rsidRPr="00D82AC4">
        <w:rPr>
          <w:rFonts w:eastAsia="MS Mincho"/>
        </w:rPr>
        <w:t xml:space="preserve"> harm at a population level</w:t>
      </w:r>
      <w:r w:rsidR="00BF0218">
        <w:rPr>
          <w:rFonts w:eastAsia="MS Mincho"/>
        </w:rPr>
        <w:t>.</w:t>
      </w:r>
      <w:r w:rsidR="008610D3">
        <w:rPr>
          <w:rFonts w:eastAsia="MS Mincho"/>
        </w:rPr>
        <w:t xml:space="preserve"> </w:t>
      </w:r>
      <w:r w:rsidRPr="00D82AC4">
        <w:rPr>
          <w:rFonts w:eastAsia="MS Mincho"/>
        </w:rPr>
        <w:t>The first is the absence of credible or systematic mortality data relating to gambling</w:t>
      </w:r>
      <w:r w:rsidR="00BF0218">
        <w:rPr>
          <w:rFonts w:eastAsia="MS Mincho"/>
        </w:rPr>
        <w:t>.</w:t>
      </w:r>
      <w:r w:rsidR="008610D3">
        <w:rPr>
          <w:rFonts w:eastAsia="MS Mincho"/>
        </w:rPr>
        <w:t xml:space="preserve"> </w:t>
      </w:r>
      <w:r>
        <w:rPr>
          <w:rFonts w:eastAsia="MS Mincho"/>
        </w:rPr>
        <w:t>T</w:t>
      </w:r>
      <w:r w:rsidRPr="00D82AC4">
        <w:rPr>
          <w:rFonts w:eastAsia="MS Mincho"/>
        </w:rPr>
        <w:t xml:space="preserve">he second is the restricted ability to develop a credible disease </w:t>
      </w:r>
      <w:r w:rsidRPr="007E3C29">
        <w:rPr>
          <w:rFonts w:eastAsia="MS Mincho"/>
        </w:rPr>
        <w:t>model for gambling.</w:t>
      </w:r>
    </w:p>
    <w:p w14:paraId="140CE25B" w14:textId="34B2326E" w:rsidR="00F61793" w:rsidRPr="007E3C29" w:rsidRDefault="00F61793" w:rsidP="00F61793">
      <w:pPr>
        <w:pStyle w:val="VRGFBodycontent"/>
        <w:rPr>
          <w:rFonts w:eastAsia="MS Mincho"/>
        </w:rPr>
      </w:pPr>
      <w:r w:rsidRPr="007E3C29">
        <w:rPr>
          <w:rFonts w:eastAsia="MS Mincho"/>
        </w:rPr>
        <w:t>Both QALYs and DALYs incorporate a mortality component within the measure that reflects the cost of premature death</w:t>
      </w:r>
      <w:r w:rsidR="00BF0218" w:rsidRPr="007E3C29">
        <w:rPr>
          <w:rFonts w:eastAsia="MS Mincho"/>
        </w:rPr>
        <w:t>.</w:t>
      </w:r>
      <w:r w:rsidR="008610D3" w:rsidRPr="007E3C29">
        <w:rPr>
          <w:rFonts w:eastAsia="MS Mincho"/>
        </w:rPr>
        <w:t xml:space="preserve"> </w:t>
      </w:r>
      <w:r w:rsidRPr="007E3C29">
        <w:rPr>
          <w:rFonts w:eastAsia="MS Mincho"/>
        </w:rPr>
        <w:t>Premature death related to gambling is not possible to capture within the scope of the present study</w:t>
      </w:r>
      <w:r w:rsidR="00BF0218" w:rsidRPr="007E3C29">
        <w:rPr>
          <w:rFonts w:eastAsia="MS Mincho"/>
        </w:rPr>
        <w:t>.</w:t>
      </w:r>
      <w:r w:rsidR="008610D3" w:rsidRPr="007E3C29">
        <w:rPr>
          <w:rFonts w:eastAsia="MS Mincho"/>
        </w:rPr>
        <w:t xml:space="preserve"> </w:t>
      </w:r>
      <w:r w:rsidRPr="007E3C29">
        <w:rPr>
          <w:rFonts w:eastAsia="MS Mincho"/>
        </w:rPr>
        <w:t xml:space="preserve">The experience of mortality associated with </w:t>
      </w:r>
      <w:r w:rsidR="002A2602" w:rsidRPr="007E3C29">
        <w:rPr>
          <w:rFonts w:eastAsia="MS Mincho"/>
        </w:rPr>
        <w:t>gambling-related</w:t>
      </w:r>
      <w:r w:rsidRPr="007E3C29">
        <w:rPr>
          <w:rFonts w:eastAsia="MS Mincho"/>
        </w:rPr>
        <w:t xml:space="preserve"> harm is complex as gambling may be an underlying contribution to a death (i.e. via suicide), but not the immediate cause or captured in the record of death</w:t>
      </w:r>
      <w:r w:rsidR="00BF0218" w:rsidRPr="007E3C29">
        <w:rPr>
          <w:rFonts w:eastAsia="MS Mincho"/>
        </w:rPr>
        <w:t>.</w:t>
      </w:r>
      <w:r w:rsidR="008610D3" w:rsidRPr="007E3C29">
        <w:rPr>
          <w:rFonts w:eastAsia="MS Mincho"/>
        </w:rPr>
        <w:t xml:space="preserve"> </w:t>
      </w:r>
      <w:r w:rsidRPr="007E3C29">
        <w:rPr>
          <w:rFonts w:eastAsia="MS Mincho"/>
        </w:rPr>
        <w:t>Therefore, involvement in gambling would need to be evaluated as a risk or contributing factor</w:t>
      </w:r>
      <w:r w:rsidR="00BF0218" w:rsidRPr="007E3C29">
        <w:rPr>
          <w:rFonts w:eastAsia="MS Mincho"/>
        </w:rPr>
        <w:t>.</w:t>
      </w:r>
      <w:r w:rsidR="008610D3" w:rsidRPr="007E3C29">
        <w:rPr>
          <w:rFonts w:eastAsia="MS Mincho"/>
        </w:rPr>
        <w:t xml:space="preserve"> </w:t>
      </w:r>
      <w:r w:rsidRPr="007E3C29">
        <w:rPr>
          <w:rFonts w:eastAsia="MS Mincho"/>
        </w:rPr>
        <w:t>This is of particular importance given the prevalence of comorbidities and other common behavioural risk factors in people with gambling problems</w:t>
      </w:r>
      <w:r w:rsidR="00BF0218" w:rsidRPr="007E3C29">
        <w:rPr>
          <w:rFonts w:eastAsia="MS Mincho"/>
        </w:rPr>
        <w:t>.</w:t>
      </w:r>
      <w:r w:rsidR="008610D3" w:rsidRPr="007E3C29">
        <w:rPr>
          <w:rFonts w:eastAsia="MS Mincho"/>
        </w:rPr>
        <w:t xml:space="preserve"> </w:t>
      </w:r>
      <w:r w:rsidRPr="007E3C29">
        <w:rPr>
          <w:rFonts w:eastAsia="MS Mincho"/>
        </w:rPr>
        <w:t>One of the key findings of the consultations with the treatment and service community</w:t>
      </w:r>
      <w:r w:rsidR="00DD4E68" w:rsidRPr="007E3C29">
        <w:rPr>
          <w:rFonts w:eastAsia="MS Mincho"/>
        </w:rPr>
        <w:t xml:space="preserve"> (in the second phase of this study)</w:t>
      </w:r>
      <w:r w:rsidRPr="007E3C29">
        <w:rPr>
          <w:rFonts w:eastAsia="MS Mincho"/>
        </w:rPr>
        <w:t xml:space="preserve"> was the systemic problem with capturing the contribution of gambling when people </w:t>
      </w:r>
      <w:r w:rsidR="00DD4E68" w:rsidRPr="007E3C29">
        <w:rPr>
          <w:rFonts w:eastAsia="MS Mincho"/>
        </w:rPr>
        <w:t xml:space="preserve">presented </w:t>
      </w:r>
      <w:r w:rsidRPr="007E3C29">
        <w:rPr>
          <w:rFonts w:eastAsia="MS Mincho"/>
        </w:rPr>
        <w:t xml:space="preserve">with multiple health problems, particularly when those problems </w:t>
      </w:r>
      <w:r w:rsidR="00DD4E68" w:rsidRPr="007E3C29">
        <w:rPr>
          <w:rFonts w:eastAsia="MS Mincho"/>
        </w:rPr>
        <w:t xml:space="preserve">were </w:t>
      </w:r>
      <w:r w:rsidRPr="007E3C29">
        <w:rPr>
          <w:rFonts w:eastAsia="MS Mincho"/>
        </w:rPr>
        <w:t>biophysical in nature</w:t>
      </w:r>
      <w:r w:rsidR="00BF0218" w:rsidRPr="007E3C29">
        <w:rPr>
          <w:rFonts w:eastAsia="MS Mincho"/>
        </w:rPr>
        <w:t>.</w:t>
      </w:r>
      <w:r w:rsidR="008610D3" w:rsidRPr="007E3C29">
        <w:rPr>
          <w:rFonts w:eastAsia="MS Mincho"/>
        </w:rPr>
        <w:t xml:space="preserve"> </w:t>
      </w:r>
      <w:r w:rsidRPr="007E3C29">
        <w:rPr>
          <w:rFonts w:eastAsia="MS Mincho"/>
        </w:rPr>
        <w:t xml:space="preserve">Whilst there have been some efforts to capture the influence of gambling on people attempting suicide (Blaszczynski &amp; Farrell, 1998; Newman, 2007; Wong, Cheung, Conner, Conwell, &amp; Yip, 2010), it is unlikely that any comprehensive data on contribution to all-cause mortality will be available in the short or medium term. </w:t>
      </w:r>
    </w:p>
    <w:p w14:paraId="4D547E78" w14:textId="597C1274" w:rsidR="00F61793" w:rsidRPr="00E3060C" w:rsidRDefault="00F61793" w:rsidP="00F61793">
      <w:pPr>
        <w:pStyle w:val="VRGFBodycontent"/>
        <w:rPr>
          <w:rFonts w:eastAsia="MS Mincho"/>
        </w:rPr>
      </w:pPr>
      <w:r w:rsidRPr="007E3C29">
        <w:rPr>
          <w:rFonts w:eastAsia="MS Mincho"/>
        </w:rPr>
        <w:t>The experience of engaging with an activity that leads to harms, such as gambling, does not fit a traditional disease model</w:t>
      </w:r>
      <w:r w:rsidR="00BF0218" w:rsidRPr="007E3C29">
        <w:rPr>
          <w:rFonts w:eastAsia="MS Mincho"/>
        </w:rPr>
        <w:t>.</w:t>
      </w:r>
      <w:r w:rsidR="008610D3" w:rsidRPr="007E3C29">
        <w:rPr>
          <w:rFonts w:eastAsia="MS Mincho"/>
        </w:rPr>
        <w:t xml:space="preserve"> </w:t>
      </w:r>
      <w:r w:rsidRPr="007E3C29">
        <w:rPr>
          <w:rFonts w:eastAsia="MS Mincho"/>
        </w:rPr>
        <w:t xml:space="preserve">In the absence of screening for involvement in gambling in large representative health </w:t>
      </w:r>
      <w:r w:rsidR="00E12171" w:rsidRPr="007E3C29">
        <w:rPr>
          <w:rFonts w:eastAsia="MS Mincho"/>
        </w:rPr>
        <w:t xml:space="preserve">or gambling </w:t>
      </w:r>
      <w:r w:rsidRPr="007E3C29">
        <w:rPr>
          <w:rFonts w:eastAsia="MS Mincho"/>
        </w:rPr>
        <w:t xml:space="preserve">surveys, it is not possible to assess it as a risk factor and calculate population attributable risk </w:t>
      </w:r>
      <w:r w:rsidR="00252BC4" w:rsidRPr="007E3C29">
        <w:rPr>
          <w:rFonts w:eastAsia="MS Mincho"/>
        </w:rPr>
        <w:t xml:space="preserve">factors (PAFs) </w:t>
      </w:r>
      <w:r w:rsidRPr="007E3C29">
        <w:rPr>
          <w:rFonts w:eastAsia="MS Mincho"/>
        </w:rPr>
        <w:t>based on exposure</w:t>
      </w:r>
      <w:r w:rsidR="00BF0218" w:rsidRPr="007E3C29">
        <w:rPr>
          <w:rFonts w:eastAsia="MS Mincho"/>
        </w:rPr>
        <w:t>.</w:t>
      </w:r>
      <w:r w:rsidR="008610D3" w:rsidRPr="007E3C29">
        <w:rPr>
          <w:rFonts w:eastAsia="MS Mincho"/>
        </w:rPr>
        <w:t xml:space="preserve"> </w:t>
      </w:r>
      <w:r w:rsidRPr="007E3C29">
        <w:rPr>
          <w:rFonts w:eastAsia="MS Mincho"/>
        </w:rPr>
        <w:t xml:space="preserve">The majority of people </w:t>
      </w:r>
      <w:r w:rsidR="00E12171" w:rsidRPr="007E3C29">
        <w:rPr>
          <w:rFonts w:eastAsia="MS Mincho"/>
        </w:rPr>
        <w:t xml:space="preserve">who </w:t>
      </w:r>
      <w:r w:rsidRPr="007E3C29">
        <w:rPr>
          <w:rFonts w:eastAsia="MS Mincho"/>
        </w:rPr>
        <w:t>gamble do so at a low risk level, or engage in heavy gambling only occasionally</w:t>
      </w:r>
      <w:r w:rsidR="00BF0218" w:rsidRPr="007E3C29">
        <w:rPr>
          <w:rFonts w:eastAsia="MS Mincho"/>
        </w:rPr>
        <w:t>.</w:t>
      </w:r>
      <w:r w:rsidR="008610D3" w:rsidRPr="007E3C29">
        <w:rPr>
          <w:rFonts w:eastAsia="MS Mincho"/>
        </w:rPr>
        <w:t xml:space="preserve"> </w:t>
      </w:r>
      <w:r w:rsidRPr="007E3C29">
        <w:rPr>
          <w:rFonts w:eastAsia="MS Mincho"/>
        </w:rPr>
        <w:t>Moreover, people can move between behavioural categorisations of recreational (i.e. “no risk”), low risk, medium risk, high risk and problematic, in both directions, multiple times across their lifespan</w:t>
      </w:r>
      <w:r w:rsidR="00BF0218" w:rsidRPr="007E3C29">
        <w:rPr>
          <w:rFonts w:eastAsia="MS Mincho"/>
        </w:rPr>
        <w:t>.</w:t>
      </w:r>
      <w:r w:rsidR="008610D3" w:rsidRPr="007E3C29">
        <w:rPr>
          <w:rFonts w:eastAsia="MS Mincho"/>
        </w:rPr>
        <w:t xml:space="preserve"> </w:t>
      </w:r>
      <w:r w:rsidRPr="007E3C29">
        <w:rPr>
          <w:rFonts w:eastAsia="MS Mincho"/>
        </w:rPr>
        <w:t>Even for those who develop problems with gambling, the experience of periods of control or abstinence punctuated with problematic gambling varies significantly between individuals</w:t>
      </w:r>
      <w:r w:rsidR="00BF0218" w:rsidRPr="007E3C29">
        <w:rPr>
          <w:rFonts w:eastAsia="MS Mincho"/>
        </w:rPr>
        <w:t>.</w:t>
      </w:r>
      <w:r w:rsidR="008610D3" w:rsidRPr="007E3C29">
        <w:rPr>
          <w:rFonts w:eastAsia="MS Mincho"/>
        </w:rPr>
        <w:t xml:space="preserve"> </w:t>
      </w:r>
      <w:r w:rsidRPr="007E3C29">
        <w:rPr>
          <w:rFonts w:eastAsia="MS Mincho"/>
        </w:rPr>
        <w:t xml:space="preserve">To date there </w:t>
      </w:r>
      <w:r w:rsidR="00E12171" w:rsidRPr="007E3C29">
        <w:rPr>
          <w:rFonts w:eastAsia="MS Mincho"/>
        </w:rPr>
        <w:t xml:space="preserve">are </w:t>
      </w:r>
      <w:r w:rsidRPr="007E3C29">
        <w:rPr>
          <w:rFonts w:eastAsia="MS Mincho"/>
        </w:rPr>
        <w:t xml:space="preserve">no data from longitudinal studies of gambling that can provide reliable population measures duration or age of onset; </w:t>
      </w:r>
      <w:r w:rsidRPr="00E3060C">
        <w:rPr>
          <w:rFonts w:eastAsia="MS Mincho"/>
        </w:rPr>
        <w:t xml:space="preserve">although some prevalence studies can inform the distribution of severity disaggregated by age and gender. </w:t>
      </w:r>
    </w:p>
    <w:p w14:paraId="3D84B163" w14:textId="696C527D" w:rsidR="00F61793" w:rsidRPr="00E3060C" w:rsidRDefault="00F61793" w:rsidP="00F61793">
      <w:pPr>
        <w:pStyle w:val="VRGFBodycontent"/>
        <w:rPr>
          <w:rFonts w:eastAsia="MS Mincho"/>
        </w:rPr>
      </w:pPr>
      <w:r w:rsidRPr="00E3060C">
        <w:rPr>
          <w:rFonts w:eastAsia="MS Mincho"/>
        </w:rPr>
        <w:t xml:space="preserve">Given the state of knowledge regarding incidence and life-course morbidity patterns of gambling problems, it is not practicable to calculate a true QALY or DALY measure for the impact of </w:t>
      </w:r>
      <w:r w:rsidR="002A2602" w:rsidRPr="00E3060C">
        <w:rPr>
          <w:rFonts w:eastAsia="MS Mincho"/>
        </w:rPr>
        <w:t>gambling-related</w:t>
      </w:r>
      <w:r w:rsidRPr="00E3060C">
        <w:rPr>
          <w:rFonts w:eastAsia="MS Mincho"/>
        </w:rPr>
        <w:t xml:space="preserve"> harm within the present study</w:t>
      </w:r>
      <w:r w:rsidR="00BF0218" w:rsidRPr="00E3060C">
        <w:rPr>
          <w:rFonts w:eastAsia="MS Mincho"/>
        </w:rPr>
        <w:t>.</w:t>
      </w:r>
      <w:r w:rsidR="008610D3" w:rsidRPr="00E3060C">
        <w:rPr>
          <w:rFonts w:eastAsia="MS Mincho"/>
        </w:rPr>
        <w:t xml:space="preserve"> </w:t>
      </w:r>
      <w:r w:rsidR="00CF7442" w:rsidRPr="00E3060C">
        <w:rPr>
          <w:rFonts w:eastAsia="MS Mincho"/>
        </w:rPr>
        <w:t>T</w:t>
      </w:r>
      <w:r w:rsidRPr="00E3060C">
        <w:rPr>
          <w:rFonts w:eastAsia="MS Mincho"/>
        </w:rPr>
        <w:t>herefore</w:t>
      </w:r>
      <w:r w:rsidR="00CF7442" w:rsidRPr="00E3060C">
        <w:rPr>
          <w:rFonts w:eastAsia="MS Mincho"/>
        </w:rPr>
        <w:t>, we</w:t>
      </w:r>
      <w:r w:rsidRPr="00E3060C">
        <w:rPr>
          <w:rFonts w:eastAsia="MS Mincho"/>
        </w:rPr>
        <w:t xml:space="preserve"> focus on a more circumscribed, but nonetheless informative objective</w:t>
      </w:r>
      <w:r w:rsidR="00CF7442" w:rsidRPr="00E3060C">
        <w:rPr>
          <w:rFonts w:eastAsia="MS Mincho"/>
        </w:rPr>
        <w:t>,</w:t>
      </w:r>
      <w:r w:rsidRPr="00E3060C">
        <w:rPr>
          <w:rFonts w:eastAsia="MS Mincho"/>
        </w:rPr>
        <w:t xml:space="preserve"> which is calculation of the decrement to health from morbidity only, HRQL, for a single year</w:t>
      </w:r>
      <w:r w:rsidR="00BF0218" w:rsidRPr="00E3060C">
        <w:rPr>
          <w:rFonts w:eastAsia="MS Mincho"/>
        </w:rPr>
        <w:t>.</w:t>
      </w:r>
      <w:r w:rsidR="008610D3" w:rsidRPr="00E3060C">
        <w:rPr>
          <w:rFonts w:eastAsia="MS Mincho"/>
        </w:rPr>
        <w:t xml:space="preserve"> </w:t>
      </w:r>
      <w:r w:rsidRPr="00E3060C">
        <w:rPr>
          <w:rFonts w:eastAsia="MS Mincho"/>
        </w:rPr>
        <w:t>This information can be combined with prevalence data to estimate the population-aggregate decrement to health</w:t>
      </w:r>
      <w:r w:rsidR="007E3C29" w:rsidRPr="00E3060C">
        <w:rPr>
          <w:rFonts w:eastAsia="MS Mincho"/>
        </w:rPr>
        <w:t>-related quality of life</w:t>
      </w:r>
      <w:r w:rsidR="00BF0218" w:rsidRPr="00E3060C">
        <w:rPr>
          <w:rFonts w:eastAsia="MS Mincho"/>
        </w:rPr>
        <w:t>.</w:t>
      </w:r>
      <w:r w:rsidR="008610D3" w:rsidRPr="00E3060C">
        <w:rPr>
          <w:rFonts w:eastAsia="MS Mincho"/>
        </w:rPr>
        <w:t xml:space="preserve"> </w:t>
      </w:r>
      <w:r w:rsidRPr="00E3060C">
        <w:rPr>
          <w:rFonts w:eastAsia="MS Mincho"/>
        </w:rPr>
        <w:t>It is natural for people to reflect on how the experience of gambling harm might be compared to an alternative option in the absence of such harm</w:t>
      </w:r>
      <w:r w:rsidR="00BF0218" w:rsidRPr="00E3060C">
        <w:rPr>
          <w:rFonts w:eastAsia="MS Mincho"/>
        </w:rPr>
        <w:t>.</w:t>
      </w:r>
      <w:r w:rsidR="008610D3" w:rsidRPr="00E3060C">
        <w:rPr>
          <w:rFonts w:eastAsia="MS Mincho"/>
        </w:rPr>
        <w:t xml:space="preserve"> </w:t>
      </w:r>
      <w:r w:rsidRPr="00E3060C">
        <w:rPr>
          <w:rFonts w:eastAsia="MS Mincho"/>
        </w:rPr>
        <w:t>The experience of different levels of gambling problems, with attendant harms, relates more to different health states than diseases</w:t>
      </w:r>
      <w:r w:rsidR="00BF0218" w:rsidRPr="00E3060C">
        <w:rPr>
          <w:rFonts w:eastAsia="MS Mincho"/>
        </w:rPr>
        <w:t>.</w:t>
      </w:r>
      <w:r w:rsidR="008610D3" w:rsidRPr="00E3060C">
        <w:rPr>
          <w:rFonts w:eastAsia="MS Mincho"/>
        </w:rPr>
        <w:t xml:space="preserve"> </w:t>
      </w:r>
      <w:r w:rsidRPr="00E3060C">
        <w:rPr>
          <w:rFonts w:eastAsia="MS Mincho"/>
        </w:rPr>
        <w:t>However, unlike the normal calculation of QALYs, which are focused on utility or quality of life gained, the present study calculates the loss of utility or quality of life as a decrement</w:t>
      </w:r>
      <w:r w:rsidR="00BF0218" w:rsidRPr="00E3060C">
        <w:rPr>
          <w:rFonts w:eastAsia="MS Mincho"/>
        </w:rPr>
        <w:t>.</w:t>
      </w:r>
      <w:r w:rsidR="008610D3" w:rsidRPr="00E3060C">
        <w:rPr>
          <w:rFonts w:eastAsia="MS Mincho"/>
        </w:rPr>
        <w:t xml:space="preserve"> </w:t>
      </w:r>
      <w:r w:rsidRPr="00E3060C">
        <w:rPr>
          <w:rFonts w:eastAsia="MS Mincho"/>
        </w:rPr>
        <w:t>Whilst this approach could be seen to be more consistent with the calculation of DALYs, given the strong grounding in health states and the inability to include mortality in the calculation, the resulting summary measure has been termed as a QALY</w:t>
      </w:r>
      <w:r w:rsidRPr="00E3060C">
        <w:rPr>
          <w:rFonts w:eastAsia="MS Mincho"/>
          <w:vertAlign w:val="subscript"/>
        </w:rPr>
        <w:t>1</w:t>
      </w:r>
      <w:r w:rsidR="00CF7442" w:rsidRPr="00E3060C">
        <w:rPr>
          <w:rFonts w:eastAsia="MS Mincho"/>
          <w:vertAlign w:val="subscript"/>
        </w:rPr>
        <w:t>,</w:t>
      </w:r>
      <w:r w:rsidRPr="00E3060C">
        <w:rPr>
          <w:rFonts w:eastAsia="MS Mincho"/>
        </w:rPr>
        <w:t xml:space="preserve"> which is consistent with </w:t>
      </w:r>
      <w:r w:rsidRPr="00E3060C">
        <w:rPr>
          <w:rFonts w:eastAsia="MS Mincho"/>
        </w:rPr>
        <w:lastRenderedPageBreak/>
        <w:t>standard demographic notation of subscript indications of time</w:t>
      </w:r>
      <w:r w:rsidR="00D351D5" w:rsidRPr="00E3060C">
        <w:rPr>
          <w:rFonts w:eastAsia="MS Mincho"/>
        </w:rPr>
        <w:t xml:space="preserve"> (where 1 represents 1 year of quality of life decrement)</w:t>
      </w:r>
      <w:r w:rsidRPr="00E3060C">
        <w:rPr>
          <w:rFonts w:eastAsia="MS Mincho"/>
        </w:rPr>
        <w:t xml:space="preserve">. </w:t>
      </w:r>
      <w:r w:rsidR="008F6A33" w:rsidRPr="00E3060C">
        <w:rPr>
          <w:rFonts w:eastAsia="MS Mincho"/>
        </w:rPr>
        <w:t xml:space="preserve"> </w:t>
      </w:r>
    </w:p>
    <w:p w14:paraId="2695FD1B" w14:textId="309B080A" w:rsidR="00F61793" w:rsidRDefault="00F61793" w:rsidP="00F61793">
      <w:pPr>
        <w:pStyle w:val="VRGFBodycontent"/>
        <w:rPr>
          <w:rFonts w:eastAsia="MS Mincho"/>
        </w:rPr>
      </w:pPr>
      <w:r w:rsidRPr="00E3060C">
        <w:rPr>
          <w:rFonts w:eastAsia="MS Mincho"/>
        </w:rPr>
        <w:t>This approach to developing an appropriate summary measure allows for the generation of a meaningful cardinal scale of harm</w:t>
      </w:r>
      <w:r w:rsidR="00CF7442" w:rsidRPr="00E3060C">
        <w:rPr>
          <w:rFonts w:eastAsia="MS Mincho"/>
        </w:rPr>
        <w:t>,</w:t>
      </w:r>
      <w:r w:rsidRPr="00E3060C">
        <w:rPr>
          <w:rFonts w:eastAsia="MS Mincho"/>
        </w:rPr>
        <w:t xml:space="preserve"> that when combined with prevalence data from the New Zealand 2012 National Gambling Study (</w:t>
      </w:r>
      <w:r w:rsidR="00263368" w:rsidRPr="00E3060C">
        <w:rPr>
          <w:rFonts w:eastAsia="MS Mincho"/>
        </w:rPr>
        <w:t>Abbott et al., 2014a</w:t>
      </w:r>
      <w:r w:rsidRPr="00E3060C">
        <w:rPr>
          <w:rFonts w:eastAsia="MS Mincho"/>
        </w:rPr>
        <w:t>), can provide an initial estimate of a burden of harm for a calendar year (assuming some stability of behavioural categorisation)</w:t>
      </w:r>
      <w:r w:rsidR="00BF0218" w:rsidRPr="00E3060C">
        <w:rPr>
          <w:rFonts w:eastAsia="MS Mincho"/>
        </w:rPr>
        <w:t>.</w:t>
      </w:r>
      <w:r w:rsidR="008610D3" w:rsidRPr="00E3060C">
        <w:rPr>
          <w:rFonts w:eastAsia="MS Mincho"/>
        </w:rPr>
        <w:t xml:space="preserve"> </w:t>
      </w:r>
      <w:r w:rsidRPr="00E3060C">
        <w:rPr>
          <w:rFonts w:eastAsia="MS Mincho"/>
        </w:rPr>
        <w:t xml:space="preserve">This information can be utilised as a disability weight for true QALY or DALY calculations when more complete epidemiological data for gambling </w:t>
      </w:r>
      <w:r w:rsidR="00CF7442" w:rsidRPr="00E3060C">
        <w:rPr>
          <w:rFonts w:eastAsia="MS Mincho"/>
        </w:rPr>
        <w:t xml:space="preserve">are </w:t>
      </w:r>
      <w:r w:rsidRPr="00E3060C">
        <w:rPr>
          <w:rFonts w:eastAsia="MS Mincho"/>
        </w:rPr>
        <w:t>available</w:t>
      </w:r>
      <w:r w:rsidR="00BF0218" w:rsidRPr="00E3060C">
        <w:rPr>
          <w:rFonts w:eastAsia="MS Mincho"/>
        </w:rPr>
        <w:t>.</w:t>
      </w:r>
      <w:r w:rsidR="008610D3" w:rsidRPr="00E3060C">
        <w:rPr>
          <w:rFonts w:eastAsia="MS Mincho"/>
        </w:rPr>
        <w:t xml:space="preserve"> </w:t>
      </w:r>
      <w:r w:rsidRPr="00E3060C">
        <w:rPr>
          <w:rFonts w:eastAsia="MS Mincho"/>
        </w:rPr>
        <w:t xml:space="preserve">Most critically, it also allows a calculation of gambling harms that is comparable with most other disease states studied with the </w:t>
      </w:r>
      <w:r w:rsidR="00E3060C">
        <w:rPr>
          <w:rFonts w:eastAsia="MS Mincho"/>
        </w:rPr>
        <w:t>HRQL</w:t>
      </w:r>
      <w:r w:rsidRPr="00E3060C">
        <w:rPr>
          <w:rFonts w:eastAsia="MS Mincho"/>
        </w:rPr>
        <w:t xml:space="preserve"> methodology, and even those calculated prior to the present study for the purpose of being applied to differing methodologies (QALY or DALY based).</w:t>
      </w:r>
    </w:p>
    <w:p w14:paraId="631BBBFD" w14:textId="77777777" w:rsidR="00F61793" w:rsidRPr="00D82AC4" w:rsidRDefault="00F61793" w:rsidP="00F61793">
      <w:pPr>
        <w:pStyle w:val="VRGFBodycontent"/>
        <w:rPr>
          <w:rFonts w:eastAsia="MS Mincho"/>
        </w:rPr>
      </w:pPr>
    </w:p>
    <w:p w14:paraId="3A07C82E" w14:textId="77777777" w:rsidR="00F61793" w:rsidRPr="00D302D0" w:rsidRDefault="00F61793" w:rsidP="00191866">
      <w:pPr>
        <w:pStyle w:val="VRGFHead3"/>
      </w:pPr>
      <w:bookmarkStart w:id="248" w:name="_Toc462738056"/>
      <w:r w:rsidRPr="00D302D0">
        <w:t>Summary and implications for assessing gambling harm</w:t>
      </w:r>
      <w:bookmarkEnd w:id="248"/>
    </w:p>
    <w:p w14:paraId="636AAF04" w14:textId="33197F5B" w:rsidR="00B915FC" w:rsidRDefault="00F61793" w:rsidP="00F61793">
      <w:pPr>
        <w:pStyle w:val="VRGFBodycontent"/>
        <w:rPr>
          <w:rFonts w:eastAsia="MS Mincho"/>
        </w:rPr>
      </w:pPr>
      <w:r w:rsidRPr="00D82AC4">
        <w:rPr>
          <w:rFonts w:eastAsia="MS Mincho"/>
        </w:rPr>
        <w:t xml:space="preserve">The literature on measuring and reporting on health has not yet resolved all of the conceptual issues and some disagreements and </w:t>
      </w:r>
      <w:r w:rsidRPr="00B915FC">
        <w:rPr>
          <w:rFonts w:eastAsia="MS Mincho"/>
        </w:rPr>
        <w:t>inconsistencies remain</w:t>
      </w:r>
      <w:r w:rsidR="00BF0218" w:rsidRPr="00B915FC">
        <w:rPr>
          <w:rFonts w:eastAsia="MS Mincho"/>
        </w:rPr>
        <w:t>.</w:t>
      </w:r>
      <w:r w:rsidR="008610D3" w:rsidRPr="00B915FC">
        <w:rPr>
          <w:rFonts w:eastAsia="MS Mincho"/>
        </w:rPr>
        <w:t xml:space="preserve"> </w:t>
      </w:r>
      <w:r w:rsidRPr="00B915FC">
        <w:rPr>
          <w:rFonts w:eastAsia="MS Mincho"/>
        </w:rPr>
        <w:t>However, there are several salient issues for describing and eliciting utilities for gambling harms</w:t>
      </w:r>
      <w:r w:rsidR="00BF0218" w:rsidRPr="00B915FC">
        <w:rPr>
          <w:rFonts w:eastAsia="MS Mincho"/>
        </w:rPr>
        <w:t>.</w:t>
      </w:r>
      <w:r w:rsidR="008610D3" w:rsidRPr="00B915FC">
        <w:rPr>
          <w:rFonts w:eastAsia="MS Mincho"/>
        </w:rPr>
        <w:t xml:space="preserve"> </w:t>
      </w:r>
      <w:r w:rsidRPr="00B915FC">
        <w:rPr>
          <w:rFonts w:eastAsia="MS Mincho"/>
        </w:rPr>
        <w:t>First, like many other health conditions, gambling harms occur along a spectrum of severity</w:t>
      </w:r>
      <w:r w:rsidR="00BF0218" w:rsidRPr="00B915FC">
        <w:rPr>
          <w:rFonts w:eastAsia="MS Mincho"/>
        </w:rPr>
        <w:t>.</w:t>
      </w:r>
      <w:r w:rsidR="008610D3" w:rsidRPr="00B915FC">
        <w:rPr>
          <w:rFonts w:eastAsia="MS Mincho"/>
        </w:rPr>
        <w:t xml:space="preserve"> </w:t>
      </w:r>
      <w:r w:rsidRPr="00B915FC">
        <w:rPr>
          <w:rFonts w:eastAsia="MS Mincho"/>
        </w:rPr>
        <w:t xml:space="preserve">Therefore, any approach to describing </w:t>
      </w:r>
      <w:r w:rsidR="002A2602" w:rsidRPr="00B915FC">
        <w:rPr>
          <w:rFonts w:eastAsia="MS Mincho"/>
        </w:rPr>
        <w:t>gambling-related</w:t>
      </w:r>
      <w:r w:rsidRPr="00B915FC">
        <w:rPr>
          <w:rFonts w:eastAsia="MS Mincho"/>
        </w:rPr>
        <w:t xml:space="preserve"> harms must be dimensional in nature, and describe the experience of harm along a continuum</w:t>
      </w:r>
      <w:r w:rsidR="00BF0218" w:rsidRPr="00B915FC">
        <w:rPr>
          <w:rFonts w:eastAsia="MS Mincho"/>
        </w:rPr>
        <w:t>.</w:t>
      </w:r>
      <w:r w:rsidR="008610D3" w:rsidRPr="00B915FC">
        <w:rPr>
          <w:rFonts w:eastAsia="MS Mincho"/>
        </w:rPr>
        <w:t xml:space="preserve"> </w:t>
      </w:r>
      <w:r w:rsidRPr="00B915FC">
        <w:rPr>
          <w:rFonts w:eastAsia="MS Mincho"/>
        </w:rPr>
        <w:t>Second, there is potentially wide variation in the individual experience of harms with respect to quality of life</w:t>
      </w:r>
      <w:r w:rsidR="00BF0218" w:rsidRPr="00B915FC">
        <w:rPr>
          <w:rFonts w:eastAsia="MS Mincho"/>
        </w:rPr>
        <w:t>.</w:t>
      </w:r>
      <w:r w:rsidR="008610D3" w:rsidRPr="00B915FC">
        <w:rPr>
          <w:rFonts w:eastAsia="MS Mincho"/>
        </w:rPr>
        <w:t xml:space="preserve"> </w:t>
      </w:r>
      <w:r w:rsidRPr="00B915FC">
        <w:rPr>
          <w:rFonts w:eastAsia="MS Mincho"/>
        </w:rPr>
        <w:t xml:space="preserve">Any attempt to simplify the description of harms using a limited number of discrete descriptors invites criticism </w:t>
      </w:r>
      <w:r w:rsidR="00284B64" w:rsidRPr="00B915FC">
        <w:rPr>
          <w:rFonts w:eastAsia="MS Mincho"/>
        </w:rPr>
        <w:t>of</w:t>
      </w:r>
      <w:r w:rsidRPr="00B915FC">
        <w:rPr>
          <w:rFonts w:eastAsia="MS Mincho"/>
        </w:rPr>
        <w:t xml:space="preserve"> the validity of the measure in terms of coverage of diversity in the population</w:t>
      </w:r>
      <w:r w:rsidR="00BF0218" w:rsidRPr="00B915FC">
        <w:rPr>
          <w:rFonts w:eastAsia="MS Mincho"/>
        </w:rPr>
        <w:t>.</w:t>
      </w:r>
      <w:r w:rsidR="008610D3" w:rsidRPr="00B915FC">
        <w:rPr>
          <w:rFonts w:eastAsia="MS Mincho"/>
        </w:rPr>
        <w:t xml:space="preserve"> </w:t>
      </w:r>
      <w:r w:rsidRPr="00B915FC">
        <w:rPr>
          <w:rFonts w:eastAsia="MS Mincho"/>
        </w:rPr>
        <w:t xml:space="preserve">Thus, the stimuli used to elicit the HRQL </w:t>
      </w:r>
      <w:r w:rsidR="00B915FC">
        <w:rPr>
          <w:rFonts w:eastAsia="MS Mincho"/>
        </w:rPr>
        <w:t xml:space="preserve">gambling-harm </w:t>
      </w:r>
      <w:r w:rsidRPr="00B915FC">
        <w:rPr>
          <w:rFonts w:eastAsia="MS Mincho"/>
        </w:rPr>
        <w:t xml:space="preserve">utilities must account for heterogeneity in the experience of </w:t>
      </w:r>
      <w:r w:rsidR="002A2602" w:rsidRPr="00B915FC">
        <w:rPr>
          <w:rFonts w:eastAsia="MS Mincho"/>
        </w:rPr>
        <w:t>gambling-related</w:t>
      </w:r>
      <w:r w:rsidRPr="00B915FC">
        <w:rPr>
          <w:rFonts w:eastAsia="MS Mincho"/>
        </w:rPr>
        <w:t xml:space="preserve"> harm in the population</w:t>
      </w:r>
      <w:r w:rsidR="00D61FE8" w:rsidRPr="00B915FC">
        <w:rPr>
          <w:rFonts w:eastAsia="MS Mincho"/>
        </w:rPr>
        <w:t>.</w:t>
      </w:r>
      <w:r w:rsidR="008610D3" w:rsidRPr="00B915FC">
        <w:rPr>
          <w:rFonts w:eastAsia="MS Mincho"/>
        </w:rPr>
        <w:t xml:space="preserve"> </w:t>
      </w:r>
      <w:r w:rsidRPr="00B915FC">
        <w:rPr>
          <w:rFonts w:eastAsia="MS Mincho"/>
        </w:rPr>
        <w:t>Third, existing dimensional descriptive systems, understandably, have a focus on biological health and physical functioning and may</w:t>
      </w:r>
      <w:r w:rsidR="00284B64" w:rsidRPr="00B915FC">
        <w:rPr>
          <w:rFonts w:eastAsia="MS Mincho"/>
        </w:rPr>
        <w:t>,</w:t>
      </w:r>
      <w:r w:rsidRPr="00B915FC">
        <w:rPr>
          <w:rFonts w:eastAsia="MS Mincho"/>
        </w:rPr>
        <w:t xml:space="preserve"> therefore</w:t>
      </w:r>
      <w:r w:rsidR="00284B64" w:rsidRPr="00B915FC">
        <w:rPr>
          <w:rFonts w:eastAsia="MS Mincho"/>
        </w:rPr>
        <w:t>,</w:t>
      </w:r>
      <w:r w:rsidRPr="00B915FC">
        <w:rPr>
          <w:rFonts w:eastAsia="MS Mincho"/>
        </w:rPr>
        <w:t xml:space="preserve"> be a poor match for the full scope of </w:t>
      </w:r>
      <w:r w:rsidR="002A2602" w:rsidRPr="00B915FC">
        <w:rPr>
          <w:rFonts w:eastAsia="MS Mincho"/>
        </w:rPr>
        <w:t>gambling-related</w:t>
      </w:r>
      <w:r w:rsidRPr="00B915FC">
        <w:rPr>
          <w:rFonts w:eastAsia="MS Mincho"/>
        </w:rPr>
        <w:t xml:space="preserve"> harms</w:t>
      </w:r>
      <w:r w:rsidR="00D61FE8" w:rsidRPr="00B915FC">
        <w:rPr>
          <w:rFonts w:eastAsia="MS Mincho"/>
        </w:rPr>
        <w:t>.</w:t>
      </w:r>
      <w:r w:rsidR="008610D3" w:rsidRPr="00B915FC">
        <w:rPr>
          <w:rFonts w:eastAsia="MS Mincho"/>
        </w:rPr>
        <w:t xml:space="preserve"> </w:t>
      </w:r>
      <w:r w:rsidRPr="00B915FC">
        <w:rPr>
          <w:rFonts w:eastAsia="MS Mincho"/>
        </w:rPr>
        <w:t>In this case, utilising standard scales such as the EQ-5D for indirect assessment of harm, would not yield a complete representation of the impact of the condition, and almost certainly yield an under-estimate of the impact of gambling problems</w:t>
      </w:r>
      <w:r w:rsidR="00D61FE8" w:rsidRPr="00B915FC">
        <w:rPr>
          <w:rFonts w:eastAsia="MS Mincho"/>
        </w:rPr>
        <w:t>.</w:t>
      </w:r>
      <w:r w:rsidR="008610D3" w:rsidRPr="00B915FC">
        <w:rPr>
          <w:rFonts w:eastAsia="MS Mincho"/>
        </w:rPr>
        <w:t xml:space="preserve"> </w:t>
      </w:r>
      <w:r w:rsidRPr="00B915FC">
        <w:rPr>
          <w:rFonts w:eastAsia="MS Mincho"/>
        </w:rPr>
        <w:t xml:space="preserve">Therefore, we favour the use of direct methods to elicit </w:t>
      </w:r>
      <w:r w:rsidR="00B915FC">
        <w:rPr>
          <w:rFonts w:eastAsia="MS Mincho"/>
        </w:rPr>
        <w:t>gambling-harm</w:t>
      </w:r>
      <w:r w:rsidRPr="00B915FC">
        <w:rPr>
          <w:rFonts w:eastAsia="MS Mincho"/>
        </w:rPr>
        <w:t xml:space="preserve"> valuations</w:t>
      </w:r>
      <w:r w:rsidR="00D61FE8" w:rsidRPr="00B915FC">
        <w:rPr>
          <w:rFonts w:eastAsia="MS Mincho"/>
        </w:rPr>
        <w:t>.</w:t>
      </w:r>
      <w:r w:rsidR="008610D3" w:rsidRPr="00B915FC">
        <w:rPr>
          <w:rFonts w:eastAsia="MS Mincho"/>
        </w:rPr>
        <w:t xml:space="preserve"> </w:t>
      </w:r>
      <w:r w:rsidR="00B915FC">
        <w:rPr>
          <w:rFonts w:eastAsia="MS Mincho"/>
        </w:rPr>
        <w:t xml:space="preserve">The TTO and VAS measures have been identified as the most appropriate valuation techniques for eliciting gambling-related harm utilities, </w:t>
      </w:r>
      <w:r w:rsidR="00EA234C">
        <w:rPr>
          <w:rFonts w:eastAsia="MS Mincho"/>
        </w:rPr>
        <w:t xml:space="preserve">as </w:t>
      </w:r>
      <w:r w:rsidR="00B915FC">
        <w:rPr>
          <w:rFonts w:eastAsia="MS Mincho"/>
        </w:rPr>
        <w:t xml:space="preserve">the risk component of the SG (as mentioned previously) </w:t>
      </w:r>
      <w:r w:rsidR="00EA234C">
        <w:rPr>
          <w:rFonts w:eastAsia="MS Mincho"/>
        </w:rPr>
        <w:t xml:space="preserve">is </w:t>
      </w:r>
      <w:r w:rsidR="00B915FC">
        <w:rPr>
          <w:rFonts w:eastAsia="MS Mincho"/>
        </w:rPr>
        <w:t>ill</w:t>
      </w:r>
      <w:r w:rsidR="00EA234C">
        <w:rPr>
          <w:rFonts w:eastAsia="MS Mincho"/>
        </w:rPr>
        <w:t>-</w:t>
      </w:r>
      <w:r w:rsidR="00B915FC">
        <w:rPr>
          <w:rFonts w:eastAsia="MS Mincho"/>
        </w:rPr>
        <w:t>suited to gamblers</w:t>
      </w:r>
      <w:r w:rsidR="00292BC2">
        <w:rPr>
          <w:rFonts w:eastAsia="MS Mincho"/>
        </w:rPr>
        <w:t>;</w:t>
      </w:r>
      <w:r w:rsidR="00EA234C">
        <w:rPr>
          <w:rFonts w:eastAsia="MS Mincho"/>
        </w:rPr>
        <w:t xml:space="preserve"> and</w:t>
      </w:r>
      <w:r w:rsidR="00292BC2">
        <w:rPr>
          <w:rFonts w:eastAsia="MS Mincho"/>
        </w:rPr>
        <w:t xml:space="preserve"> the </w:t>
      </w:r>
      <w:r w:rsidR="00EA234C">
        <w:rPr>
          <w:rFonts w:eastAsia="MS Mincho"/>
        </w:rPr>
        <w:t>best DCE method to elicit utilities</w:t>
      </w:r>
      <w:r w:rsidR="00292BC2">
        <w:rPr>
          <w:rFonts w:eastAsia="MS Mincho"/>
        </w:rPr>
        <w:t xml:space="preserve"> is</w:t>
      </w:r>
      <w:r w:rsidR="00EA234C">
        <w:rPr>
          <w:rFonts w:eastAsia="MS Mincho"/>
        </w:rPr>
        <w:t xml:space="preserve"> yet to be established.</w:t>
      </w:r>
    </w:p>
    <w:p w14:paraId="57975C6F" w14:textId="0EC9076B" w:rsidR="00F61793" w:rsidRDefault="00F61793" w:rsidP="00F61793">
      <w:pPr>
        <w:pStyle w:val="VRGFBodycontent"/>
        <w:rPr>
          <w:rFonts w:eastAsia="MS Mincho"/>
        </w:rPr>
      </w:pPr>
      <w:r w:rsidRPr="00B915FC">
        <w:rPr>
          <w:rFonts w:eastAsia="MS Mincho"/>
        </w:rPr>
        <w:t>Finally, these issues are exacerbated by the fact that, as compared to issues such as depression, the diagnostic characteristics of gambling problems at various levels of severity are not well defined</w:t>
      </w:r>
      <w:r w:rsidR="00D61FE8" w:rsidRPr="00B915FC">
        <w:rPr>
          <w:rFonts w:eastAsia="MS Mincho"/>
        </w:rPr>
        <w:t>.</w:t>
      </w:r>
      <w:r w:rsidR="008610D3" w:rsidRPr="00B915FC">
        <w:rPr>
          <w:rFonts w:eastAsia="MS Mincho"/>
        </w:rPr>
        <w:t xml:space="preserve"> </w:t>
      </w:r>
      <w:r w:rsidRPr="00B915FC">
        <w:rPr>
          <w:rFonts w:eastAsia="MS Mincho"/>
        </w:rPr>
        <w:t xml:space="preserve">Therefore, we cannot assume that harm only occurs to individuals who satisfy diagnostic criteria for </w:t>
      </w:r>
      <w:r w:rsidR="00284B64" w:rsidRPr="00B915FC">
        <w:rPr>
          <w:rFonts w:eastAsia="MS Mincho"/>
        </w:rPr>
        <w:t>gambling disorder</w:t>
      </w:r>
      <w:r w:rsidR="00D61FE8" w:rsidRPr="00B915FC">
        <w:rPr>
          <w:rFonts w:eastAsia="MS Mincho"/>
        </w:rPr>
        <w:t>.</w:t>
      </w:r>
      <w:r w:rsidR="008610D3" w:rsidRPr="00B915FC">
        <w:rPr>
          <w:rFonts w:eastAsia="MS Mincho"/>
        </w:rPr>
        <w:t xml:space="preserve"> </w:t>
      </w:r>
      <w:r w:rsidRPr="00B915FC">
        <w:rPr>
          <w:rFonts w:eastAsia="MS Mincho"/>
        </w:rPr>
        <w:t>In sum, any attempt to describe the health states corresponding to the experience of gambling problems should place emphasis on achieving a population-representative, and comprehensive set of health state descriptors, along the continuum of gambling problem severity</w:t>
      </w:r>
      <w:r w:rsidR="00D61FE8" w:rsidRPr="00B915FC">
        <w:rPr>
          <w:rFonts w:eastAsia="MS Mincho"/>
        </w:rPr>
        <w:t>.</w:t>
      </w:r>
      <w:r w:rsidR="008610D3" w:rsidRPr="00B915FC">
        <w:rPr>
          <w:rFonts w:eastAsia="MS Mincho"/>
        </w:rPr>
        <w:t xml:space="preserve"> </w:t>
      </w:r>
      <w:r w:rsidRPr="00B915FC">
        <w:rPr>
          <w:rFonts w:eastAsia="MS Mincho"/>
        </w:rPr>
        <w:t>After presenting our methodology and results, we will return to these methodological considerations in the discussion.</w:t>
      </w:r>
      <w:r>
        <w:rPr>
          <w:rFonts w:eastAsia="MS Mincho"/>
        </w:rPr>
        <w:t xml:space="preserve"> </w:t>
      </w:r>
    </w:p>
    <w:p w14:paraId="64C1F25A" w14:textId="77777777" w:rsidR="00F61793" w:rsidRPr="00D82AC4" w:rsidRDefault="00F61793" w:rsidP="00F61793">
      <w:pPr>
        <w:pStyle w:val="VRGFBodycontent"/>
        <w:rPr>
          <w:rFonts w:eastAsia="MS Mincho"/>
        </w:rPr>
      </w:pPr>
    </w:p>
    <w:p w14:paraId="7F7B5356" w14:textId="77777777" w:rsidR="00F61793" w:rsidRPr="00D82AC4" w:rsidRDefault="00F61793" w:rsidP="00F61793">
      <w:pPr>
        <w:pStyle w:val="VRGFHead2"/>
      </w:pPr>
      <w:bookmarkStart w:id="249" w:name="_Toc419794505"/>
      <w:bookmarkStart w:id="250" w:name="_Toc440900293"/>
      <w:bookmarkStart w:id="251" w:name="_Toc462738057"/>
      <w:r w:rsidRPr="00D302D0">
        <w:lastRenderedPageBreak/>
        <w:t>Metho</w:t>
      </w:r>
      <w:bookmarkEnd w:id="249"/>
      <w:r w:rsidRPr="00D302D0">
        <w:t>d</w:t>
      </w:r>
      <w:bookmarkEnd w:id="250"/>
      <w:bookmarkEnd w:id="251"/>
      <w:r w:rsidRPr="00D302D0">
        <w:t xml:space="preserve"> </w:t>
      </w:r>
    </w:p>
    <w:p w14:paraId="393918FB" w14:textId="2D019758" w:rsidR="00F61793" w:rsidRDefault="00F61793" w:rsidP="00F61793">
      <w:pPr>
        <w:pStyle w:val="VRGFBodycontent"/>
      </w:pPr>
      <w:r w:rsidRPr="00D82AC4">
        <w:t>The present study</w:t>
      </w:r>
      <w:r>
        <w:t xml:space="preserve"> utilised </w:t>
      </w:r>
      <w:r w:rsidRPr="00D82AC4">
        <w:t>a direct elicitation framework, involving online administration of TTO and a VAS incorporating reference conditions</w:t>
      </w:r>
      <w:r w:rsidR="00D61FE8">
        <w:t>.</w:t>
      </w:r>
      <w:r w:rsidR="008610D3">
        <w:t xml:space="preserve"> </w:t>
      </w:r>
      <w:r w:rsidRPr="00D82AC4">
        <w:t>In contrast to previous health state valuation research, we estimated harm (1 – utility) as</w:t>
      </w:r>
      <w:r>
        <w:t xml:space="preserve"> a</w:t>
      </w:r>
      <w:r w:rsidRPr="00D82AC4">
        <w:t xml:space="preserve"> dimensional construct</w:t>
      </w:r>
      <w:r w:rsidR="00E24BDF">
        <w:t>,</w:t>
      </w:r>
      <w:r w:rsidRPr="00D82AC4">
        <w:t xml:space="preserve"> i.e. as a continuous increasing function of the PGSI</w:t>
      </w:r>
      <w:r w:rsidR="00D61FE8">
        <w:t>.</w:t>
      </w:r>
      <w:r w:rsidR="008610D3">
        <w:t xml:space="preserve"> </w:t>
      </w:r>
      <w:r w:rsidRPr="00D82AC4">
        <w:t>Another novelty in our approach is that we avoided assuming that any small set of condition descriptions would be a representative ‘average’ experience for a given degree of severity</w:t>
      </w:r>
      <w:r w:rsidR="00D61FE8">
        <w:t>.</w:t>
      </w:r>
      <w:r w:rsidR="008610D3">
        <w:t xml:space="preserve"> </w:t>
      </w:r>
      <w:r w:rsidRPr="00D82AC4">
        <w:t xml:space="preserve">Rather, we sampled cases from the </w:t>
      </w:r>
      <w:r w:rsidR="004170F5">
        <w:t xml:space="preserve">national </w:t>
      </w:r>
      <w:r w:rsidRPr="00D82AC4">
        <w:t>harm</w:t>
      </w:r>
      <w:r>
        <w:t>s</w:t>
      </w:r>
      <w:r w:rsidRPr="00D82AC4">
        <w:t xml:space="preserve"> survey</w:t>
      </w:r>
      <w:r>
        <w:t xml:space="preserve"> </w:t>
      </w:r>
      <w:r w:rsidRPr="00BA49F6">
        <w:t>(as detailed in the previous chapter), and used these to algorithmically generate a large set of textual descriptions</w:t>
      </w:r>
      <w:r w:rsidR="00D61FE8" w:rsidRPr="00BA49F6">
        <w:t>.</w:t>
      </w:r>
      <w:r w:rsidR="008610D3" w:rsidRPr="00BA49F6">
        <w:t xml:space="preserve"> </w:t>
      </w:r>
      <w:r w:rsidRPr="00BA49F6">
        <w:t>The elicited harm values were then averaged with respect to PGSI score and analysed further with respect to PGSI prevalence in the New Zealand population to obtain aggregate QALY</w:t>
      </w:r>
      <w:r w:rsidRPr="00BA49F6">
        <w:rPr>
          <w:vertAlign w:val="subscript"/>
        </w:rPr>
        <w:t>1</w:t>
      </w:r>
      <w:r w:rsidRPr="00BA49F6">
        <w:t xml:space="preserve"> measures.</w:t>
      </w:r>
    </w:p>
    <w:p w14:paraId="5E803012" w14:textId="77777777" w:rsidR="00F61793" w:rsidRDefault="00F61793" w:rsidP="00F61793">
      <w:pPr>
        <w:pStyle w:val="VRGFBodycontent"/>
        <w:rPr>
          <w:b/>
        </w:rPr>
      </w:pPr>
    </w:p>
    <w:p w14:paraId="76C1090A" w14:textId="77777777" w:rsidR="00F61793" w:rsidRPr="00D302D0" w:rsidRDefault="00F61793" w:rsidP="00191866">
      <w:pPr>
        <w:pStyle w:val="VRGFHead3"/>
      </w:pPr>
      <w:bookmarkStart w:id="252" w:name="_Toc462738058"/>
      <w:r w:rsidRPr="00D302D0">
        <w:t>Materials</w:t>
      </w:r>
      <w:bookmarkEnd w:id="252"/>
    </w:p>
    <w:p w14:paraId="6684B10D" w14:textId="77777777" w:rsidR="00F61793" w:rsidRPr="00D302D0" w:rsidRDefault="00F61793" w:rsidP="00191866">
      <w:pPr>
        <w:pStyle w:val="VRGFHead4"/>
      </w:pPr>
      <w:r w:rsidRPr="00D302D0">
        <w:t xml:space="preserve">Condition descriptions </w:t>
      </w:r>
    </w:p>
    <w:p w14:paraId="0B8939A2" w14:textId="4A62A72E" w:rsidR="00F61793" w:rsidRDefault="00F61793" w:rsidP="00F61793">
      <w:pPr>
        <w:pStyle w:val="VRGFBodycontent"/>
      </w:pPr>
      <w:r w:rsidRPr="00D82AC4">
        <w:t xml:space="preserve">The harms survey described in the previous chapter provided, for each respondent, both a PGSI score and a list of harms that </w:t>
      </w:r>
      <w:r>
        <w:t xml:space="preserve">the </w:t>
      </w:r>
      <w:r w:rsidRPr="00D82AC4">
        <w:t>person had experienced</w:t>
      </w:r>
      <w:r w:rsidR="00D61FE8">
        <w:t>.</w:t>
      </w:r>
      <w:r w:rsidR="008610D3">
        <w:t xml:space="preserve"> </w:t>
      </w:r>
      <w:r w:rsidRPr="00D82AC4">
        <w:t xml:space="preserve">We sampled </w:t>
      </w:r>
      <w:r>
        <w:t xml:space="preserve">552 </w:t>
      </w:r>
      <w:r w:rsidRPr="00D82AC4">
        <w:t xml:space="preserve">cases with profiles of harm from the </w:t>
      </w:r>
      <w:r w:rsidR="00D351D5">
        <w:t xml:space="preserve">national </w:t>
      </w:r>
      <w:r w:rsidRPr="00D82AC4">
        <w:t>survey, stratified with respect to PGSI categories</w:t>
      </w:r>
      <w:r w:rsidR="00D61FE8">
        <w:t>.</w:t>
      </w:r>
      <w:r w:rsidR="008610D3">
        <w:t xml:space="preserve"> </w:t>
      </w:r>
      <w:r w:rsidRPr="00D82AC4">
        <w:t>By assessing a large, representative sample of condition</w:t>
      </w:r>
      <w:r>
        <w:t xml:space="preserve"> vignettes</w:t>
      </w:r>
      <w:r w:rsidRPr="00D82AC4">
        <w:t xml:space="preserve">, each with a potentially unique profile of harms, we </w:t>
      </w:r>
      <w:r w:rsidR="000464F6">
        <w:t>avoided</w:t>
      </w:r>
      <w:r w:rsidR="000464F6" w:rsidRPr="00D82AC4">
        <w:t xml:space="preserve"> </w:t>
      </w:r>
      <w:r w:rsidRPr="00D82AC4">
        <w:t>making assumptions about a standard or generic harm experience</w:t>
      </w:r>
      <w:r w:rsidR="00D61FE8">
        <w:t>.</w:t>
      </w:r>
      <w:r w:rsidR="008610D3">
        <w:t xml:space="preserve"> </w:t>
      </w:r>
      <w:r w:rsidRPr="00D82AC4">
        <w:t>We also assess</w:t>
      </w:r>
      <w:r w:rsidR="00C11771">
        <w:t>ed</w:t>
      </w:r>
      <w:r w:rsidRPr="00D82AC4">
        <w:t xml:space="preserve"> harms across the spectrum of gambling problems</w:t>
      </w:r>
      <w:r w:rsidR="00D61FE8">
        <w:t>.</w:t>
      </w:r>
      <w:r w:rsidR="008610D3">
        <w:t xml:space="preserve"> </w:t>
      </w:r>
      <w:r w:rsidR="00C11771">
        <w:t>As</w:t>
      </w:r>
      <w:r w:rsidRPr="00D82AC4">
        <w:t xml:space="preserve"> non-problem and low-risk </w:t>
      </w:r>
      <w:r w:rsidR="00C11771">
        <w:t>categories</w:t>
      </w:r>
      <w:r w:rsidR="00C11771" w:rsidRPr="00D82AC4">
        <w:t xml:space="preserve"> </w:t>
      </w:r>
      <w:r w:rsidRPr="00D82AC4">
        <w:t>were relatively under-represented in our sample, we selected all cases in the first two categories, and a fixed random sample (without replacement) in the two higher categories</w:t>
      </w:r>
      <w:r w:rsidR="00C11771">
        <w:t xml:space="preserve"> (moderate-risk gambler and problem gambler)</w:t>
      </w:r>
      <w:r w:rsidR="00D61FE8">
        <w:t>.</w:t>
      </w:r>
      <w:r w:rsidR="008610D3">
        <w:t xml:space="preserve"> </w:t>
      </w:r>
      <w:r w:rsidR="00507033">
        <w:fldChar w:fldCharType="begin"/>
      </w:r>
      <w:r w:rsidR="00507033">
        <w:instrText xml:space="preserve"> REF _Ref445407928 \h </w:instrText>
      </w:r>
      <w:r w:rsidR="00507033">
        <w:fldChar w:fldCharType="separate"/>
      </w:r>
      <w:r w:rsidR="0006479A">
        <w:t xml:space="preserve">Table </w:t>
      </w:r>
      <w:r w:rsidR="0006479A">
        <w:rPr>
          <w:noProof/>
        </w:rPr>
        <w:t>16</w:t>
      </w:r>
      <w:r w:rsidR="00507033">
        <w:fldChar w:fldCharType="end"/>
      </w:r>
      <w:r w:rsidR="00507033">
        <w:t xml:space="preserve"> </w:t>
      </w:r>
      <w:r w:rsidRPr="00D82AC4">
        <w:t>shows the number of cases in each PGSI category selected from the national harms survey for inclusion in the condition vignettes dataset.</w:t>
      </w:r>
    </w:p>
    <w:p w14:paraId="43732F31" w14:textId="36B20757" w:rsidR="00F61793" w:rsidRPr="00AC4F03" w:rsidRDefault="00935E20" w:rsidP="00935E20">
      <w:pPr>
        <w:pStyle w:val="Caption"/>
        <w:rPr>
          <w:color w:val="1C3158"/>
        </w:rPr>
      </w:pPr>
      <w:bookmarkStart w:id="253" w:name="_Ref445407928"/>
      <w:bookmarkStart w:id="254" w:name="_Toc462738119"/>
      <w:r>
        <w:t xml:space="preserve">Table </w:t>
      </w:r>
      <w:fldSimple w:instr=" SEQ Table \* ARABIC ">
        <w:r w:rsidR="0006479A">
          <w:rPr>
            <w:noProof/>
          </w:rPr>
          <w:t>16</w:t>
        </w:r>
      </w:fldSimple>
      <w:bookmarkEnd w:id="253"/>
      <w:r w:rsidR="00D61FE8">
        <w:t>.</w:t>
      </w:r>
      <w:r w:rsidR="008610D3">
        <w:t xml:space="preserve"> </w:t>
      </w:r>
      <w:bookmarkStart w:id="255" w:name="_Toc440900338"/>
      <w:r w:rsidR="00F61793" w:rsidRPr="00AC4F03">
        <w:rPr>
          <w:color w:val="1C3158"/>
        </w:rPr>
        <w:t>Number of cases from the national harms survey selected for inclusion in the condition vignette stimuli data set</w:t>
      </w:r>
      <w:bookmarkEnd w:id="254"/>
      <w:bookmarkEnd w:id="255"/>
    </w:p>
    <w:tbl>
      <w:tblPr>
        <w:tblW w:w="8930" w:type="dxa"/>
        <w:tblLook w:val="04A0" w:firstRow="1" w:lastRow="0" w:firstColumn="1" w:lastColumn="0" w:noHBand="0" w:noVBand="1"/>
      </w:tblPr>
      <w:tblGrid>
        <w:gridCol w:w="1701"/>
        <w:gridCol w:w="1418"/>
        <w:gridCol w:w="1559"/>
        <w:gridCol w:w="1559"/>
        <w:gridCol w:w="1559"/>
        <w:gridCol w:w="1134"/>
      </w:tblGrid>
      <w:tr w:rsidR="00F61793" w:rsidRPr="00AC4F03" w14:paraId="534AD2CE" w14:textId="77777777" w:rsidTr="00507033">
        <w:trPr>
          <w:trHeight w:val="330"/>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34E63B47" w14:textId="77777777" w:rsidR="00F61793" w:rsidRPr="00AC4F03" w:rsidRDefault="00F61793" w:rsidP="00191866">
            <w:pPr>
              <w:tabs>
                <w:tab w:val="clear" w:pos="426"/>
              </w:tabs>
              <w:spacing w:before="0" w:after="0" w:line="240" w:lineRule="auto"/>
              <w:ind w:left="0" w:right="0"/>
              <w:rPr>
                <w:rFonts w:cs="Arial"/>
                <w:b/>
                <w:bCs/>
                <w:color w:val="1C3158"/>
                <w:sz w:val="18"/>
                <w:lang w:eastAsia="ja-JP"/>
              </w:rPr>
            </w:pPr>
            <w:r w:rsidRPr="00AC4F03">
              <w:rPr>
                <w:rFonts w:cs="Arial"/>
                <w:b/>
                <w:bCs/>
                <w:color w:val="1C3158"/>
                <w:sz w:val="18"/>
                <w:lang w:eastAsia="ja-JP"/>
              </w:rPr>
              <w:t>Vignette group</w:t>
            </w:r>
          </w:p>
        </w:tc>
        <w:tc>
          <w:tcPr>
            <w:tcW w:w="6095" w:type="dxa"/>
            <w:gridSpan w:val="4"/>
            <w:tcBorders>
              <w:top w:val="single" w:sz="12" w:space="0" w:color="FF9E3C"/>
              <w:left w:val="nil"/>
              <w:bottom w:val="single" w:sz="12" w:space="0" w:color="FF9E3C"/>
              <w:right w:val="single" w:sz="12" w:space="0" w:color="FF9E3C"/>
            </w:tcBorders>
            <w:shd w:val="clear" w:color="000000" w:fill="FFBC64"/>
            <w:noWrap/>
            <w:vAlign w:val="center"/>
            <w:hideMark/>
          </w:tcPr>
          <w:p w14:paraId="7F7CD4E0"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Problem Gambling Status</w:t>
            </w:r>
          </w:p>
        </w:tc>
        <w:tc>
          <w:tcPr>
            <w:tcW w:w="1134" w:type="dxa"/>
            <w:vMerge w:val="restart"/>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72FF9D84"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Total</w:t>
            </w:r>
          </w:p>
        </w:tc>
      </w:tr>
      <w:tr w:rsidR="00F61793" w:rsidRPr="00AC4F03" w14:paraId="300C4A27" w14:textId="77777777" w:rsidTr="00507033">
        <w:trPr>
          <w:trHeight w:val="330"/>
        </w:trPr>
        <w:tc>
          <w:tcPr>
            <w:tcW w:w="1701" w:type="dxa"/>
            <w:vMerge/>
            <w:tcBorders>
              <w:top w:val="single" w:sz="12" w:space="0" w:color="FF9E3C"/>
              <w:left w:val="single" w:sz="12" w:space="0" w:color="FF9E3C"/>
              <w:bottom w:val="single" w:sz="12" w:space="0" w:color="FF9E3C"/>
              <w:right w:val="single" w:sz="12" w:space="0" w:color="FF9E3C"/>
            </w:tcBorders>
            <w:vAlign w:val="center"/>
            <w:hideMark/>
          </w:tcPr>
          <w:p w14:paraId="7885FA6E" w14:textId="77777777" w:rsidR="00F61793" w:rsidRPr="00AC4F03" w:rsidRDefault="00F61793" w:rsidP="00191866">
            <w:pPr>
              <w:tabs>
                <w:tab w:val="clear" w:pos="426"/>
              </w:tabs>
              <w:spacing w:before="0" w:after="0" w:line="240" w:lineRule="auto"/>
              <w:ind w:left="0" w:right="0"/>
              <w:rPr>
                <w:rFonts w:cs="Arial"/>
                <w:b/>
                <w:bCs/>
                <w:color w:val="1C3158"/>
                <w:sz w:val="18"/>
                <w:lang w:eastAsia="ja-JP"/>
              </w:rPr>
            </w:pPr>
          </w:p>
        </w:tc>
        <w:tc>
          <w:tcPr>
            <w:tcW w:w="1418" w:type="dxa"/>
            <w:tcBorders>
              <w:top w:val="nil"/>
              <w:left w:val="nil"/>
              <w:bottom w:val="single" w:sz="12" w:space="0" w:color="FF9E3C"/>
              <w:right w:val="single" w:sz="12" w:space="0" w:color="FF9E3C"/>
            </w:tcBorders>
            <w:shd w:val="clear" w:color="000000" w:fill="FFBC64"/>
            <w:vAlign w:val="center"/>
            <w:hideMark/>
          </w:tcPr>
          <w:p w14:paraId="46E546BF"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Non-Problem</w:t>
            </w:r>
          </w:p>
        </w:tc>
        <w:tc>
          <w:tcPr>
            <w:tcW w:w="1559" w:type="dxa"/>
            <w:tcBorders>
              <w:top w:val="nil"/>
              <w:left w:val="nil"/>
              <w:bottom w:val="single" w:sz="12" w:space="0" w:color="FF9E3C"/>
              <w:right w:val="single" w:sz="12" w:space="0" w:color="FF9E3C"/>
            </w:tcBorders>
            <w:shd w:val="clear" w:color="000000" w:fill="FFBC64"/>
            <w:vAlign w:val="center"/>
            <w:hideMark/>
          </w:tcPr>
          <w:p w14:paraId="64D7DFBB"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Low-Risk</w:t>
            </w:r>
          </w:p>
        </w:tc>
        <w:tc>
          <w:tcPr>
            <w:tcW w:w="1559" w:type="dxa"/>
            <w:tcBorders>
              <w:top w:val="nil"/>
              <w:left w:val="nil"/>
              <w:bottom w:val="single" w:sz="12" w:space="0" w:color="FF9E3C"/>
              <w:right w:val="single" w:sz="12" w:space="0" w:color="FF9E3C"/>
            </w:tcBorders>
            <w:shd w:val="clear" w:color="000000" w:fill="FFBC64"/>
            <w:vAlign w:val="center"/>
            <w:hideMark/>
          </w:tcPr>
          <w:p w14:paraId="48AEFAAD"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Moderate-Risk</w:t>
            </w:r>
          </w:p>
        </w:tc>
        <w:tc>
          <w:tcPr>
            <w:tcW w:w="1559" w:type="dxa"/>
            <w:tcBorders>
              <w:top w:val="nil"/>
              <w:left w:val="nil"/>
              <w:bottom w:val="single" w:sz="12" w:space="0" w:color="FF9E3C"/>
              <w:right w:val="single" w:sz="12" w:space="0" w:color="FF9E3C"/>
            </w:tcBorders>
            <w:shd w:val="clear" w:color="000000" w:fill="FFBC64"/>
            <w:vAlign w:val="center"/>
            <w:hideMark/>
          </w:tcPr>
          <w:p w14:paraId="7BD38E58"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Problem</w:t>
            </w:r>
          </w:p>
        </w:tc>
        <w:tc>
          <w:tcPr>
            <w:tcW w:w="1134" w:type="dxa"/>
            <w:vMerge/>
            <w:tcBorders>
              <w:top w:val="single" w:sz="12" w:space="0" w:color="FF9E3C"/>
              <w:left w:val="single" w:sz="12" w:space="0" w:color="FF9E3C"/>
              <w:bottom w:val="single" w:sz="12" w:space="0" w:color="FF9E3C"/>
              <w:right w:val="single" w:sz="12" w:space="0" w:color="FF9E3C"/>
            </w:tcBorders>
            <w:vAlign w:val="center"/>
            <w:hideMark/>
          </w:tcPr>
          <w:p w14:paraId="7E08BB74" w14:textId="77777777" w:rsidR="00F61793" w:rsidRPr="00AC4F03" w:rsidRDefault="00F61793" w:rsidP="00191866">
            <w:pPr>
              <w:tabs>
                <w:tab w:val="clear" w:pos="426"/>
              </w:tabs>
              <w:spacing w:before="0" w:after="0" w:line="240" w:lineRule="auto"/>
              <w:ind w:left="0" w:right="0"/>
              <w:rPr>
                <w:rFonts w:cs="Arial"/>
                <w:b/>
                <w:bCs/>
                <w:color w:val="1C3158"/>
                <w:sz w:val="18"/>
                <w:lang w:eastAsia="ja-JP"/>
              </w:rPr>
            </w:pPr>
          </w:p>
        </w:tc>
      </w:tr>
      <w:tr w:rsidR="00F61793" w:rsidRPr="00AC4F03" w14:paraId="3143C908" w14:textId="77777777" w:rsidTr="00507033">
        <w:trPr>
          <w:trHeight w:val="330"/>
        </w:trPr>
        <w:tc>
          <w:tcPr>
            <w:tcW w:w="1701" w:type="dxa"/>
            <w:tcBorders>
              <w:top w:val="nil"/>
              <w:left w:val="single" w:sz="12" w:space="0" w:color="FF9E3C"/>
              <w:bottom w:val="single" w:sz="12" w:space="0" w:color="FF9E3C"/>
              <w:right w:val="single" w:sz="12" w:space="0" w:color="FF9E3C"/>
            </w:tcBorders>
            <w:shd w:val="clear" w:color="auto" w:fill="auto"/>
            <w:vAlign w:val="center"/>
            <w:hideMark/>
          </w:tcPr>
          <w:p w14:paraId="62857B21" w14:textId="77777777" w:rsidR="00F61793" w:rsidRPr="00AC4F03" w:rsidRDefault="00F61793" w:rsidP="00191866">
            <w:pPr>
              <w:tabs>
                <w:tab w:val="clear" w:pos="426"/>
              </w:tabs>
              <w:spacing w:before="0" w:after="0" w:line="240" w:lineRule="auto"/>
              <w:ind w:left="0" w:right="0"/>
              <w:rPr>
                <w:rFonts w:cs="Arial"/>
                <w:color w:val="1C3158"/>
                <w:sz w:val="18"/>
                <w:lang w:eastAsia="ja-JP"/>
              </w:rPr>
            </w:pPr>
            <w:r w:rsidRPr="00AC4F03">
              <w:rPr>
                <w:rFonts w:cs="Arial"/>
                <w:color w:val="1C3158"/>
                <w:sz w:val="18"/>
                <w:lang w:eastAsia="ja-JP"/>
              </w:rPr>
              <w:t>Own gambling</w:t>
            </w:r>
          </w:p>
        </w:tc>
        <w:tc>
          <w:tcPr>
            <w:tcW w:w="1418" w:type="dxa"/>
            <w:tcBorders>
              <w:top w:val="nil"/>
              <w:left w:val="nil"/>
              <w:bottom w:val="single" w:sz="12" w:space="0" w:color="FF9E3C"/>
              <w:right w:val="single" w:sz="12" w:space="0" w:color="FF9E3C"/>
            </w:tcBorders>
            <w:shd w:val="clear" w:color="auto" w:fill="auto"/>
            <w:vAlign w:val="center"/>
            <w:hideMark/>
          </w:tcPr>
          <w:p w14:paraId="35D18D56" w14:textId="77777777" w:rsidR="00F61793" w:rsidRPr="002A7AC2" w:rsidRDefault="00F61793" w:rsidP="00191866">
            <w:pPr>
              <w:tabs>
                <w:tab w:val="clear" w:pos="426"/>
              </w:tabs>
              <w:spacing w:before="0" w:after="0" w:line="240" w:lineRule="auto"/>
              <w:ind w:left="0" w:right="0"/>
              <w:jc w:val="center"/>
              <w:rPr>
                <w:rFonts w:cs="Arial"/>
                <w:bCs/>
                <w:color w:val="1C3158"/>
                <w:sz w:val="18"/>
                <w:lang w:eastAsia="ja-JP"/>
              </w:rPr>
            </w:pPr>
            <w:r w:rsidRPr="002A7AC2">
              <w:rPr>
                <w:rFonts w:cs="Arial"/>
                <w:bCs/>
                <w:color w:val="1C3158"/>
                <w:sz w:val="18"/>
                <w:lang w:eastAsia="ja-JP"/>
              </w:rPr>
              <w:t>36</w:t>
            </w:r>
          </w:p>
        </w:tc>
        <w:tc>
          <w:tcPr>
            <w:tcW w:w="1559" w:type="dxa"/>
            <w:tcBorders>
              <w:top w:val="nil"/>
              <w:left w:val="nil"/>
              <w:bottom w:val="single" w:sz="12" w:space="0" w:color="FF9E3C"/>
              <w:right w:val="single" w:sz="12" w:space="0" w:color="FF9E3C"/>
            </w:tcBorders>
            <w:shd w:val="clear" w:color="auto" w:fill="auto"/>
            <w:vAlign w:val="center"/>
            <w:hideMark/>
          </w:tcPr>
          <w:p w14:paraId="4327E8BE" w14:textId="77777777" w:rsidR="00F61793" w:rsidRPr="00AC4F03" w:rsidRDefault="00F61793" w:rsidP="00191866">
            <w:pPr>
              <w:tabs>
                <w:tab w:val="clear" w:pos="426"/>
              </w:tabs>
              <w:spacing w:before="0" w:after="0" w:line="240" w:lineRule="auto"/>
              <w:ind w:left="0" w:right="0"/>
              <w:jc w:val="center"/>
              <w:rPr>
                <w:rFonts w:cs="Arial"/>
                <w:color w:val="1C3158"/>
                <w:sz w:val="18"/>
                <w:lang w:eastAsia="ja-JP"/>
              </w:rPr>
            </w:pPr>
            <w:r w:rsidRPr="00AC4F03">
              <w:rPr>
                <w:rFonts w:cs="Arial"/>
                <w:color w:val="1C3158"/>
                <w:sz w:val="18"/>
                <w:lang w:eastAsia="ja-JP"/>
              </w:rPr>
              <w:t>93</w:t>
            </w:r>
          </w:p>
        </w:tc>
        <w:tc>
          <w:tcPr>
            <w:tcW w:w="1559" w:type="dxa"/>
            <w:tcBorders>
              <w:top w:val="nil"/>
              <w:left w:val="nil"/>
              <w:bottom w:val="single" w:sz="12" w:space="0" w:color="FF9E3C"/>
              <w:right w:val="single" w:sz="12" w:space="0" w:color="FF9E3C"/>
            </w:tcBorders>
            <w:shd w:val="clear" w:color="auto" w:fill="auto"/>
            <w:vAlign w:val="center"/>
            <w:hideMark/>
          </w:tcPr>
          <w:p w14:paraId="6D18AC51" w14:textId="77777777" w:rsidR="00F61793" w:rsidRPr="00AC4F03" w:rsidRDefault="00F61793" w:rsidP="00191866">
            <w:pPr>
              <w:tabs>
                <w:tab w:val="clear" w:pos="426"/>
              </w:tabs>
              <w:spacing w:before="0" w:after="0" w:line="240" w:lineRule="auto"/>
              <w:ind w:left="0" w:right="0"/>
              <w:jc w:val="center"/>
              <w:rPr>
                <w:rFonts w:cs="Arial"/>
                <w:color w:val="1C3158"/>
                <w:sz w:val="18"/>
                <w:lang w:eastAsia="ja-JP"/>
              </w:rPr>
            </w:pPr>
            <w:r w:rsidRPr="00AC4F03">
              <w:rPr>
                <w:rFonts w:cs="Arial"/>
                <w:color w:val="1C3158"/>
                <w:sz w:val="18"/>
                <w:lang w:eastAsia="ja-JP"/>
              </w:rPr>
              <w:t>100</w:t>
            </w:r>
          </w:p>
        </w:tc>
        <w:tc>
          <w:tcPr>
            <w:tcW w:w="1559" w:type="dxa"/>
            <w:tcBorders>
              <w:top w:val="nil"/>
              <w:left w:val="nil"/>
              <w:bottom w:val="single" w:sz="12" w:space="0" w:color="FF9E3C"/>
              <w:right w:val="single" w:sz="12" w:space="0" w:color="FF9E3C"/>
            </w:tcBorders>
            <w:shd w:val="clear" w:color="auto" w:fill="auto"/>
            <w:vAlign w:val="center"/>
            <w:hideMark/>
          </w:tcPr>
          <w:p w14:paraId="6697A3D2" w14:textId="77777777" w:rsidR="00F61793" w:rsidRPr="00AC4F03" w:rsidRDefault="00F61793" w:rsidP="00191866">
            <w:pPr>
              <w:tabs>
                <w:tab w:val="clear" w:pos="426"/>
              </w:tabs>
              <w:spacing w:before="0" w:after="0" w:line="240" w:lineRule="auto"/>
              <w:ind w:left="0" w:right="0"/>
              <w:jc w:val="center"/>
              <w:rPr>
                <w:rFonts w:cs="Arial"/>
                <w:color w:val="1C3158"/>
                <w:sz w:val="18"/>
                <w:lang w:eastAsia="ja-JP"/>
              </w:rPr>
            </w:pPr>
            <w:r w:rsidRPr="00AC4F03">
              <w:rPr>
                <w:rFonts w:cs="Arial"/>
                <w:color w:val="1C3158"/>
                <w:sz w:val="18"/>
                <w:lang w:eastAsia="ja-JP"/>
              </w:rPr>
              <w:t>100</w:t>
            </w:r>
          </w:p>
        </w:tc>
        <w:tc>
          <w:tcPr>
            <w:tcW w:w="1134" w:type="dxa"/>
            <w:tcBorders>
              <w:top w:val="nil"/>
              <w:left w:val="nil"/>
              <w:bottom w:val="single" w:sz="12" w:space="0" w:color="FF9E3C"/>
              <w:right w:val="single" w:sz="12" w:space="0" w:color="FF9E3C"/>
            </w:tcBorders>
            <w:shd w:val="clear" w:color="auto" w:fill="auto"/>
            <w:vAlign w:val="center"/>
            <w:hideMark/>
          </w:tcPr>
          <w:p w14:paraId="6274ADFE" w14:textId="77777777" w:rsidR="00F61793" w:rsidRPr="00AC4F03" w:rsidRDefault="00F61793" w:rsidP="00191866">
            <w:pPr>
              <w:tabs>
                <w:tab w:val="clear" w:pos="426"/>
              </w:tabs>
              <w:spacing w:before="0" w:after="0" w:line="240" w:lineRule="auto"/>
              <w:ind w:left="0" w:right="0"/>
              <w:jc w:val="center"/>
              <w:rPr>
                <w:rFonts w:cs="Arial"/>
                <w:color w:val="1C3158"/>
                <w:sz w:val="18"/>
                <w:lang w:eastAsia="ja-JP"/>
              </w:rPr>
            </w:pPr>
            <w:r w:rsidRPr="00AC4F03">
              <w:rPr>
                <w:rFonts w:cs="Arial"/>
                <w:color w:val="1C3158"/>
                <w:sz w:val="18"/>
                <w:lang w:eastAsia="ja-JP"/>
              </w:rPr>
              <w:t>329</w:t>
            </w:r>
          </w:p>
        </w:tc>
      </w:tr>
      <w:tr w:rsidR="00F61793" w:rsidRPr="00AC4F03" w14:paraId="0798527F" w14:textId="77777777" w:rsidTr="00507033">
        <w:trPr>
          <w:trHeight w:val="330"/>
        </w:trPr>
        <w:tc>
          <w:tcPr>
            <w:tcW w:w="1701" w:type="dxa"/>
            <w:tcBorders>
              <w:top w:val="nil"/>
              <w:left w:val="single" w:sz="12" w:space="0" w:color="FF9E3C"/>
              <w:bottom w:val="single" w:sz="12" w:space="0" w:color="FF9E3C"/>
              <w:right w:val="single" w:sz="12" w:space="0" w:color="FF9E3C"/>
            </w:tcBorders>
            <w:shd w:val="clear" w:color="auto" w:fill="auto"/>
            <w:vAlign w:val="center"/>
            <w:hideMark/>
          </w:tcPr>
          <w:p w14:paraId="108416FE" w14:textId="77777777" w:rsidR="00F61793" w:rsidRPr="00AC4F03" w:rsidRDefault="00F61793" w:rsidP="00191866">
            <w:pPr>
              <w:tabs>
                <w:tab w:val="clear" w:pos="426"/>
              </w:tabs>
              <w:spacing w:before="0" w:after="0" w:line="240" w:lineRule="auto"/>
              <w:ind w:left="0" w:right="0"/>
              <w:rPr>
                <w:rFonts w:cs="Arial"/>
                <w:color w:val="1C3158"/>
                <w:sz w:val="18"/>
                <w:lang w:eastAsia="ja-JP"/>
              </w:rPr>
            </w:pPr>
            <w:r w:rsidRPr="00AC4F03">
              <w:rPr>
                <w:rFonts w:cs="Arial"/>
                <w:color w:val="1C3158"/>
                <w:sz w:val="18"/>
                <w:lang w:eastAsia="ja-JP"/>
              </w:rPr>
              <w:t>Affected others</w:t>
            </w:r>
          </w:p>
        </w:tc>
        <w:tc>
          <w:tcPr>
            <w:tcW w:w="1418" w:type="dxa"/>
            <w:tcBorders>
              <w:top w:val="nil"/>
              <w:left w:val="nil"/>
              <w:bottom w:val="single" w:sz="12" w:space="0" w:color="FF9E3C"/>
              <w:right w:val="single" w:sz="12" w:space="0" w:color="FF9E3C"/>
            </w:tcBorders>
            <w:shd w:val="clear" w:color="auto" w:fill="auto"/>
            <w:vAlign w:val="center"/>
            <w:hideMark/>
          </w:tcPr>
          <w:p w14:paraId="3672D502" w14:textId="77777777" w:rsidR="00F61793" w:rsidRPr="00AC4F03" w:rsidRDefault="00F61793" w:rsidP="00191866">
            <w:pPr>
              <w:tabs>
                <w:tab w:val="clear" w:pos="426"/>
              </w:tabs>
              <w:spacing w:before="0" w:after="0" w:line="240" w:lineRule="auto"/>
              <w:ind w:left="0" w:right="0"/>
              <w:jc w:val="center"/>
              <w:rPr>
                <w:rFonts w:cs="Arial"/>
                <w:color w:val="1C3158"/>
                <w:sz w:val="18"/>
                <w:lang w:eastAsia="ja-JP"/>
              </w:rPr>
            </w:pPr>
            <w:r w:rsidRPr="00AC4F03">
              <w:rPr>
                <w:rFonts w:cs="Arial"/>
                <w:color w:val="1C3158"/>
                <w:sz w:val="18"/>
                <w:lang w:eastAsia="ja-JP"/>
              </w:rPr>
              <w:t>9</w:t>
            </w:r>
          </w:p>
        </w:tc>
        <w:tc>
          <w:tcPr>
            <w:tcW w:w="1559" w:type="dxa"/>
            <w:tcBorders>
              <w:top w:val="nil"/>
              <w:left w:val="nil"/>
              <w:bottom w:val="single" w:sz="12" w:space="0" w:color="FF9E3C"/>
              <w:right w:val="single" w:sz="12" w:space="0" w:color="FF9E3C"/>
            </w:tcBorders>
            <w:shd w:val="clear" w:color="auto" w:fill="auto"/>
            <w:vAlign w:val="center"/>
            <w:hideMark/>
          </w:tcPr>
          <w:p w14:paraId="6E62732F" w14:textId="77777777" w:rsidR="00F61793" w:rsidRPr="00AC4F03" w:rsidRDefault="00F61793" w:rsidP="00191866">
            <w:pPr>
              <w:tabs>
                <w:tab w:val="clear" w:pos="426"/>
              </w:tabs>
              <w:spacing w:before="0" w:after="0" w:line="240" w:lineRule="auto"/>
              <w:ind w:left="0" w:right="0"/>
              <w:jc w:val="center"/>
              <w:rPr>
                <w:rFonts w:cs="Arial"/>
                <w:color w:val="1C3158"/>
                <w:sz w:val="18"/>
                <w:lang w:eastAsia="ja-JP"/>
              </w:rPr>
            </w:pPr>
            <w:r w:rsidRPr="00AC4F03">
              <w:rPr>
                <w:rFonts w:cs="Arial"/>
                <w:color w:val="1C3158"/>
                <w:sz w:val="18"/>
                <w:lang w:eastAsia="ja-JP"/>
              </w:rPr>
              <w:t>14</w:t>
            </w:r>
          </w:p>
        </w:tc>
        <w:tc>
          <w:tcPr>
            <w:tcW w:w="1559" w:type="dxa"/>
            <w:tcBorders>
              <w:top w:val="nil"/>
              <w:left w:val="nil"/>
              <w:bottom w:val="single" w:sz="12" w:space="0" w:color="FF9E3C"/>
              <w:right w:val="single" w:sz="12" w:space="0" w:color="FF9E3C"/>
            </w:tcBorders>
            <w:shd w:val="clear" w:color="auto" w:fill="auto"/>
            <w:vAlign w:val="center"/>
            <w:hideMark/>
          </w:tcPr>
          <w:p w14:paraId="51E9BA86" w14:textId="77777777" w:rsidR="00F61793" w:rsidRPr="00AC4F03" w:rsidRDefault="00F61793" w:rsidP="00191866">
            <w:pPr>
              <w:tabs>
                <w:tab w:val="clear" w:pos="426"/>
              </w:tabs>
              <w:spacing w:before="0" w:after="0" w:line="240" w:lineRule="auto"/>
              <w:ind w:left="0" w:right="0"/>
              <w:jc w:val="center"/>
              <w:rPr>
                <w:rFonts w:cs="Arial"/>
                <w:color w:val="1C3158"/>
                <w:sz w:val="18"/>
                <w:lang w:eastAsia="ja-JP"/>
              </w:rPr>
            </w:pPr>
            <w:r w:rsidRPr="00AC4F03">
              <w:rPr>
                <w:rFonts w:cs="Arial"/>
                <w:color w:val="1C3158"/>
                <w:sz w:val="18"/>
                <w:lang w:eastAsia="ja-JP"/>
              </w:rPr>
              <w:t>100</w:t>
            </w:r>
          </w:p>
        </w:tc>
        <w:tc>
          <w:tcPr>
            <w:tcW w:w="1559" w:type="dxa"/>
            <w:tcBorders>
              <w:top w:val="nil"/>
              <w:left w:val="nil"/>
              <w:bottom w:val="single" w:sz="12" w:space="0" w:color="FF9E3C"/>
              <w:right w:val="single" w:sz="12" w:space="0" w:color="FF9E3C"/>
            </w:tcBorders>
            <w:shd w:val="clear" w:color="auto" w:fill="auto"/>
            <w:vAlign w:val="center"/>
            <w:hideMark/>
          </w:tcPr>
          <w:p w14:paraId="0EA5889D" w14:textId="77777777" w:rsidR="00F61793" w:rsidRPr="00AC4F03" w:rsidRDefault="00F61793" w:rsidP="00191866">
            <w:pPr>
              <w:tabs>
                <w:tab w:val="clear" w:pos="426"/>
              </w:tabs>
              <w:spacing w:before="0" w:after="0" w:line="240" w:lineRule="auto"/>
              <w:ind w:left="0" w:right="0"/>
              <w:jc w:val="center"/>
              <w:rPr>
                <w:rFonts w:cs="Arial"/>
                <w:color w:val="1C3158"/>
                <w:sz w:val="18"/>
                <w:lang w:eastAsia="ja-JP"/>
              </w:rPr>
            </w:pPr>
            <w:r w:rsidRPr="00AC4F03">
              <w:rPr>
                <w:rFonts w:cs="Arial"/>
                <w:color w:val="1C3158"/>
                <w:sz w:val="18"/>
                <w:lang w:eastAsia="ja-JP"/>
              </w:rPr>
              <w:t>100</w:t>
            </w:r>
          </w:p>
        </w:tc>
        <w:tc>
          <w:tcPr>
            <w:tcW w:w="1134" w:type="dxa"/>
            <w:tcBorders>
              <w:top w:val="nil"/>
              <w:left w:val="nil"/>
              <w:bottom w:val="single" w:sz="12" w:space="0" w:color="FF9E3C"/>
              <w:right w:val="single" w:sz="12" w:space="0" w:color="FF9E3C"/>
            </w:tcBorders>
            <w:shd w:val="clear" w:color="auto" w:fill="auto"/>
            <w:vAlign w:val="center"/>
            <w:hideMark/>
          </w:tcPr>
          <w:p w14:paraId="7F76B204" w14:textId="77777777" w:rsidR="00F61793" w:rsidRPr="00AC4F03" w:rsidRDefault="00F61793" w:rsidP="00191866">
            <w:pPr>
              <w:tabs>
                <w:tab w:val="clear" w:pos="426"/>
              </w:tabs>
              <w:spacing w:before="0" w:after="0" w:line="240" w:lineRule="auto"/>
              <w:ind w:left="0" w:right="0"/>
              <w:jc w:val="center"/>
              <w:rPr>
                <w:rFonts w:cs="Arial"/>
                <w:color w:val="1C3158"/>
                <w:sz w:val="18"/>
                <w:lang w:eastAsia="ja-JP"/>
              </w:rPr>
            </w:pPr>
            <w:r w:rsidRPr="00AC4F03">
              <w:rPr>
                <w:rFonts w:cs="Arial"/>
                <w:color w:val="1C3158"/>
                <w:sz w:val="18"/>
                <w:lang w:eastAsia="ja-JP"/>
              </w:rPr>
              <w:t>223</w:t>
            </w:r>
          </w:p>
        </w:tc>
      </w:tr>
      <w:tr w:rsidR="00F61793" w:rsidRPr="00AC4F03" w14:paraId="3B83111E" w14:textId="77777777" w:rsidTr="00507033">
        <w:trPr>
          <w:trHeight w:val="330"/>
        </w:trPr>
        <w:tc>
          <w:tcPr>
            <w:tcW w:w="1701" w:type="dxa"/>
            <w:tcBorders>
              <w:top w:val="nil"/>
              <w:left w:val="single" w:sz="12" w:space="0" w:color="FF9E3C"/>
              <w:bottom w:val="single" w:sz="12" w:space="0" w:color="FF9E3C"/>
              <w:right w:val="single" w:sz="12" w:space="0" w:color="FF9E3C"/>
            </w:tcBorders>
            <w:shd w:val="clear" w:color="auto" w:fill="auto"/>
            <w:vAlign w:val="center"/>
            <w:hideMark/>
          </w:tcPr>
          <w:p w14:paraId="79A17C2B" w14:textId="77777777" w:rsidR="00F61793" w:rsidRPr="00AC4F03" w:rsidRDefault="00F61793" w:rsidP="00191866">
            <w:pPr>
              <w:tabs>
                <w:tab w:val="clear" w:pos="426"/>
              </w:tabs>
              <w:spacing w:before="0" w:after="0" w:line="240" w:lineRule="auto"/>
              <w:ind w:left="0" w:right="0"/>
              <w:rPr>
                <w:rFonts w:cs="Arial"/>
                <w:b/>
                <w:bCs/>
                <w:color w:val="1C3158"/>
                <w:sz w:val="18"/>
                <w:lang w:eastAsia="ja-JP"/>
              </w:rPr>
            </w:pPr>
            <w:r w:rsidRPr="00AC4F03">
              <w:rPr>
                <w:rFonts w:cs="Arial"/>
                <w:b/>
                <w:bCs/>
                <w:color w:val="1C3158"/>
                <w:sz w:val="18"/>
                <w:lang w:eastAsia="ja-JP"/>
              </w:rPr>
              <w:t>Total</w:t>
            </w:r>
          </w:p>
        </w:tc>
        <w:tc>
          <w:tcPr>
            <w:tcW w:w="1418" w:type="dxa"/>
            <w:tcBorders>
              <w:top w:val="nil"/>
              <w:left w:val="nil"/>
              <w:bottom w:val="single" w:sz="12" w:space="0" w:color="FF9E3C"/>
              <w:right w:val="single" w:sz="12" w:space="0" w:color="FF9E3C"/>
            </w:tcBorders>
            <w:shd w:val="clear" w:color="auto" w:fill="auto"/>
            <w:vAlign w:val="center"/>
            <w:hideMark/>
          </w:tcPr>
          <w:p w14:paraId="43257A01"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45</w:t>
            </w:r>
          </w:p>
        </w:tc>
        <w:tc>
          <w:tcPr>
            <w:tcW w:w="1559" w:type="dxa"/>
            <w:tcBorders>
              <w:top w:val="nil"/>
              <w:left w:val="nil"/>
              <w:bottom w:val="single" w:sz="12" w:space="0" w:color="FF9E3C"/>
              <w:right w:val="single" w:sz="12" w:space="0" w:color="FF9E3C"/>
            </w:tcBorders>
            <w:shd w:val="clear" w:color="auto" w:fill="auto"/>
            <w:vAlign w:val="center"/>
            <w:hideMark/>
          </w:tcPr>
          <w:p w14:paraId="0FC63FEC"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107</w:t>
            </w:r>
          </w:p>
        </w:tc>
        <w:tc>
          <w:tcPr>
            <w:tcW w:w="1559" w:type="dxa"/>
            <w:tcBorders>
              <w:top w:val="nil"/>
              <w:left w:val="nil"/>
              <w:bottom w:val="single" w:sz="12" w:space="0" w:color="FF9E3C"/>
              <w:right w:val="single" w:sz="12" w:space="0" w:color="FF9E3C"/>
            </w:tcBorders>
            <w:shd w:val="clear" w:color="auto" w:fill="auto"/>
            <w:vAlign w:val="center"/>
            <w:hideMark/>
          </w:tcPr>
          <w:p w14:paraId="438F061E"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200</w:t>
            </w:r>
          </w:p>
        </w:tc>
        <w:tc>
          <w:tcPr>
            <w:tcW w:w="1559" w:type="dxa"/>
            <w:tcBorders>
              <w:top w:val="nil"/>
              <w:left w:val="nil"/>
              <w:bottom w:val="single" w:sz="12" w:space="0" w:color="FF9E3C"/>
              <w:right w:val="single" w:sz="12" w:space="0" w:color="FF9E3C"/>
            </w:tcBorders>
            <w:shd w:val="clear" w:color="auto" w:fill="auto"/>
            <w:vAlign w:val="center"/>
            <w:hideMark/>
          </w:tcPr>
          <w:p w14:paraId="60EA8E61"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200</w:t>
            </w:r>
          </w:p>
        </w:tc>
        <w:tc>
          <w:tcPr>
            <w:tcW w:w="1134" w:type="dxa"/>
            <w:tcBorders>
              <w:top w:val="nil"/>
              <w:left w:val="nil"/>
              <w:bottom w:val="single" w:sz="12" w:space="0" w:color="FF9E3C"/>
              <w:right w:val="single" w:sz="12" w:space="0" w:color="FF9E3C"/>
            </w:tcBorders>
            <w:shd w:val="clear" w:color="auto" w:fill="auto"/>
            <w:vAlign w:val="center"/>
            <w:hideMark/>
          </w:tcPr>
          <w:p w14:paraId="21650525" w14:textId="77777777" w:rsidR="00F61793" w:rsidRPr="00AC4F03" w:rsidRDefault="00F61793" w:rsidP="00191866">
            <w:pPr>
              <w:tabs>
                <w:tab w:val="clear" w:pos="426"/>
              </w:tabs>
              <w:spacing w:before="0" w:after="0" w:line="240" w:lineRule="auto"/>
              <w:ind w:left="0" w:right="0"/>
              <w:jc w:val="center"/>
              <w:rPr>
                <w:rFonts w:cs="Arial"/>
                <w:b/>
                <w:bCs/>
                <w:color w:val="1C3158"/>
                <w:sz w:val="18"/>
                <w:lang w:eastAsia="ja-JP"/>
              </w:rPr>
            </w:pPr>
            <w:r w:rsidRPr="00AC4F03">
              <w:rPr>
                <w:rFonts w:cs="Arial"/>
                <w:b/>
                <w:bCs/>
                <w:color w:val="1C3158"/>
                <w:sz w:val="18"/>
                <w:lang w:eastAsia="ja-JP"/>
              </w:rPr>
              <w:t>552</w:t>
            </w:r>
          </w:p>
        </w:tc>
      </w:tr>
    </w:tbl>
    <w:p w14:paraId="17684416" w14:textId="77777777" w:rsidR="003B0770" w:rsidRDefault="00F61793" w:rsidP="007E7EA6">
      <w:pPr>
        <w:pStyle w:val="VRGFBodycontent"/>
        <w:spacing w:before="240"/>
      </w:pPr>
      <w:r w:rsidRPr="00D82AC4">
        <w:t>Each harm profile</w:t>
      </w:r>
      <w:r w:rsidR="00B11875">
        <w:t xml:space="preserve"> reported by individuals in our national survey</w:t>
      </w:r>
      <w:r w:rsidRPr="00D82AC4">
        <w:t xml:space="preserve"> w</w:t>
      </w:r>
      <w:r w:rsidR="00B11875">
        <w:t>ere</w:t>
      </w:r>
      <w:r w:rsidRPr="00D82AC4">
        <w:t xml:space="preserve"> converted to a </w:t>
      </w:r>
      <w:r w:rsidR="00D351D5">
        <w:t>plain</w:t>
      </w:r>
      <w:r w:rsidR="00D351D5" w:rsidRPr="00D82AC4">
        <w:t xml:space="preserve"> </w:t>
      </w:r>
      <w:r w:rsidRPr="00D82AC4">
        <w:t>language descriptor</w:t>
      </w:r>
      <w:r w:rsidR="00B11875">
        <w:t>, for use as stimuli,</w:t>
      </w:r>
      <w:r w:rsidRPr="00D82AC4">
        <w:t xml:space="preserve"> using a simple algorithm</w:t>
      </w:r>
      <w:r w:rsidR="00D61FE8">
        <w:t xml:space="preserve">. </w:t>
      </w:r>
      <w:r w:rsidRPr="00D82AC4">
        <w:t xml:space="preserve">This involved firstly specifying a clause for each </w:t>
      </w:r>
      <w:r w:rsidR="002A2602">
        <w:t>gambling-related</w:t>
      </w:r>
      <w:r w:rsidRPr="00D82AC4">
        <w:t xml:space="preserve"> harm checklist item covered in the </w:t>
      </w:r>
      <w:r w:rsidR="00D351D5">
        <w:t xml:space="preserve">national </w:t>
      </w:r>
      <w:r w:rsidRPr="00D82AC4">
        <w:t>survey</w:t>
      </w:r>
      <w:r w:rsidR="00D61FE8">
        <w:t>.</w:t>
      </w:r>
      <w:r w:rsidR="008610D3">
        <w:t xml:space="preserve"> </w:t>
      </w:r>
      <w:r w:rsidRPr="00D82AC4">
        <w:t>For example, the item ‘</w:t>
      </w:r>
      <w:r w:rsidRPr="00DE67E3">
        <w:rPr>
          <w:i/>
        </w:rPr>
        <w:t>Committed acts of self-harm</w:t>
      </w:r>
      <w:r w:rsidRPr="00D82AC4">
        <w:rPr>
          <w:i/>
        </w:rPr>
        <w:t>’</w:t>
      </w:r>
      <w:r w:rsidRPr="00D82AC4">
        <w:t xml:space="preserve"> in the</w:t>
      </w:r>
      <w:r>
        <w:t xml:space="preserve"> health</w:t>
      </w:r>
      <w:r w:rsidRPr="00D82AC4">
        <w:t xml:space="preserve"> domain was associated with the single word clause ‘</w:t>
      </w:r>
      <w:r>
        <w:rPr>
          <w:i/>
        </w:rPr>
        <w:t>self-harming</w:t>
      </w:r>
      <w:r w:rsidRPr="00D82AC4">
        <w:rPr>
          <w:i/>
        </w:rPr>
        <w:t>’</w:t>
      </w:r>
      <w:r w:rsidR="00D61FE8">
        <w:t>.</w:t>
      </w:r>
      <w:r w:rsidR="008610D3">
        <w:t xml:space="preserve"> </w:t>
      </w:r>
      <w:r w:rsidRPr="00D82AC4">
        <w:t>Other harms involved multi-word clauses; for example ‘</w:t>
      </w:r>
      <w:r w:rsidRPr="00DE67E3">
        <w:rPr>
          <w:i/>
        </w:rPr>
        <w:t>Felt insecure or vulnerable</w:t>
      </w:r>
      <w:r w:rsidRPr="00D82AC4">
        <w:t>’ was transformed to ‘</w:t>
      </w:r>
      <w:r w:rsidRPr="00FC354A">
        <w:rPr>
          <w:i/>
        </w:rPr>
        <w:t>feeling</w:t>
      </w:r>
      <w:r>
        <w:t xml:space="preserve"> </w:t>
      </w:r>
      <w:r>
        <w:rPr>
          <w:i/>
        </w:rPr>
        <w:t>vulnerable</w:t>
      </w:r>
      <w:r w:rsidRPr="00D82AC4">
        <w:t>’</w:t>
      </w:r>
      <w:r w:rsidR="00D61FE8">
        <w:t>.</w:t>
      </w:r>
      <w:r w:rsidR="008610D3">
        <w:t xml:space="preserve"> </w:t>
      </w:r>
      <w:r w:rsidRPr="00D82AC4">
        <w:t>Some harms included examples to make the meaning clear</w:t>
      </w:r>
      <w:r>
        <w:t>, such as ‘</w:t>
      </w:r>
      <w:r w:rsidRPr="00DE67E3">
        <w:rPr>
          <w:i/>
        </w:rPr>
        <w:t>neglecting your medical needs (e.g. taking prescriptions)</w:t>
      </w:r>
      <w:r w:rsidRPr="00DE67E3">
        <w:t>’</w:t>
      </w:r>
      <w:r w:rsidR="00D61FE8">
        <w:t>.</w:t>
      </w:r>
      <w:r w:rsidR="008610D3">
        <w:t xml:space="preserve"> </w:t>
      </w:r>
      <w:r w:rsidRPr="00D82AC4">
        <w:t>Each harm in the checklist was associated with a particular sentence in the vignette (indexed within domain)</w:t>
      </w:r>
      <w:r w:rsidR="00D61FE8">
        <w:t>.</w:t>
      </w:r>
      <w:r w:rsidR="008610D3">
        <w:t xml:space="preserve"> </w:t>
      </w:r>
      <w:r w:rsidRPr="00D82AC4">
        <w:t>Each harm in the checklist was also associated with a particular sentence in the vignette (</w:t>
      </w:r>
      <w:r>
        <w:t xml:space="preserve">also </w:t>
      </w:r>
      <w:r w:rsidRPr="00D82AC4">
        <w:t>indexed within domain)</w:t>
      </w:r>
      <w:r w:rsidR="00D61FE8">
        <w:t>.</w:t>
      </w:r>
      <w:r w:rsidR="008610D3">
        <w:t xml:space="preserve"> </w:t>
      </w:r>
      <w:r w:rsidRPr="00D82AC4">
        <w:t>The complete harm</w:t>
      </w:r>
      <w:r w:rsidR="0088731D">
        <w:t>-</w:t>
      </w:r>
      <w:r w:rsidRPr="00D82AC4">
        <w:t xml:space="preserve">vignette clause assignment table is provided </w:t>
      </w:r>
      <w:r w:rsidR="0088731D">
        <w:t>in</w:t>
      </w:r>
      <w:r w:rsidR="003B0770">
        <w:t xml:space="preserve"> </w:t>
      </w:r>
      <w:r w:rsidR="003B0770">
        <w:fldChar w:fldCharType="begin"/>
      </w:r>
      <w:r w:rsidR="003B0770">
        <w:instrText xml:space="preserve"> REF _Ref448417182 \h </w:instrText>
      </w:r>
      <w:r w:rsidR="003B0770">
        <w:fldChar w:fldCharType="separate"/>
      </w:r>
      <w:r w:rsidR="0006479A">
        <w:t xml:space="preserve">Appendix </w:t>
      </w:r>
      <w:r w:rsidR="0006479A">
        <w:rPr>
          <w:noProof/>
        </w:rPr>
        <w:t>8</w:t>
      </w:r>
      <w:r w:rsidR="003B0770">
        <w:fldChar w:fldCharType="end"/>
      </w:r>
      <w:r w:rsidR="003B0770">
        <w:t xml:space="preserve">. </w:t>
      </w:r>
    </w:p>
    <w:p w14:paraId="2E3829A3" w14:textId="1608D08B" w:rsidR="00F61793" w:rsidRPr="00D82AC4" w:rsidRDefault="00F61793" w:rsidP="00F61793">
      <w:pPr>
        <w:pStyle w:val="VRGFBodycontent"/>
      </w:pPr>
      <w:r w:rsidRPr="004B5A6B">
        <w:lastRenderedPageBreak/>
        <w:t>Each sentence followed a stereotypical format, with a standard initial starting phrase</w:t>
      </w:r>
      <w:r w:rsidR="00D61FE8" w:rsidRPr="004B5A6B">
        <w:t>.</w:t>
      </w:r>
      <w:r w:rsidR="008610D3">
        <w:t xml:space="preserve"> </w:t>
      </w:r>
      <w:r w:rsidRPr="004B5A6B">
        <w:t>For example, ‘</w:t>
      </w:r>
      <w:r w:rsidRPr="004B5A6B">
        <w:rPr>
          <w:i/>
        </w:rPr>
        <w:t>The gambling</w:t>
      </w:r>
      <w:r w:rsidRPr="00D82AC4">
        <w:rPr>
          <w:i/>
        </w:rPr>
        <w:t xml:space="preserve"> is making you feel</w:t>
      </w:r>
      <w:r w:rsidRPr="00D82AC4">
        <w:t>’, is the initial clause in the first sentence in the emotional/psychological domain</w:t>
      </w:r>
      <w:r w:rsidR="00D61FE8">
        <w:t>.</w:t>
      </w:r>
      <w:r w:rsidR="008610D3">
        <w:t xml:space="preserve"> </w:t>
      </w:r>
      <w:r w:rsidRPr="00D82AC4">
        <w:t xml:space="preserve">It </w:t>
      </w:r>
      <w:r w:rsidR="0088731D">
        <w:t>was</w:t>
      </w:r>
      <w:r w:rsidRPr="00D82AC4">
        <w:t xml:space="preserve"> followed by each of the harm clauses, separated by a comma (between subsequent harms occurring within the same sentence) and a particular conjunction (for the final harm occurring in the sentence)</w:t>
      </w:r>
      <w:r w:rsidR="00D61FE8">
        <w:t>.</w:t>
      </w:r>
      <w:r w:rsidR="008610D3">
        <w:t xml:space="preserve"> </w:t>
      </w:r>
      <w:r w:rsidRPr="00D82AC4">
        <w:t>The full table of se</w:t>
      </w:r>
      <w:r>
        <w:t xml:space="preserve">ntence descriptors is provided </w:t>
      </w:r>
      <w:r w:rsidR="0088731D">
        <w:t xml:space="preserve">in </w:t>
      </w:r>
      <w:r w:rsidR="000B1C4C">
        <w:fldChar w:fldCharType="begin"/>
      </w:r>
      <w:r w:rsidR="000B1C4C">
        <w:instrText xml:space="preserve"> REF _Ref445410730 \h </w:instrText>
      </w:r>
      <w:r w:rsidR="000B1C4C">
        <w:fldChar w:fldCharType="separate"/>
      </w:r>
      <w:r w:rsidR="0006479A">
        <w:t xml:space="preserve">Appendix </w:t>
      </w:r>
      <w:r w:rsidR="0006479A">
        <w:rPr>
          <w:noProof/>
        </w:rPr>
        <w:t>9</w:t>
      </w:r>
      <w:r w:rsidR="000B1C4C">
        <w:fldChar w:fldCharType="end"/>
      </w:r>
      <w:r w:rsidR="00D61FE8">
        <w:t>.</w:t>
      </w:r>
      <w:r w:rsidR="008610D3">
        <w:t xml:space="preserve"> </w:t>
      </w:r>
      <w:r w:rsidRPr="00D82AC4">
        <w:t>For a given sentence, when a participant reported no harms, that sentence was omitted completely from the vignette</w:t>
      </w:r>
      <w:r w:rsidR="00D61FE8">
        <w:t>.</w:t>
      </w:r>
      <w:r w:rsidR="00B11875">
        <w:t xml:space="preserve"> </w:t>
      </w:r>
      <w:r w:rsidR="00B11875" w:rsidRPr="00B11875">
        <w:t>The algorithm outputs and wordings of accompanying task instructions were inspected by the research team at AUT and CQU and edited by a researcher to correct any minor unexpected grammatical issues that arose.</w:t>
      </w:r>
      <w:r w:rsidR="00D61FE8">
        <w:t xml:space="preserve"> </w:t>
      </w:r>
      <w:r w:rsidRPr="00D82AC4">
        <w:t>The respondents were asked to imagine experiencing the condition themselves, which facilitated instructions for the elicitation protocols</w:t>
      </w:r>
      <w:r w:rsidR="00D61FE8">
        <w:t>.</w:t>
      </w:r>
      <w:r w:rsidR="008610D3">
        <w:t xml:space="preserve"> </w:t>
      </w:r>
      <w:r w:rsidRPr="00D82AC4">
        <w:t xml:space="preserve">The operation of the vignette generation algorithm can be seen by the following examples from </w:t>
      </w:r>
      <w:r>
        <w:t xml:space="preserve">a </w:t>
      </w:r>
      <w:r w:rsidRPr="00D82AC4">
        <w:t>respondent reporting on harm from their own gambling (</w:t>
      </w:r>
      <w:r w:rsidR="00B11875">
        <w:t>henceforth known as ‘</w:t>
      </w:r>
      <w:r w:rsidRPr="00D82AC4">
        <w:t>Form A</w:t>
      </w:r>
      <w:r w:rsidR="00B11875">
        <w:t>’</w:t>
      </w:r>
      <w:r w:rsidRPr="00D82AC4">
        <w:t>):</w:t>
      </w:r>
    </w:p>
    <w:p w14:paraId="56A95075" w14:textId="1D68B7B7" w:rsidR="00F61793" w:rsidRPr="0005505C" w:rsidRDefault="00F61793" w:rsidP="0005505C">
      <w:pPr>
        <w:pStyle w:val="Quote"/>
        <w:rPr>
          <w:i w:val="0"/>
        </w:rPr>
      </w:pPr>
      <w:r w:rsidRPr="0005505C">
        <w:t>Your</w:t>
      </w:r>
      <w:r w:rsidRPr="00DF030D">
        <w:t xml:space="preserve"> gambling is affecting your quality of life</w:t>
      </w:r>
      <w:r w:rsidR="00D61FE8">
        <w:t>.</w:t>
      </w:r>
      <w:r w:rsidR="008610D3">
        <w:t xml:space="preserve"> </w:t>
      </w:r>
      <w:r w:rsidRPr="00DF030D">
        <w:t>The gambling is making you feel hopeless</w:t>
      </w:r>
      <w:r w:rsidR="00D61FE8">
        <w:t>.</w:t>
      </w:r>
      <w:r w:rsidR="008610D3">
        <w:t xml:space="preserve"> </w:t>
      </w:r>
      <w:r w:rsidRPr="00DF030D">
        <w:t>You also feel like a failure</w:t>
      </w:r>
      <w:r w:rsidR="00D61FE8">
        <w:t>.</w:t>
      </w:r>
      <w:r w:rsidR="008610D3">
        <w:t xml:space="preserve"> </w:t>
      </w:r>
      <w:r w:rsidRPr="00DF030D">
        <w:t>You are experiencing stress related health problems (e.g. high blood pressure)</w:t>
      </w:r>
      <w:r w:rsidR="00D61FE8">
        <w:t>.</w:t>
      </w:r>
      <w:r w:rsidR="008610D3">
        <w:t xml:space="preserve"> </w:t>
      </w:r>
      <w:r w:rsidRPr="00DF030D">
        <w:t>You are also living in unhygienic conditions (e.g. living rough, neglected)</w:t>
      </w:r>
      <w:r w:rsidR="00D61FE8">
        <w:t>.</w:t>
      </w:r>
      <w:r w:rsidR="008610D3">
        <w:t xml:space="preserve"> </w:t>
      </w:r>
      <w:r w:rsidRPr="00DF030D">
        <w:t>You neglect your relationship responsibilities</w:t>
      </w:r>
      <w:r w:rsidR="00D61FE8">
        <w:t>.</w:t>
      </w:r>
      <w:r w:rsidR="008610D3">
        <w:t xml:space="preserve"> </w:t>
      </w:r>
      <w:r w:rsidRPr="00DF030D">
        <w:t>At work/study you have reduced your performance (e.g. due to tiredness or distraction)</w:t>
      </w:r>
      <w:r w:rsidR="007E0C13">
        <w:t>.</w:t>
      </w:r>
      <w:r w:rsidR="008610D3">
        <w:t xml:space="preserve"> </w:t>
      </w:r>
      <w:r>
        <w:rPr>
          <w:i w:val="0"/>
        </w:rPr>
        <w:t>(A377)</w:t>
      </w:r>
    </w:p>
    <w:p w14:paraId="38807411" w14:textId="187FD2E7" w:rsidR="00F61793" w:rsidRPr="00D82AC4" w:rsidRDefault="00F61793" w:rsidP="00F61793">
      <w:pPr>
        <w:pStyle w:val="VRGFBodycontent"/>
      </w:pPr>
      <w:r>
        <w:t>The goal of utilising the deterministic algorithm that</w:t>
      </w:r>
      <w:r w:rsidRPr="00D82AC4">
        <w:t xml:space="preserve"> </w:t>
      </w:r>
      <w:r>
        <w:t>generated</w:t>
      </w:r>
      <w:r w:rsidRPr="00D82AC4">
        <w:t xml:space="preserve"> vignettes </w:t>
      </w:r>
      <w:r>
        <w:t>was to ensure an objective and standard method to translate the quantitative symptomology data into</w:t>
      </w:r>
      <w:r w:rsidR="00D351D5">
        <w:t xml:space="preserve"> plain</w:t>
      </w:r>
      <w:r>
        <w:t xml:space="preserve"> language vignettes that faithfully represented the experiences as</w:t>
      </w:r>
      <w:r w:rsidRPr="00D82AC4">
        <w:t xml:space="preserve"> reported by survey respondents</w:t>
      </w:r>
      <w:r w:rsidR="007E0C13">
        <w:t>.</w:t>
      </w:r>
      <w:r w:rsidR="008610D3">
        <w:t xml:space="preserve"> </w:t>
      </w:r>
      <w:r>
        <w:t>T</w:t>
      </w:r>
      <w:r w:rsidRPr="00D82AC4">
        <w:t xml:space="preserve">he initial sentence for </w:t>
      </w:r>
      <w:r>
        <w:t xml:space="preserve">Form A (harm to self) group </w:t>
      </w:r>
      <w:r w:rsidRPr="00D82AC4">
        <w:t>was fixed as ‘</w:t>
      </w:r>
      <w:r w:rsidRPr="00D82AC4">
        <w:rPr>
          <w:i/>
        </w:rPr>
        <w:t xml:space="preserve">Your gambling is affecting your quality of life.’ </w:t>
      </w:r>
      <w:r w:rsidRPr="00D82AC4">
        <w:t>For those describing harms caused by another’s gambling (Form B), the initial sentence matched the relationship of the person to the gambler</w:t>
      </w:r>
      <w:r w:rsidR="007E0C13">
        <w:t>.</w:t>
      </w:r>
      <w:r w:rsidR="008610D3">
        <w:t xml:space="preserve"> </w:t>
      </w:r>
      <w:r w:rsidRPr="00D82AC4">
        <w:t>For example, B1</w:t>
      </w:r>
      <w:r>
        <w:t>13</w:t>
      </w:r>
      <w:r w:rsidRPr="00D82AC4">
        <w:t xml:space="preserve"> describes an individual who was affected by a parent</w:t>
      </w:r>
      <w:r>
        <w:t>’s gambling</w:t>
      </w:r>
      <w:r w:rsidRPr="00D82AC4">
        <w:t>:</w:t>
      </w:r>
    </w:p>
    <w:p w14:paraId="7714CF73" w14:textId="20E8F84F" w:rsidR="00F61793" w:rsidRPr="0005505C" w:rsidRDefault="00F61793" w:rsidP="0005505C">
      <w:pPr>
        <w:pStyle w:val="Quote"/>
      </w:pPr>
      <w:r w:rsidRPr="00822873">
        <w:t>Your parent's gambling is affecting your quality of life</w:t>
      </w:r>
      <w:r w:rsidR="007E0C13">
        <w:t>.</w:t>
      </w:r>
      <w:r w:rsidR="008610D3">
        <w:t xml:space="preserve"> </w:t>
      </w:r>
      <w:r w:rsidRPr="00822873">
        <w:t>You also feel vulnerable</w:t>
      </w:r>
      <w:r w:rsidR="007E0C13">
        <w:t>.</w:t>
      </w:r>
      <w:r w:rsidR="008610D3">
        <w:t xml:space="preserve"> </w:t>
      </w:r>
      <w:r w:rsidRPr="00822873">
        <w:t>You spend less</w:t>
      </w:r>
      <w:r w:rsidRPr="00FA0393">
        <w:t xml:space="preserve"> recreationally (e.g. movies, eating out)</w:t>
      </w:r>
      <w:r w:rsidR="007E0C13">
        <w:t>.</w:t>
      </w:r>
      <w:r w:rsidR="008610D3">
        <w:t xml:space="preserve"> </w:t>
      </w:r>
      <w:r w:rsidRPr="00FA0393">
        <w:t>You are less physically active</w:t>
      </w:r>
      <w:r w:rsidR="007E0C13">
        <w:t>.</w:t>
      </w:r>
      <w:r w:rsidR="008610D3">
        <w:t xml:space="preserve"> </w:t>
      </w:r>
      <w:r w:rsidRPr="00FA0393">
        <w:t>You are concerned that your relationship will result in separation or end</w:t>
      </w:r>
      <w:r w:rsidR="007E0C13">
        <w:t>.</w:t>
      </w:r>
      <w:r w:rsidR="008610D3">
        <w:t xml:space="preserve"> </w:t>
      </w:r>
      <w:r w:rsidRPr="00FA0393">
        <w:t>At work/study you have been late</w:t>
      </w:r>
      <w:r w:rsidR="007E0C13">
        <w:t>.</w:t>
      </w:r>
      <w:r w:rsidR="008610D3">
        <w:t xml:space="preserve"> </w:t>
      </w:r>
      <w:r w:rsidRPr="00DE67E3">
        <w:rPr>
          <w:i w:val="0"/>
        </w:rPr>
        <w:t>(B113)</w:t>
      </w:r>
    </w:p>
    <w:p w14:paraId="74676BFB" w14:textId="6E3D03EF" w:rsidR="00F61793" w:rsidRDefault="00F61793" w:rsidP="00F61793">
      <w:pPr>
        <w:pStyle w:val="VRGFBodycontent"/>
      </w:pPr>
      <w:r w:rsidRPr="00D82AC4">
        <w:t xml:space="preserve">The full set of </w:t>
      </w:r>
      <w:r>
        <w:t>552</w:t>
      </w:r>
      <w:r w:rsidRPr="00D82AC4">
        <w:t xml:space="preserve"> condition vignettes </w:t>
      </w:r>
      <w:r w:rsidR="00771FDB">
        <w:t>was</w:t>
      </w:r>
      <w:r w:rsidR="00771FDB" w:rsidRPr="00D82AC4">
        <w:t xml:space="preserve"> </w:t>
      </w:r>
      <w:r w:rsidRPr="00D82AC4">
        <w:t>randomly sampled with replacement, before being arranged in sequences of six unique vignettes for evaluation by individual participants</w:t>
      </w:r>
      <w:r w:rsidR="007E0C13">
        <w:t>.</w:t>
      </w:r>
      <w:r w:rsidR="008610D3">
        <w:t xml:space="preserve"> </w:t>
      </w:r>
      <w:r w:rsidRPr="00D82AC4">
        <w:t xml:space="preserve">The stimuli for each participant were either </w:t>
      </w:r>
      <w:r w:rsidR="00823D74">
        <w:t xml:space="preserve">six </w:t>
      </w:r>
      <w:r w:rsidRPr="00D82AC4">
        <w:t>Form A vignettes</w:t>
      </w:r>
      <w:r>
        <w:t xml:space="preserve"> (harm from own gambling) </w:t>
      </w:r>
      <w:r w:rsidRPr="00D82AC4">
        <w:t xml:space="preserve">or </w:t>
      </w:r>
      <w:r w:rsidR="00823D74">
        <w:t>six</w:t>
      </w:r>
      <w:r w:rsidR="00823D74" w:rsidRPr="00D82AC4">
        <w:t xml:space="preserve"> </w:t>
      </w:r>
      <w:r w:rsidRPr="00D82AC4">
        <w:t>Form B vignettes</w:t>
      </w:r>
      <w:r>
        <w:t xml:space="preserve"> (harm from another’s gambling)</w:t>
      </w:r>
      <w:r w:rsidRPr="00D82AC4">
        <w:t>, and not a mixture of the two</w:t>
      </w:r>
      <w:r>
        <w:t xml:space="preserve"> - to avoid respondent confusion between the two types of vignettes</w:t>
      </w:r>
      <w:r w:rsidR="007E0C13">
        <w:t>.</w:t>
      </w:r>
      <w:r w:rsidR="008610D3">
        <w:t xml:space="preserve"> </w:t>
      </w:r>
      <w:r w:rsidRPr="000D6652">
        <w:t>The online survey was programmed so each participant (</w:t>
      </w:r>
      <w:r w:rsidR="00771FDB">
        <w:t xml:space="preserve">uniquely </w:t>
      </w:r>
      <w:r w:rsidRPr="000D6652">
        <w:t>identified) was given his or her own</w:t>
      </w:r>
      <w:r>
        <w:t xml:space="preserve"> unique</w:t>
      </w:r>
      <w:r w:rsidRPr="000D6652">
        <w:t xml:space="preserve"> set of </w:t>
      </w:r>
      <w:r w:rsidR="00C949A0">
        <w:t>six</w:t>
      </w:r>
      <w:r w:rsidR="00C949A0" w:rsidRPr="000D6652">
        <w:t xml:space="preserve"> </w:t>
      </w:r>
      <w:r w:rsidRPr="000D6652">
        <w:t>vignettes</w:t>
      </w:r>
      <w:r>
        <w:t xml:space="preserve"> to evaluate</w:t>
      </w:r>
      <w:r w:rsidR="007E0C13">
        <w:t>.</w:t>
      </w:r>
      <w:r w:rsidR="008610D3">
        <w:t xml:space="preserve"> </w:t>
      </w:r>
      <w:r>
        <w:t>Thus</w:t>
      </w:r>
      <w:r w:rsidRPr="00D82AC4">
        <w:t xml:space="preserve">, each participant in this part of the study was asked to judge the experience of harm from </w:t>
      </w:r>
      <w:r w:rsidR="00C949A0">
        <w:t>six</w:t>
      </w:r>
      <w:r w:rsidR="00C949A0" w:rsidRPr="00D82AC4">
        <w:t xml:space="preserve"> </w:t>
      </w:r>
      <w:r w:rsidRPr="00D82AC4">
        <w:t>real experiences of harm reported by others in the prior</w:t>
      </w:r>
      <w:r>
        <w:t xml:space="preserve"> </w:t>
      </w:r>
      <w:r w:rsidR="00C949A0">
        <w:t xml:space="preserve">gambling </w:t>
      </w:r>
      <w:r>
        <w:t>harms</w:t>
      </w:r>
      <w:r w:rsidRPr="00D82AC4">
        <w:t xml:space="preserve"> </w:t>
      </w:r>
      <w:r w:rsidR="00C949A0">
        <w:t xml:space="preserve">national </w:t>
      </w:r>
      <w:r w:rsidRPr="00D82AC4">
        <w:t>survey</w:t>
      </w:r>
      <w:r w:rsidR="00771FDB">
        <w:t xml:space="preserve">, </w:t>
      </w:r>
      <w:r w:rsidR="009720A6">
        <w:t>which included</w:t>
      </w:r>
      <w:r w:rsidRPr="00D82AC4">
        <w:t xml:space="preserve"> experiences of gamblers or people affected by gambling.</w:t>
      </w:r>
    </w:p>
    <w:p w14:paraId="3EA66A1B" w14:textId="77777777" w:rsidR="00F61793" w:rsidRPr="00D82AC4" w:rsidRDefault="00F61793" w:rsidP="00F61793">
      <w:pPr>
        <w:spacing w:before="100" w:beforeAutospacing="1" w:after="100" w:afterAutospacing="1" w:line="240" w:lineRule="auto"/>
        <w:ind w:left="786"/>
        <w:rPr>
          <w:rFonts w:cs="Arial"/>
          <w:b/>
        </w:rPr>
      </w:pPr>
    </w:p>
    <w:p w14:paraId="11415345" w14:textId="77777777" w:rsidR="00F61793" w:rsidRPr="00D302D0" w:rsidRDefault="00F61793" w:rsidP="00191866">
      <w:pPr>
        <w:pStyle w:val="VRGFHead4"/>
      </w:pPr>
      <w:r w:rsidRPr="00D302D0">
        <w:t>Online evaluation protocol</w:t>
      </w:r>
    </w:p>
    <w:p w14:paraId="12244028" w14:textId="6B789D7A" w:rsidR="00F61793" w:rsidRDefault="00F61793" w:rsidP="00F61793">
      <w:pPr>
        <w:pStyle w:val="VRGFBodycontent"/>
      </w:pPr>
      <w:r w:rsidRPr="00D82AC4">
        <w:t>The online evaluation protocols involved participants undertaking the VAS and TTO tasks for each of the six vignettes</w:t>
      </w:r>
      <w:r w:rsidR="007E0C13">
        <w:t>.</w:t>
      </w:r>
      <w:r w:rsidR="008610D3">
        <w:t xml:space="preserve"> </w:t>
      </w:r>
      <w:r w:rsidRPr="00D82AC4">
        <w:t>Prior to completing the tasks, participants were provided with a tutorial regarding how to correctly complete the protocols</w:t>
      </w:r>
      <w:r w:rsidR="007E0C13">
        <w:t>.</w:t>
      </w:r>
      <w:r w:rsidR="008610D3">
        <w:t xml:space="preserve"> </w:t>
      </w:r>
      <w:r w:rsidRPr="00D82AC4">
        <w:t>The protocols took approximately 15 minutes to complete and comprised 3 sections:</w:t>
      </w:r>
    </w:p>
    <w:p w14:paraId="7A2ABAB0" w14:textId="77777777" w:rsidR="00F61793" w:rsidRDefault="00F61793" w:rsidP="00191866">
      <w:pPr>
        <w:pStyle w:val="VRGFHead5"/>
      </w:pPr>
      <w:r>
        <w:lastRenderedPageBreak/>
        <w:t xml:space="preserve">VAS </w:t>
      </w:r>
    </w:p>
    <w:p w14:paraId="5448E2DB" w14:textId="7A59D118" w:rsidR="00F61793" w:rsidRPr="00D82AC4" w:rsidRDefault="00F61793" w:rsidP="00F61793">
      <w:pPr>
        <w:pStyle w:val="VRGFBodycontent"/>
      </w:pPr>
      <w:r w:rsidRPr="00D82AC4">
        <w:t xml:space="preserve">This task involved participants assessing 6 vignettes and ranking them according to how much they believe their own imagined quality of life would be </w:t>
      </w:r>
      <w:r w:rsidR="00E25AC9">
        <w:t>affected</w:t>
      </w:r>
      <w:r w:rsidR="00E25AC9" w:rsidRPr="00D82AC4">
        <w:t xml:space="preserve"> </w:t>
      </w:r>
      <w:r w:rsidRPr="00D82AC4">
        <w:t>if they were to experience the scenario in the vignette</w:t>
      </w:r>
      <w:r w:rsidR="007E0C13">
        <w:t>.</w:t>
      </w:r>
      <w:r w:rsidR="008610D3">
        <w:t xml:space="preserve"> </w:t>
      </w:r>
      <w:r w:rsidRPr="00D82AC4">
        <w:t>Rankings could range on a continuum from 0 (comparable to death) to 100 (perfect health)</w:t>
      </w:r>
      <w:r w:rsidR="007E0C13">
        <w:t>.</w:t>
      </w:r>
      <w:r w:rsidR="008610D3">
        <w:t xml:space="preserve"> </w:t>
      </w:r>
      <w:r w:rsidRPr="00D82AC4">
        <w:t>Other health conditions such as schizophrenia, for which disability weighting estimates have been previously established, were also presented on the scale as reference points</w:t>
      </w:r>
      <w:r w:rsidR="00E25AC9">
        <w:rPr>
          <w:color w:val="FF0000"/>
        </w:rPr>
        <w:t>.</w:t>
      </w:r>
      <w:r w:rsidR="008610D3">
        <w:rPr>
          <w:color w:val="FF0000"/>
        </w:rPr>
        <w:t xml:space="preserve"> </w:t>
      </w:r>
      <w:r w:rsidRPr="00D82AC4">
        <w:t xml:space="preserve">Three </w:t>
      </w:r>
      <w:r>
        <w:t xml:space="preserve">unique </w:t>
      </w:r>
      <w:r w:rsidRPr="00D82AC4">
        <w:t>VAS scales were developed, each with 9 reference conditions</w:t>
      </w:r>
      <w:r w:rsidR="007E0C13">
        <w:t>.</w:t>
      </w:r>
      <w:r w:rsidR="008610D3">
        <w:t xml:space="preserve"> </w:t>
      </w:r>
      <w:r w:rsidRPr="00D82AC4">
        <w:t>Reference conditions were selected to ensure a spread of health states that varied according to severity</w:t>
      </w:r>
      <w:r w:rsidR="007E0C13">
        <w:t>.</w:t>
      </w:r>
      <w:r w:rsidR="008610D3">
        <w:t xml:space="preserve"> </w:t>
      </w:r>
      <w:r w:rsidRPr="00D82AC4">
        <w:t>Participants were also provided with descriptions for each of these reference conditions, which were displayed as a mouse-over pop-up text box</w:t>
      </w:r>
      <w:r w:rsidR="007E0C13">
        <w:t>.</w:t>
      </w:r>
      <w:r w:rsidR="008610D3">
        <w:t xml:space="preserve"> </w:t>
      </w:r>
      <w:r w:rsidRPr="00D82AC4">
        <w:t>The full list of conditions and descriptions that appeared across the 3 VAS scales are presented</w:t>
      </w:r>
      <w:r>
        <w:t xml:space="preserve"> </w:t>
      </w:r>
      <w:r w:rsidR="00E25AC9">
        <w:t xml:space="preserve">in </w:t>
      </w:r>
      <w:r w:rsidR="000B1C4C">
        <w:fldChar w:fldCharType="begin"/>
      </w:r>
      <w:r w:rsidR="000B1C4C">
        <w:instrText xml:space="preserve"> REF _Ref445410794 \h </w:instrText>
      </w:r>
      <w:r w:rsidR="000B1C4C">
        <w:fldChar w:fldCharType="separate"/>
      </w:r>
      <w:r w:rsidR="0006479A">
        <w:t xml:space="preserve">Appendix </w:t>
      </w:r>
      <w:r w:rsidR="0006479A">
        <w:rPr>
          <w:noProof/>
        </w:rPr>
        <w:t>10</w:t>
      </w:r>
      <w:r w:rsidR="000B1C4C">
        <w:fldChar w:fldCharType="end"/>
      </w:r>
      <w:r w:rsidR="007E0C13">
        <w:t>.</w:t>
      </w:r>
      <w:r w:rsidR="008610D3">
        <w:t xml:space="preserve"> </w:t>
      </w:r>
      <w:r w:rsidR="00507033">
        <w:rPr>
          <w:color w:val="FF0000"/>
        </w:rPr>
        <w:fldChar w:fldCharType="begin"/>
      </w:r>
      <w:r w:rsidR="00507033">
        <w:rPr>
          <w:color w:val="FF0000"/>
        </w:rPr>
        <w:instrText xml:space="preserve"> REF _Ref445408047 \h </w:instrText>
      </w:r>
      <w:r w:rsidR="00507033">
        <w:rPr>
          <w:color w:val="FF0000"/>
        </w:rPr>
      </w:r>
      <w:r w:rsidR="00507033">
        <w:rPr>
          <w:color w:val="FF0000"/>
        </w:rPr>
        <w:fldChar w:fldCharType="separate"/>
      </w:r>
      <w:r w:rsidR="0006479A">
        <w:t xml:space="preserve">Figure </w:t>
      </w:r>
      <w:r w:rsidR="0006479A">
        <w:rPr>
          <w:noProof/>
        </w:rPr>
        <w:t>6</w:t>
      </w:r>
      <w:r w:rsidR="00507033">
        <w:rPr>
          <w:color w:val="FF0000"/>
        </w:rPr>
        <w:fldChar w:fldCharType="end"/>
      </w:r>
      <w:r w:rsidR="007E7EA6">
        <w:rPr>
          <w:color w:val="FF0000"/>
        </w:rPr>
        <w:t xml:space="preserve"> </w:t>
      </w:r>
      <w:r w:rsidRPr="00D82AC4">
        <w:t>shows a</w:t>
      </w:r>
      <w:r>
        <w:t>n</w:t>
      </w:r>
      <w:r w:rsidRPr="00D82AC4">
        <w:t xml:space="preserve"> </w:t>
      </w:r>
      <w:r>
        <w:t>example of the VAS task.</w:t>
      </w:r>
    </w:p>
    <w:p w14:paraId="09E896D5" w14:textId="77777777" w:rsidR="00F61793" w:rsidRDefault="00F61793" w:rsidP="00F61793">
      <w:pPr>
        <w:pStyle w:val="Caption"/>
      </w:pPr>
      <w:r>
        <w:rPr>
          <w:noProof/>
          <w:lang w:val="en-NZ" w:eastAsia="en-NZ"/>
        </w:rPr>
        <w:drawing>
          <wp:inline distT="0" distB="0" distL="0" distR="0" wp14:anchorId="47129C77" wp14:editId="7CFDD649">
            <wp:extent cx="5457825" cy="6294566"/>
            <wp:effectExtent l="19050" t="19050" r="952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8499" t="12202" r="28678"/>
                    <a:stretch/>
                  </pic:blipFill>
                  <pic:spPr bwMode="auto">
                    <a:xfrm>
                      <a:off x="0" y="0"/>
                      <a:ext cx="5476191" cy="6315748"/>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EF2B04" w14:textId="335EB017" w:rsidR="00F61793" w:rsidRPr="0082634A" w:rsidRDefault="00507033" w:rsidP="00507033">
      <w:pPr>
        <w:pStyle w:val="Caption"/>
        <w:rPr>
          <w:rFonts w:cs="Arial"/>
          <w:color w:val="1C3158"/>
        </w:rPr>
      </w:pPr>
      <w:bookmarkStart w:id="256" w:name="_Ref445408047"/>
      <w:bookmarkStart w:id="257" w:name="_Ref429647600"/>
      <w:bookmarkStart w:id="258" w:name="_Toc440900309"/>
      <w:bookmarkStart w:id="259" w:name="_Toc462738089"/>
      <w:r>
        <w:t xml:space="preserve">Figure </w:t>
      </w:r>
      <w:fldSimple w:instr=" SEQ Figure \* ARABIC ">
        <w:r w:rsidR="0006479A">
          <w:rPr>
            <w:noProof/>
          </w:rPr>
          <w:t>6</w:t>
        </w:r>
      </w:fldSimple>
      <w:bookmarkEnd w:id="256"/>
      <w:r w:rsidR="007E0C13">
        <w:t>.</w:t>
      </w:r>
      <w:r w:rsidR="008610D3">
        <w:t xml:space="preserve"> </w:t>
      </w:r>
      <w:bookmarkEnd w:id="257"/>
      <w:r w:rsidR="00F61793" w:rsidRPr="0082634A">
        <w:rPr>
          <w:color w:val="1C3158"/>
        </w:rPr>
        <w:t>Screenshot of the VAS task</w:t>
      </w:r>
      <w:bookmarkEnd w:id="258"/>
      <w:bookmarkEnd w:id="259"/>
    </w:p>
    <w:p w14:paraId="5C411128" w14:textId="328C3B7E" w:rsidR="00F61793" w:rsidRDefault="00F61793" w:rsidP="007E7EA6">
      <w:pPr>
        <w:pStyle w:val="VRGFBodycontent"/>
        <w:spacing w:before="240"/>
      </w:pPr>
      <w:r w:rsidRPr="00EA234C">
        <w:lastRenderedPageBreak/>
        <w:t>The value in such ratings comes from the precise ranking of the experiences of harm described in the scenarios relative to the known and calibrated harms from other conditions</w:t>
      </w:r>
      <w:r w:rsidR="007E0C13" w:rsidRPr="00EA234C">
        <w:t>.</w:t>
      </w:r>
      <w:r w:rsidR="008610D3" w:rsidRPr="00EA234C">
        <w:t xml:space="preserve"> </w:t>
      </w:r>
      <w:r w:rsidRPr="00EA234C">
        <w:t>It allows for a direct estimation of “how bad” each scenario is</w:t>
      </w:r>
      <w:r w:rsidR="00E25AC9" w:rsidRPr="00EA234C">
        <w:t>,</w:t>
      </w:r>
      <w:r w:rsidRPr="00EA234C">
        <w:t xml:space="preserve"> compared to the experience of the other illnesses and health states</w:t>
      </w:r>
      <w:r w:rsidR="007E0C13" w:rsidRPr="00EA234C">
        <w:t>.</w:t>
      </w:r>
      <w:r w:rsidR="008610D3" w:rsidRPr="00EA234C">
        <w:t xml:space="preserve"> </w:t>
      </w:r>
      <w:r w:rsidRPr="00EA234C">
        <w:t xml:space="preserve">Detailed descriptors of the symptoms and living conditions of the alternative states were sourced from the Global Burden of Disease </w:t>
      </w:r>
      <w:r w:rsidR="00EA234C">
        <w:t xml:space="preserve">(GBD) </w:t>
      </w:r>
      <w:r w:rsidRPr="00EA234C">
        <w:t>Study 2010 (Salomon et al., 2013) and presented to participants in pop-up</w:t>
      </w:r>
      <w:r w:rsidR="00E25AC9" w:rsidRPr="00EA234C">
        <w:t xml:space="preserve"> boxe</w:t>
      </w:r>
      <w:r w:rsidRPr="00EA234C">
        <w:t>s that appeared when the survey respondent hovered their computer cursor over each item.</w:t>
      </w:r>
      <w:r w:rsidR="00EA234C">
        <w:t xml:space="preserve"> The descriptors from the most recent GBD study in 2013 were not published until November 2015 (Salomon et al., 2015), after data collection was completed.</w:t>
      </w:r>
    </w:p>
    <w:p w14:paraId="473C1A33" w14:textId="77777777" w:rsidR="00F61793" w:rsidRDefault="00F61793" w:rsidP="00F61793"/>
    <w:p w14:paraId="14B7A6D4" w14:textId="77777777" w:rsidR="00F61793" w:rsidRPr="00D82AC4" w:rsidRDefault="00F61793" w:rsidP="00191866">
      <w:pPr>
        <w:pStyle w:val="VRGFHead5"/>
      </w:pPr>
      <w:r w:rsidRPr="00D82AC4">
        <w:t>TTO</w:t>
      </w:r>
    </w:p>
    <w:p w14:paraId="6487CAD6" w14:textId="6937EC38" w:rsidR="00F61793" w:rsidRDefault="00F61793" w:rsidP="00F61793">
      <w:pPr>
        <w:pStyle w:val="VRGFBodycontent"/>
      </w:pPr>
      <w:r w:rsidRPr="00D82AC4">
        <w:t>For the second task</w:t>
      </w:r>
      <w:r w:rsidRPr="00CB1D94">
        <w:t>, participants were presented with the same 6 vignettes</w:t>
      </w:r>
      <w:r w:rsidR="007E0C13" w:rsidRPr="00CB1D94">
        <w:t>.</w:t>
      </w:r>
      <w:r w:rsidR="008610D3" w:rsidRPr="00CB1D94">
        <w:t xml:space="preserve"> </w:t>
      </w:r>
      <w:r w:rsidRPr="00CB1D94">
        <w:t>This task involved participants imagining they had 10 years left to live</w:t>
      </w:r>
      <w:r w:rsidR="007E0C13" w:rsidRPr="00CB1D94">
        <w:t>.</w:t>
      </w:r>
      <w:r w:rsidR="008610D3" w:rsidRPr="00CB1D94">
        <w:t xml:space="preserve"> </w:t>
      </w:r>
      <w:r w:rsidRPr="00CB1D94">
        <w:t>For each vignette, participants were instructed to identify how much time, of this 10</w:t>
      </w:r>
      <w:r w:rsidR="001936E2" w:rsidRPr="00CB1D94">
        <w:t>-</w:t>
      </w:r>
      <w:r w:rsidRPr="00CB1D94">
        <w:t>year period</w:t>
      </w:r>
      <w:r w:rsidR="001936E2" w:rsidRPr="00CB1D94">
        <w:t>,</w:t>
      </w:r>
      <w:r w:rsidRPr="00CB1D94">
        <w:t xml:space="preserve"> they would give up in order to avoid the harms as described in the vignette</w:t>
      </w:r>
      <w:r w:rsidR="007E0C13" w:rsidRPr="00CB1D94">
        <w:t>.</w:t>
      </w:r>
      <w:r w:rsidR="008610D3" w:rsidRPr="00CB1D94">
        <w:t xml:space="preserve"> </w:t>
      </w:r>
      <w:r w:rsidR="00507033" w:rsidRPr="00CB1D94">
        <w:fldChar w:fldCharType="begin"/>
      </w:r>
      <w:r w:rsidR="00507033" w:rsidRPr="00CB1D94">
        <w:instrText xml:space="preserve"> REF _Ref445408096 \h </w:instrText>
      </w:r>
      <w:r w:rsidR="00CB1D94">
        <w:instrText xml:space="preserve"> \* MERGEFORMAT </w:instrText>
      </w:r>
      <w:r w:rsidR="00507033" w:rsidRPr="00CB1D94">
        <w:fldChar w:fldCharType="separate"/>
      </w:r>
      <w:r w:rsidR="0006479A">
        <w:t xml:space="preserve">Figure </w:t>
      </w:r>
      <w:r w:rsidR="0006479A">
        <w:rPr>
          <w:noProof/>
        </w:rPr>
        <w:t>7</w:t>
      </w:r>
      <w:r w:rsidR="00507033" w:rsidRPr="00CB1D94">
        <w:fldChar w:fldCharType="end"/>
      </w:r>
      <w:r w:rsidR="00507033">
        <w:t xml:space="preserve"> </w:t>
      </w:r>
      <w:r w:rsidRPr="00E93F78">
        <w:t xml:space="preserve">below </w:t>
      </w:r>
      <w:r w:rsidRPr="00D82AC4">
        <w:t>shows an example of the TTO task as completed by participants</w:t>
      </w:r>
      <w:r>
        <w:t>.</w:t>
      </w:r>
      <w:r w:rsidRPr="00D82AC4">
        <w:t xml:space="preserve"> </w:t>
      </w:r>
    </w:p>
    <w:p w14:paraId="487D59F2" w14:textId="77777777" w:rsidR="00F61793" w:rsidRPr="00D82AC4" w:rsidRDefault="00F61793" w:rsidP="00F61793">
      <w:pPr>
        <w:pStyle w:val="VRGFBodycontent"/>
        <w:spacing w:before="0" w:after="120" w:line="240" w:lineRule="auto"/>
      </w:pPr>
      <w:r>
        <w:rPr>
          <w:noProof/>
          <w:lang w:val="en-NZ" w:eastAsia="en-NZ"/>
        </w:rPr>
        <w:drawing>
          <wp:inline distT="0" distB="0" distL="0" distR="0" wp14:anchorId="74E2F195" wp14:editId="415AE394">
            <wp:extent cx="5676900" cy="3654097"/>
            <wp:effectExtent l="19050" t="19050" r="1905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4619" t="13793" r="23456" b="26790"/>
                    <a:stretch/>
                  </pic:blipFill>
                  <pic:spPr bwMode="auto">
                    <a:xfrm>
                      <a:off x="0" y="0"/>
                      <a:ext cx="5685539" cy="3659657"/>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F06977" w14:textId="0AA158C6" w:rsidR="00F61793" w:rsidRPr="0082634A" w:rsidRDefault="00507033" w:rsidP="00507033">
      <w:pPr>
        <w:pStyle w:val="Caption"/>
        <w:rPr>
          <w:rFonts w:cs="Arial"/>
          <w:color w:val="1C3158"/>
        </w:rPr>
      </w:pPr>
      <w:bookmarkStart w:id="260" w:name="_Ref445408096"/>
      <w:bookmarkStart w:id="261" w:name="_Ref429647699"/>
      <w:bookmarkStart w:id="262" w:name="_Ref429647694"/>
      <w:bookmarkStart w:id="263" w:name="_Toc440900310"/>
      <w:bookmarkStart w:id="264" w:name="_Toc462738090"/>
      <w:r>
        <w:t xml:space="preserve">Figure </w:t>
      </w:r>
      <w:fldSimple w:instr=" SEQ Figure \* ARABIC ">
        <w:r w:rsidR="0006479A">
          <w:rPr>
            <w:noProof/>
          </w:rPr>
          <w:t>7</w:t>
        </w:r>
      </w:fldSimple>
      <w:bookmarkEnd w:id="260"/>
      <w:r w:rsidR="007E0C13">
        <w:t>.</w:t>
      </w:r>
      <w:r w:rsidR="008610D3">
        <w:t xml:space="preserve"> </w:t>
      </w:r>
      <w:bookmarkEnd w:id="261"/>
      <w:r w:rsidR="00F61793" w:rsidRPr="0082634A">
        <w:rPr>
          <w:color w:val="1C3158"/>
        </w:rPr>
        <w:t>Screenshot of the TTO task</w:t>
      </w:r>
      <w:bookmarkEnd w:id="262"/>
      <w:bookmarkEnd w:id="263"/>
      <w:bookmarkEnd w:id="264"/>
    </w:p>
    <w:p w14:paraId="333AD8F8" w14:textId="335528DB" w:rsidR="00F61793" w:rsidRDefault="00F61793" w:rsidP="00C82A76">
      <w:pPr>
        <w:pStyle w:val="VRGFBodycontent"/>
        <w:spacing w:before="240"/>
      </w:pPr>
      <w:r w:rsidRPr="00CB1D94">
        <w:t>The TTO provided a useful counterpoint to the VAS</w:t>
      </w:r>
      <w:r w:rsidR="007E0C13" w:rsidRPr="00CB1D94">
        <w:t>.</w:t>
      </w:r>
      <w:r w:rsidR="008610D3" w:rsidRPr="00CB1D94">
        <w:t xml:space="preserve"> </w:t>
      </w:r>
      <w:r w:rsidRPr="00CB1D94">
        <w:t>Whilst being significantly more cognitively demanding to complete, it is more directly linked to the underlying concept of utility as conceptualised in health economics</w:t>
      </w:r>
      <w:r w:rsidR="007E0C13" w:rsidRPr="00CB1D94">
        <w:t>.</w:t>
      </w:r>
      <w:r w:rsidR="008610D3" w:rsidRPr="00CB1D94">
        <w:t xml:space="preserve"> </w:t>
      </w:r>
      <w:r w:rsidRPr="00CB1D94">
        <w:t>The</w:t>
      </w:r>
      <w:r w:rsidRPr="00D82AC4">
        <w:t xml:space="preserve"> visual feedback emphasises the duration of time lived in the two health states, and colours were selected to remind the participant that the time was spent either affected or unaffected by the symptoms described</w:t>
      </w:r>
      <w:r w:rsidR="007E0C13">
        <w:t>.</w:t>
      </w:r>
      <w:r w:rsidR="008610D3">
        <w:t xml:space="preserve"> </w:t>
      </w:r>
      <w:r w:rsidRPr="00D82AC4">
        <w:t>The number box provides an alternative input method to the slider with finer control – assisting with accurate input for assessing milder symptom</w:t>
      </w:r>
      <w:r>
        <w:t>at</w:t>
      </w:r>
      <w:r w:rsidRPr="00D82AC4">
        <w:t>ology near the boundaries of the scale.</w:t>
      </w:r>
    </w:p>
    <w:p w14:paraId="73A26839" w14:textId="77777777" w:rsidR="00F61793" w:rsidRPr="00D82AC4" w:rsidRDefault="00F61793" w:rsidP="00F61793">
      <w:pPr>
        <w:pStyle w:val="VRGFBodycontent"/>
      </w:pPr>
    </w:p>
    <w:p w14:paraId="38855382" w14:textId="77777777" w:rsidR="00F61793" w:rsidRPr="00D82AC4" w:rsidRDefault="00F61793" w:rsidP="00191866">
      <w:pPr>
        <w:pStyle w:val="VRGFHead5"/>
      </w:pPr>
      <w:r w:rsidRPr="00901940">
        <w:lastRenderedPageBreak/>
        <w:t>Demographics &amp; Lie-Bet Scale</w:t>
      </w:r>
    </w:p>
    <w:p w14:paraId="6DE1855B" w14:textId="54B17E5C" w:rsidR="00F61793" w:rsidRDefault="00F61793" w:rsidP="00F61793">
      <w:pPr>
        <w:pStyle w:val="VRGFBodycontent"/>
      </w:pPr>
      <w:r w:rsidRPr="00D82AC4">
        <w:t>The survey closed with demographic questions</w:t>
      </w:r>
      <w:r w:rsidR="007E0C13">
        <w:t>.</w:t>
      </w:r>
      <w:r w:rsidR="008610D3">
        <w:t xml:space="preserve"> </w:t>
      </w:r>
      <w:r>
        <w:t xml:space="preserve">The general population </w:t>
      </w:r>
      <w:r w:rsidR="00901940">
        <w:t xml:space="preserve">participants </w:t>
      </w:r>
      <w:r>
        <w:t xml:space="preserve">(but not the experts) were also asked </w:t>
      </w:r>
      <w:r w:rsidRPr="00D82AC4">
        <w:t xml:space="preserve">two questions from the </w:t>
      </w:r>
      <w:r>
        <w:t>L</w:t>
      </w:r>
      <w:r w:rsidRPr="00D82AC4">
        <w:t>ie-</w:t>
      </w:r>
      <w:r>
        <w:t>B</w:t>
      </w:r>
      <w:r w:rsidRPr="00D82AC4">
        <w:t xml:space="preserve">et </w:t>
      </w:r>
      <w:r>
        <w:t>S</w:t>
      </w:r>
      <w:r w:rsidRPr="00D82AC4">
        <w:t>cale</w:t>
      </w:r>
      <w:r>
        <w:t xml:space="preserve"> screening tool for problem gambling (Johnson et al., </w:t>
      </w:r>
      <w:r w:rsidR="00B94C3C">
        <w:t>1998</w:t>
      </w:r>
      <w:r>
        <w:t>)</w:t>
      </w:r>
      <w:r w:rsidRPr="00D82AC4">
        <w:t xml:space="preserve"> and a general question </w:t>
      </w:r>
      <w:r w:rsidR="00901940">
        <w:t>on</w:t>
      </w:r>
      <w:r w:rsidRPr="00D82AC4">
        <w:t xml:space="preserve"> their experience with gambling problems</w:t>
      </w:r>
      <w:r w:rsidR="007E0C13">
        <w:t>.</w:t>
      </w:r>
      <w:r w:rsidR="008610D3">
        <w:t xml:space="preserve"> </w:t>
      </w:r>
      <w:r w:rsidRPr="00D82AC4">
        <w:t>These were gathered as potential control variables that could incidentally affect their judgements.</w:t>
      </w:r>
    </w:p>
    <w:p w14:paraId="649D40B5" w14:textId="77777777" w:rsidR="00C55215" w:rsidRPr="00D82AC4" w:rsidRDefault="00C55215" w:rsidP="00F61793">
      <w:pPr>
        <w:pStyle w:val="VRGFBodycontent"/>
      </w:pPr>
    </w:p>
    <w:p w14:paraId="6441CDD0" w14:textId="77777777" w:rsidR="00F61793" w:rsidRPr="00D302D0" w:rsidRDefault="00F61793" w:rsidP="00191866">
      <w:pPr>
        <w:pStyle w:val="VRGFHead3"/>
        <w:rPr>
          <w:rFonts w:eastAsia="Calibri"/>
        </w:rPr>
      </w:pPr>
      <w:bookmarkStart w:id="265" w:name="_Toc462738059"/>
      <w:r w:rsidRPr="00D302D0">
        <w:rPr>
          <w:rFonts w:eastAsia="Calibri"/>
        </w:rPr>
        <w:t>Participants</w:t>
      </w:r>
      <w:bookmarkEnd w:id="265"/>
    </w:p>
    <w:p w14:paraId="4B8188E4" w14:textId="7C0617EB" w:rsidR="00F61793" w:rsidRDefault="00F61793" w:rsidP="00507033">
      <w:pPr>
        <w:pStyle w:val="VRGFBodycontent"/>
      </w:pPr>
      <w:r w:rsidRPr="00D302D0">
        <w:t>Individuals from four different populations were invited to participate in the HRQL elicitation study</w:t>
      </w:r>
      <w:r w:rsidR="007E0C13">
        <w:t>.</w:t>
      </w:r>
      <w:r w:rsidR="008610D3">
        <w:t xml:space="preserve"> </w:t>
      </w:r>
      <w:r w:rsidRPr="00D302D0">
        <w:t>Our goal was to survey a broad-section of the community, with differing types of experience with gambling harms</w:t>
      </w:r>
      <w:r w:rsidR="007E0C13">
        <w:t>.</w:t>
      </w:r>
      <w:r w:rsidR="008610D3">
        <w:t xml:space="preserve"> </w:t>
      </w:r>
      <w:r w:rsidRPr="00D302D0">
        <w:t>We used information from</w:t>
      </w:r>
      <w:r w:rsidR="00B11875">
        <w:t xml:space="preserve"> the</w:t>
      </w:r>
      <w:r w:rsidRPr="00D302D0">
        <w:t xml:space="preserve"> p</w:t>
      </w:r>
      <w:r w:rsidR="00B11875">
        <w:t>revious national</w:t>
      </w:r>
      <w:r w:rsidRPr="00D302D0">
        <w:t xml:space="preserve"> survey</w:t>
      </w:r>
      <w:r w:rsidR="00B11875">
        <w:t xml:space="preserve"> of harms</w:t>
      </w:r>
      <w:r w:rsidRPr="00D302D0">
        <w:t>, and screening questions to target these groups</w:t>
      </w:r>
      <w:r w:rsidR="007E0C13">
        <w:t>.</w:t>
      </w:r>
      <w:r w:rsidR="008610D3">
        <w:t xml:space="preserve"> </w:t>
      </w:r>
      <w:r w:rsidRPr="00D302D0">
        <w:t>The first</w:t>
      </w:r>
      <w:r w:rsidR="003B719D">
        <w:t xml:space="preserve"> population</w:t>
      </w:r>
      <w:r w:rsidRPr="00D302D0">
        <w:t xml:space="preserve"> consisted of ‘experts’ classified as having significant professional experience with people </w:t>
      </w:r>
      <w:r w:rsidR="00901940">
        <w:t>who had</w:t>
      </w:r>
      <w:r w:rsidR="00901940" w:rsidRPr="00D302D0">
        <w:t xml:space="preserve"> </w:t>
      </w:r>
      <w:r w:rsidRPr="00D302D0">
        <w:t xml:space="preserve">problems with gambling and </w:t>
      </w:r>
      <w:r w:rsidR="00901940">
        <w:t xml:space="preserve">with </w:t>
      </w:r>
      <w:r w:rsidRPr="00D302D0">
        <w:t>affected others</w:t>
      </w:r>
      <w:r w:rsidR="007E0C13">
        <w:t>.</w:t>
      </w:r>
      <w:r w:rsidR="008610D3">
        <w:t xml:space="preserve"> </w:t>
      </w:r>
      <w:r>
        <w:t>Recruitment of experts occurred with the assistance of problem gambling treatment services</w:t>
      </w:r>
      <w:r w:rsidR="007E0C13">
        <w:t>.</w:t>
      </w:r>
      <w:r w:rsidR="008610D3">
        <w:t xml:space="preserve"> </w:t>
      </w:r>
      <w:r>
        <w:t>Managers and team leaders of problem gambling intervention services were asked to forward the information sheet and invitation to the online survey to their staff members</w:t>
      </w:r>
      <w:r w:rsidR="007E0C13">
        <w:t>.</w:t>
      </w:r>
      <w:r w:rsidR="008610D3">
        <w:t xml:space="preserve"> </w:t>
      </w:r>
      <w:r>
        <w:t>Managers and team leaders from these services were also asked for contact details of allied service professionals who work with problem gamblers and any other health and social service professionals whom they believe</w:t>
      </w:r>
      <w:r w:rsidR="00901940">
        <w:t>d</w:t>
      </w:r>
      <w:r>
        <w:t xml:space="preserve"> </w:t>
      </w:r>
      <w:r w:rsidR="00901940">
        <w:t xml:space="preserve">to </w:t>
      </w:r>
      <w:r>
        <w:t>be able to participate in the study</w:t>
      </w:r>
      <w:r w:rsidR="007E0C13">
        <w:t>.</w:t>
      </w:r>
      <w:r w:rsidR="008610D3">
        <w:t xml:space="preserve"> </w:t>
      </w:r>
      <w:r w:rsidR="003D1C09">
        <w:t>Individuals from these allied services were sent an invitation seeking their participation.</w:t>
      </w:r>
      <w:r w:rsidR="008610D3">
        <w:t xml:space="preserve"> </w:t>
      </w:r>
      <w:r w:rsidR="002D385F">
        <w:t>Additional p</w:t>
      </w:r>
      <w:r w:rsidR="00F97C3A">
        <w:t xml:space="preserve">articipants were also recruited through </w:t>
      </w:r>
      <w:r w:rsidR="00901940">
        <w:t xml:space="preserve">the Gambling and Addiction Research Centre’s </w:t>
      </w:r>
      <w:r w:rsidR="00B0740B">
        <w:t>local networks and professional affiliates.</w:t>
      </w:r>
      <w:r w:rsidR="008610D3">
        <w:t xml:space="preserve"> </w:t>
      </w:r>
      <w:r w:rsidR="002D385F">
        <w:t>All i</w:t>
      </w:r>
      <w:r w:rsidR="00F35D67">
        <w:t>nvitees</w:t>
      </w:r>
      <w:r w:rsidR="002D385F">
        <w:t xml:space="preserve"> were followed up with a general reminder two weeks </w:t>
      </w:r>
      <w:r w:rsidR="00901940">
        <w:t>after</w:t>
      </w:r>
      <w:r w:rsidR="00F35D67">
        <w:t xml:space="preserve"> the initial contact</w:t>
      </w:r>
      <w:r w:rsidR="00901940">
        <w:t>,</w:t>
      </w:r>
      <w:r w:rsidR="00F35D67">
        <w:t xml:space="preserve"> to encourage </w:t>
      </w:r>
      <w:r w:rsidR="00901940">
        <w:t>participation</w:t>
      </w:r>
      <w:r w:rsidR="00F35D67">
        <w:t>.</w:t>
      </w:r>
    </w:p>
    <w:p w14:paraId="436D74FC" w14:textId="4D2814FE" w:rsidR="00F61793" w:rsidRPr="00D302D0" w:rsidRDefault="00F61793" w:rsidP="00507033">
      <w:pPr>
        <w:pStyle w:val="VRGFBodycontent"/>
      </w:pPr>
      <w:r w:rsidRPr="00D302D0">
        <w:t xml:space="preserve">The remaining three </w:t>
      </w:r>
      <w:r w:rsidR="006E26D7">
        <w:t xml:space="preserve">population </w:t>
      </w:r>
      <w:r w:rsidRPr="00D302D0">
        <w:t>groups: gamblers, affected others, and general community members</w:t>
      </w:r>
      <w:r w:rsidR="006E26D7">
        <w:t>,</w:t>
      </w:r>
      <w:r w:rsidRPr="00D302D0">
        <w:t xml:space="preserve"> were sourced from the commercial recruitment panel </w:t>
      </w:r>
      <w:r>
        <w:t xml:space="preserve">used in </w:t>
      </w:r>
      <w:r w:rsidRPr="00D302D0">
        <w:t>the previous national survey phase</w:t>
      </w:r>
      <w:r w:rsidR="007E0C13">
        <w:t>.</w:t>
      </w:r>
      <w:r w:rsidR="008610D3">
        <w:t xml:space="preserve"> </w:t>
      </w:r>
      <w:r w:rsidRPr="00D302D0">
        <w:t>The criteria for inclusion for gamblers and affected others was outlined in ‘Recruitment of Participants’ in the previous chapter</w:t>
      </w:r>
      <w:r w:rsidR="007E0C13">
        <w:t>.</w:t>
      </w:r>
      <w:r w:rsidR="008610D3">
        <w:t xml:space="preserve"> </w:t>
      </w:r>
      <w:r w:rsidRPr="00D302D0">
        <w:t xml:space="preserve">For the general population, participants were those </w:t>
      </w:r>
      <w:r w:rsidR="006E26D7">
        <w:t>who</w:t>
      </w:r>
      <w:r w:rsidR="006E26D7" w:rsidRPr="00D302D0">
        <w:t xml:space="preserve"> </w:t>
      </w:r>
      <w:r w:rsidRPr="00D302D0">
        <w:t>indicated that they had not experienced harm due to their own or someone else’s gambling</w:t>
      </w:r>
      <w:r w:rsidR="007E0C13">
        <w:t>.</w:t>
      </w:r>
      <w:r w:rsidR="008610D3">
        <w:t xml:space="preserve"> </w:t>
      </w:r>
      <w:r w:rsidRPr="00D302D0">
        <w:t xml:space="preserve">The sample sourced from the panel received panel points for participating. </w:t>
      </w:r>
    </w:p>
    <w:p w14:paraId="592DBF70" w14:textId="20AD958C" w:rsidR="00F61793" w:rsidRDefault="00F61793" w:rsidP="00507033">
      <w:pPr>
        <w:pStyle w:val="VRGFBodycontent"/>
      </w:pPr>
      <w:r w:rsidRPr="00D302D0">
        <w:t>A total of 324 participants completed the survey</w:t>
      </w:r>
      <w:r w:rsidR="007E0C13">
        <w:t>.</w:t>
      </w:r>
      <w:r w:rsidR="008610D3">
        <w:t xml:space="preserve"> </w:t>
      </w:r>
      <w:r w:rsidR="00507033">
        <w:fldChar w:fldCharType="begin"/>
      </w:r>
      <w:r w:rsidR="00507033">
        <w:instrText xml:space="preserve"> REF _Ref445408167 \h </w:instrText>
      </w:r>
      <w:r w:rsidR="00507033">
        <w:fldChar w:fldCharType="separate"/>
      </w:r>
      <w:r w:rsidR="0006479A">
        <w:t xml:space="preserve">Table </w:t>
      </w:r>
      <w:r w:rsidR="0006479A">
        <w:rPr>
          <w:noProof/>
        </w:rPr>
        <w:t>17</w:t>
      </w:r>
      <w:r w:rsidR="00507033">
        <w:fldChar w:fldCharType="end"/>
      </w:r>
      <w:r w:rsidR="00507033">
        <w:t xml:space="preserve"> </w:t>
      </w:r>
      <w:r w:rsidRPr="00D302D0">
        <w:t xml:space="preserve">shows the participants by group type and vignette group completed (own gambling or affected other). </w:t>
      </w:r>
    </w:p>
    <w:p w14:paraId="273DB973" w14:textId="748E18B5" w:rsidR="00F61793" w:rsidRPr="00507033" w:rsidRDefault="00507033" w:rsidP="00507033">
      <w:pPr>
        <w:pStyle w:val="Caption"/>
        <w:rPr>
          <w:iCs w:val="0"/>
          <w:color w:val="1C3158"/>
        </w:rPr>
      </w:pPr>
      <w:bookmarkStart w:id="266" w:name="_Ref445408167"/>
      <w:bookmarkStart w:id="267" w:name="_Toc462738120"/>
      <w:r>
        <w:t xml:space="preserve">Table </w:t>
      </w:r>
      <w:fldSimple w:instr=" SEQ Table \* ARABIC ">
        <w:r w:rsidR="0006479A">
          <w:rPr>
            <w:noProof/>
          </w:rPr>
          <w:t>17</w:t>
        </w:r>
      </w:fldSimple>
      <w:bookmarkEnd w:id="266"/>
      <w:r w:rsidR="007E0C13">
        <w:t>.</w:t>
      </w:r>
      <w:r w:rsidR="008610D3">
        <w:t xml:space="preserve"> </w:t>
      </w:r>
      <w:bookmarkStart w:id="268" w:name="_Toc440900339"/>
      <w:r w:rsidR="00F61793" w:rsidRPr="00507033">
        <w:rPr>
          <w:iCs w:val="0"/>
          <w:color w:val="1C3158"/>
        </w:rPr>
        <w:t>Participants by vignette group and sample type</w:t>
      </w:r>
      <w:bookmarkEnd w:id="267"/>
      <w:bookmarkEnd w:id="268"/>
    </w:p>
    <w:tbl>
      <w:tblPr>
        <w:tblW w:w="7573" w:type="dxa"/>
        <w:tblLook w:val="04A0" w:firstRow="1" w:lastRow="0" w:firstColumn="1" w:lastColumn="0" w:noHBand="0" w:noVBand="1"/>
      </w:tblPr>
      <w:tblGrid>
        <w:gridCol w:w="2552"/>
        <w:gridCol w:w="1701"/>
        <w:gridCol w:w="1660"/>
        <w:gridCol w:w="1660"/>
      </w:tblGrid>
      <w:tr w:rsidR="00F61793" w:rsidRPr="00D302D0" w14:paraId="6ABED6E5" w14:textId="77777777" w:rsidTr="00767EAD">
        <w:trPr>
          <w:trHeight w:val="330"/>
        </w:trPr>
        <w:tc>
          <w:tcPr>
            <w:tcW w:w="2552" w:type="dxa"/>
            <w:vMerge w:val="restart"/>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06003544"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r w:rsidRPr="00D302D0">
              <w:rPr>
                <w:rFonts w:cs="Arial"/>
                <w:b/>
                <w:bCs/>
                <w:color w:val="1C3158"/>
                <w:sz w:val="18"/>
                <w:lang w:eastAsia="ja-JP"/>
              </w:rPr>
              <w:t>Participant Type</w:t>
            </w:r>
          </w:p>
        </w:tc>
        <w:tc>
          <w:tcPr>
            <w:tcW w:w="3361"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510825ED"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Vignette Group</w:t>
            </w:r>
          </w:p>
        </w:tc>
        <w:tc>
          <w:tcPr>
            <w:tcW w:w="1660" w:type="dxa"/>
            <w:vMerge w:val="restart"/>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40A3E617"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Total</w:t>
            </w:r>
          </w:p>
        </w:tc>
      </w:tr>
      <w:tr w:rsidR="00F61793" w:rsidRPr="00D302D0" w14:paraId="66B12D69" w14:textId="77777777" w:rsidTr="00767EAD">
        <w:trPr>
          <w:trHeight w:val="330"/>
        </w:trPr>
        <w:tc>
          <w:tcPr>
            <w:tcW w:w="2552" w:type="dxa"/>
            <w:vMerge/>
            <w:tcBorders>
              <w:top w:val="single" w:sz="12" w:space="0" w:color="FF9E3C"/>
              <w:left w:val="single" w:sz="12" w:space="0" w:color="FF9E3C"/>
              <w:bottom w:val="single" w:sz="12" w:space="0" w:color="FF9E3C"/>
              <w:right w:val="single" w:sz="12" w:space="0" w:color="FF9E3C"/>
            </w:tcBorders>
            <w:vAlign w:val="center"/>
            <w:hideMark/>
          </w:tcPr>
          <w:p w14:paraId="36470787"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p>
        </w:tc>
        <w:tc>
          <w:tcPr>
            <w:tcW w:w="1701" w:type="dxa"/>
            <w:tcBorders>
              <w:top w:val="nil"/>
              <w:left w:val="nil"/>
              <w:bottom w:val="single" w:sz="12" w:space="0" w:color="FF9E3C"/>
              <w:right w:val="single" w:sz="12" w:space="0" w:color="FF9E3C"/>
            </w:tcBorders>
            <w:shd w:val="clear" w:color="000000" w:fill="FFBC64"/>
            <w:vAlign w:val="center"/>
            <w:hideMark/>
          </w:tcPr>
          <w:p w14:paraId="5DF894F1"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Own Gambling</w:t>
            </w:r>
          </w:p>
        </w:tc>
        <w:tc>
          <w:tcPr>
            <w:tcW w:w="1660" w:type="dxa"/>
            <w:tcBorders>
              <w:top w:val="nil"/>
              <w:left w:val="nil"/>
              <w:bottom w:val="single" w:sz="12" w:space="0" w:color="FF9E3C"/>
              <w:right w:val="single" w:sz="12" w:space="0" w:color="FF9E3C"/>
            </w:tcBorders>
            <w:shd w:val="clear" w:color="000000" w:fill="FFBC64"/>
            <w:vAlign w:val="center"/>
            <w:hideMark/>
          </w:tcPr>
          <w:p w14:paraId="2476C5A8"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Affected Other</w:t>
            </w:r>
          </w:p>
        </w:tc>
        <w:tc>
          <w:tcPr>
            <w:tcW w:w="1660" w:type="dxa"/>
            <w:vMerge/>
            <w:tcBorders>
              <w:top w:val="single" w:sz="12" w:space="0" w:color="FF9E3C"/>
              <w:left w:val="single" w:sz="12" w:space="0" w:color="FF9E3C"/>
              <w:bottom w:val="single" w:sz="12" w:space="0" w:color="FF9E3C"/>
              <w:right w:val="single" w:sz="12" w:space="0" w:color="FF9E3C"/>
            </w:tcBorders>
            <w:vAlign w:val="center"/>
            <w:hideMark/>
          </w:tcPr>
          <w:p w14:paraId="7B898B47"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p>
        </w:tc>
      </w:tr>
      <w:tr w:rsidR="00F61793" w:rsidRPr="00D302D0" w14:paraId="6A26A1CF" w14:textId="77777777" w:rsidTr="00767EAD">
        <w:trPr>
          <w:trHeight w:val="330"/>
        </w:trPr>
        <w:tc>
          <w:tcPr>
            <w:tcW w:w="2552" w:type="dxa"/>
            <w:tcBorders>
              <w:top w:val="nil"/>
              <w:left w:val="single" w:sz="12" w:space="0" w:color="FF9E3C"/>
              <w:bottom w:val="single" w:sz="12" w:space="0" w:color="FF9E3C"/>
              <w:right w:val="single" w:sz="12" w:space="0" w:color="FF9E3C"/>
            </w:tcBorders>
            <w:shd w:val="clear" w:color="auto" w:fill="auto"/>
            <w:vAlign w:val="center"/>
            <w:hideMark/>
          </w:tcPr>
          <w:p w14:paraId="3627F07C"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Gamblers</w:t>
            </w:r>
          </w:p>
        </w:tc>
        <w:tc>
          <w:tcPr>
            <w:tcW w:w="1701" w:type="dxa"/>
            <w:tcBorders>
              <w:top w:val="nil"/>
              <w:left w:val="nil"/>
              <w:bottom w:val="single" w:sz="12" w:space="0" w:color="FF9E3C"/>
              <w:right w:val="single" w:sz="12" w:space="0" w:color="FF9E3C"/>
            </w:tcBorders>
            <w:shd w:val="clear" w:color="auto" w:fill="auto"/>
            <w:vAlign w:val="center"/>
            <w:hideMark/>
          </w:tcPr>
          <w:p w14:paraId="354188A2"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45</w:t>
            </w:r>
          </w:p>
        </w:tc>
        <w:tc>
          <w:tcPr>
            <w:tcW w:w="1660" w:type="dxa"/>
            <w:tcBorders>
              <w:top w:val="nil"/>
              <w:left w:val="nil"/>
              <w:bottom w:val="single" w:sz="12" w:space="0" w:color="FF9E3C"/>
              <w:right w:val="single" w:sz="12" w:space="0" w:color="FF9E3C"/>
            </w:tcBorders>
            <w:shd w:val="clear" w:color="auto" w:fill="auto"/>
            <w:vAlign w:val="center"/>
            <w:hideMark/>
          </w:tcPr>
          <w:p w14:paraId="2E23828C"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66</w:t>
            </w:r>
          </w:p>
        </w:tc>
        <w:tc>
          <w:tcPr>
            <w:tcW w:w="1660" w:type="dxa"/>
            <w:tcBorders>
              <w:top w:val="nil"/>
              <w:left w:val="nil"/>
              <w:bottom w:val="single" w:sz="12" w:space="0" w:color="FF9E3C"/>
              <w:right w:val="single" w:sz="12" w:space="0" w:color="FF9E3C"/>
            </w:tcBorders>
            <w:shd w:val="clear" w:color="auto" w:fill="auto"/>
            <w:vAlign w:val="center"/>
            <w:hideMark/>
          </w:tcPr>
          <w:p w14:paraId="23540A94"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111</w:t>
            </w:r>
          </w:p>
        </w:tc>
      </w:tr>
      <w:tr w:rsidR="00F61793" w:rsidRPr="00D302D0" w14:paraId="40839F3B" w14:textId="77777777" w:rsidTr="00767EAD">
        <w:trPr>
          <w:trHeight w:val="330"/>
        </w:trPr>
        <w:tc>
          <w:tcPr>
            <w:tcW w:w="2552" w:type="dxa"/>
            <w:tcBorders>
              <w:top w:val="nil"/>
              <w:left w:val="single" w:sz="12" w:space="0" w:color="FF9E3C"/>
              <w:bottom w:val="single" w:sz="12" w:space="0" w:color="FF9E3C"/>
              <w:right w:val="single" w:sz="12" w:space="0" w:color="FF9E3C"/>
            </w:tcBorders>
            <w:shd w:val="clear" w:color="auto" w:fill="auto"/>
            <w:vAlign w:val="center"/>
            <w:hideMark/>
          </w:tcPr>
          <w:p w14:paraId="671A7E6E"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Affected Others</w:t>
            </w:r>
          </w:p>
        </w:tc>
        <w:tc>
          <w:tcPr>
            <w:tcW w:w="1701" w:type="dxa"/>
            <w:tcBorders>
              <w:top w:val="nil"/>
              <w:left w:val="nil"/>
              <w:bottom w:val="single" w:sz="12" w:space="0" w:color="FF9E3C"/>
              <w:right w:val="single" w:sz="12" w:space="0" w:color="FF9E3C"/>
            </w:tcBorders>
            <w:shd w:val="clear" w:color="auto" w:fill="auto"/>
            <w:vAlign w:val="center"/>
            <w:hideMark/>
          </w:tcPr>
          <w:p w14:paraId="7E7121F1"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12</w:t>
            </w:r>
          </w:p>
        </w:tc>
        <w:tc>
          <w:tcPr>
            <w:tcW w:w="1660" w:type="dxa"/>
            <w:tcBorders>
              <w:top w:val="nil"/>
              <w:left w:val="nil"/>
              <w:bottom w:val="single" w:sz="12" w:space="0" w:color="FF9E3C"/>
              <w:right w:val="single" w:sz="12" w:space="0" w:color="FF9E3C"/>
            </w:tcBorders>
            <w:shd w:val="clear" w:color="auto" w:fill="auto"/>
            <w:vAlign w:val="center"/>
            <w:hideMark/>
          </w:tcPr>
          <w:p w14:paraId="55300E8A"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20</w:t>
            </w:r>
          </w:p>
        </w:tc>
        <w:tc>
          <w:tcPr>
            <w:tcW w:w="1660" w:type="dxa"/>
            <w:tcBorders>
              <w:top w:val="nil"/>
              <w:left w:val="nil"/>
              <w:bottom w:val="single" w:sz="12" w:space="0" w:color="FF9E3C"/>
              <w:right w:val="single" w:sz="12" w:space="0" w:color="FF9E3C"/>
            </w:tcBorders>
            <w:shd w:val="clear" w:color="auto" w:fill="auto"/>
            <w:vAlign w:val="center"/>
            <w:hideMark/>
          </w:tcPr>
          <w:p w14:paraId="2FAAA4DE"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32</w:t>
            </w:r>
          </w:p>
        </w:tc>
      </w:tr>
      <w:tr w:rsidR="00F61793" w:rsidRPr="00D302D0" w14:paraId="2DA8D3C6" w14:textId="77777777" w:rsidTr="00767EAD">
        <w:trPr>
          <w:trHeight w:val="330"/>
        </w:trPr>
        <w:tc>
          <w:tcPr>
            <w:tcW w:w="2552" w:type="dxa"/>
            <w:tcBorders>
              <w:top w:val="nil"/>
              <w:left w:val="single" w:sz="12" w:space="0" w:color="FF9E3C"/>
              <w:bottom w:val="single" w:sz="12" w:space="0" w:color="FF9E3C"/>
              <w:right w:val="single" w:sz="12" w:space="0" w:color="FF9E3C"/>
            </w:tcBorders>
            <w:shd w:val="clear" w:color="auto" w:fill="auto"/>
            <w:vAlign w:val="center"/>
            <w:hideMark/>
          </w:tcPr>
          <w:p w14:paraId="14807852"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General population</w:t>
            </w:r>
          </w:p>
        </w:tc>
        <w:tc>
          <w:tcPr>
            <w:tcW w:w="1701" w:type="dxa"/>
            <w:tcBorders>
              <w:top w:val="nil"/>
              <w:left w:val="nil"/>
              <w:bottom w:val="single" w:sz="12" w:space="0" w:color="FF9E3C"/>
              <w:right w:val="single" w:sz="12" w:space="0" w:color="FF9E3C"/>
            </w:tcBorders>
            <w:shd w:val="clear" w:color="auto" w:fill="auto"/>
            <w:vAlign w:val="center"/>
            <w:hideMark/>
          </w:tcPr>
          <w:p w14:paraId="1F94AC1F"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69</w:t>
            </w:r>
          </w:p>
        </w:tc>
        <w:tc>
          <w:tcPr>
            <w:tcW w:w="1660" w:type="dxa"/>
            <w:tcBorders>
              <w:top w:val="nil"/>
              <w:left w:val="nil"/>
              <w:bottom w:val="single" w:sz="12" w:space="0" w:color="FF9E3C"/>
              <w:right w:val="single" w:sz="12" w:space="0" w:color="FF9E3C"/>
            </w:tcBorders>
            <w:shd w:val="clear" w:color="auto" w:fill="auto"/>
            <w:vAlign w:val="center"/>
            <w:hideMark/>
          </w:tcPr>
          <w:p w14:paraId="259BDBEF"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64</w:t>
            </w:r>
          </w:p>
        </w:tc>
        <w:tc>
          <w:tcPr>
            <w:tcW w:w="1660" w:type="dxa"/>
            <w:tcBorders>
              <w:top w:val="nil"/>
              <w:left w:val="nil"/>
              <w:bottom w:val="single" w:sz="12" w:space="0" w:color="FF9E3C"/>
              <w:right w:val="single" w:sz="12" w:space="0" w:color="FF9E3C"/>
            </w:tcBorders>
            <w:shd w:val="clear" w:color="auto" w:fill="auto"/>
            <w:vAlign w:val="center"/>
            <w:hideMark/>
          </w:tcPr>
          <w:p w14:paraId="67511BEA"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133</w:t>
            </w:r>
          </w:p>
        </w:tc>
      </w:tr>
      <w:tr w:rsidR="00F61793" w:rsidRPr="00D302D0" w14:paraId="4FBFCC87" w14:textId="77777777" w:rsidTr="00767EAD">
        <w:trPr>
          <w:trHeight w:val="330"/>
        </w:trPr>
        <w:tc>
          <w:tcPr>
            <w:tcW w:w="2552" w:type="dxa"/>
            <w:tcBorders>
              <w:top w:val="nil"/>
              <w:left w:val="single" w:sz="12" w:space="0" w:color="FF9E3C"/>
              <w:bottom w:val="single" w:sz="12" w:space="0" w:color="FF9E3C"/>
              <w:right w:val="single" w:sz="12" w:space="0" w:color="FF9E3C"/>
            </w:tcBorders>
            <w:shd w:val="clear" w:color="auto" w:fill="auto"/>
            <w:vAlign w:val="center"/>
            <w:hideMark/>
          </w:tcPr>
          <w:p w14:paraId="40D11EC2"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Expert</w:t>
            </w:r>
          </w:p>
        </w:tc>
        <w:tc>
          <w:tcPr>
            <w:tcW w:w="1701" w:type="dxa"/>
            <w:tcBorders>
              <w:top w:val="nil"/>
              <w:left w:val="nil"/>
              <w:bottom w:val="single" w:sz="12" w:space="0" w:color="FF9E3C"/>
              <w:right w:val="single" w:sz="12" w:space="0" w:color="FF9E3C"/>
            </w:tcBorders>
            <w:shd w:val="clear" w:color="auto" w:fill="auto"/>
            <w:vAlign w:val="center"/>
            <w:hideMark/>
          </w:tcPr>
          <w:p w14:paraId="3195CB6C"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25</w:t>
            </w:r>
          </w:p>
        </w:tc>
        <w:tc>
          <w:tcPr>
            <w:tcW w:w="1660" w:type="dxa"/>
            <w:tcBorders>
              <w:top w:val="nil"/>
              <w:left w:val="nil"/>
              <w:bottom w:val="single" w:sz="12" w:space="0" w:color="FF9E3C"/>
              <w:right w:val="single" w:sz="12" w:space="0" w:color="FF9E3C"/>
            </w:tcBorders>
            <w:shd w:val="clear" w:color="auto" w:fill="auto"/>
            <w:vAlign w:val="center"/>
            <w:hideMark/>
          </w:tcPr>
          <w:p w14:paraId="5AA9CAFF"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23</w:t>
            </w:r>
          </w:p>
        </w:tc>
        <w:tc>
          <w:tcPr>
            <w:tcW w:w="1660" w:type="dxa"/>
            <w:tcBorders>
              <w:top w:val="nil"/>
              <w:left w:val="nil"/>
              <w:bottom w:val="single" w:sz="12" w:space="0" w:color="FF9E3C"/>
              <w:right w:val="single" w:sz="12" w:space="0" w:color="FF9E3C"/>
            </w:tcBorders>
            <w:shd w:val="clear" w:color="auto" w:fill="auto"/>
            <w:vAlign w:val="center"/>
            <w:hideMark/>
          </w:tcPr>
          <w:p w14:paraId="3EDD6D88"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48</w:t>
            </w:r>
          </w:p>
        </w:tc>
      </w:tr>
      <w:tr w:rsidR="00F61793" w:rsidRPr="00D302D0" w14:paraId="327ECBF7" w14:textId="77777777" w:rsidTr="00767EAD">
        <w:trPr>
          <w:trHeight w:val="330"/>
        </w:trPr>
        <w:tc>
          <w:tcPr>
            <w:tcW w:w="2552" w:type="dxa"/>
            <w:tcBorders>
              <w:top w:val="nil"/>
              <w:left w:val="single" w:sz="12" w:space="0" w:color="FF9E3C"/>
              <w:bottom w:val="single" w:sz="12" w:space="0" w:color="FF9E3C"/>
              <w:right w:val="single" w:sz="12" w:space="0" w:color="FF9E3C"/>
            </w:tcBorders>
            <w:shd w:val="clear" w:color="auto" w:fill="auto"/>
            <w:vAlign w:val="center"/>
            <w:hideMark/>
          </w:tcPr>
          <w:p w14:paraId="0C1633E2"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r w:rsidRPr="00D302D0">
              <w:rPr>
                <w:rFonts w:cs="Arial"/>
                <w:b/>
                <w:bCs/>
                <w:color w:val="1C3158"/>
                <w:sz w:val="18"/>
                <w:lang w:eastAsia="ja-JP"/>
              </w:rPr>
              <w:t>Total</w:t>
            </w:r>
          </w:p>
        </w:tc>
        <w:tc>
          <w:tcPr>
            <w:tcW w:w="1701" w:type="dxa"/>
            <w:tcBorders>
              <w:top w:val="nil"/>
              <w:left w:val="nil"/>
              <w:bottom w:val="single" w:sz="12" w:space="0" w:color="FF9E3C"/>
              <w:right w:val="single" w:sz="12" w:space="0" w:color="FF9E3C"/>
            </w:tcBorders>
            <w:shd w:val="clear" w:color="auto" w:fill="auto"/>
            <w:vAlign w:val="center"/>
            <w:hideMark/>
          </w:tcPr>
          <w:p w14:paraId="4AD11A9A"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151</w:t>
            </w:r>
          </w:p>
        </w:tc>
        <w:tc>
          <w:tcPr>
            <w:tcW w:w="1660" w:type="dxa"/>
            <w:tcBorders>
              <w:top w:val="nil"/>
              <w:left w:val="nil"/>
              <w:bottom w:val="single" w:sz="12" w:space="0" w:color="FF9E3C"/>
              <w:right w:val="single" w:sz="12" w:space="0" w:color="FF9E3C"/>
            </w:tcBorders>
            <w:shd w:val="clear" w:color="auto" w:fill="auto"/>
            <w:vAlign w:val="center"/>
            <w:hideMark/>
          </w:tcPr>
          <w:p w14:paraId="52F653F2"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173</w:t>
            </w:r>
          </w:p>
        </w:tc>
        <w:tc>
          <w:tcPr>
            <w:tcW w:w="1660" w:type="dxa"/>
            <w:tcBorders>
              <w:top w:val="nil"/>
              <w:left w:val="nil"/>
              <w:bottom w:val="single" w:sz="12" w:space="0" w:color="FF9E3C"/>
              <w:right w:val="single" w:sz="12" w:space="0" w:color="FF9E3C"/>
            </w:tcBorders>
            <w:shd w:val="clear" w:color="auto" w:fill="auto"/>
            <w:vAlign w:val="center"/>
            <w:hideMark/>
          </w:tcPr>
          <w:p w14:paraId="4EFF4820"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324</w:t>
            </w:r>
          </w:p>
        </w:tc>
      </w:tr>
    </w:tbl>
    <w:p w14:paraId="6E78B8AC" w14:textId="618B08D8" w:rsidR="00B10C9A" w:rsidRDefault="00F61793" w:rsidP="00C82A76">
      <w:pPr>
        <w:pStyle w:val="VRGFBodycontent"/>
        <w:spacing w:before="240"/>
      </w:pPr>
      <w:r w:rsidRPr="00D302D0">
        <w:t>This sampling method is considered to be robust in that it represents the views of those affected by gambling problems, the community, and experts in the field</w:t>
      </w:r>
      <w:r w:rsidR="007E0C13">
        <w:t>.</w:t>
      </w:r>
      <w:r w:rsidR="008610D3">
        <w:t xml:space="preserve"> </w:t>
      </w:r>
    </w:p>
    <w:p w14:paraId="7B57C86D" w14:textId="492B0F03" w:rsidR="00966C5A" w:rsidRDefault="00B10C9A" w:rsidP="00B24B09">
      <w:pPr>
        <w:pStyle w:val="VRGFBodycontent"/>
      </w:pPr>
      <w:r w:rsidRPr="00CB1D94">
        <w:lastRenderedPageBreak/>
        <w:t>Haagsma and colleagues (2014) reviewed the methodological design choices of 22</w:t>
      </w:r>
      <w:r w:rsidR="00CB1D94">
        <w:t xml:space="preserve"> </w:t>
      </w:r>
      <w:r w:rsidR="00D6657B">
        <w:t xml:space="preserve">HRQL </w:t>
      </w:r>
      <w:r w:rsidR="00CB1D94">
        <w:t xml:space="preserve">studies eliciting </w:t>
      </w:r>
      <w:r w:rsidRPr="00CB1D94">
        <w:t xml:space="preserve">disability weight studies conducted between 1990 and 2012, including the composition of the panel valuating the health </w:t>
      </w:r>
      <w:r w:rsidR="0075079A" w:rsidRPr="00CB1D94">
        <w:t>states. Of the</w:t>
      </w:r>
      <w:r w:rsidR="0075079A">
        <w:t xml:space="preserve"> 1</w:t>
      </w:r>
      <w:r w:rsidR="00966C5A">
        <w:t>6</w:t>
      </w:r>
      <w:r w:rsidR="0075079A">
        <w:t xml:space="preserve"> studies which valuated specific health states (excluding </w:t>
      </w:r>
      <w:r w:rsidR="007803C3">
        <w:t xml:space="preserve">6 studies </w:t>
      </w:r>
      <w:r w:rsidR="0075079A">
        <w:t>using the gene</w:t>
      </w:r>
      <w:r w:rsidR="002C3D92">
        <w:t>ric</w:t>
      </w:r>
      <w:r w:rsidR="0075079A">
        <w:t xml:space="preserve"> MAUI model tool), more than 60% (n=10) consisted of panels of medical experts or health professionals (</w:t>
      </w:r>
      <w:r w:rsidR="00CB1D94" w:rsidRPr="00B24B09">
        <w:t xml:space="preserve">Basiri, Mousavi, Naghavi, Araghi, </w:t>
      </w:r>
      <w:r w:rsidR="00CB1D94">
        <w:t>&amp; Namini, 2008</w:t>
      </w:r>
      <w:r w:rsidR="00B24B09">
        <w:t xml:space="preserve">; Havelaar, de Wit, van Koningsveld, </w:t>
      </w:r>
      <w:r w:rsidR="00CB1D94">
        <w:t xml:space="preserve">&amp; </w:t>
      </w:r>
      <w:r w:rsidR="00B24B09">
        <w:t xml:space="preserve">van Kempen, 2000; </w:t>
      </w:r>
      <w:r w:rsidR="0089392B">
        <w:t xml:space="preserve">Hong &amp; Saver, 2009; </w:t>
      </w:r>
      <w:r w:rsidR="00B24B09">
        <w:t xml:space="preserve">Schwarzinger, </w:t>
      </w:r>
      <w:r w:rsidR="00640EF7">
        <w:t xml:space="preserve">et al., </w:t>
      </w:r>
      <w:r w:rsidR="00B24B09">
        <w:t xml:space="preserve">2003; </w:t>
      </w:r>
      <w:r w:rsidR="00B24B09" w:rsidRPr="00B24B09">
        <w:t xml:space="preserve">Kruijshaar, Hoeymans, Spijker, Stouthard </w:t>
      </w:r>
      <w:r w:rsidR="00CB1D94">
        <w:t xml:space="preserve">&amp; </w:t>
      </w:r>
      <w:r w:rsidR="00B24B09" w:rsidRPr="00B24B09">
        <w:t>Essink-Bot</w:t>
      </w:r>
      <w:r w:rsidR="00B24B09">
        <w:t xml:space="preserve">, 2005;; </w:t>
      </w:r>
      <w:r w:rsidR="00B24B09" w:rsidRPr="00B24B09">
        <w:t xml:space="preserve">Lai, Habicht, </w:t>
      </w:r>
      <w:r w:rsidR="00B24B09">
        <w:t xml:space="preserve">and </w:t>
      </w:r>
      <w:r w:rsidR="00B24B09" w:rsidRPr="00B24B09">
        <w:t>Kiivet</w:t>
      </w:r>
      <w:r w:rsidR="00B24B09">
        <w:t xml:space="preserve">, 2009; </w:t>
      </w:r>
      <w:r w:rsidR="00CB1D94">
        <w:t xml:space="preserve"> Murray and Lopez, 1996; Stouthard et al., 1997; </w:t>
      </w:r>
      <w:r w:rsidR="00B24B09" w:rsidRPr="00B24B09">
        <w:t xml:space="preserve">van Spijker, van Straten, Kerkhof, Hoeymans, </w:t>
      </w:r>
      <w:r w:rsidR="00CB1D94">
        <w:t xml:space="preserve">&amp; </w:t>
      </w:r>
      <w:r w:rsidR="00B24B09">
        <w:t>Smit, 2011</w:t>
      </w:r>
      <w:r w:rsidR="00CB1D94">
        <w:t xml:space="preserve">; </w:t>
      </w:r>
      <w:r w:rsidR="00CB1D94" w:rsidRPr="00B24B09">
        <w:t xml:space="preserve">Yoon </w:t>
      </w:r>
      <w:r w:rsidR="00CB1D94">
        <w:t>et al., 2007</w:t>
      </w:r>
      <w:r w:rsidR="00B24B09">
        <w:t>) r</w:t>
      </w:r>
      <w:r w:rsidR="0075079A">
        <w:t>anging from sampling sizes of 9 (</w:t>
      </w:r>
      <w:r w:rsidR="00B24B09">
        <w:t xml:space="preserve">Hong </w:t>
      </w:r>
      <w:r w:rsidR="00CB1D94">
        <w:t xml:space="preserve">&amp; </w:t>
      </w:r>
      <w:r w:rsidR="00B24B09">
        <w:t>Saver, 2009</w:t>
      </w:r>
      <w:r w:rsidR="0075079A">
        <w:t>) to 49 (</w:t>
      </w:r>
      <w:r w:rsidR="00B24B09" w:rsidRPr="00B24B09">
        <w:t>Kruijshaar</w:t>
      </w:r>
      <w:r w:rsidR="00B24B09">
        <w:t xml:space="preserve"> et al., 2005</w:t>
      </w:r>
      <w:r w:rsidR="0075079A">
        <w:t xml:space="preserve">). </w:t>
      </w:r>
      <w:r w:rsidR="00966C5A">
        <w:t>3 studies derived valuations from panels of the general population (</w:t>
      </w:r>
      <w:r w:rsidR="00B24B09" w:rsidRPr="00B24B09">
        <w:t xml:space="preserve">Haagsma, van Beeck, Polinder, Hoeymans, Mulder, </w:t>
      </w:r>
      <w:r w:rsidR="00CB1D94">
        <w:t xml:space="preserve">&amp; </w:t>
      </w:r>
      <w:r w:rsidR="00B24B09">
        <w:t>Bonsel, 2008; Salomon et al., 2010). Of these, t</w:t>
      </w:r>
      <w:r w:rsidR="00966C5A">
        <w:t xml:space="preserve">he most recent and largest study was </w:t>
      </w:r>
      <w:r w:rsidR="00966C5A" w:rsidRPr="00D302D0">
        <w:t xml:space="preserve">the Global Burden of Disease 2010 study </w:t>
      </w:r>
      <w:r w:rsidR="00966C5A">
        <w:t>with a global population of 30,320 valuating 2</w:t>
      </w:r>
      <w:r w:rsidR="003A1EA9">
        <w:t>91</w:t>
      </w:r>
      <w:r w:rsidR="00966C5A">
        <w:t xml:space="preserve"> health states, via mixed methods of face-to-face administration (n=13,902) and an online survey (n=16,328) (Salomon et al., 2013). Lastly, the review found that </w:t>
      </w:r>
      <w:r w:rsidR="0075079A">
        <w:t xml:space="preserve">3 studies </w:t>
      </w:r>
      <w:r w:rsidR="00966C5A">
        <w:t>were administered to multiple panels: 2 with medical experts/health professionals and the general population (</w:t>
      </w:r>
      <w:r w:rsidR="00CB1D94" w:rsidRPr="00B24B09">
        <w:t xml:space="preserve">Baltussen, </w:t>
      </w:r>
      <w:r w:rsidR="00CB1D94">
        <w:t xml:space="preserve">et al., 2002; </w:t>
      </w:r>
      <w:r w:rsidR="00B24B09" w:rsidRPr="00B24B09">
        <w:t xml:space="preserve">Jelsma, </w:t>
      </w:r>
      <w:r w:rsidR="00640EF7">
        <w:t xml:space="preserve">et al., </w:t>
      </w:r>
      <w:r w:rsidR="00B24B09">
        <w:t>2000</w:t>
      </w:r>
      <w:r w:rsidR="00966C5A">
        <w:t>), and 1 study with health professionals, policymakers, and people with disabilities and their carers (</w:t>
      </w:r>
      <w:r w:rsidR="00B24B09" w:rsidRPr="00B24B09">
        <w:t xml:space="preserve">Ustun </w:t>
      </w:r>
      <w:r w:rsidR="00640EF7">
        <w:t>et al., 1</w:t>
      </w:r>
      <w:r w:rsidR="00DE509D">
        <w:t>999</w:t>
      </w:r>
      <w:r w:rsidR="00966C5A">
        <w:t xml:space="preserve">). </w:t>
      </w:r>
    </w:p>
    <w:p w14:paraId="4D265B73" w14:textId="61B33CDE" w:rsidR="004B1181" w:rsidRPr="00CB1D94" w:rsidRDefault="00966C5A" w:rsidP="00507033">
      <w:pPr>
        <w:pStyle w:val="VRGFBodycontent"/>
      </w:pPr>
      <w:r>
        <w:t>What this review shows is that t</w:t>
      </w:r>
      <w:r w:rsidRPr="00D302D0">
        <w:t xml:space="preserve">he majority of </w:t>
      </w:r>
      <w:r w:rsidR="00CB1D94">
        <w:t>HRQL</w:t>
      </w:r>
      <w:r w:rsidRPr="00D302D0">
        <w:t xml:space="preserve"> research has sampled small groups of </w:t>
      </w:r>
      <w:r>
        <w:t xml:space="preserve">medical </w:t>
      </w:r>
      <w:r w:rsidRPr="00D302D0">
        <w:t xml:space="preserve">experts </w:t>
      </w:r>
      <w:r>
        <w:t xml:space="preserve">or </w:t>
      </w:r>
      <w:r w:rsidRPr="00D302D0">
        <w:t>health professionals</w:t>
      </w:r>
      <w:r>
        <w:t>,</w:t>
      </w:r>
      <w:r w:rsidRPr="00D302D0">
        <w:t xml:space="preserve"> </w:t>
      </w:r>
      <w:r w:rsidR="00345C97">
        <w:t xml:space="preserve">selected </w:t>
      </w:r>
      <w:r w:rsidRPr="00D302D0">
        <w:t>due to their knowledge and experience with health conditions and their ability to complete the c</w:t>
      </w:r>
      <w:r w:rsidRPr="00CB1D94">
        <w:t>omplex valuations tasks</w:t>
      </w:r>
      <w:r w:rsidR="00345C97" w:rsidRPr="00CB1D94">
        <w:t xml:space="preserve"> (Murray </w:t>
      </w:r>
      <w:r w:rsidR="00D6657B">
        <w:t>&amp;</w:t>
      </w:r>
      <w:r w:rsidR="00D6657B" w:rsidRPr="00CB1D94">
        <w:t xml:space="preserve"> </w:t>
      </w:r>
      <w:r w:rsidR="00345C97" w:rsidRPr="00CB1D94">
        <w:t>Lopez, 1997)</w:t>
      </w:r>
      <w:r w:rsidRPr="00CB1D94">
        <w:t>. The other most commonly sampled group</w:t>
      </w:r>
      <w:r w:rsidR="002C3D92" w:rsidRPr="00CB1D94">
        <w:t xml:space="preserve"> utilising other types </w:t>
      </w:r>
      <w:r w:rsidR="009570BB" w:rsidRPr="00CB1D94">
        <w:t xml:space="preserve">of </w:t>
      </w:r>
      <w:r w:rsidR="002C3D92" w:rsidRPr="00CB1D94">
        <w:t>methodologies</w:t>
      </w:r>
      <w:r w:rsidR="009570BB" w:rsidRPr="00CB1D94">
        <w:t xml:space="preserve"> producing </w:t>
      </w:r>
      <w:r w:rsidR="00CB1D94">
        <w:t xml:space="preserve">health state utilities </w:t>
      </w:r>
      <w:r w:rsidR="002C3D92" w:rsidRPr="00CB1D94">
        <w:t xml:space="preserve">(i.e. indirect elicitation methods such as generic instruments HUI, QEB, and </w:t>
      </w:r>
      <w:r w:rsidR="009570BB" w:rsidRPr="00CB1D94">
        <w:t>EuroQol</w:t>
      </w:r>
      <w:r w:rsidR="002C3D92" w:rsidRPr="00CB1D94">
        <w:t xml:space="preserve">) </w:t>
      </w:r>
      <w:r w:rsidR="007803C3" w:rsidRPr="00CB1D94">
        <w:t xml:space="preserve">not picked up in Haagsma and colleagues’ review </w:t>
      </w:r>
      <w:r w:rsidR="003A1EA9" w:rsidRPr="00CB1D94">
        <w:t>(2014)</w:t>
      </w:r>
      <w:r w:rsidR="002C3D92" w:rsidRPr="00CB1D94">
        <w:t xml:space="preserve"> </w:t>
      </w:r>
      <w:r w:rsidRPr="00CB1D94">
        <w:t xml:space="preserve">are </w:t>
      </w:r>
      <w:r w:rsidR="007803C3" w:rsidRPr="00CB1D94">
        <w:t xml:space="preserve">populations </w:t>
      </w:r>
      <w:r w:rsidRPr="00CB1D94">
        <w:t xml:space="preserve">experiencing </w:t>
      </w:r>
      <w:r w:rsidR="00087EC9">
        <w:t>the</w:t>
      </w:r>
      <w:r w:rsidR="00087EC9" w:rsidRPr="00CB1D94">
        <w:t xml:space="preserve"> </w:t>
      </w:r>
      <w:r w:rsidRPr="00CB1D94">
        <w:t>health condition</w:t>
      </w:r>
      <w:r w:rsidR="004B1181" w:rsidRPr="00CB1D94">
        <w:t xml:space="preserve"> </w:t>
      </w:r>
      <w:r w:rsidR="007803C3" w:rsidRPr="00CB1D94">
        <w:t>(</w:t>
      </w:r>
      <w:r w:rsidR="00FA258E" w:rsidRPr="00CB1D94">
        <w:t xml:space="preserve">e.g., </w:t>
      </w:r>
      <w:r w:rsidR="00117CCB" w:rsidRPr="00CB1D94">
        <w:t xml:space="preserve">Haagsma et al., 2001; </w:t>
      </w:r>
      <w:r w:rsidR="00CE3985" w:rsidRPr="00CB1D94">
        <w:t xml:space="preserve">Holtslag et al., 2008; </w:t>
      </w:r>
      <w:r w:rsidR="00FA258E" w:rsidRPr="00CB1D94">
        <w:t xml:space="preserve">Hurst, Kind, Ruta, Hunter, </w:t>
      </w:r>
      <w:r w:rsidR="00D6657B">
        <w:t>&amp;</w:t>
      </w:r>
      <w:r w:rsidR="00D6657B" w:rsidRPr="00CB1D94">
        <w:t xml:space="preserve"> </w:t>
      </w:r>
      <w:r w:rsidR="00FA258E" w:rsidRPr="00CB1D94">
        <w:t xml:space="preserve">Stubbings, 1997; </w:t>
      </w:r>
      <w:r w:rsidR="0035766B" w:rsidRPr="00CB1D94">
        <w:t xml:space="preserve">Mittal, Fortney, Pyne, Edlund, </w:t>
      </w:r>
      <w:r w:rsidR="00D6657B">
        <w:t>&amp;</w:t>
      </w:r>
      <w:r w:rsidR="00D6657B" w:rsidRPr="00CB1D94">
        <w:t xml:space="preserve"> </w:t>
      </w:r>
      <w:r w:rsidR="0035766B" w:rsidRPr="00CB1D94">
        <w:t>Wetherell, 2006; P</w:t>
      </w:r>
      <w:r w:rsidR="00F5033C" w:rsidRPr="00CB1D94">
        <w:t xml:space="preserve">rigent, Auraaen, Kamendje-Tchokobou, Durand-Zaleski, </w:t>
      </w:r>
      <w:r w:rsidR="00D6657B">
        <w:t>&amp;</w:t>
      </w:r>
      <w:r w:rsidR="00D6657B" w:rsidRPr="00CB1D94">
        <w:t xml:space="preserve"> </w:t>
      </w:r>
      <w:r w:rsidR="00F5033C" w:rsidRPr="00CB1D94">
        <w:t xml:space="preserve">Chevreul, 2014; </w:t>
      </w:r>
      <w:r w:rsidR="00E162C2" w:rsidRPr="00CB1D94">
        <w:t xml:space="preserve">Saarni et al., 2006; </w:t>
      </w:r>
      <w:r w:rsidR="00CE3985" w:rsidRPr="00CB1D94">
        <w:t>Saarini et al., 2007; Trome et al., 2014</w:t>
      </w:r>
      <w:r w:rsidR="00F5033C" w:rsidRPr="00CB1D94">
        <w:t xml:space="preserve">; </w:t>
      </w:r>
      <w:r w:rsidR="00CE3985" w:rsidRPr="00CB1D94">
        <w:t>Ustun et al., 1999</w:t>
      </w:r>
      <w:r w:rsidR="00E025E7" w:rsidRPr="00CB1D94">
        <w:t>).</w:t>
      </w:r>
      <w:r w:rsidR="00D6657B">
        <w:t xml:space="preserve"> Recent HRQL studies employing indirect elicitation methods, </w:t>
      </w:r>
      <w:r w:rsidR="00087EC9">
        <w:t>have also sampled the general population (Bansback et al., 2012; Bansback et al., 2014; Brazier et al., 2012; Lancsar et al., 2011; Pullenayegum &amp; Xie, 2013; Ratcliffe et al., 2009; Robinson et al., 2015; Ryan et al., 2006; Stolk et al., 2010; Viney et al., 2014).</w:t>
      </w:r>
    </w:p>
    <w:p w14:paraId="1A5D747F" w14:textId="3432F521" w:rsidR="00F61793" w:rsidRPr="00D302D0" w:rsidRDefault="00F61793" w:rsidP="00507033">
      <w:pPr>
        <w:pStyle w:val="VRGFBodycontent"/>
      </w:pPr>
      <w:r w:rsidRPr="00CB1D94">
        <w:t>In the current survey</w:t>
      </w:r>
      <w:r w:rsidR="006E26D7" w:rsidRPr="00CB1D94">
        <w:t>,</w:t>
      </w:r>
      <w:r w:rsidRPr="00CB1D94">
        <w:t xml:space="preserve"> we sought to replicate a larger sample size, and elicit valuations from all types of groups sampled in </w:t>
      </w:r>
      <w:r w:rsidR="00D6657B">
        <w:t>HRQL</w:t>
      </w:r>
      <w:r w:rsidR="00D6657B" w:rsidRPr="00CB1D94">
        <w:t xml:space="preserve"> </w:t>
      </w:r>
      <w:r w:rsidRPr="00CB1D94">
        <w:t xml:space="preserve">research: experts (e.g. gambling counsellors), people experiencing gambling harms (own or from another), and the general community (who were not currently </w:t>
      </w:r>
      <w:r w:rsidR="00D172ED" w:rsidRPr="00CB1D94">
        <w:t xml:space="preserve">experiencing </w:t>
      </w:r>
      <w:r w:rsidRPr="00CB1D94">
        <w:t>gambling harms)</w:t>
      </w:r>
      <w:r w:rsidR="007E0C13" w:rsidRPr="00CB1D94">
        <w:t>.</w:t>
      </w:r>
      <w:r w:rsidR="008610D3">
        <w:t xml:space="preserve"> </w:t>
      </w:r>
    </w:p>
    <w:p w14:paraId="0E4AF2DF" w14:textId="41D0F4F8" w:rsidR="00F61793" w:rsidRPr="00D302D0" w:rsidRDefault="00F61793" w:rsidP="00507033">
      <w:pPr>
        <w:pStyle w:val="VRGFBodycontent"/>
      </w:pPr>
      <w:r>
        <w:t>In describing the characteristics of the raters,</w:t>
      </w:r>
      <w:r w:rsidRPr="00D302D0">
        <w:t xml:space="preserve"> two </w:t>
      </w:r>
      <w:r w:rsidR="006F55C1">
        <w:t xml:space="preserve">overarching </w:t>
      </w:r>
      <w:r w:rsidRPr="00D302D0">
        <w:t xml:space="preserve">groups are of interest: the general population, which combines all </w:t>
      </w:r>
      <w:r>
        <w:t xml:space="preserve">sources from </w:t>
      </w:r>
      <w:r w:rsidRPr="00D302D0">
        <w:t>the online panel sample (</w:t>
      </w:r>
      <w:r>
        <w:t xml:space="preserve">individuals experiencing </w:t>
      </w:r>
      <w:r w:rsidRPr="00D302D0">
        <w:t xml:space="preserve">no harm, </w:t>
      </w:r>
      <w:r>
        <w:t>harm from one’s own</w:t>
      </w:r>
      <w:r w:rsidRPr="00D302D0">
        <w:t xml:space="preserve"> gambling</w:t>
      </w:r>
      <w:r>
        <w:t xml:space="preserve">, and harms from </w:t>
      </w:r>
      <w:r w:rsidR="006E26D7">
        <w:t>an</w:t>
      </w:r>
      <w:r>
        <w:t>other’s gambling</w:t>
      </w:r>
      <w:r w:rsidRPr="00D302D0">
        <w:t>) and the experts</w:t>
      </w:r>
      <w:r w:rsidR="007E0C13">
        <w:t>.</w:t>
      </w:r>
      <w:r w:rsidR="008610D3">
        <w:t xml:space="preserve"> </w:t>
      </w:r>
      <w:r w:rsidR="00507033">
        <w:fldChar w:fldCharType="begin"/>
      </w:r>
      <w:r w:rsidR="00507033">
        <w:instrText xml:space="preserve"> REF _Ref445408262 \h </w:instrText>
      </w:r>
      <w:r w:rsidR="00507033">
        <w:fldChar w:fldCharType="separate"/>
      </w:r>
      <w:r w:rsidR="0006479A">
        <w:t xml:space="preserve">Table </w:t>
      </w:r>
      <w:r w:rsidR="0006479A">
        <w:rPr>
          <w:noProof/>
        </w:rPr>
        <w:t>18</w:t>
      </w:r>
      <w:r w:rsidR="00507033">
        <w:fldChar w:fldCharType="end"/>
      </w:r>
      <w:r w:rsidRPr="00D302D0">
        <w:t xml:space="preserve"> provides a demographic overview of these two participant groups</w:t>
      </w:r>
      <w:r w:rsidR="007E0C13">
        <w:t>.</w:t>
      </w:r>
      <w:r w:rsidR="008610D3">
        <w:t xml:space="preserve"> </w:t>
      </w:r>
      <w:r>
        <w:t>A higher percentage of the expert sample was female (75.6%) than the general population sample (48.9%)</w:t>
      </w:r>
      <w:r w:rsidR="007E0C13">
        <w:t>.</w:t>
      </w:r>
      <w:r w:rsidR="008610D3">
        <w:t xml:space="preserve"> </w:t>
      </w:r>
      <w:r>
        <w:t>Furthermore</w:t>
      </w:r>
      <w:r w:rsidR="00752074">
        <w:t>,</w:t>
      </w:r>
      <w:r>
        <w:t xml:space="preserve"> the expert sample had a more diverse cultural background (44.7% non-European) than the general population (22.8% non-European).</w:t>
      </w:r>
    </w:p>
    <w:p w14:paraId="6C541A78" w14:textId="65CD3F90" w:rsidR="00F61793" w:rsidRDefault="00F61793" w:rsidP="00507033">
      <w:pPr>
        <w:pStyle w:val="VRGFBodycontent"/>
      </w:pPr>
      <w:r>
        <w:t>The general population were asked about their own gambling experiences and contact with others with gambling problems</w:t>
      </w:r>
      <w:r w:rsidR="007E0C13">
        <w:t>.</w:t>
      </w:r>
      <w:r w:rsidR="008610D3">
        <w:t xml:space="preserve"> </w:t>
      </w:r>
      <w:r>
        <w:t xml:space="preserve">Overall, 41.3% had contact in their personal lives with a person experiencing gambling problems, </w:t>
      </w:r>
      <w:r w:rsidR="00F21E5D">
        <w:t>and</w:t>
      </w:r>
      <w:r>
        <w:t xml:space="preserve"> 10.9% had in a professional capacity</w:t>
      </w:r>
      <w:r w:rsidR="007E0C13">
        <w:t>.</w:t>
      </w:r>
      <w:r w:rsidR="008610D3">
        <w:t xml:space="preserve"> </w:t>
      </w:r>
      <w:r>
        <w:t xml:space="preserve">Harm experienced from one’s own gambling was present for 16.7% of the general population sample, and 11.6% </w:t>
      </w:r>
      <w:r>
        <w:lastRenderedPageBreak/>
        <w:t>experienced harm from someone else's gambling</w:t>
      </w:r>
      <w:r w:rsidR="007E0C13">
        <w:t>.</w:t>
      </w:r>
      <w:r w:rsidR="008610D3">
        <w:t xml:space="preserve"> </w:t>
      </w:r>
      <w:r w:rsidRPr="00D302D0">
        <w:t xml:space="preserve">Measured by the Lie-Bet Scale, </w:t>
      </w:r>
      <w:r>
        <w:t>40.6%</w:t>
      </w:r>
      <w:r w:rsidRPr="00D302D0">
        <w:t xml:space="preserve"> </w:t>
      </w:r>
      <w:r>
        <w:t xml:space="preserve">of the general population sample </w:t>
      </w:r>
      <w:r w:rsidRPr="00D302D0">
        <w:t>had possible gambling problems</w:t>
      </w:r>
      <w:r w:rsidR="00F21E5D">
        <w:t xml:space="preserve"> at some time in their lives</w:t>
      </w:r>
      <w:r>
        <w:t>.</w:t>
      </w:r>
    </w:p>
    <w:p w14:paraId="02EDE5CF" w14:textId="77777777" w:rsidR="00767EAD" w:rsidRDefault="00767EAD" w:rsidP="00507033">
      <w:pPr>
        <w:pStyle w:val="VRGFBodycontent"/>
      </w:pPr>
    </w:p>
    <w:p w14:paraId="7188560B" w14:textId="0DBF66BC" w:rsidR="00F61793" w:rsidRPr="00D302D0" w:rsidRDefault="00507033" w:rsidP="00507033">
      <w:pPr>
        <w:pStyle w:val="Caption"/>
        <w:rPr>
          <w:rFonts w:cs="Arial"/>
          <w:bCs/>
          <w:iCs w:val="0"/>
          <w:color w:val="1C3158"/>
          <w:lang w:eastAsia="ja-JP"/>
        </w:rPr>
      </w:pPr>
      <w:bookmarkStart w:id="269" w:name="_Ref445408262"/>
      <w:bookmarkStart w:id="270" w:name="_Toc462738121"/>
      <w:r>
        <w:t xml:space="preserve">Table </w:t>
      </w:r>
      <w:fldSimple w:instr=" SEQ Table \* ARABIC ">
        <w:r w:rsidR="0006479A">
          <w:rPr>
            <w:noProof/>
          </w:rPr>
          <w:t>18</w:t>
        </w:r>
      </w:fldSimple>
      <w:bookmarkEnd w:id="269"/>
      <w:r w:rsidR="007E0C13">
        <w:t>.</w:t>
      </w:r>
      <w:r w:rsidR="008610D3">
        <w:t xml:space="preserve"> </w:t>
      </w:r>
      <w:bookmarkStart w:id="271" w:name="_Toc440900340"/>
      <w:r w:rsidR="00F61793" w:rsidRPr="00507033">
        <w:rPr>
          <w:iCs w:val="0"/>
          <w:color w:val="1C3158"/>
        </w:rPr>
        <w:t>General population and expert sample demographic characteristics</w:t>
      </w:r>
      <w:bookmarkEnd w:id="270"/>
      <w:bookmarkEnd w:id="271"/>
    </w:p>
    <w:tbl>
      <w:tblPr>
        <w:tblW w:w="8505" w:type="dxa"/>
        <w:tblLook w:val="04A0" w:firstRow="1" w:lastRow="0" w:firstColumn="1" w:lastColumn="0" w:noHBand="0" w:noVBand="1"/>
      </w:tblPr>
      <w:tblGrid>
        <w:gridCol w:w="2337"/>
        <w:gridCol w:w="2011"/>
        <w:gridCol w:w="1625"/>
        <w:gridCol w:w="1286"/>
        <w:gridCol w:w="1246"/>
      </w:tblGrid>
      <w:tr w:rsidR="00F61793" w:rsidRPr="00D302D0" w14:paraId="7FE09089" w14:textId="77777777" w:rsidTr="00CE4647">
        <w:trPr>
          <w:trHeight w:val="495"/>
        </w:trPr>
        <w:tc>
          <w:tcPr>
            <w:tcW w:w="4348" w:type="dxa"/>
            <w:gridSpan w:val="2"/>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1659C5EE"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r w:rsidRPr="00D302D0">
              <w:rPr>
                <w:rFonts w:cs="Arial"/>
                <w:b/>
                <w:bCs/>
                <w:color w:val="1C3158"/>
                <w:sz w:val="18"/>
                <w:lang w:eastAsia="ja-JP"/>
              </w:rPr>
              <w:t>Demographic</w:t>
            </w:r>
          </w:p>
        </w:tc>
        <w:tc>
          <w:tcPr>
            <w:tcW w:w="1625" w:type="dxa"/>
            <w:tcBorders>
              <w:top w:val="single" w:sz="12" w:space="0" w:color="FF9E3C"/>
              <w:left w:val="nil"/>
              <w:bottom w:val="nil"/>
              <w:right w:val="single" w:sz="12" w:space="0" w:color="FF9E3C"/>
            </w:tcBorders>
            <w:shd w:val="clear" w:color="000000" w:fill="FFBC64"/>
            <w:vAlign w:val="center"/>
            <w:hideMark/>
          </w:tcPr>
          <w:p w14:paraId="0D0AFE86"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General Population (%)</w:t>
            </w:r>
          </w:p>
        </w:tc>
        <w:tc>
          <w:tcPr>
            <w:tcW w:w="1286" w:type="dxa"/>
            <w:tcBorders>
              <w:top w:val="single" w:sz="12" w:space="0" w:color="FF9E3C"/>
              <w:left w:val="nil"/>
              <w:bottom w:val="nil"/>
              <w:right w:val="single" w:sz="12" w:space="0" w:color="FF9E3C"/>
            </w:tcBorders>
            <w:shd w:val="clear" w:color="000000" w:fill="FFBC64"/>
            <w:vAlign w:val="center"/>
            <w:hideMark/>
          </w:tcPr>
          <w:p w14:paraId="79D323F5"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Experts (%)</w:t>
            </w:r>
          </w:p>
        </w:tc>
        <w:tc>
          <w:tcPr>
            <w:tcW w:w="1246" w:type="dxa"/>
            <w:tcBorders>
              <w:top w:val="single" w:sz="12" w:space="0" w:color="FF9E3C"/>
              <w:left w:val="nil"/>
              <w:bottom w:val="nil"/>
              <w:right w:val="single" w:sz="12" w:space="0" w:color="FF9E3C"/>
            </w:tcBorders>
            <w:shd w:val="clear" w:color="000000" w:fill="FFBC64"/>
            <w:vAlign w:val="center"/>
            <w:hideMark/>
          </w:tcPr>
          <w:p w14:paraId="34176092"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Overall (%)</w:t>
            </w:r>
          </w:p>
        </w:tc>
      </w:tr>
      <w:tr w:rsidR="00F61793" w:rsidRPr="00D302D0" w14:paraId="10D68238" w14:textId="77777777" w:rsidTr="00CE4647">
        <w:trPr>
          <w:trHeight w:val="315"/>
        </w:trPr>
        <w:tc>
          <w:tcPr>
            <w:tcW w:w="4348" w:type="dxa"/>
            <w:gridSpan w:val="2"/>
            <w:vMerge/>
            <w:tcBorders>
              <w:top w:val="single" w:sz="12" w:space="0" w:color="FF9E3C"/>
              <w:left w:val="single" w:sz="12" w:space="0" w:color="FF9E3C"/>
              <w:bottom w:val="single" w:sz="12" w:space="0" w:color="FF9E3C"/>
              <w:right w:val="single" w:sz="12" w:space="0" w:color="FF9E3C"/>
            </w:tcBorders>
            <w:vAlign w:val="center"/>
            <w:hideMark/>
          </w:tcPr>
          <w:p w14:paraId="6515CD41"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p>
        </w:tc>
        <w:tc>
          <w:tcPr>
            <w:tcW w:w="1625" w:type="dxa"/>
            <w:tcBorders>
              <w:top w:val="nil"/>
              <w:left w:val="nil"/>
              <w:bottom w:val="single" w:sz="12" w:space="0" w:color="FF9E3C"/>
              <w:right w:val="single" w:sz="12" w:space="0" w:color="FF9E3C"/>
            </w:tcBorders>
            <w:shd w:val="clear" w:color="000000" w:fill="FFBC64"/>
            <w:vAlign w:val="center"/>
            <w:hideMark/>
          </w:tcPr>
          <w:p w14:paraId="10702FA0"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(n = 276)</w:t>
            </w:r>
          </w:p>
        </w:tc>
        <w:tc>
          <w:tcPr>
            <w:tcW w:w="1286" w:type="dxa"/>
            <w:tcBorders>
              <w:top w:val="nil"/>
              <w:left w:val="nil"/>
              <w:bottom w:val="single" w:sz="12" w:space="0" w:color="FF9E3C"/>
              <w:right w:val="single" w:sz="12" w:space="0" w:color="FF9E3C"/>
            </w:tcBorders>
            <w:shd w:val="clear" w:color="000000" w:fill="FFBC64"/>
            <w:vAlign w:val="center"/>
            <w:hideMark/>
          </w:tcPr>
          <w:p w14:paraId="3ADFCE03"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(n = 48)</w:t>
            </w:r>
          </w:p>
        </w:tc>
        <w:tc>
          <w:tcPr>
            <w:tcW w:w="1246" w:type="dxa"/>
            <w:tcBorders>
              <w:top w:val="nil"/>
              <w:left w:val="nil"/>
              <w:bottom w:val="single" w:sz="12" w:space="0" w:color="FF9E3C"/>
              <w:right w:val="single" w:sz="12" w:space="0" w:color="FF9E3C"/>
            </w:tcBorders>
            <w:shd w:val="clear" w:color="000000" w:fill="FFBC64"/>
            <w:vAlign w:val="center"/>
            <w:hideMark/>
          </w:tcPr>
          <w:p w14:paraId="36EF2E78"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(n = 324)</w:t>
            </w:r>
          </w:p>
        </w:tc>
      </w:tr>
      <w:tr w:rsidR="00F61793" w:rsidRPr="00D302D0" w14:paraId="63C38316" w14:textId="77777777" w:rsidTr="00CE4647">
        <w:trPr>
          <w:trHeight w:val="330"/>
        </w:trPr>
        <w:tc>
          <w:tcPr>
            <w:tcW w:w="233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104E62E8"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Gender</w:t>
            </w:r>
          </w:p>
        </w:tc>
        <w:tc>
          <w:tcPr>
            <w:tcW w:w="2011" w:type="dxa"/>
            <w:tcBorders>
              <w:top w:val="nil"/>
              <w:left w:val="nil"/>
              <w:bottom w:val="single" w:sz="12" w:space="0" w:color="FF9E3C"/>
              <w:right w:val="single" w:sz="12" w:space="0" w:color="FF9E3C"/>
            </w:tcBorders>
            <w:shd w:val="clear" w:color="auto" w:fill="auto"/>
            <w:vAlign w:val="center"/>
            <w:hideMark/>
          </w:tcPr>
          <w:p w14:paraId="2A35197A"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Male</w:t>
            </w:r>
          </w:p>
        </w:tc>
        <w:tc>
          <w:tcPr>
            <w:tcW w:w="1625" w:type="dxa"/>
            <w:tcBorders>
              <w:top w:val="nil"/>
              <w:left w:val="nil"/>
              <w:bottom w:val="single" w:sz="12" w:space="0" w:color="FF9E3C"/>
              <w:right w:val="single" w:sz="12" w:space="0" w:color="FF9E3C"/>
            </w:tcBorders>
            <w:shd w:val="clear" w:color="auto" w:fill="auto"/>
            <w:vAlign w:val="center"/>
            <w:hideMark/>
          </w:tcPr>
          <w:p w14:paraId="521F23D4"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51.1</w:t>
            </w:r>
          </w:p>
        </w:tc>
        <w:tc>
          <w:tcPr>
            <w:tcW w:w="1286" w:type="dxa"/>
            <w:tcBorders>
              <w:top w:val="nil"/>
              <w:left w:val="nil"/>
              <w:bottom w:val="single" w:sz="12" w:space="0" w:color="FF9E3C"/>
              <w:right w:val="single" w:sz="12" w:space="0" w:color="FF9E3C"/>
            </w:tcBorders>
            <w:shd w:val="clear" w:color="auto" w:fill="auto"/>
            <w:vAlign w:val="center"/>
            <w:hideMark/>
          </w:tcPr>
          <w:p w14:paraId="0FAE52F0"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24.4</w:t>
            </w:r>
          </w:p>
        </w:tc>
        <w:tc>
          <w:tcPr>
            <w:tcW w:w="1246" w:type="dxa"/>
            <w:tcBorders>
              <w:top w:val="nil"/>
              <w:left w:val="nil"/>
              <w:bottom w:val="single" w:sz="12" w:space="0" w:color="FF9E3C"/>
              <w:right w:val="single" w:sz="12" w:space="0" w:color="FF9E3C"/>
            </w:tcBorders>
            <w:shd w:val="clear" w:color="auto" w:fill="auto"/>
            <w:vAlign w:val="center"/>
            <w:hideMark/>
          </w:tcPr>
          <w:p w14:paraId="2DB06947"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47.1</w:t>
            </w:r>
          </w:p>
        </w:tc>
      </w:tr>
      <w:tr w:rsidR="00F61793" w:rsidRPr="00D302D0" w14:paraId="0B1B890B" w14:textId="77777777" w:rsidTr="00CE4647">
        <w:trPr>
          <w:trHeight w:val="330"/>
        </w:trPr>
        <w:tc>
          <w:tcPr>
            <w:tcW w:w="2337" w:type="dxa"/>
            <w:vMerge/>
            <w:tcBorders>
              <w:top w:val="nil"/>
              <w:left w:val="single" w:sz="12" w:space="0" w:color="FF9E3C"/>
              <w:bottom w:val="single" w:sz="12" w:space="0" w:color="FF9E3C"/>
              <w:right w:val="single" w:sz="12" w:space="0" w:color="FF9E3C"/>
            </w:tcBorders>
            <w:vAlign w:val="center"/>
            <w:hideMark/>
          </w:tcPr>
          <w:p w14:paraId="5E88C8F8" w14:textId="77777777" w:rsidR="00F61793" w:rsidRPr="00D302D0" w:rsidRDefault="00F61793"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4092B41A"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Female</w:t>
            </w:r>
          </w:p>
        </w:tc>
        <w:tc>
          <w:tcPr>
            <w:tcW w:w="1625" w:type="dxa"/>
            <w:tcBorders>
              <w:top w:val="nil"/>
              <w:left w:val="nil"/>
              <w:bottom w:val="single" w:sz="12" w:space="0" w:color="FF9E3C"/>
              <w:right w:val="single" w:sz="12" w:space="0" w:color="FF9E3C"/>
            </w:tcBorders>
            <w:shd w:val="clear" w:color="auto" w:fill="auto"/>
            <w:vAlign w:val="center"/>
            <w:hideMark/>
          </w:tcPr>
          <w:p w14:paraId="57141366"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48.9</w:t>
            </w:r>
          </w:p>
        </w:tc>
        <w:tc>
          <w:tcPr>
            <w:tcW w:w="1286" w:type="dxa"/>
            <w:tcBorders>
              <w:top w:val="nil"/>
              <w:left w:val="nil"/>
              <w:bottom w:val="single" w:sz="12" w:space="0" w:color="FF9E3C"/>
              <w:right w:val="single" w:sz="12" w:space="0" w:color="FF9E3C"/>
            </w:tcBorders>
            <w:shd w:val="clear" w:color="auto" w:fill="auto"/>
            <w:vAlign w:val="center"/>
            <w:hideMark/>
          </w:tcPr>
          <w:p w14:paraId="3839149C"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75.6</w:t>
            </w:r>
          </w:p>
        </w:tc>
        <w:tc>
          <w:tcPr>
            <w:tcW w:w="1246" w:type="dxa"/>
            <w:tcBorders>
              <w:top w:val="nil"/>
              <w:left w:val="nil"/>
              <w:bottom w:val="single" w:sz="12" w:space="0" w:color="FF9E3C"/>
              <w:right w:val="single" w:sz="12" w:space="0" w:color="FF9E3C"/>
            </w:tcBorders>
            <w:shd w:val="clear" w:color="auto" w:fill="auto"/>
            <w:vAlign w:val="center"/>
            <w:hideMark/>
          </w:tcPr>
          <w:p w14:paraId="00D87560"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52.9</w:t>
            </w:r>
          </w:p>
        </w:tc>
      </w:tr>
      <w:tr w:rsidR="00F61793" w:rsidRPr="00D302D0" w14:paraId="698F8D92" w14:textId="77777777" w:rsidTr="00CE4647">
        <w:trPr>
          <w:trHeight w:val="330"/>
        </w:trPr>
        <w:tc>
          <w:tcPr>
            <w:tcW w:w="233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3A652212" w14:textId="77777777" w:rsidR="00F61793" w:rsidRPr="00D302D0" w:rsidRDefault="00F61793" w:rsidP="00191866">
            <w:pPr>
              <w:tabs>
                <w:tab w:val="clear" w:pos="426"/>
              </w:tabs>
              <w:spacing w:before="0" w:after="0" w:line="240" w:lineRule="auto"/>
              <w:ind w:left="0" w:right="0"/>
              <w:rPr>
                <w:rFonts w:cs="Arial"/>
                <w:color w:val="000000"/>
                <w:sz w:val="18"/>
                <w:lang w:eastAsia="ja-JP"/>
              </w:rPr>
            </w:pPr>
            <w:r w:rsidRPr="000E7C36">
              <w:rPr>
                <w:rFonts w:cs="Arial"/>
                <w:color w:val="1C3158"/>
                <w:sz w:val="18"/>
                <w:lang w:eastAsia="ja-JP"/>
              </w:rPr>
              <w:t>Age</w:t>
            </w:r>
          </w:p>
        </w:tc>
        <w:tc>
          <w:tcPr>
            <w:tcW w:w="2011" w:type="dxa"/>
            <w:tcBorders>
              <w:top w:val="nil"/>
              <w:left w:val="nil"/>
              <w:bottom w:val="single" w:sz="12" w:space="0" w:color="FF9E3C"/>
              <w:right w:val="single" w:sz="12" w:space="0" w:color="FF9E3C"/>
            </w:tcBorders>
            <w:shd w:val="clear" w:color="auto" w:fill="auto"/>
            <w:vAlign w:val="center"/>
            <w:hideMark/>
          </w:tcPr>
          <w:p w14:paraId="54D8DEEC"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18-34 years</w:t>
            </w:r>
          </w:p>
        </w:tc>
        <w:tc>
          <w:tcPr>
            <w:tcW w:w="1625" w:type="dxa"/>
            <w:tcBorders>
              <w:top w:val="nil"/>
              <w:left w:val="nil"/>
              <w:bottom w:val="single" w:sz="12" w:space="0" w:color="FF9E3C"/>
              <w:right w:val="single" w:sz="12" w:space="0" w:color="FF9E3C"/>
            </w:tcBorders>
            <w:shd w:val="clear" w:color="auto" w:fill="auto"/>
            <w:vAlign w:val="center"/>
            <w:hideMark/>
          </w:tcPr>
          <w:p w14:paraId="1EECE5BE"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20.3</w:t>
            </w:r>
          </w:p>
        </w:tc>
        <w:tc>
          <w:tcPr>
            <w:tcW w:w="1286" w:type="dxa"/>
            <w:tcBorders>
              <w:top w:val="nil"/>
              <w:left w:val="nil"/>
              <w:bottom w:val="single" w:sz="12" w:space="0" w:color="FF9E3C"/>
              <w:right w:val="single" w:sz="12" w:space="0" w:color="FF9E3C"/>
            </w:tcBorders>
            <w:shd w:val="clear" w:color="auto" w:fill="auto"/>
            <w:vAlign w:val="center"/>
            <w:hideMark/>
          </w:tcPr>
          <w:p w14:paraId="013673FB"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18.8</w:t>
            </w:r>
          </w:p>
        </w:tc>
        <w:tc>
          <w:tcPr>
            <w:tcW w:w="1246" w:type="dxa"/>
            <w:tcBorders>
              <w:top w:val="nil"/>
              <w:left w:val="nil"/>
              <w:bottom w:val="single" w:sz="12" w:space="0" w:color="FF9E3C"/>
              <w:right w:val="single" w:sz="12" w:space="0" w:color="FF9E3C"/>
            </w:tcBorders>
            <w:shd w:val="clear" w:color="auto" w:fill="auto"/>
            <w:vAlign w:val="center"/>
            <w:hideMark/>
          </w:tcPr>
          <w:p w14:paraId="210C2260"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20.1</w:t>
            </w:r>
          </w:p>
        </w:tc>
      </w:tr>
      <w:tr w:rsidR="00F61793" w:rsidRPr="00D302D0" w14:paraId="047D8FBB" w14:textId="77777777" w:rsidTr="00CE4647">
        <w:trPr>
          <w:trHeight w:val="330"/>
        </w:trPr>
        <w:tc>
          <w:tcPr>
            <w:tcW w:w="2337" w:type="dxa"/>
            <w:vMerge/>
            <w:tcBorders>
              <w:top w:val="nil"/>
              <w:left w:val="single" w:sz="12" w:space="0" w:color="FF9E3C"/>
              <w:bottom w:val="single" w:sz="12" w:space="0" w:color="FF9E3C"/>
              <w:right w:val="single" w:sz="12" w:space="0" w:color="FF9E3C"/>
            </w:tcBorders>
            <w:vAlign w:val="center"/>
            <w:hideMark/>
          </w:tcPr>
          <w:p w14:paraId="4337176F" w14:textId="77777777" w:rsidR="00F61793" w:rsidRPr="00D302D0" w:rsidRDefault="00F61793" w:rsidP="00191866">
            <w:pPr>
              <w:tabs>
                <w:tab w:val="clear" w:pos="426"/>
              </w:tabs>
              <w:spacing w:before="0" w:after="0" w:line="240" w:lineRule="auto"/>
              <w:ind w:left="0" w:right="0"/>
              <w:rPr>
                <w:rFonts w:cs="Arial"/>
                <w:color w:val="000000"/>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338AC302"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35-54 years</w:t>
            </w:r>
          </w:p>
        </w:tc>
        <w:tc>
          <w:tcPr>
            <w:tcW w:w="1625" w:type="dxa"/>
            <w:tcBorders>
              <w:top w:val="nil"/>
              <w:left w:val="nil"/>
              <w:bottom w:val="single" w:sz="12" w:space="0" w:color="FF9E3C"/>
              <w:right w:val="single" w:sz="12" w:space="0" w:color="FF9E3C"/>
            </w:tcBorders>
            <w:shd w:val="clear" w:color="auto" w:fill="auto"/>
            <w:vAlign w:val="center"/>
            <w:hideMark/>
          </w:tcPr>
          <w:p w14:paraId="6D67FAB7"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43.8</w:t>
            </w:r>
          </w:p>
        </w:tc>
        <w:tc>
          <w:tcPr>
            <w:tcW w:w="1286" w:type="dxa"/>
            <w:tcBorders>
              <w:top w:val="nil"/>
              <w:left w:val="nil"/>
              <w:bottom w:val="single" w:sz="12" w:space="0" w:color="FF9E3C"/>
              <w:right w:val="single" w:sz="12" w:space="0" w:color="FF9E3C"/>
            </w:tcBorders>
            <w:shd w:val="clear" w:color="auto" w:fill="auto"/>
            <w:vAlign w:val="center"/>
            <w:hideMark/>
          </w:tcPr>
          <w:p w14:paraId="490A3A43"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47.9</w:t>
            </w:r>
          </w:p>
        </w:tc>
        <w:tc>
          <w:tcPr>
            <w:tcW w:w="1246" w:type="dxa"/>
            <w:tcBorders>
              <w:top w:val="nil"/>
              <w:left w:val="nil"/>
              <w:bottom w:val="single" w:sz="12" w:space="0" w:color="FF9E3C"/>
              <w:right w:val="single" w:sz="12" w:space="0" w:color="FF9E3C"/>
            </w:tcBorders>
            <w:shd w:val="clear" w:color="auto" w:fill="auto"/>
            <w:vAlign w:val="center"/>
            <w:hideMark/>
          </w:tcPr>
          <w:p w14:paraId="2869F8E1"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44.4</w:t>
            </w:r>
          </w:p>
        </w:tc>
      </w:tr>
      <w:tr w:rsidR="00F61793" w:rsidRPr="00D302D0" w14:paraId="4F144C4D" w14:textId="77777777" w:rsidTr="00CE4647">
        <w:trPr>
          <w:trHeight w:val="330"/>
        </w:trPr>
        <w:tc>
          <w:tcPr>
            <w:tcW w:w="2337" w:type="dxa"/>
            <w:vMerge/>
            <w:tcBorders>
              <w:top w:val="nil"/>
              <w:left w:val="single" w:sz="12" w:space="0" w:color="FF9E3C"/>
              <w:bottom w:val="single" w:sz="12" w:space="0" w:color="FF9E3C"/>
              <w:right w:val="single" w:sz="12" w:space="0" w:color="FF9E3C"/>
            </w:tcBorders>
            <w:vAlign w:val="center"/>
            <w:hideMark/>
          </w:tcPr>
          <w:p w14:paraId="5FFFB10E" w14:textId="77777777" w:rsidR="00F61793" w:rsidRPr="00D302D0" w:rsidRDefault="00F61793" w:rsidP="00191866">
            <w:pPr>
              <w:tabs>
                <w:tab w:val="clear" w:pos="426"/>
              </w:tabs>
              <w:spacing w:before="0" w:after="0" w:line="240" w:lineRule="auto"/>
              <w:ind w:left="0" w:right="0"/>
              <w:rPr>
                <w:rFonts w:cs="Arial"/>
                <w:color w:val="000000"/>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6F3841CC"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55+ years</w:t>
            </w:r>
          </w:p>
        </w:tc>
        <w:tc>
          <w:tcPr>
            <w:tcW w:w="1625" w:type="dxa"/>
            <w:tcBorders>
              <w:top w:val="nil"/>
              <w:left w:val="nil"/>
              <w:bottom w:val="single" w:sz="12" w:space="0" w:color="FF9E3C"/>
              <w:right w:val="single" w:sz="12" w:space="0" w:color="FF9E3C"/>
            </w:tcBorders>
            <w:shd w:val="clear" w:color="auto" w:fill="auto"/>
            <w:vAlign w:val="center"/>
            <w:hideMark/>
          </w:tcPr>
          <w:p w14:paraId="5C411589"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35.9</w:t>
            </w:r>
          </w:p>
        </w:tc>
        <w:tc>
          <w:tcPr>
            <w:tcW w:w="1286" w:type="dxa"/>
            <w:tcBorders>
              <w:top w:val="nil"/>
              <w:left w:val="nil"/>
              <w:bottom w:val="single" w:sz="12" w:space="0" w:color="FF9E3C"/>
              <w:right w:val="single" w:sz="12" w:space="0" w:color="FF9E3C"/>
            </w:tcBorders>
            <w:shd w:val="clear" w:color="auto" w:fill="auto"/>
            <w:vAlign w:val="center"/>
            <w:hideMark/>
          </w:tcPr>
          <w:p w14:paraId="47E40E4C"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33.3</w:t>
            </w:r>
          </w:p>
        </w:tc>
        <w:tc>
          <w:tcPr>
            <w:tcW w:w="1246" w:type="dxa"/>
            <w:tcBorders>
              <w:top w:val="nil"/>
              <w:left w:val="nil"/>
              <w:bottom w:val="single" w:sz="12" w:space="0" w:color="FF9E3C"/>
              <w:right w:val="single" w:sz="12" w:space="0" w:color="FF9E3C"/>
            </w:tcBorders>
            <w:shd w:val="clear" w:color="auto" w:fill="auto"/>
            <w:vAlign w:val="center"/>
            <w:hideMark/>
          </w:tcPr>
          <w:p w14:paraId="1305582C"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35.5</w:t>
            </w:r>
          </w:p>
        </w:tc>
      </w:tr>
      <w:tr w:rsidR="00F61793" w:rsidRPr="00D302D0" w14:paraId="2B7C10FF" w14:textId="77777777" w:rsidTr="00CE4647">
        <w:trPr>
          <w:trHeight w:val="330"/>
        </w:trPr>
        <w:tc>
          <w:tcPr>
            <w:tcW w:w="2337" w:type="dxa"/>
            <w:vMerge/>
            <w:tcBorders>
              <w:top w:val="nil"/>
              <w:left w:val="single" w:sz="12" w:space="0" w:color="FF9E3C"/>
              <w:bottom w:val="single" w:sz="12" w:space="0" w:color="FF9E3C"/>
              <w:right w:val="single" w:sz="12" w:space="0" w:color="FF9E3C"/>
            </w:tcBorders>
            <w:vAlign w:val="center"/>
            <w:hideMark/>
          </w:tcPr>
          <w:p w14:paraId="58C00847" w14:textId="77777777" w:rsidR="00F61793" w:rsidRPr="00D302D0" w:rsidRDefault="00F61793" w:rsidP="00191866">
            <w:pPr>
              <w:tabs>
                <w:tab w:val="clear" w:pos="426"/>
              </w:tabs>
              <w:spacing w:before="0" w:after="0" w:line="240" w:lineRule="auto"/>
              <w:ind w:left="0" w:right="0"/>
              <w:rPr>
                <w:rFonts w:cs="Arial"/>
                <w:color w:val="000000"/>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5A0A719F"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 xml:space="preserve">Mean </w:t>
            </w:r>
            <w:r>
              <w:rPr>
                <w:rFonts w:cs="Arial"/>
                <w:color w:val="1C3158"/>
                <w:sz w:val="18"/>
                <w:lang w:eastAsia="ja-JP"/>
              </w:rPr>
              <w:t>(SD)</w:t>
            </w:r>
          </w:p>
        </w:tc>
        <w:tc>
          <w:tcPr>
            <w:tcW w:w="1625" w:type="dxa"/>
            <w:tcBorders>
              <w:top w:val="nil"/>
              <w:left w:val="nil"/>
              <w:bottom w:val="single" w:sz="12" w:space="0" w:color="FF9E3C"/>
              <w:right w:val="single" w:sz="12" w:space="0" w:color="FF9E3C"/>
            </w:tcBorders>
            <w:shd w:val="clear" w:color="auto" w:fill="auto"/>
            <w:vAlign w:val="center"/>
            <w:hideMark/>
          </w:tcPr>
          <w:p w14:paraId="5DB5B4D4"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47.77</w:t>
            </w:r>
            <w:r>
              <w:rPr>
                <w:rFonts w:cs="Arial"/>
                <w:color w:val="1C3158"/>
                <w:sz w:val="18"/>
              </w:rPr>
              <w:br/>
              <w:t>(SD = 15.22)</w:t>
            </w:r>
          </w:p>
        </w:tc>
        <w:tc>
          <w:tcPr>
            <w:tcW w:w="1286" w:type="dxa"/>
            <w:tcBorders>
              <w:top w:val="nil"/>
              <w:left w:val="nil"/>
              <w:bottom w:val="single" w:sz="12" w:space="0" w:color="FF9E3C"/>
              <w:right w:val="single" w:sz="12" w:space="0" w:color="FF9E3C"/>
            </w:tcBorders>
            <w:shd w:val="clear" w:color="auto" w:fill="auto"/>
            <w:vAlign w:val="center"/>
            <w:hideMark/>
          </w:tcPr>
          <w:p w14:paraId="1EE72194"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47.85</w:t>
            </w:r>
            <w:r>
              <w:rPr>
                <w:rFonts w:cs="Arial"/>
                <w:color w:val="1C3158"/>
                <w:sz w:val="18"/>
              </w:rPr>
              <w:br/>
              <w:t>(SD = 12.90)</w:t>
            </w:r>
          </w:p>
        </w:tc>
        <w:tc>
          <w:tcPr>
            <w:tcW w:w="1246" w:type="dxa"/>
            <w:tcBorders>
              <w:top w:val="nil"/>
              <w:left w:val="nil"/>
              <w:bottom w:val="single" w:sz="12" w:space="0" w:color="FF9E3C"/>
              <w:right w:val="single" w:sz="12" w:space="0" w:color="FF9E3C"/>
            </w:tcBorders>
            <w:shd w:val="clear" w:color="auto" w:fill="auto"/>
            <w:vAlign w:val="center"/>
            <w:hideMark/>
          </w:tcPr>
          <w:p w14:paraId="23FFE835"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47.78</w:t>
            </w:r>
            <w:r>
              <w:rPr>
                <w:rFonts w:cs="Arial"/>
                <w:color w:val="1C3158"/>
                <w:sz w:val="18"/>
              </w:rPr>
              <w:br/>
              <w:t>(SD = 14.84)</w:t>
            </w:r>
          </w:p>
        </w:tc>
      </w:tr>
      <w:tr w:rsidR="00CE4647" w:rsidRPr="00D302D0" w14:paraId="4FA76144" w14:textId="77777777" w:rsidTr="00F152C7">
        <w:trPr>
          <w:trHeight w:val="330"/>
        </w:trPr>
        <w:tc>
          <w:tcPr>
            <w:tcW w:w="2337" w:type="dxa"/>
            <w:vMerge w:val="restart"/>
            <w:tcBorders>
              <w:top w:val="nil"/>
              <w:left w:val="single" w:sz="12" w:space="0" w:color="FF9E3C"/>
              <w:right w:val="single" w:sz="12" w:space="0" w:color="FF9E3C"/>
            </w:tcBorders>
            <w:shd w:val="clear" w:color="auto" w:fill="auto"/>
            <w:vAlign w:val="center"/>
            <w:hideMark/>
          </w:tcPr>
          <w:p w14:paraId="51A4D503" w14:textId="77777777" w:rsidR="00CE4647" w:rsidRPr="00D302D0" w:rsidRDefault="00CE4647"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Cultural Background</w:t>
            </w:r>
          </w:p>
        </w:tc>
        <w:tc>
          <w:tcPr>
            <w:tcW w:w="2011" w:type="dxa"/>
            <w:tcBorders>
              <w:top w:val="nil"/>
              <w:left w:val="nil"/>
              <w:bottom w:val="single" w:sz="12" w:space="0" w:color="FF9E3C"/>
              <w:right w:val="single" w:sz="12" w:space="0" w:color="FF9E3C"/>
            </w:tcBorders>
            <w:shd w:val="clear" w:color="auto" w:fill="auto"/>
            <w:vAlign w:val="center"/>
            <w:hideMark/>
          </w:tcPr>
          <w:p w14:paraId="3B8CADC8" w14:textId="77777777" w:rsidR="00CE4647" w:rsidRPr="00D302D0" w:rsidRDefault="00CE4647"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European</w:t>
            </w:r>
          </w:p>
        </w:tc>
        <w:tc>
          <w:tcPr>
            <w:tcW w:w="1625" w:type="dxa"/>
            <w:tcBorders>
              <w:top w:val="nil"/>
              <w:left w:val="nil"/>
              <w:bottom w:val="single" w:sz="12" w:space="0" w:color="FF9E3C"/>
              <w:right w:val="single" w:sz="12" w:space="0" w:color="FF9E3C"/>
            </w:tcBorders>
            <w:shd w:val="clear" w:color="auto" w:fill="auto"/>
            <w:vAlign w:val="center"/>
            <w:hideMark/>
          </w:tcPr>
          <w:p w14:paraId="1EF39565" w14:textId="77777777"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77.2</w:t>
            </w:r>
          </w:p>
        </w:tc>
        <w:tc>
          <w:tcPr>
            <w:tcW w:w="1286" w:type="dxa"/>
            <w:tcBorders>
              <w:top w:val="nil"/>
              <w:left w:val="nil"/>
              <w:bottom w:val="single" w:sz="12" w:space="0" w:color="FF9E3C"/>
              <w:right w:val="single" w:sz="12" w:space="0" w:color="FF9E3C"/>
            </w:tcBorders>
            <w:shd w:val="clear" w:color="auto" w:fill="auto"/>
            <w:vAlign w:val="center"/>
            <w:hideMark/>
          </w:tcPr>
          <w:p w14:paraId="01B6FEF7" w14:textId="29938E17"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56.3</w:t>
            </w:r>
          </w:p>
        </w:tc>
        <w:tc>
          <w:tcPr>
            <w:tcW w:w="1246" w:type="dxa"/>
            <w:tcBorders>
              <w:top w:val="nil"/>
              <w:left w:val="nil"/>
              <w:bottom w:val="single" w:sz="12" w:space="0" w:color="FF9E3C"/>
              <w:right w:val="single" w:sz="12" w:space="0" w:color="FF9E3C"/>
            </w:tcBorders>
            <w:shd w:val="clear" w:color="auto" w:fill="auto"/>
            <w:vAlign w:val="center"/>
            <w:hideMark/>
          </w:tcPr>
          <w:p w14:paraId="645FF0D7" w14:textId="77777777"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74.0</w:t>
            </w:r>
          </w:p>
        </w:tc>
      </w:tr>
      <w:tr w:rsidR="00CE4647" w:rsidRPr="00D302D0" w14:paraId="3DFB15B8" w14:textId="77777777" w:rsidTr="00F152C7">
        <w:trPr>
          <w:trHeight w:val="330"/>
        </w:trPr>
        <w:tc>
          <w:tcPr>
            <w:tcW w:w="2337" w:type="dxa"/>
            <w:vMerge/>
            <w:tcBorders>
              <w:left w:val="single" w:sz="12" w:space="0" w:color="FF9E3C"/>
              <w:right w:val="single" w:sz="12" w:space="0" w:color="FF9E3C"/>
            </w:tcBorders>
            <w:vAlign w:val="center"/>
            <w:hideMark/>
          </w:tcPr>
          <w:p w14:paraId="634B5387" w14:textId="77777777" w:rsidR="00CE4647" w:rsidRPr="00D302D0" w:rsidRDefault="00CE4647"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5BD05C79" w14:textId="0C0BFEE6" w:rsidR="00CE4647" w:rsidRPr="00D302D0" w:rsidRDefault="00CE4647"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Māori</w:t>
            </w:r>
          </w:p>
        </w:tc>
        <w:tc>
          <w:tcPr>
            <w:tcW w:w="1625" w:type="dxa"/>
            <w:tcBorders>
              <w:top w:val="nil"/>
              <w:left w:val="nil"/>
              <w:bottom w:val="single" w:sz="12" w:space="0" w:color="FF9E3C"/>
              <w:right w:val="single" w:sz="12" w:space="0" w:color="FF9E3C"/>
            </w:tcBorders>
            <w:shd w:val="clear" w:color="auto" w:fill="auto"/>
            <w:vAlign w:val="center"/>
            <w:hideMark/>
          </w:tcPr>
          <w:p w14:paraId="63788684" w14:textId="16858246"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10.5</w:t>
            </w:r>
          </w:p>
        </w:tc>
        <w:tc>
          <w:tcPr>
            <w:tcW w:w="1286" w:type="dxa"/>
            <w:tcBorders>
              <w:top w:val="nil"/>
              <w:left w:val="nil"/>
              <w:bottom w:val="single" w:sz="12" w:space="0" w:color="FF9E3C"/>
              <w:right w:val="single" w:sz="12" w:space="0" w:color="FF9E3C"/>
            </w:tcBorders>
            <w:shd w:val="clear" w:color="auto" w:fill="auto"/>
            <w:vAlign w:val="center"/>
            <w:hideMark/>
          </w:tcPr>
          <w:p w14:paraId="21CD59C3" w14:textId="2640F425" w:rsidR="00CE4647" w:rsidRPr="00D302D0" w:rsidRDefault="00CE4647" w:rsidP="00CE4647">
            <w:pPr>
              <w:tabs>
                <w:tab w:val="clear" w:pos="426"/>
              </w:tabs>
              <w:spacing w:before="0" w:after="0" w:line="240" w:lineRule="auto"/>
              <w:ind w:left="0" w:right="0"/>
              <w:jc w:val="center"/>
              <w:rPr>
                <w:rFonts w:cs="Arial"/>
                <w:color w:val="1C3158"/>
                <w:sz w:val="18"/>
                <w:lang w:eastAsia="ja-JP"/>
              </w:rPr>
            </w:pPr>
            <w:r>
              <w:rPr>
                <w:rFonts w:cs="Arial"/>
                <w:color w:val="1C3158"/>
                <w:sz w:val="18"/>
              </w:rPr>
              <w:t>22.9</w:t>
            </w:r>
          </w:p>
        </w:tc>
        <w:tc>
          <w:tcPr>
            <w:tcW w:w="1246" w:type="dxa"/>
            <w:tcBorders>
              <w:top w:val="nil"/>
              <w:left w:val="nil"/>
              <w:bottom w:val="single" w:sz="12" w:space="0" w:color="FF9E3C"/>
              <w:right w:val="single" w:sz="12" w:space="0" w:color="FF9E3C"/>
            </w:tcBorders>
            <w:shd w:val="clear" w:color="auto" w:fill="auto"/>
            <w:vAlign w:val="center"/>
            <w:hideMark/>
          </w:tcPr>
          <w:p w14:paraId="5DF93F37" w14:textId="77777777"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13.1</w:t>
            </w:r>
          </w:p>
        </w:tc>
      </w:tr>
      <w:tr w:rsidR="00CE4647" w:rsidRPr="00D302D0" w14:paraId="66539E47" w14:textId="77777777" w:rsidTr="00F152C7">
        <w:trPr>
          <w:trHeight w:val="330"/>
        </w:trPr>
        <w:tc>
          <w:tcPr>
            <w:tcW w:w="2337" w:type="dxa"/>
            <w:vMerge/>
            <w:tcBorders>
              <w:left w:val="single" w:sz="12" w:space="0" w:color="FF9E3C"/>
              <w:right w:val="single" w:sz="12" w:space="0" w:color="FF9E3C"/>
            </w:tcBorders>
            <w:vAlign w:val="center"/>
            <w:hideMark/>
          </w:tcPr>
          <w:p w14:paraId="647D0D88" w14:textId="77777777" w:rsidR="00CE4647" w:rsidRPr="00D302D0" w:rsidRDefault="00CE4647"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2C7D0482" w14:textId="7C72F04B" w:rsidR="00CE4647" w:rsidRPr="00D302D0" w:rsidRDefault="00CE4647"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Samoan</w:t>
            </w:r>
          </w:p>
        </w:tc>
        <w:tc>
          <w:tcPr>
            <w:tcW w:w="1625" w:type="dxa"/>
            <w:tcBorders>
              <w:top w:val="nil"/>
              <w:left w:val="nil"/>
              <w:bottom w:val="single" w:sz="12" w:space="0" w:color="FF9E3C"/>
              <w:right w:val="single" w:sz="12" w:space="0" w:color="FF9E3C"/>
            </w:tcBorders>
            <w:shd w:val="clear" w:color="auto" w:fill="auto"/>
            <w:vAlign w:val="center"/>
            <w:hideMark/>
          </w:tcPr>
          <w:p w14:paraId="5322AA7E" w14:textId="217218FD"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1.1</w:t>
            </w:r>
          </w:p>
        </w:tc>
        <w:tc>
          <w:tcPr>
            <w:tcW w:w="1286" w:type="dxa"/>
            <w:tcBorders>
              <w:top w:val="nil"/>
              <w:left w:val="nil"/>
              <w:bottom w:val="single" w:sz="12" w:space="0" w:color="FF9E3C"/>
              <w:right w:val="single" w:sz="12" w:space="0" w:color="FF9E3C"/>
            </w:tcBorders>
            <w:shd w:val="clear" w:color="auto" w:fill="auto"/>
            <w:vAlign w:val="center"/>
            <w:hideMark/>
          </w:tcPr>
          <w:p w14:paraId="73F3979C" w14:textId="3360F26B"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8.3</w:t>
            </w:r>
          </w:p>
        </w:tc>
        <w:tc>
          <w:tcPr>
            <w:tcW w:w="1246" w:type="dxa"/>
            <w:tcBorders>
              <w:top w:val="nil"/>
              <w:left w:val="nil"/>
              <w:bottom w:val="single" w:sz="12" w:space="0" w:color="FF9E3C"/>
              <w:right w:val="single" w:sz="12" w:space="0" w:color="FF9E3C"/>
            </w:tcBorders>
            <w:shd w:val="clear" w:color="auto" w:fill="auto"/>
            <w:vAlign w:val="center"/>
            <w:hideMark/>
          </w:tcPr>
          <w:p w14:paraId="630C34D4" w14:textId="77777777"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3.0</w:t>
            </w:r>
          </w:p>
        </w:tc>
      </w:tr>
      <w:tr w:rsidR="00CE4647" w:rsidRPr="00D302D0" w14:paraId="7BBE7829" w14:textId="77777777" w:rsidTr="00F152C7">
        <w:trPr>
          <w:trHeight w:val="330"/>
        </w:trPr>
        <w:tc>
          <w:tcPr>
            <w:tcW w:w="2337" w:type="dxa"/>
            <w:vMerge/>
            <w:tcBorders>
              <w:left w:val="single" w:sz="12" w:space="0" w:color="FF9E3C"/>
              <w:right w:val="single" w:sz="12" w:space="0" w:color="FF9E3C"/>
            </w:tcBorders>
            <w:vAlign w:val="center"/>
            <w:hideMark/>
          </w:tcPr>
          <w:p w14:paraId="30EBEDE6" w14:textId="77777777" w:rsidR="00CE4647" w:rsidRPr="00D302D0" w:rsidRDefault="00CE4647"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66125DCE" w14:textId="58619D7D" w:rsidR="00CE4647" w:rsidRPr="00D302D0" w:rsidRDefault="00CE4647"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 xml:space="preserve">Cook Islands </w:t>
            </w:r>
            <w:r w:rsidRPr="00CE4647">
              <w:rPr>
                <w:rFonts w:cs="Arial"/>
                <w:color w:val="1C3158"/>
                <w:sz w:val="18"/>
                <w:lang w:eastAsia="ja-JP"/>
              </w:rPr>
              <w:t>Māori</w:t>
            </w:r>
            <w:r>
              <w:rPr>
                <w:rFonts w:cs="Arial"/>
                <w:color w:val="1C3158"/>
                <w:sz w:val="18"/>
                <w:lang w:eastAsia="ja-JP"/>
              </w:rPr>
              <w:t xml:space="preserve"> </w:t>
            </w:r>
          </w:p>
        </w:tc>
        <w:tc>
          <w:tcPr>
            <w:tcW w:w="1625" w:type="dxa"/>
            <w:tcBorders>
              <w:top w:val="nil"/>
              <w:left w:val="nil"/>
              <w:bottom w:val="single" w:sz="12" w:space="0" w:color="FF9E3C"/>
              <w:right w:val="single" w:sz="12" w:space="0" w:color="FF9E3C"/>
            </w:tcBorders>
            <w:shd w:val="clear" w:color="auto" w:fill="auto"/>
            <w:vAlign w:val="center"/>
            <w:hideMark/>
          </w:tcPr>
          <w:p w14:paraId="69A58C16" w14:textId="6AF91082"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0.7</w:t>
            </w:r>
          </w:p>
        </w:tc>
        <w:tc>
          <w:tcPr>
            <w:tcW w:w="1286" w:type="dxa"/>
            <w:tcBorders>
              <w:top w:val="nil"/>
              <w:left w:val="nil"/>
              <w:bottom w:val="single" w:sz="12" w:space="0" w:color="FF9E3C"/>
              <w:right w:val="single" w:sz="12" w:space="0" w:color="FF9E3C"/>
            </w:tcBorders>
            <w:shd w:val="clear" w:color="auto" w:fill="auto"/>
            <w:vAlign w:val="center"/>
            <w:hideMark/>
          </w:tcPr>
          <w:p w14:paraId="0EFC298C" w14:textId="33AA0E6E"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0.0</w:t>
            </w:r>
          </w:p>
        </w:tc>
        <w:tc>
          <w:tcPr>
            <w:tcW w:w="1246" w:type="dxa"/>
            <w:tcBorders>
              <w:top w:val="nil"/>
              <w:left w:val="nil"/>
              <w:bottom w:val="single" w:sz="12" w:space="0" w:color="FF9E3C"/>
              <w:right w:val="single" w:sz="12" w:space="0" w:color="FF9E3C"/>
            </w:tcBorders>
            <w:shd w:val="clear" w:color="auto" w:fill="auto"/>
            <w:vAlign w:val="center"/>
            <w:hideMark/>
          </w:tcPr>
          <w:p w14:paraId="7AD29581" w14:textId="77777777" w:rsidR="00CE4647" w:rsidRPr="00D302D0" w:rsidRDefault="00CE4647"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8.2</w:t>
            </w:r>
          </w:p>
        </w:tc>
      </w:tr>
      <w:tr w:rsidR="00CE4647" w:rsidRPr="00D302D0" w14:paraId="54DD3B90" w14:textId="77777777" w:rsidTr="00F152C7">
        <w:trPr>
          <w:trHeight w:val="330"/>
        </w:trPr>
        <w:tc>
          <w:tcPr>
            <w:tcW w:w="2337" w:type="dxa"/>
            <w:vMerge/>
            <w:tcBorders>
              <w:left w:val="single" w:sz="12" w:space="0" w:color="FF9E3C"/>
              <w:right w:val="single" w:sz="12" w:space="0" w:color="FF9E3C"/>
            </w:tcBorders>
            <w:vAlign w:val="center"/>
          </w:tcPr>
          <w:p w14:paraId="0EE497FB" w14:textId="77777777" w:rsidR="00CE4647" w:rsidRPr="00D302D0" w:rsidRDefault="00CE4647"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tcPr>
          <w:p w14:paraId="72A71F71" w14:textId="3D1B5BDB" w:rsidR="00CE4647" w:rsidRPr="00D302D0" w:rsidRDefault="00CE4647"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Tongan</w:t>
            </w:r>
          </w:p>
        </w:tc>
        <w:tc>
          <w:tcPr>
            <w:tcW w:w="1625" w:type="dxa"/>
            <w:tcBorders>
              <w:top w:val="nil"/>
              <w:left w:val="nil"/>
              <w:bottom w:val="single" w:sz="12" w:space="0" w:color="FF9E3C"/>
              <w:right w:val="single" w:sz="12" w:space="0" w:color="FF9E3C"/>
            </w:tcBorders>
            <w:shd w:val="clear" w:color="auto" w:fill="auto"/>
            <w:vAlign w:val="center"/>
          </w:tcPr>
          <w:p w14:paraId="106E3926" w14:textId="6FFB3326"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0.7</w:t>
            </w:r>
          </w:p>
        </w:tc>
        <w:tc>
          <w:tcPr>
            <w:tcW w:w="1286" w:type="dxa"/>
            <w:tcBorders>
              <w:top w:val="nil"/>
              <w:left w:val="nil"/>
              <w:bottom w:val="single" w:sz="12" w:space="0" w:color="FF9E3C"/>
              <w:right w:val="single" w:sz="12" w:space="0" w:color="FF9E3C"/>
            </w:tcBorders>
            <w:shd w:val="clear" w:color="auto" w:fill="auto"/>
            <w:vAlign w:val="center"/>
          </w:tcPr>
          <w:p w14:paraId="6F932D76" w14:textId="1DF8704C"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2.1</w:t>
            </w:r>
          </w:p>
        </w:tc>
        <w:tc>
          <w:tcPr>
            <w:tcW w:w="1246" w:type="dxa"/>
            <w:tcBorders>
              <w:top w:val="nil"/>
              <w:left w:val="nil"/>
              <w:bottom w:val="single" w:sz="12" w:space="0" w:color="FF9E3C"/>
              <w:right w:val="single" w:sz="12" w:space="0" w:color="FF9E3C"/>
            </w:tcBorders>
            <w:shd w:val="clear" w:color="auto" w:fill="auto"/>
            <w:vAlign w:val="center"/>
          </w:tcPr>
          <w:p w14:paraId="7C43ECB8" w14:textId="4F0FD5BB" w:rsidR="00CE4647" w:rsidRDefault="0089635E" w:rsidP="00191866">
            <w:pPr>
              <w:tabs>
                <w:tab w:val="clear" w:pos="426"/>
              </w:tabs>
              <w:spacing w:before="0" w:after="0" w:line="240" w:lineRule="auto"/>
              <w:ind w:left="0" w:right="0"/>
              <w:jc w:val="center"/>
              <w:rPr>
                <w:rFonts w:cs="Arial"/>
                <w:color w:val="1C3158"/>
                <w:sz w:val="18"/>
              </w:rPr>
            </w:pPr>
            <w:r>
              <w:rPr>
                <w:rFonts w:cs="Arial"/>
                <w:color w:val="1C3158"/>
                <w:sz w:val="18"/>
              </w:rPr>
              <w:t>0.6</w:t>
            </w:r>
          </w:p>
        </w:tc>
      </w:tr>
      <w:tr w:rsidR="00CE4647" w:rsidRPr="00D302D0" w14:paraId="6FE82699" w14:textId="77777777" w:rsidTr="00F152C7">
        <w:trPr>
          <w:trHeight w:val="330"/>
        </w:trPr>
        <w:tc>
          <w:tcPr>
            <w:tcW w:w="2337" w:type="dxa"/>
            <w:vMerge/>
            <w:tcBorders>
              <w:left w:val="single" w:sz="12" w:space="0" w:color="FF9E3C"/>
              <w:right w:val="single" w:sz="12" w:space="0" w:color="FF9E3C"/>
            </w:tcBorders>
            <w:vAlign w:val="center"/>
          </w:tcPr>
          <w:p w14:paraId="2E389B2B" w14:textId="77777777" w:rsidR="00CE4647" w:rsidRPr="00D302D0" w:rsidRDefault="00CE4647"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tcPr>
          <w:p w14:paraId="4CA57D8A" w14:textId="5D9FB00E" w:rsidR="00CE4647" w:rsidRPr="00D302D0" w:rsidRDefault="00CE4647"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Niuean</w:t>
            </w:r>
          </w:p>
        </w:tc>
        <w:tc>
          <w:tcPr>
            <w:tcW w:w="1625" w:type="dxa"/>
            <w:tcBorders>
              <w:top w:val="nil"/>
              <w:left w:val="nil"/>
              <w:bottom w:val="single" w:sz="12" w:space="0" w:color="FF9E3C"/>
              <w:right w:val="single" w:sz="12" w:space="0" w:color="FF9E3C"/>
            </w:tcBorders>
            <w:shd w:val="clear" w:color="auto" w:fill="auto"/>
            <w:vAlign w:val="center"/>
          </w:tcPr>
          <w:p w14:paraId="03CDE476" w14:textId="12E6369D"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0.4</w:t>
            </w:r>
          </w:p>
        </w:tc>
        <w:tc>
          <w:tcPr>
            <w:tcW w:w="1286" w:type="dxa"/>
            <w:tcBorders>
              <w:top w:val="nil"/>
              <w:left w:val="nil"/>
              <w:bottom w:val="single" w:sz="12" w:space="0" w:color="FF9E3C"/>
              <w:right w:val="single" w:sz="12" w:space="0" w:color="FF9E3C"/>
            </w:tcBorders>
            <w:shd w:val="clear" w:color="auto" w:fill="auto"/>
            <w:vAlign w:val="center"/>
          </w:tcPr>
          <w:p w14:paraId="0CC247BB" w14:textId="5EF8E162"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0.0</w:t>
            </w:r>
          </w:p>
        </w:tc>
        <w:tc>
          <w:tcPr>
            <w:tcW w:w="1246" w:type="dxa"/>
            <w:tcBorders>
              <w:top w:val="nil"/>
              <w:left w:val="nil"/>
              <w:bottom w:val="single" w:sz="12" w:space="0" w:color="FF9E3C"/>
              <w:right w:val="single" w:sz="12" w:space="0" w:color="FF9E3C"/>
            </w:tcBorders>
            <w:shd w:val="clear" w:color="auto" w:fill="auto"/>
            <w:vAlign w:val="center"/>
          </w:tcPr>
          <w:p w14:paraId="144681A4" w14:textId="2D873875" w:rsidR="00CE4647" w:rsidRDefault="0089635E" w:rsidP="00191866">
            <w:pPr>
              <w:tabs>
                <w:tab w:val="clear" w:pos="426"/>
              </w:tabs>
              <w:spacing w:before="0" w:after="0" w:line="240" w:lineRule="auto"/>
              <w:ind w:left="0" w:right="0"/>
              <w:jc w:val="center"/>
              <w:rPr>
                <w:rFonts w:cs="Arial"/>
                <w:color w:val="1C3158"/>
                <w:sz w:val="18"/>
              </w:rPr>
            </w:pPr>
            <w:r>
              <w:rPr>
                <w:rFonts w:cs="Arial"/>
                <w:color w:val="1C3158"/>
                <w:sz w:val="18"/>
              </w:rPr>
              <w:t>2.5</w:t>
            </w:r>
          </w:p>
        </w:tc>
      </w:tr>
      <w:tr w:rsidR="00CE4647" w:rsidRPr="00D302D0" w14:paraId="66362091" w14:textId="77777777" w:rsidTr="00F152C7">
        <w:trPr>
          <w:trHeight w:val="330"/>
        </w:trPr>
        <w:tc>
          <w:tcPr>
            <w:tcW w:w="2337" w:type="dxa"/>
            <w:vMerge/>
            <w:tcBorders>
              <w:left w:val="single" w:sz="12" w:space="0" w:color="FF9E3C"/>
              <w:right w:val="single" w:sz="12" w:space="0" w:color="FF9E3C"/>
            </w:tcBorders>
            <w:vAlign w:val="center"/>
          </w:tcPr>
          <w:p w14:paraId="72D172DD" w14:textId="77777777" w:rsidR="00CE4647" w:rsidRPr="00D302D0" w:rsidRDefault="00CE4647"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tcPr>
          <w:p w14:paraId="68306BF0" w14:textId="5231FE93" w:rsidR="00CE4647" w:rsidRPr="00D302D0" w:rsidRDefault="00CE4647"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Chinese</w:t>
            </w:r>
          </w:p>
        </w:tc>
        <w:tc>
          <w:tcPr>
            <w:tcW w:w="1625" w:type="dxa"/>
            <w:tcBorders>
              <w:top w:val="nil"/>
              <w:left w:val="nil"/>
              <w:bottom w:val="single" w:sz="12" w:space="0" w:color="FF9E3C"/>
              <w:right w:val="single" w:sz="12" w:space="0" w:color="FF9E3C"/>
            </w:tcBorders>
            <w:shd w:val="clear" w:color="auto" w:fill="auto"/>
            <w:vAlign w:val="center"/>
          </w:tcPr>
          <w:p w14:paraId="24A9C682" w14:textId="24C9D79D"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4.3</w:t>
            </w:r>
          </w:p>
        </w:tc>
        <w:tc>
          <w:tcPr>
            <w:tcW w:w="1286" w:type="dxa"/>
            <w:tcBorders>
              <w:top w:val="nil"/>
              <w:left w:val="nil"/>
              <w:bottom w:val="single" w:sz="12" w:space="0" w:color="FF9E3C"/>
              <w:right w:val="single" w:sz="12" w:space="0" w:color="FF9E3C"/>
            </w:tcBorders>
            <w:shd w:val="clear" w:color="auto" w:fill="auto"/>
            <w:vAlign w:val="center"/>
          </w:tcPr>
          <w:p w14:paraId="2031276B" w14:textId="0CEB5B46"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6.3</w:t>
            </w:r>
          </w:p>
        </w:tc>
        <w:tc>
          <w:tcPr>
            <w:tcW w:w="1246" w:type="dxa"/>
            <w:tcBorders>
              <w:top w:val="nil"/>
              <w:left w:val="nil"/>
              <w:bottom w:val="single" w:sz="12" w:space="0" w:color="FF9E3C"/>
              <w:right w:val="single" w:sz="12" w:space="0" w:color="FF9E3C"/>
            </w:tcBorders>
            <w:shd w:val="clear" w:color="auto" w:fill="auto"/>
            <w:vAlign w:val="center"/>
          </w:tcPr>
          <w:p w14:paraId="18C20492" w14:textId="378DABF5" w:rsidR="00CE4647" w:rsidRDefault="0089635E" w:rsidP="00191866">
            <w:pPr>
              <w:tabs>
                <w:tab w:val="clear" w:pos="426"/>
              </w:tabs>
              <w:spacing w:before="0" w:after="0" w:line="240" w:lineRule="auto"/>
              <w:ind w:left="0" w:right="0"/>
              <w:jc w:val="center"/>
              <w:rPr>
                <w:rFonts w:cs="Arial"/>
                <w:color w:val="1C3158"/>
                <w:sz w:val="18"/>
              </w:rPr>
            </w:pPr>
            <w:r>
              <w:rPr>
                <w:rFonts w:cs="Arial"/>
                <w:color w:val="1C3158"/>
                <w:sz w:val="18"/>
              </w:rPr>
              <w:t>4.3</w:t>
            </w:r>
          </w:p>
        </w:tc>
      </w:tr>
      <w:tr w:rsidR="00CE4647" w:rsidRPr="00D302D0" w14:paraId="4E918B5D" w14:textId="77777777" w:rsidTr="00F152C7">
        <w:trPr>
          <w:trHeight w:val="330"/>
        </w:trPr>
        <w:tc>
          <w:tcPr>
            <w:tcW w:w="2337" w:type="dxa"/>
            <w:vMerge/>
            <w:tcBorders>
              <w:left w:val="single" w:sz="12" w:space="0" w:color="FF9E3C"/>
              <w:right w:val="single" w:sz="12" w:space="0" w:color="FF9E3C"/>
            </w:tcBorders>
            <w:vAlign w:val="center"/>
          </w:tcPr>
          <w:p w14:paraId="7F9E0EB7" w14:textId="77777777" w:rsidR="00CE4647" w:rsidRPr="00D302D0" w:rsidRDefault="00CE4647"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tcPr>
          <w:p w14:paraId="6DA7708C" w14:textId="6300200C" w:rsidR="00CE4647" w:rsidRPr="00D302D0" w:rsidRDefault="00CE4647"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Indian</w:t>
            </w:r>
          </w:p>
        </w:tc>
        <w:tc>
          <w:tcPr>
            <w:tcW w:w="1625" w:type="dxa"/>
            <w:tcBorders>
              <w:top w:val="nil"/>
              <w:left w:val="nil"/>
              <w:bottom w:val="single" w:sz="12" w:space="0" w:color="FF9E3C"/>
              <w:right w:val="single" w:sz="12" w:space="0" w:color="FF9E3C"/>
            </w:tcBorders>
            <w:shd w:val="clear" w:color="auto" w:fill="auto"/>
            <w:vAlign w:val="center"/>
          </w:tcPr>
          <w:p w14:paraId="4B95A49E" w14:textId="6E616CD0"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4.0</w:t>
            </w:r>
          </w:p>
        </w:tc>
        <w:tc>
          <w:tcPr>
            <w:tcW w:w="1286" w:type="dxa"/>
            <w:tcBorders>
              <w:top w:val="nil"/>
              <w:left w:val="nil"/>
              <w:bottom w:val="single" w:sz="12" w:space="0" w:color="FF9E3C"/>
              <w:right w:val="single" w:sz="12" w:space="0" w:color="FF9E3C"/>
            </w:tcBorders>
            <w:shd w:val="clear" w:color="auto" w:fill="auto"/>
            <w:vAlign w:val="center"/>
          </w:tcPr>
          <w:p w14:paraId="46D921AE" w14:textId="3C194AC5"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0.0</w:t>
            </w:r>
          </w:p>
        </w:tc>
        <w:tc>
          <w:tcPr>
            <w:tcW w:w="1246" w:type="dxa"/>
            <w:tcBorders>
              <w:top w:val="nil"/>
              <w:left w:val="nil"/>
              <w:bottom w:val="single" w:sz="12" w:space="0" w:color="FF9E3C"/>
              <w:right w:val="single" w:sz="12" w:space="0" w:color="FF9E3C"/>
            </w:tcBorders>
            <w:shd w:val="clear" w:color="auto" w:fill="auto"/>
            <w:vAlign w:val="center"/>
          </w:tcPr>
          <w:p w14:paraId="12EDF9B7" w14:textId="510AAC78" w:rsidR="00CE4647" w:rsidRDefault="0089635E" w:rsidP="00191866">
            <w:pPr>
              <w:tabs>
                <w:tab w:val="clear" w:pos="426"/>
              </w:tabs>
              <w:spacing w:before="0" w:after="0" w:line="240" w:lineRule="auto"/>
              <w:ind w:left="0" w:right="0"/>
              <w:jc w:val="center"/>
              <w:rPr>
                <w:rFonts w:cs="Arial"/>
                <w:color w:val="1C3158"/>
                <w:sz w:val="18"/>
              </w:rPr>
            </w:pPr>
            <w:r>
              <w:rPr>
                <w:rFonts w:cs="Arial"/>
                <w:color w:val="1C3158"/>
                <w:sz w:val="18"/>
              </w:rPr>
              <w:t>4.0</w:t>
            </w:r>
          </w:p>
        </w:tc>
      </w:tr>
      <w:tr w:rsidR="00CE4647" w:rsidRPr="00D302D0" w14:paraId="50DB50E4" w14:textId="77777777" w:rsidTr="00F152C7">
        <w:trPr>
          <w:trHeight w:val="330"/>
        </w:trPr>
        <w:tc>
          <w:tcPr>
            <w:tcW w:w="2337" w:type="dxa"/>
            <w:vMerge/>
            <w:tcBorders>
              <w:left w:val="single" w:sz="12" w:space="0" w:color="FF9E3C"/>
              <w:bottom w:val="single" w:sz="12" w:space="0" w:color="FF9E3C"/>
              <w:right w:val="single" w:sz="12" w:space="0" w:color="FF9E3C"/>
            </w:tcBorders>
            <w:vAlign w:val="center"/>
          </w:tcPr>
          <w:p w14:paraId="35FA9067" w14:textId="77777777" w:rsidR="00CE4647" w:rsidRPr="00D302D0" w:rsidRDefault="00CE4647"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tcPr>
          <w:p w14:paraId="68828A58" w14:textId="16DA539D" w:rsidR="00CE4647" w:rsidRPr="00D302D0" w:rsidRDefault="00CE4647"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Other</w:t>
            </w:r>
          </w:p>
        </w:tc>
        <w:tc>
          <w:tcPr>
            <w:tcW w:w="1625" w:type="dxa"/>
            <w:tcBorders>
              <w:top w:val="nil"/>
              <w:left w:val="nil"/>
              <w:bottom w:val="single" w:sz="12" w:space="0" w:color="FF9E3C"/>
              <w:right w:val="single" w:sz="12" w:space="0" w:color="FF9E3C"/>
            </w:tcBorders>
            <w:shd w:val="clear" w:color="auto" w:fill="auto"/>
            <w:vAlign w:val="center"/>
          </w:tcPr>
          <w:p w14:paraId="73024462" w14:textId="2A984C0B"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10.1</w:t>
            </w:r>
          </w:p>
        </w:tc>
        <w:tc>
          <w:tcPr>
            <w:tcW w:w="1286" w:type="dxa"/>
            <w:tcBorders>
              <w:top w:val="nil"/>
              <w:left w:val="nil"/>
              <w:bottom w:val="single" w:sz="12" w:space="0" w:color="FF9E3C"/>
              <w:right w:val="single" w:sz="12" w:space="0" w:color="FF9E3C"/>
            </w:tcBorders>
            <w:shd w:val="clear" w:color="auto" w:fill="auto"/>
            <w:vAlign w:val="center"/>
          </w:tcPr>
          <w:p w14:paraId="39064B74" w14:textId="31564634" w:rsidR="00CE4647" w:rsidRDefault="00CE4647" w:rsidP="00191866">
            <w:pPr>
              <w:tabs>
                <w:tab w:val="clear" w:pos="426"/>
              </w:tabs>
              <w:spacing w:before="0" w:after="0" w:line="240" w:lineRule="auto"/>
              <w:ind w:left="0" w:right="0"/>
              <w:jc w:val="center"/>
              <w:rPr>
                <w:rFonts w:cs="Arial"/>
                <w:color w:val="1C3158"/>
                <w:sz w:val="18"/>
              </w:rPr>
            </w:pPr>
            <w:r>
              <w:rPr>
                <w:rFonts w:cs="Arial"/>
                <w:color w:val="1C3158"/>
                <w:sz w:val="18"/>
              </w:rPr>
              <w:t>14.6</w:t>
            </w:r>
          </w:p>
        </w:tc>
        <w:tc>
          <w:tcPr>
            <w:tcW w:w="1246" w:type="dxa"/>
            <w:tcBorders>
              <w:top w:val="nil"/>
              <w:left w:val="nil"/>
              <w:bottom w:val="single" w:sz="12" w:space="0" w:color="FF9E3C"/>
              <w:right w:val="single" w:sz="12" w:space="0" w:color="FF9E3C"/>
            </w:tcBorders>
            <w:shd w:val="clear" w:color="auto" w:fill="auto"/>
            <w:vAlign w:val="center"/>
          </w:tcPr>
          <w:p w14:paraId="418971B0" w14:textId="218768F6" w:rsidR="00CE4647" w:rsidRDefault="0089635E" w:rsidP="00191866">
            <w:pPr>
              <w:tabs>
                <w:tab w:val="clear" w:pos="426"/>
              </w:tabs>
              <w:spacing w:before="0" w:after="0" w:line="240" w:lineRule="auto"/>
              <w:ind w:left="0" w:right="0"/>
              <w:jc w:val="center"/>
              <w:rPr>
                <w:rFonts w:cs="Arial"/>
                <w:color w:val="1C3158"/>
                <w:sz w:val="18"/>
              </w:rPr>
            </w:pPr>
            <w:r>
              <w:rPr>
                <w:rFonts w:cs="Arial"/>
                <w:color w:val="1C3158"/>
                <w:sz w:val="18"/>
              </w:rPr>
              <w:t>10.1</w:t>
            </w:r>
          </w:p>
        </w:tc>
      </w:tr>
      <w:tr w:rsidR="00F61793" w:rsidRPr="00D302D0" w14:paraId="297E5E61" w14:textId="77777777" w:rsidTr="00CE4647">
        <w:trPr>
          <w:trHeight w:val="405"/>
        </w:trPr>
        <w:tc>
          <w:tcPr>
            <w:tcW w:w="233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5514B84D"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Contact with person experiencing gambling-related harms – personally</w:t>
            </w:r>
          </w:p>
        </w:tc>
        <w:tc>
          <w:tcPr>
            <w:tcW w:w="2011" w:type="dxa"/>
            <w:tcBorders>
              <w:top w:val="nil"/>
              <w:left w:val="nil"/>
              <w:bottom w:val="single" w:sz="12" w:space="0" w:color="FF9E3C"/>
              <w:right w:val="single" w:sz="12" w:space="0" w:color="FF9E3C"/>
            </w:tcBorders>
            <w:shd w:val="clear" w:color="auto" w:fill="auto"/>
            <w:vAlign w:val="center"/>
            <w:hideMark/>
          </w:tcPr>
          <w:p w14:paraId="16EF421C"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Yes</w:t>
            </w:r>
          </w:p>
        </w:tc>
        <w:tc>
          <w:tcPr>
            <w:tcW w:w="1625" w:type="dxa"/>
            <w:tcBorders>
              <w:top w:val="nil"/>
              <w:left w:val="nil"/>
              <w:bottom w:val="single" w:sz="12" w:space="0" w:color="FF9E3C"/>
              <w:right w:val="single" w:sz="12" w:space="0" w:color="FF9E3C"/>
            </w:tcBorders>
            <w:shd w:val="clear" w:color="auto" w:fill="auto"/>
            <w:vAlign w:val="center"/>
            <w:hideMark/>
          </w:tcPr>
          <w:p w14:paraId="73C7E15E"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41.3</w:t>
            </w:r>
          </w:p>
        </w:tc>
        <w:tc>
          <w:tcPr>
            <w:tcW w:w="1286" w:type="dxa"/>
            <w:tcBorders>
              <w:top w:val="nil"/>
              <w:left w:val="nil"/>
              <w:bottom w:val="single" w:sz="12" w:space="0" w:color="FF9E3C"/>
              <w:right w:val="single" w:sz="12" w:space="0" w:color="FF9E3C"/>
            </w:tcBorders>
            <w:shd w:val="clear" w:color="auto" w:fill="auto"/>
            <w:vAlign w:val="center"/>
            <w:hideMark/>
          </w:tcPr>
          <w:p w14:paraId="561DD200"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510E37C5"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r w:rsidR="00F61793" w:rsidRPr="00D302D0" w14:paraId="40001D3D" w14:textId="77777777" w:rsidTr="00CE4647">
        <w:trPr>
          <w:trHeight w:val="330"/>
        </w:trPr>
        <w:tc>
          <w:tcPr>
            <w:tcW w:w="2337" w:type="dxa"/>
            <w:vMerge/>
            <w:tcBorders>
              <w:top w:val="nil"/>
              <w:left w:val="single" w:sz="12" w:space="0" w:color="FF9E3C"/>
              <w:bottom w:val="single" w:sz="12" w:space="0" w:color="FF9E3C"/>
              <w:right w:val="single" w:sz="12" w:space="0" w:color="FF9E3C"/>
            </w:tcBorders>
            <w:vAlign w:val="center"/>
            <w:hideMark/>
          </w:tcPr>
          <w:p w14:paraId="6FF77299" w14:textId="77777777" w:rsidR="00F61793" w:rsidRPr="00D302D0" w:rsidRDefault="00F61793"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02F43CBD"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No</w:t>
            </w:r>
          </w:p>
        </w:tc>
        <w:tc>
          <w:tcPr>
            <w:tcW w:w="1625" w:type="dxa"/>
            <w:tcBorders>
              <w:top w:val="nil"/>
              <w:left w:val="nil"/>
              <w:bottom w:val="single" w:sz="12" w:space="0" w:color="FF9E3C"/>
              <w:right w:val="single" w:sz="12" w:space="0" w:color="FF9E3C"/>
            </w:tcBorders>
            <w:shd w:val="clear" w:color="auto" w:fill="auto"/>
            <w:vAlign w:val="center"/>
            <w:hideMark/>
          </w:tcPr>
          <w:p w14:paraId="6ECADA86"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58.7</w:t>
            </w:r>
          </w:p>
        </w:tc>
        <w:tc>
          <w:tcPr>
            <w:tcW w:w="1286" w:type="dxa"/>
            <w:tcBorders>
              <w:top w:val="nil"/>
              <w:left w:val="nil"/>
              <w:bottom w:val="single" w:sz="12" w:space="0" w:color="FF9E3C"/>
              <w:right w:val="single" w:sz="12" w:space="0" w:color="FF9E3C"/>
            </w:tcBorders>
            <w:shd w:val="clear" w:color="auto" w:fill="auto"/>
            <w:vAlign w:val="center"/>
            <w:hideMark/>
          </w:tcPr>
          <w:p w14:paraId="772E4BE7"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F47BCD">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4622CC30"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r w:rsidR="00F61793" w:rsidRPr="00D302D0" w14:paraId="1AC6F97C" w14:textId="77777777" w:rsidTr="00CE4647">
        <w:trPr>
          <w:trHeight w:val="405"/>
        </w:trPr>
        <w:tc>
          <w:tcPr>
            <w:tcW w:w="233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5F6E71CB"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Contact with person experiencing gambling-related harms – professionally</w:t>
            </w:r>
          </w:p>
        </w:tc>
        <w:tc>
          <w:tcPr>
            <w:tcW w:w="2011" w:type="dxa"/>
            <w:tcBorders>
              <w:top w:val="nil"/>
              <w:left w:val="nil"/>
              <w:bottom w:val="single" w:sz="12" w:space="0" w:color="FF9E3C"/>
              <w:right w:val="single" w:sz="12" w:space="0" w:color="FF9E3C"/>
            </w:tcBorders>
            <w:shd w:val="clear" w:color="auto" w:fill="auto"/>
            <w:vAlign w:val="center"/>
            <w:hideMark/>
          </w:tcPr>
          <w:p w14:paraId="2B106146"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Yes</w:t>
            </w:r>
          </w:p>
        </w:tc>
        <w:tc>
          <w:tcPr>
            <w:tcW w:w="1625" w:type="dxa"/>
            <w:tcBorders>
              <w:top w:val="nil"/>
              <w:left w:val="nil"/>
              <w:bottom w:val="single" w:sz="12" w:space="0" w:color="FF9E3C"/>
              <w:right w:val="single" w:sz="12" w:space="0" w:color="FF9E3C"/>
            </w:tcBorders>
            <w:shd w:val="clear" w:color="auto" w:fill="auto"/>
            <w:vAlign w:val="center"/>
            <w:hideMark/>
          </w:tcPr>
          <w:p w14:paraId="2E707CD1"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10.9</w:t>
            </w:r>
          </w:p>
        </w:tc>
        <w:tc>
          <w:tcPr>
            <w:tcW w:w="1286" w:type="dxa"/>
            <w:tcBorders>
              <w:top w:val="nil"/>
              <w:left w:val="nil"/>
              <w:bottom w:val="single" w:sz="12" w:space="0" w:color="FF9E3C"/>
              <w:right w:val="single" w:sz="12" w:space="0" w:color="FF9E3C"/>
            </w:tcBorders>
            <w:shd w:val="clear" w:color="auto" w:fill="auto"/>
            <w:vAlign w:val="center"/>
            <w:hideMark/>
          </w:tcPr>
          <w:p w14:paraId="2C713538"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F47BCD">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0E137047"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r w:rsidR="00F61793" w:rsidRPr="00D302D0" w14:paraId="4B19B190" w14:textId="77777777" w:rsidTr="00CE4647">
        <w:trPr>
          <w:trHeight w:val="330"/>
        </w:trPr>
        <w:tc>
          <w:tcPr>
            <w:tcW w:w="2337" w:type="dxa"/>
            <w:vMerge/>
            <w:tcBorders>
              <w:top w:val="nil"/>
              <w:left w:val="single" w:sz="12" w:space="0" w:color="FF9E3C"/>
              <w:bottom w:val="single" w:sz="12" w:space="0" w:color="FF9E3C"/>
              <w:right w:val="single" w:sz="12" w:space="0" w:color="FF9E3C"/>
            </w:tcBorders>
            <w:vAlign w:val="center"/>
            <w:hideMark/>
          </w:tcPr>
          <w:p w14:paraId="5E5DCB88" w14:textId="77777777" w:rsidR="00F61793" w:rsidRPr="00D302D0" w:rsidRDefault="00F61793"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4F56172B"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No</w:t>
            </w:r>
          </w:p>
        </w:tc>
        <w:tc>
          <w:tcPr>
            <w:tcW w:w="1625" w:type="dxa"/>
            <w:tcBorders>
              <w:top w:val="nil"/>
              <w:left w:val="nil"/>
              <w:bottom w:val="single" w:sz="12" w:space="0" w:color="FF9E3C"/>
              <w:right w:val="single" w:sz="12" w:space="0" w:color="FF9E3C"/>
            </w:tcBorders>
            <w:shd w:val="clear" w:color="auto" w:fill="auto"/>
            <w:vAlign w:val="center"/>
            <w:hideMark/>
          </w:tcPr>
          <w:p w14:paraId="34C3A2A4"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89.1</w:t>
            </w:r>
          </w:p>
        </w:tc>
        <w:tc>
          <w:tcPr>
            <w:tcW w:w="1286" w:type="dxa"/>
            <w:tcBorders>
              <w:top w:val="nil"/>
              <w:left w:val="nil"/>
              <w:bottom w:val="single" w:sz="12" w:space="0" w:color="FF9E3C"/>
              <w:right w:val="single" w:sz="12" w:space="0" w:color="FF9E3C"/>
            </w:tcBorders>
            <w:shd w:val="clear" w:color="auto" w:fill="auto"/>
            <w:vAlign w:val="center"/>
            <w:hideMark/>
          </w:tcPr>
          <w:p w14:paraId="50433522"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F47BCD">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3D5A4519"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r w:rsidR="00F61793" w:rsidRPr="00D302D0" w14:paraId="3D44F00C" w14:textId="77777777" w:rsidTr="00CE4647">
        <w:trPr>
          <w:trHeight w:val="330"/>
        </w:trPr>
        <w:tc>
          <w:tcPr>
            <w:tcW w:w="233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33BDC737"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Experienced gambling-related harms due to own gambling</w:t>
            </w:r>
          </w:p>
        </w:tc>
        <w:tc>
          <w:tcPr>
            <w:tcW w:w="2011" w:type="dxa"/>
            <w:tcBorders>
              <w:top w:val="nil"/>
              <w:left w:val="nil"/>
              <w:bottom w:val="single" w:sz="12" w:space="0" w:color="FF9E3C"/>
              <w:right w:val="single" w:sz="12" w:space="0" w:color="FF9E3C"/>
            </w:tcBorders>
            <w:shd w:val="clear" w:color="auto" w:fill="auto"/>
            <w:vAlign w:val="center"/>
            <w:hideMark/>
          </w:tcPr>
          <w:p w14:paraId="12906405"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Yes</w:t>
            </w:r>
          </w:p>
        </w:tc>
        <w:tc>
          <w:tcPr>
            <w:tcW w:w="1625" w:type="dxa"/>
            <w:tcBorders>
              <w:top w:val="nil"/>
              <w:left w:val="nil"/>
              <w:bottom w:val="single" w:sz="12" w:space="0" w:color="FF9E3C"/>
              <w:right w:val="single" w:sz="12" w:space="0" w:color="FF9E3C"/>
            </w:tcBorders>
            <w:shd w:val="clear" w:color="auto" w:fill="auto"/>
            <w:vAlign w:val="center"/>
            <w:hideMark/>
          </w:tcPr>
          <w:p w14:paraId="4859E1E4"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16.7</w:t>
            </w:r>
          </w:p>
        </w:tc>
        <w:tc>
          <w:tcPr>
            <w:tcW w:w="1286" w:type="dxa"/>
            <w:tcBorders>
              <w:top w:val="nil"/>
              <w:left w:val="nil"/>
              <w:bottom w:val="single" w:sz="12" w:space="0" w:color="FF9E3C"/>
              <w:right w:val="single" w:sz="12" w:space="0" w:color="FF9E3C"/>
            </w:tcBorders>
            <w:shd w:val="clear" w:color="auto" w:fill="auto"/>
            <w:vAlign w:val="center"/>
            <w:hideMark/>
          </w:tcPr>
          <w:p w14:paraId="3B3BCC02"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F47BCD">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000E3CF3"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r w:rsidR="00F61793" w:rsidRPr="00D302D0" w14:paraId="7BE7D639" w14:textId="77777777" w:rsidTr="00CE4647">
        <w:trPr>
          <w:trHeight w:val="330"/>
        </w:trPr>
        <w:tc>
          <w:tcPr>
            <w:tcW w:w="2337" w:type="dxa"/>
            <w:vMerge/>
            <w:tcBorders>
              <w:top w:val="nil"/>
              <w:left w:val="single" w:sz="12" w:space="0" w:color="FF9E3C"/>
              <w:bottom w:val="single" w:sz="12" w:space="0" w:color="FF9E3C"/>
              <w:right w:val="single" w:sz="12" w:space="0" w:color="FF9E3C"/>
            </w:tcBorders>
            <w:vAlign w:val="center"/>
            <w:hideMark/>
          </w:tcPr>
          <w:p w14:paraId="18B9D7ED" w14:textId="77777777" w:rsidR="00F61793" w:rsidRPr="00D302D0" w:rsidRDefault="00F61793"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2C9D5EDD"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No</w:t>
            </w:r>
          </w:p>
        </w:tc>
        <w:tc>
          <w:tcPr>
            <w:tcW w:w="1625" w:type="dxa"/>
            <w:tcBorders>
              <w:top w:val="nil"/>
              <w:left w:val="nil"/>
              <w:bottom w:val="single" w:sz="12" w:space="0" w:color="FF9E3C"/>
              <w:right w:val="single" w:sz="12" w:space="0" w:color="FF9E3C"/>
            </w:tcBorders>
            <w:shd w:val="clear" w:color="auto" w:fill="auto"/>
            <w:vAlign w:val="center"/>
            <w:hideMark/>
          </w:tcPr>
          <w:p w14:paraId="2C4D0DDE"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83.3</w:t>
            </w:r>
          </w:p>
        </w:tc>
        <w:tc>
          <w:tcPr>
            <w:tcW w:w="1286" w:type="dxa"/>
            <w:tcBorders>
              <w:top w:val="nil"/>
              <w:left w:val="nil"/>
              <w:bottom w:val="single" w:sz="12" w:space="0" w:color="FF9E3C"/>
              <w:right w:val="single" w:sz="12" w:space="0" w:color="FF9E3C"/>
            </w:tcBorders>
            <w:shd w:val="clear" w:color="auto" w:fill="auto"/>
            <w:vAlign w:val="center"/>
            <w:hideMark/>
          </w:tcPr>
          <w:p w14:paraId="2319BF5D"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F47BCD">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2DCF11BA"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r w:rsidR="00F61793" w:rsidRPr="00D302D0" w14:paraId="44FD45BF" w14:textId="77777777" w:rsidTr="00CE4647">
        <w:trPr>
          <w:trHeight w:val="405"/>
        </w:trPr>
        <w:tc>
          <w:tcPr>
            <w:tcW w:w="233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081237C1"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Experienced gambling-related harms due to the gambling of someone else</w:t>
            </w:r>
          </w:p>
        </w:tc>
        <w:tc>
          <w:tcPr>
            <w:tcW w:w="2011" w:type="dxa"/>
            <w:tcBorders>
              <w:top w:val="nil"/>
              <w:left w:val="nil"/>
              <w:bottom w:val="single" w:sz="12" w:space="0" w:color="FF9E3C"/>
              <w:right w:val="single" w:sz="12" w:space="0" w:color="FF9E3C"/>
            </w:tcBorders>
            <w:shd w:val="clear" w:color="auto" w:fill="auto"/>
            <w:vAlign w:val="center"/>
            <w:hideMark/>
          </w:tcPr>
          <w:p w14:paraId="3DF1A215"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Yes</w:t>
            </w:r>
          </w:p>
        </w:tc>
        <w:tc>
          <w:tcPr>
            <w:tcW w:w="1625" w:type="dxa"/>
            <w:tcBorders>
              <w:top w:val="nil"/>
              <w:left w:val="nil"/>
              <w:bottom w:val="single" w:sz="12" w:space="0" w:color="FF9E3C"/>
              <w:right w:val="single" w:sz="12" w:space="0" w:color="FF9E3C"/>
            </w:tcBorders>
            <w:shd w:val="clear" w:color="auto" w:fill="auto"/>
            <w:vAlign w:val="center"/>
            <w:hideMark/>
          </w:tcPr>
          <w:p w14:paraId="79E3D797"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11.6</w:t>
            </w:r>
          </w:p>
        </w:tc>
        <w:tc>
          <w:tcPr>
            <w:tcW w:w="1286" w:type="dxa"/>
            <w:tcBorders>
              <w:top w:val="nil"/>
              <w:left w:val="nil"/>
              <w:bottom w:val="single" w:sz="12" w:space="0" w:color="FF9E3C"/>
              <w:right w:val="single" w:sz="12" w:space="0" w:color="FF9E3C"/>
            </w:tcBorders>
            <w:shd w:val="clear" w:color="auto" w:fill="auto"/>
            <w:vAlign w:val="center"/>
            <w:hideMark/>
          </w:tcPr>
          <w:p w14:paraId="34D2C580"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F47BCD">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14EF8CE7"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r w:rsidR="00F61793" w:rsidRPr="00D302D0" w14:paraId="703F794E" w14:textId="77777777" w:rsidTr="00CE4647">
        <w:trPr>
          <w:trHeight w:val="330"/>
        </w:trPr>
        <w:tc>
          <w:tcPr>
            <w:tcW w:w="2337" w:type="dxa"/>
            <w:vMerge/>
            <w:tcBorders>
              <w:top w:val="nil"/>
              <w:left w:val="single" w:sz="12" w:space="0" w:color="FF9E3C"/>
              <w:bottom w:val="single" w:sz="12" w:space="0" w:color="FF9E3C"/>
              <w:right w:val="single" w:sz="12" w:space="0" w:color="FF9E3C"/>
            </w:tcBorders>
            <w:vAlign w:val="center"/>
            <w:hideMark/>
          </w:tcPr>
          <w:p w14:paraId="43698355" w14:textId="77777777" w:rsidR="00F61793" w:rsidRPr="00D302D0" w:rsidRDefault="00F61793"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41E030A4"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No</w:t>
            </w:r>
          </w:p>
        </w:tc>
        <w:tc>
          <w:tcPr>
            <w:tcW w:w="1625" w:type="dxa"/>
            <w:tcBorders>
              <w:top w:val="nil"/>
              <w:left w:val="nil"/>
              <w:bottom w:val="single" w:sz="12" w:space="0" w:color="FF9E3C"/>
              <w:right w:val="single" w:sz="12" w:space="0" w:color="FF9E3C"/>
            </w:tcBorders>
            <w:shd w:val="clear" w:color="auto" w:fill="auto"/>
            <w:vAlign w:val="center"/>
            <w:hideMark/>
          </w:tcPr>
          <w:p w14:paraId="50B6D879"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88.4</w:t>
            </w:r>
          </w:p>
        </w:tc>
        <w:tc>
          <w:tcPr>
            <w:tcW w:w="1286" w:type="dxa"/>
            <w:tcBorders>
              <w:top w:val="nil"/>
              <w:left w:val="nil"/>
              <w:bottom w:val="single" w:sz="12" w:space="0" w:color="FF9E3C"/>
              <w:right w:val="single" w:sz="12" w:space="0" w:color="FF9E3C"/>
            </w:tcBorders>
            <w:shd w:val="clear" w:color="auto" w:fill="auto"/>
            <w:vAlign w:val="center"/>
            <w:hideMark/>
          </w:tcPr>
          <w:p w14:paraId="119B6C15"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F47BCD">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128E181B"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r w:rsidR="00F61793" w:rsidRPr="00D302D0" w14:paraId="59AF19EA" w14:textId="77777777" w:rsidTr="00CE4647">
        <w:trPr>
          <w:trHeight w:val="330"/>
        </w:trPr>
        <w:tc>
          <w:tcPr>
            <w:tcW w:w="233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4E1D99B3"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Problematic Gambling</w:t>
            </w:r>
            <w:r w:rsidRPr="00D302D0">
              <w:rPr>
                <w:rFonts w:cs="Arial"/>
                <w:color w:val="1C3158"/>
                <w:sz w:val="18"/>
                <w:lang w:eastAsia="ja-JP"/>
              </w:rPr>
              <w:br/>
              <w:t>(Lie-Bet Screen)</w:t>
            </w:r>
          </w:p>
        </w:tc>
        <w:tc>
          <w:tcPr>
            <w:tcW w:w="2011" w:type="dxa"/>
            <w:tcBorders>
              <w:top w:val="nil"/>
              <w:left w:val="nil"/>
              <w:bottom w:val="single" w:sz="12" w:space="0" w:color="FF9E3C"/>
              <w:right w:val="single" w:sz="12" w:space="0" w:color="FF9E3C"/>
            </w:tcBorders>
            <w:shd w:val="clear" w:color="auto" w:fill="auto"/>
            <w:vAlign w:val="center"/>
            <w:hideMark/>
          </w:tcPr>
          <w:p w14:paraId="609E4550"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No problem</w:t>
            </w:r>
          </w:p>
        </w:tc>
        <w:tc>
          <w:tcPr>
            <w:tcW w:w="1625" w:type="dxa"/>
            <w:tcBorders>
              <w:top w:val="nil"/>
              <w:left w:val="nil"/>
              <w:bottom w:val="single" w:sz="12" w:space="0" w:color="FF9E3C"/>
              <w:right w:val="single" w:sz="12" w:space="0" w:color="FF9E3C"/>
            </w:tcBorders>
            <w:shd w:val="clear" w:color="auto" w:fill="auto"/>
            <w:vAlign w:val="center"/>
            <w:hideMark/>
          </w:tcPr>
          <w:p w14:paraId="32D5ED5F"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59.4</w:t>
            </w:r>
          </w:p>
        </w:tc>
        <w:tc>
          <w:tcPr>
            <w:tcW w:w="1286" w:type="dxa"/>
            <w:tcBorders>
              <w:top w:val="nil"/>
              <w:left w:val="nil"/>
              <w:bottom w:val="single" w:sz="12" w:space="0" w:color="FF9E3C"/>
              <w:right w:val="single" w:sz="12" w:space="0" w:color="FF9E3C"/>
            </w:tcBorders>
            <w:shd w:val="clear" w:color="auto" w:fill="auto"/>
            <w:vAlign w:val="center"/>
            <w:hideMark/>
          </w:tcPr>
          <w:p w14:paraId="54003126"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F47BCD">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266A5E44"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r w:rsidR="00F61793" w:rsidRPr="00D302D0" w14:paraId="6BA8DAF4" w14:textId="77777777" w:rsidTr="00CE4647">
        <w:trPr>
          <w:trHeight w:val="510"/>
        </w:trPr>
        <w:tc>
          <w:tcPr>
            <w:tcW w:w="2337" w:type="dxa"/>
            <w:vMerge/>
            <w:tcBorders>
              <w:top w:val="nil"/>
              <w:left w:val="single" w:sz="12" w:space="0" w:color="FF9E3C"/>
              <w:bottom w:val="single" w:sz="12" w:space="0" w:color="FF9E3C"/>
              <w:right w:val="single" w:sz="12" w:space="0" w:color="FF9E3C"/>
            </w:tcBorders>
            <w:vAlign w:val="center"/>
            <w:hideMark/>
          </w:tcPr>
          <w:p w14:paraId="2D81FD3A" w14:textId="77777777" w:rsidR="00F61793" w:rsidRPr="00D302D0" w:rsidRDefault="00F61793" w:rsidP="00191866">
            <w:pPr>
              <w:tabs>
                <w:tab w:val="clear" w:pos="426"/>
              </w:tabs>
              <w:spacing w:before="0" w:after="0" w:line="240" w:lineRule="auto"/>
              <w:ind w:left="0" w:right="0"/>
              <w:rPr>
                <w:rFonts w:cs="Arial"/>
                <w:color w:val="1C3158"/>
                <w:sz w:val="18"/>
                <w:lang w:eastAsia="ja-JP"/>
              </w:rPr>
            </w:pPr>
          </w:p>
        </w:tc>
        <w:tc>
          <w:tcPr>
            <w:tcW w:w="2011" w:type="dxa"/>
            <w:tcBorders>
              <w:top w:val="nil"/>
              <w:left w:val="nil"/>
              <w:bottom w:val="single" w:sz="12" w:space="0" w:color="FF9E3C"/>
              <w:right w:val="single" w:sz="12" w:space="0" w:color="FF9E3C"/>
            </w:tcBorders>
            <w:shd w:val="clear" w:color="auto" w:fill="auto"/>
            <w:vAlign w:val="center"/>
            <w:hideMark/>
          </w:tcPr>
          <w:p w14:paraId="6EDC5E07"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Possible problem gambling</w:t>
            </w:r>
          </w:p>
        </w:tc>
        <w:tc>
          <w:tcPr>
            <w:tcW w:w="1625" w:type="dxa"/>
            <w:tcBorders>
              <w:top w:val="nil"/>
              <w:left w:val="nil"/>
              <w:bottom w:val="single" w:sz="12" w:space="0" w:color="FF9E3C"/>
              <w:right w:val="single" w:sz="12" w:space="0" w:color="FF9E3C"/>
            </w:tcBorders>
            <w:shd w:val="clear" w:color="auto" w:fill="auto"/>
            <w:vAlign w:val="center"/>
            <w:hideMark/>
          </w:tcPr>
          <w:p w14:paraId="17102915"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Pr>
                <w:rFonts w:cs="Arial"/>
                <w:color w:val="1C3158"/>
                <w:sz w:val="18"/>
              </w:rPr>
              <w:t>40.6</w:t>
            </w:r>
          </w:p>
        </w:tc>
        <w:tc>
          <w:tcPr>
            <w:tcW w:w="1286" w:type="dxa"/>
            <w:tcBorders>
              <w:top w:val="nil"/>
              <w:left w:val="nil"/>
              <w:bottom w:val="single" w:sz="12" w:space="0" w:color="FF9E3C"/>
              <w:right w:val="single" w:sz="12" w:space="0" w:color="FF9E3C"/>
            </w:tcBorders>
            <w:shd w:val="clear" w:color="auto" w:fill="auto"/>
            <w:vAlign w:val="center"/>
            <w:hideMark/>
          </w:tcPr>
          <w:p w14:paraId="6204CBE4"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F47BCD">
              <w:rPr>
                <w:rFonts w:cs="Arial"/>
                <w:color w:val="1C3158"/>
                <w:sz w:val="18"/>
              </w:rPr>
              <w:t>N/A*</w:t>
            </w:r>
          </w:p>
        </w:tc>
        <w:tc>
          <w:tcPr>
            <w:tcW w:w="1246" w:type="dxa"/>
            <w:tcBorders>
              <w:top w:val="nil"/>
              <w:left w:val="nil"/>
              <w:bottom w:val="single" w:sz="12" w:space="0" w:color="FF9E3C"/>
              <w:right w:val="single" w:sz="12" w:space="0" w:color="FF9E3C"/>
            </w:tcBorders>
            <w:shd w:val="clear" w:color="auto" w:fill="auto"/>
            <w:vAlign w:val="center"/>
            <w:hideMark/>
          </w:tcPr>
          <w:p w14:paraId="6D0ECBAF"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0E325C">
              <w:rPr>
                <w:rFonts w:cs="Arial"/>
                <w:color w:val="1C3158"/>
                <w:sz w:val="18"/>
              </w:rPr>
              <w:t>N/A*</w:t>
            </w:r>
          </w:p>
        </w:tc>
      </w:tr>
    </w:tbl>
    <w:p w14:paraId="47E4AF83" w14:textId="07612D70" w:rsidR="00F61793" w:rsidRPr="00767EAD" w:rsidRDefault="00F61793" w:rsidP="00C82A76">
      <w:pPr>
        <w:spacing w:after="0" w:line="240" w:lineRule="auto"/>
        <w:ind w:left="0"/>
        <w:jc w:val="both"/>
        <w:rPr>
          <w:rFonts w:cs="Arial"/>
          <w:color w:val="1C3158"/>
          <w:sz w:val="16"/>
          <w:szCs w:val="16"/>
          <w:lang w:eastAsia="ja-JP"/>
        </w:rPr>
      </w:pPr>
      <w:r w:rsidRPr="00767EAD">
        <w:rPr>
          <w:rFonts w:cs="Arial"/>
          <w:color w:val="1C3158"/>
          <w:sz w:val="16"/>
          <w:szCs w:val="16"/>
          <w:lang w:eastAsia="ja-JP"/>
        </w:rPr>
        <w:t>*</w:t>
      </w:r>
      <w:r w:rsidR="00767EAD">
        <w:rPr>
          <w:rFonts w:cs="Arial"/>
          <w:color w:val="1C3158"/>
          <w:sz w:val="16"/>
          <w:szCs w:val="16"/>
          <w:lang w:eastAsia="ja-JP"/>
        </w:rPr>
        <w:t xml:space="preserve"> </w:t>
      </w:r>
      <w:r w:rsidRPr="00767EAD">
        <w:rPr>
          <w:rFonts w:cs="Arial"/>
          <w:color w:val="1C3158"/>
          <w:sz w:val="16"/>
          <w:szCs w:val="16"/>
          <w:lang w:eastAsia="ja-JP"/>
        </w:rPr>
        <w:t>Gambling experiences of the expert sample were not collected.</w:t>
      </w:r>
    </w:p>
    <w:p w14:paraId="15164FB1" w14:textId="77777777" w:rsidR="00903E8B" w:rsidRDefault="00903E8B" w:rsidP="00E03DE0">
      <w:pPr>
        <w:pStyle w:val="VRGFBodycontent"/>
        <w:spacing w:before="240"/>
        <w:rPr>
          <w:rFonts w:eastAsia="MS Mincho"/>
        </w:rPr>
      </w:pPr>
    </w:p>
    <w:p w14:paraId="207F288D" w14:textId="783EAE7D" w:rsidR="00F61793" w:rsidRDefault="00F61793" w:rsidP="00E03DE0">
      <w:pPr>
        <w:pStyle w:val="VRGFBodycontent"/>
        <w:spacing w:before="240"/>
        <w:rPr>
          <w:rFonts w:eastAsia="MS Mincho"/>
        </w:rPr>
      </w:pPr>
      <w:r w:rsidRPr="00D302D0">
        <w:rPr>
          <w:rFonts w:eastAsia="MS Mincho"/>
        </w:rPr>
        <w:t xml:space="preserve">Each of the 12 valuations representing TTO and VAS ratings for </w:t>
      </w:r>
      <w:r w:rsidR="00125C1D">
        <w:rPr>
          <w:rFonts w:eastAsia="MS Mincho"/>
        </w:rPr>
        <w:t>six</w:t>
      </w:r>
      <w:r w:rsidR="00125C1D" w:rsidRPr="00D302D0">
        <w:rPr>
          <w:rFonts w:eastAsia="MS Mincho"/>
        </w:rPr>
        <w:t xml:space="preserve"> </w:t>
      </w:r>
      <w:r w:rsidRPr="00D302D0">
        <w:rPr>
          <w:rFonts w:eastAsia="MS Mincho"/>
        </w:rPr>
        <w:t xml:space="preserve">random </w:t>
      </w:r>
      <w:r w:rsidR="00903E8B">
        <w:rPr>
          <w:rFonts w:eastAsia="MS Mincho"/>
        </w:rPr>
        <w:t xml:space="preserve">gambling-related harm vignettes </w:t>
      </w:r>
      <w:r w:rsidRPr="00D302D0">
        <w:rPr>
          <w:rFonts w:eastAsia="MS Mincho"/>
        </w:rPr>
        <w:t xml:space="preserve">from each participant were recorded and transformed to a similar HRQL [0,1] scale, with 1 </w:t>
      </w:r>
      <w:r w:rsidRPr="00D302D0">
        <w:rPr>
          <w:rFonts w:eastAsia="MS Mincho"/>
        </w:rPr>
        <w:lastRenderedPageBreak/>
        <w:t>representing most harmful and 0 being least harmful</w:t>
      </w:r>
      <w:r w:rsidR="007E0C13">
        <w:rPr>
          <w:rFonts w:eastAsia="MS Mincho"/>
        </w:rPr>
        <w:t>.</w:t>
      </w:r>
      <w:r w:rsidR="008610D3">
        <w:rPr>
          <w:rFonts w:eastAsia="MS Mincho"/>
        </w:rPr>
        <w:t xml:space="preserve"> </w:t>
      </w:r>
      <w:r w:rsidRPr="00D302D0">
        <w:rPr>
          <w:rFonts w:eastAsia="MS Mincho"/>
        </w:rPr>
        <w:t>As shown in</w:t>
      </w:r>
      <w:r w:rsidR="00507033">
        <w:rPr>
          <w:rFonts w:eastAsia="MS Mincho"/>
        </w:rPr>
        <w:t xml:space="preserve"> </w:t>
      </w:r>
      <w:r w:rsidR="00507033">
        <w:rPr>
          <w:rFonts w:eastAsia="MS Mincho"/>
        </w:rPr>
        <w:fldChar w:fldCharType="begin"/>
      </w:r>
      <w:r w:rsidR="00507033">
        <w:rPr>
          <w:rFonts w:eastAsia="MS Mincho"/>
        </w:rPr>
        <w:instrText xml:space="preserve"> REF _Ref445408336 \h </w:instrText>
      </w:r>
      <w:r w:rsidR="00507033">
        <w:rPr>
          <w:rFonts w:eastAsia="MS Mincho"/>
        </w:rPr>
      </w:r>
      <w:r w:rsidR="00507033">
        <w:rPr>
          <w:rFonts w:eastAsia="MS Mincho"/>
        </w:rPr>
        <w:fldChar w:fldCharType="separate"/>
      </w:r>
      <w:r w:rsidR="0006479A">
        <w:t xml:space="preserve">Table </w:t>
      </w:r>
      <w:r w:rsidR="0006479A">
        <w:rPr>
          <w:noProof/>
        </w:rPr>
        <w:t>19</w:t>
      </w:r>
      <w:r w:rsidR="00507033">
        <w:rPr>
          <w:rFonts w:eastAsia="MS Mincho"/>
        </w:rPr>
        <w:fldChar w:fldCharType="end"/>
      </w:r>
      <w:r w:rsidRPr="00D302D0">
        <w:rPr>
          <w:rFonts w:eastAsia="MS Mincho"/>
        </w:rPr>
        <w:t>, we elicited 3,888 HRQL evaluations from 324 participants – 1,812 evaluations of vignettes describing harms arising from one’s own gambling and 2,076 evaluations of harm to affected persons arising from another’s gambling</w:t>
      </w:r>
      <w:r w:rsidR="007E0C13">
        <w:rPr>
          <w:rFonts w:eastAsia="MS Mincho"/>
        </w:rPr>
        <w:t xml:space="preserve">. </w:t>
      </w:r>
      <w:r w:rsidR="0038703B">
        <w:rPr>
          <w:rFonts w:eastAsia="MS Mincho"/>
        </w:rPr>
        <w:t>T</w:t>
      </w:r>
      <w:r w:rsidR="00F21E5D">
        <w:rPr>
          <w:rFonts w:eastAsia="MS Mincho"/>
        </w:rPr>
        <w:t>wo hundred and seventy-six</w:t>
      </w:r>
      <w:r w:rsidR="00F21E5D" w:rsidRPr="00D302D0">
        <w:rPr>
          <w:rFonts w:eastAsia="MS Mincho"/>
        </w:rPr>
        <w:t xml:space="preserve"> </w:t>
      </w:r>
      <w:r w:rsidRPr="00D302D0">
        <w:rPr>
          <w:rFonts w:eastAsia="MS Mincho"/>
        </w:rPr>
        <w:t>participants from the general population provided 3,312 evaluations and 48 experts provided 576 evaluations</w:t>
      </w:r>
      <w:r w:rsidR="007E0C13">
        <w:rPr>
          <w:rFonts w:eastAsia="MS Mincho"/>
        </w:rPr>
        <w:t>.</w:t>
      </w:r>
      <w:r w:rsidR="008610D3">
        <w:rPr>
          <w:rFonts w:eastAsia="MS Mincho"/>
        </w:rPr>
        <w:t xml:space="preserve"> </w:t>
      </w:r>
      <w:r w:rsidRPr="00D302D0">
        <w:rPr>
          <w:rFonts w:eastAsia="MS Mincho"/>
        </w:rPr>
        <w:t xml:space="preserve">Since each condition description was generated from a PGSI-stratified random sample of respondents from the prior </w:t>
      </w:r>
      <w:r w:rsidR="00B9606C">
        <w:rPr>
          <w:rFonts w:eastAsia="MS Mincho"/>
        </w:rPr>
        <w:t xml:space="preserve">gambling </w:t>
      </w:r>
      <w:r w:rsidRPr="00D302D0">
        <w:rPr>
          <w:rFonts w:eastAsia="MS Mincho"/>
        </w:rPr>
        <w:t xml:space="preserve">harms </w:t>
      </w:r>
      <w:r w:rsidR="00B9606C">
        <w:rPr>
          <w:rFonts w:eastAsia="MS Mincho"/>
        </w:rPr>
        <w:t xml:space="preserve">national </w:t>
      </w:r>
      <w:r w:rsidRPr="00D302D0">
        <w:rPr>
          <w:rFonts w:eastAsia="MS Mincho"/>
        </w:rPr>
        <w:t>survey, the data sets could be merged</w:t>
      </w:r>
      <w:r w:rsidR="007E0C13">
        <w:rPr>
          <w:rFonts w:eastAsia="MS Mincho"/>
        </w:rPr>
        <w:t>.</w:t>
      </w:r>
      <w:r w:rsidR="008610D3">
        <w:rPr>
          <w:rFonts w:eastAsia="MS Mincho"/>
        </w:rPr>
        <w:t xml:space="preserve"> </w:t>
      </w:r>
      <w:r w:rsidRPr="00D302D0">
        <w:rPr>
          <w:rFonts w:eastAsia="MS Mincho"/>
        </w:rPr>
        <w:t xml:space="preserve">That is, each HRQL </w:t>
      </w:r>
      <w:r w:rsidR="00903E8B">
        <w:rPr>
          <w:rFonts w:eastAsia="MS Mincho"/>
        </w:rPr>
        <w:t>valuation</w:t>
      </w:r>
      <w:r w:rsidR="00903E8B" w:rsidRPr="00D302D0">
        <w:rPr>
          <w:rFonts w:eastAsia="MS Mincho"/>
        </w:rPr>
        <w:t xml:space="preserve"> </w:t>
      </w:r>
      <w:r w:rsidRPr="00D302D0">
        <w:rPr>
          <w:rFonts w:eastAsia="MS Mincho"/>
        </w:rPr>
        <w:t>could be matched to PGSI score and other measures corresponding to the condition description</w:t>
      </w:r>
      <w:r w:rsidR="007E0C13">
        <w:rPr>
          <w:rFonts w:eastAsia="MS Mincho"/>
        </w:rPr>
        <w:t>.</w:t>
      </w:r>
      <w:r w:rsidR="008610D3">
        <w:rPr>
          <w:rFonts w:eastAsia="MS Mincho"/>
        </w:rPr>
        <w:t xml:space="preserve"> </w:t>
      </w:r>
      <w:r w:rsidRPr="00D302D0">
        <w:rPr>
          <w:rFonts w:eastAsia="MS Mincho"/>
        </w:rPr>
        <w:t xml:space="preserve">Each of the condition descriptions </w:t>
      </w:r>
      <w:r>
        <w:rPr>
          <w:rFonts w:eastAsia="MS Mincho"/>
        </w:rPr>
        <w:t xml:space="preserve">describing harm from one’s own gambling </w:t>
      </w:r>
      <w:r w:rsidRPr="00D302D0">
        <w:rPr>
          <w:rFonts w:eastAsia="MS Mincho"/>
        </w:rPr>
        <w:t xml:space="preserve">were evaluated an average of </w:t>
      </w:r>
      <w:r>
        <w:rPr>
          <w:rFonts w:eastAsia="MS Mincho"/>
        </w:rPr>
        <w:t>4</w:t>
      </w:r>
      <w:r w:rsidRPr="00D302D0">
        <w:rPr>
          <w:rFonts w:eastAsia="MS Mincho"/>
        </w:rPr>
        <w:t>.</w:t>
      </w:r>
      <w:r>
        <w:rPr>
          <w:rFonts w:eastAsia="MS Mincho"/>
        </w:rPr>
        <w:t>95</w:t>
      </w:r>
      <w:r w:rsidRPr="00D302D0">
        <w:rPr>
          <w:rFonts w:eastAsia="MS Mincho"/>
        </w:rPr>
        <w:t xml:space="preserve"> (SD=</w:t>
      </w:r>
      <w:r>
        <w:rPr>
          <w:rFonts w:eastAsia="MS Mincho"/>
        </w:rPr>
        <w:t>2</w:t>
      </w:r>
      <w:r w:rsidRPr="00D302D0">
        <w:rPr>
          <w:rFonts w:eastAsia="MS Mincho"/>
        </w:rPr>
        <w:t>.</w:t>
      </w:r>
      <w:r>
        <w:rPr>
          <w:rFonts w:eastAsia="MS Mincho"/>
        </w:rPr>
        <w:t>69</w:t>
      </w:r>
      <w:r w:rsidRPr="00D302D0">
        <w:rPr>
          <w:rFonts w:eastAsia="MS Mincho"/>
        </w:rPr>
        <w:t>) times by different participants</w:t>
      </w:r>
      <w:r w:rsidR="007E0C13">
        <w:rPr>
          <w:rFonts w:eastAsia="MS Mincho"/>
        </w:rPr>
        <w:t>.</w:t>
      </w:r>
      <w:r w:rsidR="008610D3">
        <w:rPr>
          <w:rFonts w:eastAsia="MS Mincho"/>
        </w:rPr>
        <w:t xml:space="preserve"> </w:t>
      </w:r>
      <w:r w:rsidRPr="00D302D0">
        <w:rPr>
          <w:rFonts w:eastAsia="MS Mincho"/>
        </w:rPr>
        <w:t xml:space="preserve">Each of the condition descriptions </w:t>
      </w:r>
      <w:r>
        <w:rPr>
          <w:rFonts w:eastAsia="MS Mincho"/>
        </w:rPr>
        <w:t xml:space="preserve">describing harm from another’s gambling </w:t>
      </w:r>
      <w:r w:rsidRPr="00D302D0">
        <w:rPr>
          <w:rFonts w:eastAsia="MS Mincho"/>
        </w:rPr>
        <w:t xml:space="preserve">were evaluated an average of </w:t>
      </w:r>
      <w:r>
        <w:rPr>
          <w:rFonts w:eastAsia="MS Mincho"/>
        </w:rPr>
        <w:t>8</w:t>
      </w:r>
      <w:r w:rsidRPr="00D302D0">
        <w:rPr>
          <w:rFonts w:eastAsia="MS Mincho"/>
        </w:rPr>
        <w:t>.</w:t>
      </w:r>
      <w:r>
        <w:rPr>
          <w:rFonts w:eastAsia="MS Mincho"/>
        </w:rPr>
        <w:t>22</w:t>
      </w:r>
      <w:r w:rsidRPr="00D302D0">
        <w:rPr>
          <w:rFonts w:eastAsia="MS Mincho"/>
        </w:rPr>
        <w:t xml:space="preserve"> (SD=</w:t>
      </w:r>
      <w:r>
        <w:rPr>
          <w:rFonts w:eastAsia="MS Mincho"/>
        </w:rPr>
        <w:t>3</w:t>
      </w:r>
      <w:r w:rsidRPr="00D302D0">
        <w:rPr>
          <w:rFonts w:eastAsia="MS Mincho"/>
        </w:rPr>
        <w:t>.</w:t>
      </w:r>
      <w:r>
        <w:rPr>
          <w:rFonts w:eastAsia="MS Mincho"/>
        </w:rPr>
        <w:t>69</w:t>
      </w:r>
      <w:r w:rsidRPr="00D302D0">
        <w:rPr>
          <w:rFonts w:eastAsia="MS Mincho"/>
        </w:rPr>
        <w:t xml:space="preserve">) times by different participants. </w:t>
      </w:r>
    </w:p>
    <w:p w14:paraId="49435F65" w14:textId="17B8F4D6" w:rsidR="00F61793" w:rsidRPr="00D302D0" w:rsidRDefault="00507033" w:rsidP="00507033">
      <w:pPr>
        <w:pStyle w:val="Caption"/>
        <w:rPr>
          <w:b w:val="0"/>
          <w:iCs w:val="0"/>
          <w:color w:val="1C3158"/>
        </w:rPr>
      </w:pPr>
      <w:bookmarkStart w:id="272" w:name="_Ref445408336"/>
      <w:bookmarkStart w:id="273" w:name="_Toc462738122"/>
      <w:r>
        <w:t xml:space="preserve">Table </w:t>
      </w:r>
      <w:fldSimple w:instr=" SEQ Table \* ARABIC ">
        <w:r w:rsidR="0006479A">
          <w:rPr>
            <w:noProof/>
          </w:rPr>
          <w:t>19</w:t>
        </w:r>
      </w:fldSimple>
      <w:bookmarkStart w:id="274" w:name="_Toc440900341"/>
      <w:bookmarkEnd w:id="272"/>
      <w:r w:rsidR="007E0C13">
        <w:t>.</w:t>
      </w:r>
      <w:r w:rsidR="008610D3">
        <w:t xml:space="preserve"> </w:t>
      </w:r>
      <w:r w:rsidR="00F61793" w:rsidRPr="00507033">
        <w:rPr>
          <w:iCs w:val="0"/>
          <w:color w:val="1C3158"/>
        </w:rPr>
        <w:t>Number of HRQL valuations generated by participant type and vignette group</w:t>
      </w:r>
      <w:bookmarkEnd w:id="273"/>
      <w:bookmarkEnd w:id="274"/>
    </w:p>
    <w:tbl>
      <w:tblPr>
        <w:tblW w:w="8363" w:type="dxa"/>
        <w:tblLayout w:type="fixed"/>
        <w:tblLook w:val="04A0" w:firstRow="1" w:lastRow="0" w:firstColumn="1" w:lastColumn="0" w:noHBand="0" w:noVBand="1"/>
      </w:tblPr>
      <w:tblGrid>
        <w:gridCol w:w="1686"/>
        <w:gridCol w:w="1418"/>
        <w:gridCol w:w="1843"/>
        <w:gridCol w:w="1701"/>
        <w:gridCol w:w="1715"/>
      </w:tblGrid>
      <w:tr w:rsidR="00F61793" w:rsidRPr="00D302D0" w14:paraId="4BD7A35A" w14:textId="77777777" w:rsidTr="00903E8B">
        <w:trPr>
          <w:trHeight w:val="315"/>
        </w:trPr>
        <w:tc>
          <w:tcPr>
            <w:tcW w:w="1686"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38AF8C0B"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r w:rsidRPr="00D302D0">
              <w:rPr>
                <w:rFonts w:cs="Arial"/>
                <w:b/>
                <w:bCs/>
                <w:color w:val="1C3158"/>
                <w:sz w:val="18"/>
                <w:lang w:eastAsia="ja-JP"/>
              </w:rPr>
              <w:t>Participant Type</w:t>
            </w:r>
          </w:p>
        </w:tc>
        <w:tc>
          <w:tcPr>
            <w:tcW w:w="1418"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419C607B"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Participant N</w:t>
            </w:r>
          </w:p>
        </w:tc>
        <w:tc>
          <w:tcPr>
            <w:tcW w:w="3544"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272E2A66" w14:textId="2D95804C" w:rsidR="00F61793" w:rsidRPr="00D302D0" w:rsidRDefault="00F61793" w:rsidP="00903E8B">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 xml:space="preserve">Vignette Group HRQL </w:t>
            </w:r>
            <w:r w:rsidR="00903E8B">
              <w:rPr>
                <w:rFonts w:cs="Arial"/>
                <w:b/>
                <w:bCs/>
                <w:color w:val="1C3158"/>
                <w:sz w:val="18"/>
                <w:lang w:eastAsia="ja-JP"/>
              </w:rPr>
              <w:t>V</w:t>
            </w:r>
            <w:r w:rsidRPr="00D302D0">
              <w:rPr>
                <w:rFonts w:cs="Arial"/>
                <w:b/>
                <w:bCs/>
                <w:color w:val="1C3158"/>
                <w:sz w:val="18"/>
                <w:lang w:eastAsia="ja-JP"/>
              </w:rPr>
              <w:t>aluations</w:t>
            </w:r>
          </w:p>
        </w:tc>
        <w:tc>
          <w:tcPr>
            <w:tcW w:w="1715"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311D4B1F" w14:textId="5B67B32F" w:rsidR="00F61793" w:rsidRPr="00D302D0" w:rsidRDefault="00F61793" w:rsidP="00903E8B">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 xml:space="preserve">Total HRQL </w:t>
            </w:r>
            <w:r w:rsidR="00903E8B">
              <w:rPr>
                <w:rFonts w:cs="Arial"/>
                <w:b/>
                <w:bCs/>
                <w:color w:val="1C3158"/>
                <w:sz w:val="18"/>
                <w:lang w:eastAsia="ja-JP"/>
              </w:rPr>
              <w:t>V</w:t>
            </w:r>
            <w:r w:rsidR="00903E8B" w:rsidRPr="00D302D0">
              <w:rPr>
                <w:rFonts w:cs="Arial"/>
                <w:b/>
                <w:bCs/>
                <w:color w:val="1C3158"/>
                <w:sz w:val="18"/>
                <w:lang w:eastAsia="ja-JP"/>
              </w:rPr>
              <w:t>aluations</w:t>
            </w:r>
          </w:p>
        </w:tc>
      </w:tr>
      <w:tr w:rsidR="00F61793" w:rsidRPr="00D302D0" w14:paraId="35EBC1A5" w14:textId="77777777" w:rsidTr="00903E8B">
        <w:trPr>
          <w:trHeight w:val="330"/>
        </w:trPr>
        <w:tc>
          <w:tcPr>
            <w:tcW w:w="1686" w:type="dxa"/>
            <w:vMerge/>
            <w:tcBorders>
              <w:top w:val="single" w:sz="12" w:space="0" w:color="FF9E3C"/>
              <w:left w:val="single" w:sz="12" w:space="0" w:color="FF9E3C"/>
              <w:bottom w:val="single" w:sz="12" w:space="0" w:color="FF9E3C"/>
              <w:right w:val="single" w:sz="12" w:space="0" w:color="FF9E3C"/>
            </w:tcBorders>
            <w:vAlign w:val="center"/>
            <w:hideMark/>
          </w:tcPr>
          <w:p w14:paraId="2AA28B4A"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p>
        </w:tc>
        <w:tc>
          <w:tcPr>
            <w:tcW w:w="1418" w:type="dxa"/>
            <w:vMerge/>
            <w:tcBorders>
              <w:top w:val="single" w:sz="12" w:space="0" w:color="FF9E3C"/>
              <w:left w:val="single" w:sz="12" w:space="0" w:color="FF9E3C"/>
              <w:bottom w:val="single" w:sz="12" w:space="0" w:color="FF9E3C"/>
              <w:right w:val="single" w:sz="12" w:space="0" w:color="FF9E3C"/>
            </w:tcBorders>
            <w:vAlign w:val="center"/>
            <w:hideMark/>
          </w:tcPr>
          <w:p w14:paraId="38C65652"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p>
        </w:tc>
        <w:tc>
          <w:tcPr>
            <w:tcW w:w="1843" w:type="dxa"/>
            <w:tcBorders>
              <w:top w:val="nil"/>
              <w:left w:val="nil"/>
              <w:bottom w:val="single" w:sz="12" w:space="0" w:color="FF9E3C"/>
              <w:right w:val="single" w:sz="12" w:space="0" w:color="FF9E3C"/>
            </w:tcBorders>
            <w:shd w:val="clear" w:color="000000" w:fill="FFBC64"/>
            <w:vAlign w:val="center"/>
            <w:hideMark/>
          </w:tcPr>
          <w:p w14:paraId="2BEA69B9"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Own Gambling</w:t>
            </w:r>
          </w:p>
        </w:tc>
        <w:tc>
          <w:tcPr>
            <w:tcW w:w="1701" w:type="dxa"/>
            <w:tcBorders>
              <w:top w:val="nil"/>
              <w:left w:val="nil"/>
              <w:bottom w:val="single" w:sz="12" w:space="0" w:color="FF9E3C"/>
              <w:right w:val="single" w:sz="12" w:space="0" w:color="FF9E3C"/>
            </w:tcBorders>
            <w:shd w:val="clear" w:color="000000" w:fill="FFBC64"/>
            <w:vAlign w:val="center"/>
            <w:hideMark/>
          </w:tcPr>
          <w:p w14:paraId="5AE6A131"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Affected Other</w:t>
            </w:r>
          </w:p>
        </w:tc>
        <w:tc>
          <w:tcPr>
            <w:tcW w:w="1715" w:type="dxa"/>
            <w:vMerge/>
            <w:tcBorders>
              <w:top w:val="single" w:sz="12" w:space="0" w:color="FF9E3C"/>
              <w:left w:val="single" w:sz="12" w:space="0" w:color="FF9E3C"/>
              <w:bottom w:val="single" w:sz="12" w:space="0" w:color="FF9E3C"/>
              <w:right w:val="single" w:sz="12" w:space="0" w:color="FF9E3C"/>
            </w:tcBorders>
            <w:vAlign w:val="center"/>
            <w:hideMark/>
          </w:tcPr>
          <w:p w14:paraId="5CC2BD79"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p>
        </w:tc>
      </w:tr>
      <w:tr w:rsidR="00F61793" w:rsidRPr="00D302D0" w14:paraId="1C334587" w14:textId="77777777" w:rsidTr="00903E8B">
        <w:trPr>
          <w:trHeight w:val="330"/>
        </w:trPr>
        <w:tc>
          <w:tcPr>
            <w:tcW w:w="1686" w:type="dxa"/>
            <w:tcBorders>
              <w:top w:val="nil"/>
              <w:left w:val="single" w:sz="12" w:space="0" w:color="FF9E3C"/>
              <w:bottom w:val="single" w:sz="12" w:space="0" w:color="FF9E3C"/>
              <w:right w:val="single" w:sz="12" w:space="0" w:color="FF9E3C"/>
            </w:tcBorders>
            <w:shd w:val="clear" w:color="auto" w:fill="auto"/>
            <w:vAlign w:val="center"/>
            <w:hideMark/>
          </w:tcPr>
          <w:p w14:paraId="3070A5FE"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General Population</w:t>
            </w:r>
          </w:p>
        </w:tc>
        <w:tc>
          <w:tcPr>
            <w:tcW w:w="1418" w:type="dxa"/>
            <w:tcBorders>
              <w:top w:val="nil"/>
              <w:left w:val="nil"/>
              <w:bottom w:val="single" w:sz="12" w:space="0" w:color="FF9E3C"/>
              <w:right w:val="single" w:sz="12" w:space="0" w:color="FF9E3C"/>
            </w:tcBorders>
            <w:shd w:val="clear" w:color="auto" w:fill="auto"/>
            <w:vAlign w:val="center"/>
            <w:hideMark/>
          </w:tcPr>
          <w:p w14:paraId="6C9CCCF3"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276</w:t>
            </w:r>
          </w:p>
        </w:tc>
        <w:tc>
          <w:tcPr>
            <w:tcW w:w="1843" w:type="dxa"/>
            <w:tcBorders>
              <w:top w:val="nil"/>
              <w:left w:val="nil"/>
              <w:bottom w:val="single" w:sz="12" w:space="0" w:color="FF9E3C"/>
              <w:right w:val="single" w:sz="12" w:space="0" w:color="FF9E3C"/>
            </w:tcBorders>
            <w:shd w:val="clear" w:color="auto" w:fill="auto"/>
            <w:vAlign w:val="center"/>
            <w:hideMark/>
          </w:tcPr>
          <w:p w14:paraId="566F71A6"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1,512</w:t>
            </w:r>
          </w:p>
        </w:tc>
        <w:tc>
          <w:tcPr>
            <w:tcW w:w="1701" w:type="dxa"/>
            <w:tcBorders>
              <w:top w:val="nil"/>
              <w:left w:val="nil"/>
              <w:bottom w:val="single" w:sz="12" w:space="0" w:color="FF9E3C"/>
              <w:right w:val="single" w:sz="12" w:space="0" w:color="FF9E3C"/>
            </w:tcBorders>
            <w:shd w:val="clear" w:color="auto" w:fill="auto"/>
            <w:vAlign w:val="center"/>
            <w:hideMark/>
          </w:tcPr>
          <w:p w14:paraId="0C67D263"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1,800</w:t>
            </w:r>
          </w:p>
        </w:tc>
        <w:tc>
          <w:tcPr>
            <w:tcW w:w="1715" w:type="dxa"/>
            <w:tcBorders>
              <w:top w:val="nil"/>
              <w:left w:val="nil"/>
              <w:bottom w:val="single" w:sz="12" w:space="0" w:color="FF9E3C"/>
              <w:right w:val="single" w:sz="12" w:space="0" w:color="FF9E3C"/>
            </w:tcBorders>
            <w:shd w:val="clear" w:color="auto" w:fill="auto"/>
            <w:vAlign w:val="center"/>
            <w:hideMark/>
          </w:tcPr>
          <w:p w14:paraId="05FED4B8"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3,312</w:t>
            </w:r>
          </w:p>
        </w:tc>
      </w:tr>
      <w:tr w:rsidR="00F61793" w:rsidRPr="00D302D0" w14:paraId="4BEE3092" w14:textId="77777777" w:rsidTr="00903E8B">
        <w:trPr>
          <w:trHeight w:val="330"/>
        </w:trPr>
        <w:tc>
          <w:tcPr>
            <w:tcW w:w="1686" w:type="dxa"/>
            <w:tcBorders>
              <w:top w:val="nil"/>
              <w:left w:val="single" w:sz="12" w:space="0" w:color="FF9E3C"/>
              <w:bottom w:val="single" w:sz="12" w:space="0" w:color="FF9E3C"/>
              <w:right w:val="single" w:sz="12" w:space="0" w:color="FF9E3C"/>
            </w:tcBorders>
            <w:shd w:val="clear" w:color="auto" w:fill="auto"/>
            <w:vAlign w:val="center"/>
            <w:hideMark/>
          </w:tcPr>
          <w:p w14:paraId="75FF05BC" w14:textId="77777777" w:rsidR="00F61793" w:rsidRPr="00D302D0" w:rsidRDefault="00F61793" w:rsidP="00191866">
            <w:pPr>
              <w:tabs>
                <w:tab w:val="clear" w:pos="426"/>
              </w:tabs>
              <w:spacing w:before="0" w:after="0" w:line="240" w:lineRule="auto"/>
              <w:ind w:left="0" w:right="0"/>
              <w:rPr>
                <w:rFonts w:cs="Arial"/>
                <w:color w:val="1C3158"/>
                <w:sz w:val="18"/>
                <w:lang w:eastAsia="ja-JP"/>
              </w:rPr>
            </w:pPr>
            <w:r w:rsidRPr="00D302D0">
              <w:rPr>
                <w:rFonts w:cs="Arial"/>
                <w:color w:val="1C3158"/>
                <w:sz w:val="18"/>
                <w:lang w:eastAsia="ja-JP"/>
              </w:rPr>
              <w:t>Expert</w:t>
            </w:r>
          </w:p>
        </w:tc>
        <w:tc>
          <w:tcPr>
            <w:tcW w:w="1418" w:type="dxa"/>
            <w:tcBorders>
              <w:top w:val="nil"/>
              <w:left w:val="nil"/>
              <w:bottom w:val="single" w:sz="12" w:space="0" w:color="FF9E3C"/>
              <w:right w:val="single" w:sz="12" w:space="0" w:color="FF9E3C"/>
            </w:tcBorders>
            <w:shd w:val="clear" w:color="auto" w:fill="auto"/>
            <w:vAlign w:val="center"/>
            <w:hideMark/>
          </w:tcPr>
          <w:p w14:paraId="538BF841"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48</w:t>
            </w:r>
          </w:p>
        </w:tc>
        <w:tc>
          <w:tcPr>
            <w:tcW w:w="1843" w:type="dxa"/>
            <w:tcBorders>
              <w:top w:val="nil"/>
              <w:left w:val="nil"/>
              <w:bottom w:val="single" w:sz="12" w:space="0" w:color="FF9E3C"/>
              <w:right w:val="single" w:sz="12" w:space="0" w:color="FF9E3C"/>
            </w:tcBorders>
            <w:shd w:val="clear" w:color="auto" w:fill="auto"/>
            <w:vAlign w:val="center"/>
            <w:hideMark/>
          </w:tcPr>
          <w:p w14:paraId="3BBFB24D"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300</w:t>
            </w:r>
          </w:p>
        </w:tc>
        <w:tc>
          <w:tcPr>
            <w:tcW w:w="1701" w:type="dxa"/>
            <w:tcBorders>
              <w:top w:val="nil"/>
              <w:left w:val="nil"/>
              <w:bottom w:val="single" w:sz="12" w:space="0" w:color="FF9E3C"/>
              <w:right w:val="single" w:sz="12" w:space="0" w:color="FF9E3C"/>
            </w:tcBorders>
            <w:shd w:val="clear" w:color="auto" w:fill="auto"/>
            <w:vAlign w:val="center"/>
            <w:hideMark/>
          </w:tcPr>
          <w:p w14:paraId="442801E6"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276</w:t>
            </w:r>
          </w:p>
        </w:tc>
        <w:tc>
          <w:tcPr>
            <w:tcW w:w="1715" w:type="dxa"/>
            <w:tcBorders>
              <w:top w:val="nil"/>
              <w:left w:val="nil"/>
              <w:bottom w:val="single" w:sz="12" w:space="0" w:color="FF9E3C"/>
              <w:right w:val="single" w:sz="12" w:space="0" w:color="FF9E3C"/>
            </w:tcBorders>
            <w:shd w:val="clear" w:color="auto" w:fill="auto"/>
            <w:vAlign w:val="center"/>
            <w:hideMark/>
          </w:tcPr>
          <w:p w14:paraId="4DDDAACC" w14:textId="77777777" w:rsidR="00F61793" w:rsidRPr="00D302D0" w:rsidRDefault="00F61793" w:rsidP="00191866">
            <w:pPr>
              <w:tabs>
                <w:tab w:val="clear" w:pos="426"/>
              </w:tabs>
              <w:spacing w:before="0" w:after="0" w:line="240" w:lineRule="auto"/>
              <w:ind w:left="0" w:right="0"/>
              <w:jc w:val="center"/>
              <w:rPr>
                <w:rFonts w:cs="Arial"/>
                <w:color w:val="1C3158"/>
                <w:sz w:val="18"/>
                <w:lang w:eastAsia="ja-JP"/>
              </w:rPr>
            </w:pPr>
            <w:r w:rsidRPr="00D302D0">
              <w:rPr>
                <w:rFonts w:cs="Arial"/>
                <w:color w:val="1C3158"/>
                <w:sz w:val="18"/>
                <w:lang w:eastAsia="ja-JP"/>
              </w:rPr>
              <w:t>576</w:t>
            </w:r>
          </w:p>
        </w:tc>
      </w:tr>
      <w:tr w:rsidR="00F61793" w:rsidRPr="00D302D0" w14:paraId="72803A61" w14:textId="77777777" w:rsidTr="00903E8B">
        <w:trPr>
          <w:trHeight w:val="330"/>
        </w:trPr>
        <w:tc>
          <w:tcPr>
            <w:tcW w:w="1686" w:type="dxa"/>
            <w:tcBorders>
              <w:top w:val="nil"/>
              <w:left w:val="single" w:sz="12" w:space="0" w:color="FF9E3C"/>
              <w:bottom w:val="single" w:sz="12" w:space="0" w:color="FF9E3C"/>
              <w:right w:val="single" w:sz="12" w:space="0" w:color="FF9E3C"/>
            </w:tcBorders>
            <w:shd w:val="clear" w:color="auto" w:fill="auto"/>
            <w:vAlign w:val="center"/>
            <w:hideMark/>
          </w:tcPr>
          <w:p w14:paraId="0BCA306D" w14:textId="77777777" w:rsidR="00F61793" w:rsidRPr="00D302D0" w:rsidRDefault="00F61793" w:rsidP="00191866">
            <w:pPr>
              <w:tabs>
                <w:tab w:val="clear" w:pos="426"/>
              </w:tabs>
              <w:spacing w:before="0" w:after="0" w:line="240" w:lineRule="auto"/>
              <w:ind w:left="0" w:right="0"/>
              <w:rPr>
                <w:rFonts w:cs="Arial"/>
                <w:b/>
                <w:bCs/>
                <w:color w:val="1C3158"/>
                <w:sz w:val="18"/>
                <w:lang w:eastAsia="ja-JP"/>
              </w:rPr>
            </w:pPr>
            <w:r w:rsidRPr="00D302D0">
              <w:rPr>
                <w:rFonts w:cs="Arial"/>
                <w:b/>
                <w:bCs/>
                <w:color w:val="1C3158"/>
                <w:sz w:val="18"/>
                <w:lang w:eastAsia="ja-JP"/>
              </w:rPr>
              <w:t>Total</w:t>
            </w:r>
          </w:p>
        </w:tc>
        <w:tc>
          <w:tcPr>
            <w:tcW w:w="1418" w:type="dxa"/>
            <w:tcBorders>
              <w:top w:val="nil"/>
              <w:left w:val="nil"/>
              <w:bottom w:val="single" w:sz="12" w:space="0" w:color="FF9E3C"/>
              <w:right w:val="single" w:sz="12" w:space="0" w:color="FF9E3C"/>
            </w:tcBorders>
            <w:shd w:val="clear" w:color="auto" w:fill="auto"/>
            <w:vAlign w:val="center"/>
            <w:hideMark/>
          </w:tcPr>
          <w:p w14:paraId="66B081D7"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324</w:t>
            </w:r>
          </w:p>
        </w:tc>
        <w:tc>
          <w:tcPr>
            <w:tcW w:w="1843" w:type="dxa"/>
            <w:tcBorders>
              <w:top w:val="nil"/>
              <w:left w:val="nil"/>
              <w:bottom w:val="single" w:sz="12" w:space="0" w:color="FF9E3C"/>
              <w:right w:val="single" w:sz="12" w:space="0" w:color="FF9E3C"/>
            </w:tcBorders>
            <w:shd w:val="clear" w:color="auto" w:fill="auto"/>
            <w:vAlign w:val="center"/>
            <w:hideMark/>
          </w:tcPr>
          <w:p w14:paraId="1C71F072"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1,812</w:t>
            </w:r>
          </w:p>
        </w:tc>
        <w:tc>
          <w:tcPr>
            <w:tcW w:w="1701" w:type="dxa"/>
            <w:tcBorders>
              <w:top w:val="nil"/>
              <w:left w:val="nil"/>
              <w:bottom w:val="single" w:sz="12" w:space="0" w:color="FF9E3C"/>
              <w:right w:val="single" w:sz="12" w:space="0" w:color="FF9E3C"/>
            </w:tcBorders>
            <w:shd w:val="clear" w:color="auto" w:fill="auto"/>
            <w:vAlign w:val="center"/>
            <w:hideMark/>
          </w:tcPr>
          <w:p w14:paraId="5A220900"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2,076</w:t>
            </w:r>
          </w:p>
        </w:tc>
        <w:tc>
          <w:tcPr>
            <w:tcW w:w="1715" w:type="dxa"/>
            <w:tcBorders>
              <w:top w:val="nil"/>
              <w:left w:val="nil"/>
              <w:bottom w:val="single" w:sz="12" w:space="0" w:color="FF9E3C"/>
              <w:right w:val="single" w:sz="12" w:space="0" w:color="FF9E3C"/>
            </w:tcBorders>
            <w:shd w:val="clear" w:color="auto" w:fill="auto"/>
            <w:vAlign w:val="center"/>
            <w:hideMark/>
          </w:tcPr>
          <w:p w14:paraId="66C018B1" w14:textId="77777777" w:rsidR="00F61793" w:rsidRPr="00D302D0" w:rsidRDefault="00F61793" w:rsidP="00191866">
            <w:pPr>
              <w:tabs>
                <w:tab w:val="clear" w:pos="426"/>
              </w:tabs>
              <w:spacing w:before="0" w:after="0" w:line="240" w:lineRule="auto"/>
              <w:ind w:left="0" w:right="0"/>
              <w:jc w:val="center"/>
              <w:rPr>
                <w:rFonts w:cs="Arial"/>
                <w:b/>
                <w:bCs/>
                <w:color w:val="1C3158"/>
                <w:sz w:val="18"/>
                <w:lang w:eastAsia="ja-JP"/>
              </w:rPr>
            </w:pPr>
            <w:r w:rsidRPr="00D302D0">
              <w:rPr>
                <w:rFonts w:cs="Arial"/>
                <w:b/>
                <w:bCs/>
                <w:color w:val="1C3158"/>
                <w:sz w:val="18"/>
                <w:lang w:eastAsia="ja-JP"/>
              </w:rPr>
              <w:t>3,888</w:t>
            </w:r>
          </w:p>
        </w:tc>
      </w:tr>
    </w:tbl>
    <w:p w14:paraId="3C4C93A6" w14:textId="77777777" w:rsidR="00F61793" w:rsidRPr="00D302D0" w:rsidRDefault="00F61793" w:rsidP="00F61793">
      <w:pPr>
        <w:ind w:left="426"/>
        <w:jc w:val="both"/>
        <w:rPr>
          <w:rFonts w:eastAsia="MS Mincho"/>
        </w:rPr>
      </w:pPr>
    </w:p>
    <w:p w14:paraId="60C91D3F" w14:textId="77777777" w:rsidR="00F61793" w:rsidRPr="00D302D0" w:rsidRDefault="00F61793" w:rsidP="00191866">
      <w:pPr>
        <w:pStyle w:val="VRGFHead3"/>
        <w:rPr>
          <w:rFonts w:eastAsia="Calibri"/>
        </w:rPr>
      </w:pPr>
      <w:bookmarkStart w:id="275" w:name="_Toc462738060"/>
      <w:r w:rsidRPr="00D302D0">
        <w:rPr>
          <w:rFonts w:eastAsia="Calibri"/>
        </w:rPr>
        <w:t>Analysis</w:t>
      </w:r>
      <w:bookmarkEnd w:id="275"/>
    </w:p>
    <w:p w14:paraId="1E73E0D7" w14:textId="3BC29C99" w:rsidR="00F61793" w:rsidRDefault="00F61793" w:rsidP="00507033">
      <w:pPr>
        <w:pStyle w:val="VRGFBodycontent"/>
        <w:rPr>
          <w:rFonts w:eastAsia="MS Mincho"/>
        </w:rPr>
      </w:pPr>
      <w:r w:rsidRPr="00D302D0">
        <w:rPr>
          <w:rFonts w:eastAsia="MS Mincho"/>
        </w:rPr>
        <w:t>The aim of analysis was to estimate the conditional mean of the elicited harm evaluations with respect to the PGSI, pooling information from both elicitation protocols</w:t>
      </w:r>
      <w:r w:rsidR="007E0C13">
        <w:rPr>
          <w:rFonts w:eastAsia="MS Mincho"/>
        </w:rPr>
        <w:t>.</w:t>
      </w:r>
      <w:r w:rsidR="008610D3">
        <w:rPr>
          <w:rFonts w:eastAsia="MS Mincho"/>
        </w:rPr>
        <w:t xml:space="preserve"> </w:t>
      </w:r>
      <w:r w:rsidRPr="00D302D0">
        <w:rPr>
          <w:rFonts w:eastAsia="MS Mincho"/>
        </w:rPr>
        <w:t xml:space="preserve">All analyses were conducted on the logit scale in order to </w:t>
      </w:r>
      <w:r w:rsidR="00CD623C">
        <w:rPr>
          <w:rFonts w:eastAsia="MS Mincho"/>
        </w:rPr>
        <w:t>stabilise</w:t>
      </w:r>
      <w:r w:rsidR="00CD623C" w:rsidRPr="00D302D0">
        <w:rPr>
          <w:rFonts w:eastAsia="MS Mincho"/>
        </w:rPr>
        <w:t xml:space="preserve"> </w:t>
      </w:r>
      <w:r w:rsidRPr="00D302D0">
        <w:rPr>
          <w:rFonts w:eastAsia="MS Mincho"/>
        </w:rPr>
        <w:t xml:space="preserve">the error variance of the </w:t>
      </w:r>
      <w:r>
        <w:rPr>
          <w:rFonts w:eastAsia="MS Mincho"/>
        </w:rPr>
        <w:t xml:space="preserve">[0,1] </w:t>
      </w:r>
      <w:r w:rsidRPr="00D302D0">
        <w:rPr>
          <w:rFonts w:eastAsia="MS Mincho"/>
        </w:rPr>
        <w:t>bounded response</w:t>
      </w:r>
      <w:r w:rsidR="007E0C13">
        <w:rPr>
          <w:rFonts w:eastAsia="MS Mincho"/>
        </w:rPr>
        <w:t>.</w:t>
      </w:r>
      <w:r w:rsidR="008610D3">
        <w:rPr>
          <w:rFonts w:eastAsia="MS Mincho"/>
        </w:rPr>
        <w:t xml:space="preserve"> </w:t>
      </w:r>
      <w:r w:rsidRPr="00D302D0">
        <w:rPr>
          <w:rFonts w:eastAsia="MS Mincho"/>
        </w:rPr>
        <w:t>We assumed that harm is an increasing function of gambling problems</w:t>
      </w:r>
      <w:r w:rsidR="007E0C13">
        <w:rPr>
          <w:rFonts w:eastAsia="MS Mincho"/>
        </w:rPr>
        <w:t xml:space="preserve">. </w:t>
      </w:r>
      <w:r w:rsidRPr="00D302D0">
        <w:rPr>
          <w:rFonts w:eastAsia="MS Mincho"/>
        </w:rPr>
        <w:t xml:space="preserve">Therefore, we applied isotonic </w:t>
      </w:r>
      <w:r w:rsidRPr="00D302D0">
        <w:rPr>
          <w:rFonts w:eastAsia="MS Mincho"/>
          <w:lang w:val="en-US"/>
        </w:rPr>
        <w:t>(monotonely increasing nonparametric) least squares regression (</w:t>
      </w:r>
      <w:r w:rsidRPr="00D302D0">
        <w:t>Barlow, Bartholomew, Bremner, &amp; Brunk, 1972; Robertson, Wright, &amp; Dykstra, 1988)</w:t>
      </w:r>
      <w:r w:rsidR="007E0C13">
        <w:t>.</w:t>
      </w:r>
      <w:r w:rsidR="008610D3">
        <w:t xml:space="preserve"> </w:t>
      </w:r>
      <w:r w:rsidRPr="00D302D0">
        <w:rPr>
          <w:rFonts w:eastAsia="MS Mincho"/>
          <w:lang w:val="en-US"/>
        </w:rPr>
        <w:t>The estimated function of harm with respect to PGSI</w:t>
      </w:r>
      <w:r w:rsidRPr="00D302D0">
        <w:rPr>
          <w:rFonts w:eastAsia="MS Mincho"/>
        </w:rPr>
        <w:t xml:space="preserve"> was then inverse-transformed to the original scale</w:t>
      </w:r>
      <w:r w:rsidR="007E0C13">
        <w:rPr>
          <w:rFonts w:eastAsia="MS Mincho"/>
        </w:rPr>
        <w:t>.</w:t>
      </w:r>
      <w:r w:rsidR="008610D3">
        <w:rPr>
          <w:rFonts w:eastAsia="MS Mincho"/>
        </w:rPr>
        <w:t xml:space="preserve"> </w:t>
      </w:r>
      <w:r w:rsidRPr="00D302D0">
        <w:rPr>
          <w:rFonts w:eastAsia="MS Mincho"/>
        </w:rPr>
        <w:t>Elicited values of zero or one yield infinite scores on the logit scale and</w:t>
      </w:r>
      <w:r w:rsidR="000F7319">
        <w:rPr>
          <w:rFonts w:eastAsia="MS Mincho"/>
        </w:rPr>
        <w:t>,</w:t>
      </w:r>
      <w:r w:rsidRPr="00D302D0">
        <w:rPr>
          <w:rFonts w:eastAsia="MS Mincho"/>
        </w:rPr>
        <w:t xml:space="preserve"> accordingly</w:t>
      </w:r>
      <w:r w:rsidR="000F7319">
        <w:rPr>
          <w:rFonts w:eastAsia="MS Mincho"/>
        </w:rPr>
        <w:t>,</w:t>
      </w:r>
      <w:r w:rsidRPr="00D302D0">
        <w:rPr>
          <w:rFonts w:eastAsia="MS Mincho"/>
        </w:rPr>
        <w:t xml:space="preserve"> these were excluded from the transformation, and their counts integrated into the final mean</w:t>
      </w:r>
      <w:r w:rsidR="007E0C13">
        <w:rPr>
          <w:rFonts w:eastAsia="MS Mincho"/>
        </w:rPr>
        <w:t>.</w:t>
      </w:r>
      <w:r w:rsidR="008610D3">
        <w:rPr>
          <w:rFonts w:eastAsia="MS Mincho"/>
        </w:rPr>
        <w:t xml:space="preserve"> </w:t>
      </w:r>
      <w:r w:rsidRPr="00D302D0">
        <w:rPr>
          <w:rFonts w:eastAsia="MS Mincho"/>
        </w:rPr>
        <w:t xml:space="preserve">For those cases in the </w:t>
      </w:r>
      <w:r w:rsidR="00B9606C">
        <w:rPr>
          <w:rFonts w:eastAsia="MS Mincho"/>
        </w:rPr>
        <w:t xml:space="preserve">gambling </w:t>
      </w:r>
      <w:r w:rsidRPr="00D302D0">
        <w:rPr>
          <w:rFonts w:eastAsia="MS Mincho"/>
        </w:rPr>
        <w:t xml:space="preserve">harms </w:t>
      </w:r>
      <w:r w:rsidR="00B9606C">
        <w:rPr>
          <w:rFonts w:eastAsia="MS Mincho"/>
        </w:rPr>
        <w:t xml:space="preserve">national </w:t>
      </w:r>
      <w:r w:rsidRPr="00D302D0">
        <w:rPr>
          <w:rFonts w:eastAsia="MS Mincho"/>
        </w:rPr>
        <w:t xml:space="preserve">survey data that nominated zero harms, condition description evaluation was not meaningful, and these were excluded from </w:t>
      </w:r>
      <w:r w:rsidRPr="00903E8B">
        <w:rPr>
          <w:rFonts w:eastAsia="MS Mincho"/>
        </w:rPr>
        <w:t>the condition description sampling procedure</w:t>
      </w:r>
      <w:r w:rsidR="007E0C13" w:rsidRPr="00903E8B">
        <w:rPr>
          <w:rFonts w:eastAsia="MS Mincho"/>
        </w:rPr>
        <w:t>.</w:t>
      </w:r>
      <w:r w:rsidR="008610D3" w:rsidRPr="00903E8B">
        <w:rPr>
          <w:rFonts w:eastAsia="MS Mincho"/>
        </w:rPr>
        <w:t xml:space="preserve"> </w:t>
      </w:r>
      <w:r w:rsidRPr="00903E8B">
        <w:rPr>
          <w:rFonts w:eastAsia="MS Mincho"/>
        </w:rPr>
        <w:t>It was assumed that these conditions corresponded to a zero HRQL and</w:t>
      </w:r>
      <w:r w:rsidR="000F7319" w:rsidRPr="00903E8B">
        <w:rPr>
          <w:rFonts w:eastAsia="MS Mincho"/>
        </w:rPr>
        <w:t>,</w:t>
      </w:r>
      <w:r w:rsidRPr="00903E8B">
        <w:rPr>
          <w:rFonts w:eastAsia="MS Mincho"/>
        </w:rPr>
        <w:t xml:space="preserve"> accordingly</w:t>
      </w:r>
      <w:r w:rsidR="000F7319" w:rsidRPr="00903E8B">
        <w:rPr>
          <w:rFonts w:eastAsia="MS Mincho"/>
        </w:rPr>
        <w:t>,</w:t>
      </w:r>
      <w:r w:rsidRPr="00903E8B">
        <w:rPr>
          <w:rFonts w:eastAsia="MS Mincho"/>
        </w:rPr>
        <w:t xml:space="preserve"> the corresponding proportion of zero-harm cases was used to scale each conditional HRQL estimate according to the prevalence of zero harm responders</w:t>
      </w:r>
      <w:r w:rsidR="007E0C13" w:rsidRPr="00903E8B">
        <w:rPr>
          <w:rFonts w:eastAsia="MS Mincho"/>
        </w:rPr>
        <w:t>.</w:t>
      </w:r>
      <w:r w:rsidR="008610D3" w:rsidRPr="00903E8B">
        <w:rPr>
          <w:rFonts w:eastAsia="MS Mincho"/>
        </w:rPr>
        <w:t xml:space="preserve"> </w:t>
      </w:r>
      <w:r w:rsidRPr="00903E8B">
        <w:rPr>
          <w:rFonts w:eastAsia="MS Mincho"/>
        </w:rPr>
        <w:t>Standard errors were calculated by bootstrapping the entire numerical process with 200 replications</w:t>
      </w:r>
      <w:r w:rsidR="007E0C13" w:rsidRPr="00903E8B">
        <w:rPr>
          <w:rFonts w:eastAsia="MS Mincho"/>
        </w:rPr>
        <w:t>.</w:t>
      </w:r>
      <w:r w:rsidR="008610D3" w:rsidRPr="00903E8B">
        <w:rPr>
          <w:rFonts w:eastAsia="MS Mincho"/>
        </w:rPr>
        <w:t xml:space="preserve"> </w:t>
      </w:r>
      <w:r w:rsidRPr="00903E8B">
        <w:rPr>
          <w:rFonts w:eastAsia="MS Mincho"/>
        </w:rPr>
        <w:t>The PGSI has a ‘long tail’ of progressively less common scores beyond 15</w:t>
      </w:r>
      <w:r w:rsidR="007E0C13" w:rsidRPr="00903E8B">
        <w:rPr>
          <w:rFonts w:eastAsia="MS Mincho"/>
        </w:rPr>
        <w:t>.</w:t>
      </w:r>
      <w:r w:rsidR="008610D3" w:rsidRPr="00903E8B">
        <w:rPr>
          <w:rFonts w:eastAsia="MS Mincho"/>
        </w:rPr>
        <w:t xml:space="preserve"> </w:t>
      </w:r>
      <w:r w:rsidRPr="00903E8B">
        <w:rPr>
          <w:rFonts w:eastAsia="MS Mincho"/>
        </w:rPr>
        <w:t>Our analyses confirmed that there was a negligible relationship between PGSI and harm beyond 15</w:t>
      </w:r>
      <w:r w:rsidR="007E0C13" w:rsidRPr="00903E8B">
        <w:rPr>
          <w:rFonts w:eastAsia="MS Mincho"/>
        </w:rPr>
        <w:t>.</w:t>
      </w:r>
      <w:r w:rsidR="008610D3" w:rsidRPr="00903E8B">
        <w:rPr>
          <w:rFonts w:eastAsia="MS Mincho"/>
        </w:rPr>
        <w:t xml:space="preserve"> </w:t>
      </w:r>
      <w:r w:rsidRPr="00903E8B">
        <w:rPr>
          <w:rFonts w:eastAsia="MS Mincho"/>
        </w:rPr>
        <w:t>Presented tables and figures are cropped at this point</w:t>
      </w:r>
      <w:r w:rsidRPr="00D302D0">
        <w:rPr>
          <w:rFonts w:eastAsia="MS Mincho"/>
        </w:rPr>
        <w:t>.</w:t>
      </w:r>
    </w:p>
    <w:p w14:paraId="7FC85790" w14:textId="77777777" w:rsidR="00C55215" w:rsidRPr="00D302D0" w:rsidRDefault="00C55215" w:rsidP="00507033">
      <w:pPr>
        <w:pStyle w:val="VRGFBodycontent"/>
        <w:rPr>
          <w:rFonts w:eastAsia="MS Mincho"/>
        </w:rPr>
      </w:pPr>
    </w:p>
    <w:p w14:paraId="3DFE7EC8" w14:textId="77777777" w:rsidR="00F61793" w:rsidRPr="00D302D0" w:rsidRDefault="00F61793" w:rsidP="00191866">
      <w:pPr>
        <w:pStyle w:val="VRGFHead4"/>
      </w:pPr>
      <w:r>
        <w:t>Filtering low-quality</w:t>
      </w:r>
      <w:r w:rsidRPr="00D302D0">
        <w:t xml:space="preserve"> </w:t>
      </w:r>
      <w:r>
        <w:t>evaluations</w:t>
      </w:r>
    </w:p>
    <w:p w14:paraId="675281B7" w14:textId="3451E82B" w:rsidR="00F61793" w:rsidRPr="00D302D0" w:rsidRDefault="00F61793" w:rsidP="00507033">
      <w:pPr>
        <w:pStyle w:val="VRGFBodycontent"/>
        <w:rPr>
          <w:rFonts w:eastAsia="MS Mincho"/>
        </w:rPr>
      </w:pPr>
      <w:r w:rsidRPr="00D302D0">
        <w:rPr>
          <w:rFonts w:eastAsia="MS Mincho"/>
        </w:rPr>
        <w:t>He</w:t>
      </w:r>
      <w:r w:rsidRPr="00507033">
        <w:rPr>
          <w:rStyle w:val="VRGFBodycontentChar"/>
          <w:rFonts w:eastAsia="MS Mincho"/>
        </w:rPr>
        <w:t>a</w:t>
      </w:r>
      <w:r w:rsidRPr="00D302D0">
        <w:rPr>
          <w:rFonts w:eastAsia="MS Mincho"/>
        </w:rPr>
        <w:t>lth state valuation protocols are potentially a cognitively challenging task, requiring that participants have the capacity and the motivation to underst</w:t>
      </w:r>
      <w:r w:rsidRPr="00507033">
        <w:rPr>
          <w:rStyle w:val="VRGFBodycontentChar"/>
          <w:rFonts w:eastAsia="MS Mincho"/>
        </w:rPr>
        <w:t>a</w:t>
      </w:r>
      <w:r w:rsidRPr="00D302D0">
        <w:rPr>
          <w:rFonts w:eastAsia="MS Mincho"/>
        </w:rPr>
        <w:t>nd and follow the instructions</w:t>
      </w:r>
      <w:r w:rsidR="007E0C13">
        <w:rPr>
          <w:rFonts w:eastAsia="MS Mincho"/>
        </w:rPr>
        <w:t>.</w:t>
      </w:r>
      <w:r w:rsidR="008610D3">
        <w:rPr>
          <w:rFonts w:eastAsia="MS Mincho"/>
        </w:rPr>
        <w:t xml:space="preserve"> </w:t>
      </w:r>
      <w:r w:rsidRPr="00D302D0">
        <w:rPr>
          <w:rFonts w:eastAsia="MS Mincho"/>
        </w:rPr>
        <w:t>A potential disadvantage of internet-based elicitation is that the researcher is unable to personally check for attention and understanding</w:t>
      </w:r>
      <w:r w:rsidR="007E0C13">
        <w:rPr>
          <w:rFonts w:eastAsia="MS Mincho"/>
        </w:rPr>
        <w:t>.</w:t>
      </w:r>
      <w:r w:rsidR="008610D3">
        <w:rPr>
          <w:rFonts w:eastAsia="MS Mincho"/>
        </w:rPr>
        <w:t xml:space="preserve"> </w:t>
      </w:r>
      <w:r>
        <w:rPr>
          <w:rFonts w:eastAsia="MS Mincho"/>
        </w:rPr>
        <w:t xml:space="preserve">However, because we obtained multiple evaluations from </w:t>
      </w:r>
      <w:r>
        <w:rPr>
          <w:rFonts w:eastAsia="MS Mincho"/>
        </w:rPr>
        <w:lastRenderedPageBreak/>
        <w:t>each participant, we could calculate a within-rater reliability score in the form of a correlation, for each rater, between their ratings and the PGSI</w:t>
      </w:r>
      <w:r w:rsidR="007E0C13">
        <w:rPr>
          <w:rFonts w:eastAsia="MS Mincho"/>
        </w:rPr>
        <w:t>.</w:t>
      </w:r>
      <w:r w:rsidR="008610D3">
        <w:rPr>
          <w:rFonts w:eastAsia="MS Mincho"/>
        </w:rPr>
        <w:t xml:space="preserve"> </w:t>
      </w:r>
      <w:r>
        <w:rPr>
          <w:rFonts w:eastAsia="MS Mincho"/>
        </w:rPr>
        <w:t>Based on the assumption that a true negative correlation between PGSI and valuations should be very unlikely, we excluded raters whose ratings failed to correlate positively with the PGSI</w:t>
      </w:r>
      <w:r w:rsidR="007E0C13">
        <w:rPr>
          <w:rFonts w:eastAsia="MS Mincho"/>
        </w:rPr>
        <w:t>.</w:t>
      </w:r>
      <w:r w:rsidR="008610D3">
        <w:rPr>
          <w:rFonts w:eastAsia="MS Mincho"/>
        </w:rPr>
        <w:t xml:space="preserve"> </w:t>
      </w:r>
      <w:r>
        <w:rPr>
          <w:rFonts w:eastAsia="MS Mincho"/>
        </w:rPr>
        <w:t xml:space="preserve">Additionally, </w:t>
      </w:r>
      <w:r w:rsidR="00DD0FFF">
        <w:rPr>
          <w:rFonts w:eastAsia="MS Mincho"/>
        </w:rPr>
        <w:t xml:space="preserve">we </w:t>
      </w:r>
      <w:r>
        <w:rPr>
          <w:rFonts w:eastAsia="MS Mincho"/>
        </w:rPr>
        <w:t>checked for non-attention as displayed by non-varying or constant ratings</w:t>
      </w:r>
      <w:r w:rsidR="007E0C13">
        <w:rPr>
          <w:rFonts w:eastAsia="MS Mincho"/>
        </w:rPr>
        <w:t>.</w:t>
      </w:r>
      <w:r w:rsidR="008610D3">
        <w:rPr>
          <w:rFonts w:eastAsia="MS Mincho"/>
        </w:rPr>
        <w:t xml:space="preserve"> </w:t>
      </w:r>
      <w:r>
        <w:rPr>
          <w:rFonts w:eastAsia="MS Mincho"/>
        </w:rPr>
        <w:t>Raters were excluded if the standard deviation (SD) of their ratings was less than 0.1</w:t>
      </w:r>
      <w:r w:rsidR="007E0C13">
        <w:rPr>
          <w:rFonts w:eastAsia="MS Mincho"/>
        </w:rPr>
        <w:t>.</w:t>
      </w:r>
      <w:r w:rsidR="008610D3">
        <w:rPr>
          <w:rFonts w:eastAsia="MS Mincho"/>
        </w:rPr>
        <w:t xml:space="preserve"> </w:t>
      </w:r>
      <w:r>
        <w:rPr>
          <w:rFonts w:eastAsia="MS Mincho"/>
        </w:rPr>
        <w:t xml:space="preserve">The mean correlation of </w:t>
      </w:r>
      <w:r w:rsidRPr="00903E8B">
        <w:rPr>
          <w:rFonts w:eastAsia="MS Mincho"/>
        </w:rPr>
        <w:t>ratings with the PGSI was 0.57, and the mean SD (of correlations) was 0.19</w:t>
      </w:r>
      <w:r w:rsidR="007E0C13" w:rsidRPr="00903E8B">
        <w:rPr>
          <w:rFonts w:eastAsia="MS Mincho"/>
        </w:rPr>
        <w:t>.</w:t>
      </w:r>
      <w:r w:rsidR="008610D3" w:rsidRPr="00903E8B">
        <w:rPr>
          <w:rFonts w:eastAsia="MS Mincho"/>
        </w:rPr>
        <w:t xml:space="preserve"> </w:t>
      </w:r>
      <w:r w:rsidRPr="00903E8B">
        <w:rPr>
          <w:rFonts w:eastAsia="MS Mincho"/>
        </w:rPr>
        <w:t>If raters failed either of these tests, for either protocol, their responses were excluded</w:t>
      </w:r>
      <w:r w:rsidR="007E0C13" w:rsidRPr="00903E8B">
        <w:rPr>
          <w:rFonts w:eastAsia="MS Mincho"/>
        </w:rPr>
        <w:t>.</w:t>
      </w:r>
      <w:r w:rsidR="008610D3" w:rsidRPr="00903E8B">
        <w:rPr>
          <w:rFonts w:eastAsia="MS Mincho"/>
        </w:rPr>
        <w:t xml:space="preserve"> </w:t>
      </w:r>
      <w:r w:rsidRPr="00903E8B">
        <w:rPr>
          <w:rFonts w:eastAsia="MS Mincho"/>
        </w:rPr>
        <w:t>These operations resulted in a reduced set of 1962 valuations for subsequent analysis.</w:t>
      </w:r>
    </w:p>
    <w:p w14:paraId="6347391F" w14:textId="77777777" w:rsidR="00F61793" w:rsidRPr="00D302D0" w:rsidRDefault="00F61793" w:rsidP="00F61793">
      <w:pPr>
        <w:ind w:left="426"/>
        <w:jc w:val="both"/>
        <w:rPr>
          <w:rFonts w:eastAsia="MS Mincho"/>
        </w:rPr>
      </w:pPr>
    </w:p>
    <w:p w14:paraId="3E674CD4" w14:textId="77777777" w:rsidR="00F61793" w:rsidRPr="00D302D0" w:rsidRDefault="00F61793" w:rsidP="00191866">
      <w:pPr>
        <w:pStyle w:val="VRGFHead4"/>
      </w:pPr>
      <w:r w:rsidRPr="00D302D0">
        <w:t>Harms for those with a PGSI score of 0</w:t>
      </w:r>
    </w:p>
    <w:p w14:paraId="1BFB3071" w14:textId="6019B710" w:rsidR="00F61793" w:rsidRPr="00D302D0" w:rsidRDefault="00F61793" w:rsidP="00507033">
      <w:pPr>
        <w:pStyle w:val="VRGFBodycontent"/>
        <w:rPr>
          <w:rFonts w:eastAsia="MS Mincho"/>
        </w:rPr>
      </w:pPr>
      <w:r w:rsidRPr="00961116">
        <w:rPr>
          <w:rFonts w:eastAsia="MS Mincho"/>
        </w:rPr>
        <w:t xml:space="preserve">Of the </w:t>
      </w:r>
      <w:r w:rsidRPr="0019781B">
        <w:rPr>
          <w:rFonts w:eastAsia="MS Mincho"/>
        </w:rPr>
        <w:t>85 cases</w:t>
      </w:r>
      <w:r w:rsidRPr="00961116">
        <w:rPr>
          <w:rFonts w:eastAsia="MS Mincho"/>
        </w:rPr>
        <w:t xml:space="preserve"> in </w:t>
      </w:r>
      <w:r w:rsidR="00B9606C">
        <w:rPr>
          <w:rFonts w:eastAsia="MS Mincho"/>
        </w:rPr>
        <w:t>the HRQL survey</w:t>
      </w:r>
      <w:r w:rsidR="00B9606C" w:rsidRPr="0019781B">
        <w:rPr>
          <w:rFonts w:eastAsia="MS Mincho"/>
        </w:rPr>
        <w:t xml:space="preserve"> </w:t>
      </w:r>
      <w:r w:rsidR="00B9606C">
        <w:rPr>
          <w:rFonts w:eastAsia="MS Mincho"/>
        </w:rPr>
        <w:t xml:space="preserve">for </w:t>
      </w:r>
      <w:r w:rsidRPr="00961116">
        <w:rPr>
          <w:rFonts w:eastAsia="MS Mincho"/>
        </w:rPr>
        <w:t>harm from one’s own gambling</w:t>
      </w:r>
      <w:r w:rsidR="00B9606C">
        <w:rPr>
          <w:rFonts w:eastAsia="MS Mincho"/>
        </w:rPr>
        <w:t xml:space="preserve"> </w:t>
      </w:r>
      <w:r w:rsidRPr="00961116">
        <w:rPr>
          <w:rFonts w:eastAsia="MS Mincho"/>
        </w:rPr>
        <w:t xml:space="preserve">with a PGSI score of 0, </w:t>
      </w:r>
      <w:r w:rsidRPr="0019781B">
        <w:rPr>
          <w:rFonts w:eastAsia="MS Mincho"/>
        </w:rPr>
        <w:t>36 (42%)</w:t>
      </w:r>
      <w:r w:rsidRPr="00961116">
        <w:rPr>
          <w:rFonts w:eastAsia="MS Mincho"/>
        </w:rPr>
        <w:t xml:space="preserve"> reported one or more harms</w:t>
      </w:r>
      <w:r w:rsidR="007E0C13">
        <w:rPr>
          <w:rFonts w:eastAsia="MS Mincho"/>
        </w:rPr>
        <w:t>.</w:t>
      </w:r>
      <w:r w:rsidR="008610D3">
        <w:rPr>
          <w:rFonts w:eastAsia="MS Mincho"/>
        </w:rPr>
        <w:t xml:space="preserve"> </w:t>
      </w:r>
      <w:r w:rsidRPr="00961116">
        <w:rPr>
          <w:rFonts w:eastAsia="MS Mincho"/>
        </w:rPr>
        <w:t xml:space="preserve">This may be compared to </w:t>
      </w:r>
      <w:r w:rsidRPr="0019781B">
        <w:rPr>
          <w:rFonts w:eastAsia="MS Mincho"/>
        </w:rPr>
        <w:t xml:space="preserve">93 out of 122 cases (76%) in the low-risk category </w:t>
      </w:r>
      <w:r w:rsidR="000F7319">
        <w:rPr>
          <w:rFonts w:eastAsia="MS Mincho"/>
        </w:rPr>
        <w:t>who</w:t>
      </w:r>
      <w:r w:rsidR="000F7319" w:rsidRPr="0019781B">
        <w:rPr>
          <w:rFonts w:eastAsia="MS Mincho"/>
        </w:rPr>
        <w:t xml:space="preserve"> </w:t>
      </w:r>
      <w:r w:rsidRPr="0019781B">
        <w:rPr>
          <w:rFonts w:eastAsia="MS Mincho"/>
        </w:rPr>
        <w:t>reported one or more harms</w:t>
      </w:r>
      <w:r w:rsidR="007E0C13">
        <w:rPr>
          <w:rFonts w:eastAsia="MS Mincho"/>
        </w:rPr>
        <w:t>.</w:t>
      </w:r>
      <w:r w:rsidR="008610D3">
        <w:rPr>
          <w:rFonts w:eastAsia="MS Mincho"/>
        </w:rPr>
        <w:t xml:space="preserve"> </w:t>
      </w:r>
      <w:r w:rsidRPr="00961116">
        <w:rPr>
          <w:rFonts w:eastAsia="MS Mincho"/>
        </w:rPr>
        <w:t>In other words, respondents with a score of zero on the PGSI may nevertheless be experiencing some degree of gambling harm</w:t>
      </w:r>
      <w:r w:rsidR="007E0C13">
        <w:rPr>
          <w:rFonts w:eastAsia="MS Mincho"/>
        </w:rPr>
        <w:t>.</w:t>
      </w:r>
      <w:r w:rsidR="008610D3">
        <w:rPr>
          <w:rFonts w:eastAsia="MS Mincho"/>
        </w:rPr>
        <w:t xml:space="preserve"> </w:t>
      </w:r>
      <w:r w:rsidRPr="00961116">
        <w:rPr>
          <w:rFonts w:eastAsia="MS Mincho"/>
        </w:rPr>
        <w:t>This is not a surprising result, given the brevity of the PGSI, and its emphasis on sensitivity for detecting the presence of severe</w:t>
      </w:r>
      <w:r>
        <w:rPr>
          <w:rFonts w:eastAsia="MS Mincho"/>
        </w:rPr>
        <w:t xml:space="preserve"> – rather than marginal -</w:t>
      </w:r>
      <w:r w:rsidRPr="00961116">
        <w:rPr>
          <w:rFonts w:eastAsia="MS Mincho"/>
        </w:rPr>
        <w:t xml:space="preserve"> gambling problems</w:t>
      </w:r>
      <w:r w:rsidR="007E0C13">
        <w:rPr>
          <w:rFonts w:eastAsia="MS Mincho"/>
        </w:rPr>
        <w:t>.</w:t>
      </w:r>
      <w:r w:rsidR="008610D3">
        <w:rPr>
          <w:rFonts w:eastAsia="MS Mincho"/>
        </w:rPr>
        <w:t xml:space="preserve"> </w:t>
      </w:r>
      <w:r w:rsidRPr="00961116">
        <w:rPr>
          <w:rFonts w:eastAsia="MS Mincho"/>
        </w:rPr>
        <w:t xml:space="preserve">Nevertheless, our methodology for assessing gambling harms in New Zealand </w:t>
      </w:r>
      <w:r w:rsidR="00C13FB5">
        <w:rPr>
          <w:rFonts w:eastAsia="MS Mincho"/>
        </w:rPr>
        <w:t>depended</w:t>
      </w:r>
      <w:r w:rsidR="00C13FB5" w:rsidRPr="00961116">
        <w:rPr>
          <w:rFonts w:eastAsia="MS Mincho"/>
        </w:rPr>
        <w:t xml:space="preserve"> </w:t>
      </w:r>
      <w:r w:rsidRPr="00961116">
        <w:rPr>
          <w:rFonts w:eastAsia="MS Mincho"/>
        </w:rPr>
        <w:t>on existent datasets that rely on the PGSI as a prevalence estimate for harms – which constrain</w:t>
      </w:r>
      <w:r w:rsidR="000F7319">
        <w:rPr>
          <w:rFonts w:eastAsia="MS Mincho"/>
        </w:rPr>
        <w:t>ed</w:t>
      </w:r>
      <w:r w:rsidRPr="00961116">
        <w:rPr>
          <w:rFonts w:eastAsia="MS Mincho"/>
        </w:rPr>
        <w:t xml:space="preserve"> the scope of our measure of harm</w:t>
      </w:r>
      <w:r w:rsidR="007E0C13">
        <w:rPr>
          <w:rFonts w:eastAsia="MS Mincho"/>
        </w:rPr>
        <w:t>.</w:t>
      </w:r>
      <w:r w:rsidR="008610D3">
        <w:rPr>
          <w:rFonts w:eastAsia="MS Mincho"/>
        </w:rPr>
        <w:t xml:space="preserve"> </w:t>
      </w:r>
      <w:r w:rsidRPr="00961116">
        <w:rPr>
          <w:rFonts w:eastAsia="MS Mincho"/>
        </w:rPr>
        <w:t xml:space="preserve">We judged that using the </w:t>
      </w:r>
      <w:r w:rsidRPr="0019781B">
        <w:rPr>
          <w:rFonts w:eastAsia="MS Mincho"/>
        </w:rPr>
        <w:t xml:space="preserve">36 out of </w:t>
      </w:r>
      <w:r w:rsidRPr="00381FA2">
        <w:rPr>
          <w:rFonts w:eastAsia="MS Mincho"/>
        </w:rPr>
        <w:t>85 cases to make an inference of harm on the very large proportion of gamblers who respond</w:t>
      </w:r>
      <w:r w:rsidR="0038703B">
        <w:rPr>
          <w:rFonts w:eastAsia="MS Mincho"/>
        </w:rPr>
        <w:t xml:space="preserve"> zero</w:t>
      </w:r>
      <w:r w:rsidRPr="00381FA2">
        <w:rPr>
          <w:rFonts w:eastAsia="MS Mincho"/>
        </w:rPr>
        <w:t xml:space="preserve"> on the PGSI in the New Zealand population would be anti-conservative</w:t>
      </w:r>
      <w:r w:rsidR="007E0C13">
        <w:rPr>
          <w:rFonts w:eastAsia="MS Mincho"/>
        </w:rPr>
        <w:t>.</w:t>
      </w:r>
      <w:r w:rsidR="008610D3">
        <w:rPr>
          <w:rFonts w:eastAsia="MS Mincho"/>
        </w:rPr>
        <w:t xml:space="preserve"> </w:t>
      </w:r>
      <w:r w:rsidRPr="00381FA2">
        <w:rPr>
          <w:rFonts w:eastAsia="MS Mincho"/>
        </w:rPr>
        <w:t>Thus, although these cases were included in the vignette creation process, and subsequently evaluated using the elicitation protocols, they were excluded from further analysis</w:t>
      </w:r>
      <w:r w:rsidR="007E0C13">
        <w:rPr>
          <w:rFonts w:eastAsia="MS Mincho"/>
        </w:rPr>
        <w:t>.</w:t>
      </w:r>
      <w:r w:rsidR="008610D3">
        <w:rPr>
          <w:rFonts w:eastAsia="MS Mincho"/>
        </w:rPr>
        <w:t xml:space="preserve"> </w:t>
      </w:r>
      <w:r>
        <w:rPr>
          <w:rFonts w:eastAsia="MS Mincho"/>
        </w:rPr>
        <w:t xml:space="preserve">This had the effect of making </w:t>
      </w:r>
      <w:r w:rsidRPr="00961116">
        <w:rPr>
          <w:rFonts w:eastAsia="MS Mincho"/>
        </w:rPr>
        <w:t xml:space="preserve">our measure of harm </w:t>
      </w:r>
      <w:r>
        <w:rPr>
          <w:rFonts w:eastAsia="MS Mincho"/>
        </w:rPr>
        <w:t>more</w:t>
      </w:r>
      <w:r w:rsidRPr="00961116">
        <w:rPr>
          <w:rFonts w:eastAsia="MS Mincho"/>
        </w:rPr>
        <w:t xml:space="preserve"> conservative – </w:t>
      </w:r>
      <w:r>
        <w:rPr>
          <w:rFonts w:eastAsia="MS Mincho"/>
        </w:rPr>
        <w:t>in that we assume</w:t>
      </w:r>
      <w:r w:rsidRPr="00961116">
        <w:rPr>
          <w:rFonts w:eastAsia="MS Mincho"/>
        </w:rPr>
        <w:t xml:space="preserve"> that PGSI</w:t>
      </w:r>
      <w:r w:rsidR="0038703B">
        <w:rPr>
          <w:rFonts w:eastAsia="MS Mincho"/>
        </w:rPr>
        <w:t xml:space="preserve"> zero </w:t>
      </w:r>
      <w:r w:rsidRPr="00961116">
        <w:rPr>
          <w:rFonts w:eastAsia="MS Mincho"/>
        </w:rPr>
        <w:t>individuals suffer zero harm</w:t>
      </w:r>
      <w:r w:rsidR="007E0C13">
        <w:rPr>
          <w:rFonts w:eastAsia="MS Mincho"/>
        </w:rPr>
        <w:t>.</w:t>
      </w:r>
      <w:r w:rsidR="008610D3">
        <w:rPr>
          <w:rFonts w:eastAsia="MS Mincho"/>
        </w:rPr>
        <w:t xml:space="preserve"> </w:t>
      </w:r>
      <w:r w:rsidRPr="00961116">
        <w:rPr>
          <w:rFonts w:eastAsia="MS Mincho"/>
        </w:rPr>
        <w:t>We shall return to this point in the discussion.</w:t>
      </w:r>
    </w:p>
    <w:p w14:paraId="0E7E2736" w14:textId="77777777" w:rsidR="00F61793" w:rsidRDefault="00F61793" w:rsidP="00F61793">
      <w:pPr>
        <w:ind w:left="426"/>
        <w:jc w:val="both"/>
        <w:rPr>
          <w:rFonts w:eastAsia="MS Mincho"/>
        </w:rPr>
      </w:pPr>
    </w:p>
    <w:p w14:paraId="18B2F306" w14:textId="77777777" w:rsidR="00F61793" w:rsidRPr="00D302D0" w:rsidRDefault="00F61793" w:rsidP="00191866">
      <w:pPr>
        <w:pStyle w:val="VRGFHead4"/>
      </w:pPr>
      <w:r>
        <w:t>Cases with a</w:t>
      </w:r>
      <w:r w:rsidRPr="00D302D0">
        <w:t xml:space="preserve"> PGSI score </w:t>
      </w:r>
      <w:r>
        <w:t>greater than</w:t>
      </w:r>
      <w:r w:rsidRPr="00D302D0">
        <w:t xml:space="preserve"> 0</w:t>
      </w:r>
      <w:r>
        <w:t xml:space="preserve"> but no harms</w:t>
      </w:r>
    </w:p>
    <w:p w14:paraId="2421EDB2" w14:textId="4C1E477F" w:rsidR="00F61793" w:rsidRDefault="000F7319" w:rsidP="00507033">
      <w:pPr>
        <w:pStyle w:val="VRGFBodycontent"/>
        <w:rPr>
          <w:rFonts w:eastAsia="MS Mincho"/>
        </w:rPr>
      </w:pPr>
      <w:r>
        <w:rPr>
          <w:rFonts w:eastAsia="MS Mincho"/>
        </w:rPr>
        <w:t>Six percent</w:t>
      </w:r>
      <w:r w:rsidR="00F61793" w:rsidRPr="0019781B">
        <w:rPr>
          <w:rFonts w:eastAsia="MS Mincho"/>
        </w:rPr>
        <w:t xml:space="preserve"> (52/866)</w:t>
      </w:r>
      <w:r w:rsidR="00F61793">
        <w:rPr>
          <w:rFonts w:eastAsia="MS Mincho"/>
        </w:rPr>
        <w:t xml:space="preserve"> of</w:t>
      </w:r>
      <w:r w:rsidR="00F61793" w:rsidRPr="0019781B">
        <w:rPr>
          <w:rFonts w:eastAsia="MS Mincho"/>
        </w:rPr>
        <w:t xml:space="preserve"> cases</w:t>
      </w:r>
      <w:r w:rsidR="00B9606C">
        <w:rPr>
          <w:rFonts w:eastAsia="MS Mincho"/>
        </w:rPr>
        <w:t xml:space="preserve"> from the national survey selected as vignettes for the HRQL survey</w:t>
      </w:r>
      <w:r w:rsidR="00F61793" w:rsidRPr="0019781B">
        <w:rPr>
          <w:rFonts w:eastAsia="MS Mincho"/>
        </w:rPr>
        <w:t xml:space="preserve"> involved a non-zero PGSI score, but reported no harms from the checklist</w:t>
      </w:r>
      <w:r w:rsidR="007E0C13">
        <w:rPr>
          <w:rFonts w:eastAsia="MS Mincho"/>
        </w:rPr>
        <w:t>.</w:t>
      </w:r>
      <w:r w:rsidR="008610D3">
        <w:rPr>
          <w:rFonts w:eastAsia="MS Mincho"/>
        </w:rPr>
        <w:t xml:space="preserve"> </w:t>
      </w:r>
      <w:r w:rsidR="00F61793" w:rsidRPr="0019781B">
        <w:rPr>
          <w:rFonts w:eastAsia="MS Mincho"/>
        </w:rPr>
        <w:t xml:space="preserve">Given there </w:t>
      </w:r>
      <w:r w:rsidR="0011210A">
        <w:rPr>
          <w:rFonts w:eastAsia="MS Mincho"/>
        </w:rPr>
        <w:t>were</w:t>
      </w:r>
      <w:r w:rsidR="0011210A" w:rsidRPr="0019781B">
        <w:rPr>
          <w:rFonts w:eastAsia="MS Mincho"/>
        </w:rPr>
        <w:t xml:space="preserve"> </w:t>
      </w:r>
      <w:r w:rsidR="00F61793" w:rsidRPr="0019781B">
        <w:rPr>
          <w:rFonts w:eastAsia="MS Mincho"/>
        </w:rPr>
        <w:t xml:space="preserve">no harms with which to create </w:t>
      </w:r>
      <w:r>
        <w:rPr>
          <w:rFonts w:eastAsia="MS Mincho"/>
        </w:rPr>
        <w:t xml:space="preserve">a </w:t>
      </w:r>
      <w:r w:rsidR="00F61793" w:rsidRPr="0019781B">
        <w:rPr>
          <w:rFonts w:eastAsia="MS Mincho"/>
        </w:rPr>
        <w:t xml:space="preserve">vignette, it </w:t>
      </w:r>
      <w:r w:rsidR="0011210A">
        <w:rPr>
          <w:rFonts w:eastAsia="MS Mincho"/>
        </w:rPr>
        <w:t xml:space="preserve">was </w:t>
      </w:r>
      <w:r w:rsidR="00F61793" w:rsidRPr="0019781B">
        <w:rPr>
          <w:rFonts w:eastAsia="MS Mincho"/>
        </w:rPr>
        <w:t>not reasonabl</w:t>
      </w:r>
      <w:r>
        <w:rPr>
          <w:rFonts w:eastAsia="MS Mincho"/>
        </w:rPr>
        <w:t>e</w:t>
      </w:r>
      <w:r w:rsidR="00F61793" w:rsidRPr="0019781B">
        <w:rPr>
          <w:rFonts w:eastAsia="MS Mincho"/>
        </w:rPr>
        <w:t xml:space="preserve"> to elicit evaluations in this scenario</w:t>
      </w:r>
      <w:r w:rsidR="007E0C13">
        <w:rPr>
          <w:rFonts w:eastAsia="MS Mincho"/>
        </w:rPr>
        <w:t>.</w:t>
      </w:r>
      <w:r w:rsidR="008610D3">
        <w:rPr>
          <w:rFonts w:eastAsia="MS Mincho"/>
        </w:rPr>
        <w:t xml:space="preserve"> </w:t>
      </w:r>
      <w:r w:rsidR="00F61793" w:rsidRPr="0019781B">
        <w:rPr>
          <w:rFonts w:eastAsia="MS Mincho"/>
        </w:rPr>
        <w:t>Therefore, these cases were removed from the vignette creation process</w:t>
      </w:r>
      <w:r w:rsidR="007E0C13">
        <w:rPr>
          <w:rFonts w:eastAsia="MS Mincho"/>
        </w:rPr>
        <w:t>.</w:t>
      </w:r>
      <w:r w:rsidR="008610D3">
        <w:rPr>
          <w:rFonts w:eastAsia="MS Mincho"/>
        </w:rPr>
        <w:t xml:space="preserve"> </w:t>
      </w:r>
      <w:r w:rsidR="00F61793" w:rsidRPr="0019781B">
        <w:rPr>
          <w:rFonts w:eastAsia="MS Mincho"/>
        </w:rPr>
        <w:t>To avoid biasing the estimate, we assumed these cases had no quality of life impairment, and offset the final estimates accordingly.</w:t>
      </w:r>
    </w:p>
    <w:p w14:paraId="44A88833" w14:textId="77777777" w:rsidR="00F61793" w:rsidRPr="00D302D0" w:rsidRDefault="00F61793" w:rsidP="00F61793">
      <w:pPr>
        <w:ind w:left="426"/>
        <w:jc w:val="both"/>
        <w:rPr>
          <w:rFonts w:eastAsia="MS Mincho"/>
        </w:rPr>
      </w:pPr>
    </w:p>
    <w:p w14:paraId="107DF1C2" w14:textId="77777777" w:rsidR="00F61793" w:rsidRPr="00D302D0" w:rsidRDefault="00F61793" w:rsidP="00191866">
      <w:pPr>
        <w:pStyle w:val="VRGFHead4"/>
      </w:pPr>
      <w:r w:rsidRPr="00D302D0">
        <w:t>Accounting for heterogeneity and uncertainty</w:t>
      </w:r>
    </w:p>
    <w:p w14:paraId="6BB2B20F" w14:textId="17947CA8" w:rsidR="00F61793" w:rsidRPr="00507033" w:rsidRDefault="00F61793" w:rsidP="00507033">
      <w:pPr>
        <w:pStyle w:val="VRGFBodycontent"/>
        <w:rPr>
          <w:rFonts w:eastAsia="MS Mincho"/>
        </w:rPr>
      </w:pPr>
      <w:r w:rsidRPr="00D302D0">
        <w:rPr>
          <w:rFonts w:eastAsia="MS Mincho"/>
        </w:rPr>
        <w:t>As has been already mentioned, random sampling of cases appeared twice in the analysis</w:t>
      </w:r>
      <w:r w:rsidR="007E0C13">
        <w:rPr>
          <w:rFonts w:eastAsia="MS Mincho"/>
        </w:rPr>
        <w:t>.</w:t>
      </w:r>
      <w:r w:rsidR="008610D3">
        <w:rPr>
          <w:rFonts w:eastAsia="MS Mincho"/>
        </w:rPr>
        <w:t xml:space="preserve"> </w:t>
      </w:r>
      <w:r w:rsidRPr="00D302D0">
        <w:rPr>
          <w:rFonts w:eastAsia="MS Mincho"/>
        </w:rPr>
        <w:t>First, random stratified sampling was used to select cases from the harm survey for subsequent vignette generation and utility elicitation</w:t>
      </w:r>
      <w:r w:rsidR="007E0C13">
        <w:rPr>
          <w:rFonts w:eastAsia="MS Mincho"/>
        </w:rPr>
        <w:t>.</w:t>
      </w:r>
      <w:r w:rsidR="008610D3">
        <w:rPr>
          <w:rFonts w:eastAsia="MS Mincho"/>
        </w:rPr>
        <w:t xml:space="preserve"> </w:t>
      </w:r>
      <w:r w:rsidRPr="00D302D0">
        <w:rPr>
          <w:rFonts w:eastAsia="MS Mincho"/>
        </w:rPr>
        <w:t>Second, each presentation of vignettes to participants was done via random sampling with replacement, with the constraint that each participant considered a unique set of 6 vignettes</w:t>
      </w:r>
      <w:r w:rsidR="007E0C13">
        <w:rPr>
          <w:rFonts w:eastAsia="MS Mincho"/>
        </w:rPr>
        <w:t>.</w:t>
      </w:r>
      <w:r w:rsidR="008610D3">
        <w:rPr>
          <w:rFonts w:eastAsia="MS Mincho"/>
        </w:rPr>
        <w:t xml:space="preserve"> </w:t>
      </w:r>
      <w:r w:rsidRPr="00D302D0">
        <w:rPr>
          <w:rFonts w:eastAsia="MS Mincho"/>
        </w:rPr>
        <w:t xml:space="preserve">The quality and number of harms reported varied considerably, not only with respect to PGSI score (dimensionality), but also within each level of the PGSI – which we refer to as heterogeneity in the experience of </w:t>
      </w:r>
      <w:r w:rsidR="00903E8B">
        <w:rPr>
          <w:rFonts w:eastAsia="MS Mincho"/>
        </w:rPr>
        <w:t xml:space="preserve">gambling-related </w:t>
      </w:r>
      <w:r w:rsidRPr="00D302D0">
        <w:rPr>
          <w:rFonts w:eastAsia="MS Mincho"/>
        </w:rPr>
        <w:t>harm</w:t>
      </w:r>
      <w:r w:rsidR="007E0C13">
        <w:rPr>
          <w:rFonts w:eastAsia="MS Mincho"/>
        </w:rPr>
        <w:t>.</w:t>
      </w:r>
      <w:r w:rsidR="008610D3">
        <w:rPr>
          <w:rFonts w:eastAsia="MS Mincho"/>
        </w:rPr>
        <w:t xml:space="preserve"> </w:t>
      </w:r>
      <w:r>
        <w:rPr>
          <w:rFonts w:eastAsia="MS Mincho"/>
        </w:rPr>
        <w:t xml:space="preserve">The variability comprises both ‘true’ variability in the relationship between problems and harms, and also error variance in that neither </w:t>
      </w:r>
      <w:r>
        <w:rPr>
          <w:rFonts w:eastAsia="MS Mincho"/>
        </w:rPr>
        <w:lastRenderedPageBreak/>
        <w:t>the PGSI nor the harm symptomology are perfectly reliable measures</w:t>
      </w:r>
      <w:r w:rsidR="007E0C13">
        <w:rPr>
          <w:rFonts w:eastAsia="MS Mincho"/>
        </w:rPr>
        <w:t>.</w:t>
      </w:r>
      <w:r w:rsidR="008610D3">
        <w:rPr>
          <w:rFonts w:eastAsia="MS Mincho"/>
        </w:rPr>
        <w:t xml:space="preserve"> </w:t>
      </w:r>
      <w:r w:rsidRPr="00D302D0">
        <w:rPr>
          <w:rFonts w:eastAsia="MS Mincho"/>
        </w:rPr>
        <w:t xml:space="preserve">This wide variation is illustrated by </w:t>
      </w:r>
      <w:r w:rsidR="00507033">
        <w:rPr>
          <w:rFonts w:eastAsia="MS Mincho"/>
        </w:rPr>
        <w:fldChar w:fldCharType="begin"/>
      </w:r>
      <w:r w:rsidR="00507033">
        <w:rPr>
          <w:rFonts w:eastAsia="MS Mincho"/>
        </w:rPr>
        <w:instrText xml:space="preserve"> REF _Ref445408516 \h </w:instrText>
      </w:r>
      <w:r w:rsidR="00507033">
        <w:rPr>
          <w:rFonts w:eastAsia="MS Mincho"/>
        </w:rPr>
      </w:r>
      <w:r w:rsidR="00507033">
        <w:rPr>
          <w:rFonts w:eastAsia="MS Mincho"/>
        </w:rPr>
        <w:fldChar w:fldCharType="separate"/>
      </w:r>
      <w:r w:rsidR="0006479A">
        <w:t xml:space="preserve">Figure </w:t>
      </w:r>
      <w:r w:rsidR="0006479A">
        <w:rPr>
          <w:noProof/>
        </w:rPr>
        <w:t>8</w:t>
      </w:r>
      <w:r w:rsidR="00507033">
        <w:rPr>
          <w:rFonts w:eastAsia="MS Mincho"/>
        </w:rPr>
        <w:fldChar w:fldCharType="end"/>
      </w:r>
      <w:r w:rsidRPr="00D302D0">
        <w:rPr>
          <w:rFonts w:eastAsia="MS Mincho"/>
        </w:rPr>
        <w:t>, which shows the .05 and .95 quantiles of the count of harms with respect to PGSI</w:t>
      </w:r>
      <w:r w:rsidR="007E0C13">
        <w:rPr>
          <w:rFonts w:eastAsia="MS Mincho"/>
        </w:rPr>
        <w:t>.</w:t>
      </w:r>
      <w:r w:rsidR="008610D3">
        <w:rPr>
          <w:rFonts w:eastAsia="MS Mincho"/>
        </w:rPr>
        <w:t xml:space="preserve"> </w:t>
      </w:r>
      <w:r w:rsidRPr="00D302D0">
        <w:rPr>
          <w:rFonts w:eastAsia="MS Mincho"/>
        </w:rPr>
        <w:t>One methodological approach would have been to select cases for vignette creation that were most typical for a given level of gambling problems</w:t>
      </w:r>
      <w:r w:rsidR="007E0C13">
        <w:rPr>
          <w:rFonts w:eastAsia="MS Mincho"/>
        </w:rPr>
        <w:t>.</w:t>
      </w:r>
      <w:r w:rsidR="008610D3">
        <w:rPr>
          <w:rFonts w:eastAsia="MS Mincho"/>
        </w:rPr>
        <w:t xml:space="preserve"> </w:t>
      </w:r>
      <w:r w:rsidRPr="00D302D0">
        <w:rPr>
          <w:rFonts w:eastAsia="MS Mincho"/>
        </w:rPr>
        <w:t>This would have reduced the heterogeneity of cases for evaluation of utilities, and resulted in more precise estimates</w:t>
      </w:r>
      <w:r w:rsidR="007E0C13">
        <w:rPr>
          <w:rFonts w:eastAsia="MS Mincho"/>
        </w:rPr>
        <w:t>.</w:t>
      </w:r>
      <w:r w:rsidR="008610D3">
        <w:rPr>
          <w:rFonts w:eastAsia="MS Mincho"/>
        </w:rPr>
        <w:t xml:space="preserve"> </w:t>
      </w:r>
      <w:r w:rsidRPr="00D302D0">
        <w:rPr>
          <w:rFonts w:eastAsia="MS Mincho"/>
        </w:rPr>
        <w:t xml:space="preserve">However, this would </w:t>
      </w:r>
      <w:r w:rsidR="000F7319">
        <w:rPr>
          <w:rFonts w:eastAsia="MS Mincho"/>
        </w:rPr>
        <w:t>mean</w:t>
      </w:r>
      <w:r w:rsidR="000F7319" w:rsidRPr="00D302D0">
        <w:rPr>
          <w:rFonts w:eastAsia="MS Mincho"/>
        </w:rPr>
        <w:t xml:space="preserve"> </w:t>
      </w:r>
      <w:r w:rsidRPr="00D302D0">
        <w:rPr>
          <w:rFonts w:eastAsia="MS Mincho"/>
        </w:rPr>
        <w:t>that the confidence intervals for the harm estimates would reflect primarily</w:t>
      </w:r>
      <w:r>
        <w:rPr>
          <w:rFonts w:eastAsia="MS Mincho"/>
        </w:rPr>
        <w:t xml:space="preserve"> only</w:t>
      </w:r>
      <w:r w:rsidRPr="00D302D0">
        <w:rPr>
          <w:rFonts w:eastAsia="MS Mincho"/>
        </w:rPr>
        <w:t xml:space="preserve"> inter-rater disagreement, and would ignore most variability contributed by sampling the population of possible harm experiences</w:t>
      </w:r>
      <w:r w:rsidR="007E0C13">
        <w:rPr>
          <w:rFonts w:eastAsia="MS Mincho"/>
        </w:rPr>
        <w:t>.</w:t>
      </w:r>
      <w:r w:rsidR="008610D3">
        <w:rPr>
          <w:rFonts w:eastAsia="MS Mincho"/>
        </w:rPr>
        <w:t xml:space="preserve"> </w:t>
      </w:r>
      <w:r>
        <w:rPr>
          <w:rFonts w:eastAsia="MS Mincho"/>
        </w:rPr>
        <w:t>Thus, i</w:t>
      </w:r>
      <w:r w:rsidRPr="00D302D0">
        <w:rPr>
          <w:rFonts w:eastAsia="MS Mincho"/>
        </w:rPr>
        <w:t>t has the potential to introduce bias by ignoring possible population heterogeneity in the experience of harm, at a given level of gambling problems</w:t>
      </w:r>
      <w:r w:rsidR="007E0C13">
        <w:rPr>
          <w:rFonts w:eastAsia="MS Mincho"/>
        </w:rPr>
        <w:t>.</w:t>
      </w:r>
      <w:r w:rsidR="008610D3">
        <w:rPr>
          <w:rFonts w:eastAsia="MS Mincho"/>
        </w:rPr>
        <w:t xml:space="preserve"> </w:t>
      </w:r>
      <w:r w:rsidRPr="00D302D0">
        <w:rPr>
          <w:rFonts w:eastAsia="MS Mincho"/>
        </w:rPr>
        <w:t xml:space="preserve">Our approach </w:t>
      </w:r>
      <w:r w:rsidR="001E51FF">
        <w:rPr>
          <w:rFonts w:eastAsia="MS Mincho"/>
        </w:rPr>
        <w:t>incorporated</w:t>
      </w:r>
      <w:r w:rsidR="001E51FF" w:rsidRPr="00D302D0">
        <w:rPr>
          <w:rFonts w:eastAsia="MS Mincho"/>
        </w:rPr>
        <w:t xml:space="preserve"> </w:t>
      </w:r>
      <w:r w:rsidRPr="00D302D0">
        <w:rPr>
          <w:rFonts w:eastAsia="MS Mincho"/>
        </w:rPr>
        <w:t xml:space="preserve">both sources of variability via random sampling, </w:t>
      </w:r>
      <w:r w:rsidR="001E51FF">
        <w:rPr>
          <w:rFonts w:eastAsia="MS Mincho"/>
        </w:rPr>
        <w:t xml:space="preserve">thus </w:t>
      </w:r>
      <w:r w:rsidRPr="00D302D0">
        <w:rPr>
          <w:rFonts w:eastAsia="MS Mincho"/>
        </w:rPr>
        <w:t xml:space="preserve">increasing our confidence </w:t>
      </w:r>
      <w:r w:rsidR="001E51FF">
        <w:rPr>
          <w:rFonts w:eastAsia="MS Mincho"/>
        </w:rPr>
        <w:t>that</w:t>
      </w:r>
      <w:r w:rsidR="001E51FF" w:rsidRPr="00D302D0">
        <w:rPr>
          <w:rFonts w:eastAsia="MS Mincho"/>
        </w:rPr>
        <w:t xml:space="preserve"> </w:t>
      </w:r>
      <w:r w:rsidRPr="00D302D0">
        <w:rPr>
          <w:rFonts w:eastAsia="MS Mincho"/>
        </w:rPr>
        <w:t>the mean harm estimate is a true reflection of the average amount of harm experienced for a given level of gambling problems</w:t>
      </w:r>
      <w:r w:rsidR="007E0C13">
        <w:rPr>
          <w:rFonts w:eastAsia="MS Mincho"/>
        </w:rPr>
        <w:t>.</w:t>
      </w:r>
      <w:r w:rsidR="008610D3">
        <w:rPr>
          <w:rFonts w:eastAsia="MS Mincho"/>
        </w:rPr>
        <w:t xml:space="preserve"> </w:t>
      </w:r>
      <w:r w:rsidRPr="00D302D0">
        <w:rPr>
          <w:rFonts w:eastAsia="MS Mincho"/>
        </w:rPr>
        <w:t xml:space="preserve">Relatively precise final estimates </w:t>
      </w:r>
      <w:r w:rsidR="009A5372">
        <w:rPr>
          <w:rFonts w:eastAsia="MS Mincho"/>
        </w:rPr>
        <w:t>were</w:t>
      </w:r>
      <w:r w:rsidRPr="00D302D0">
        <w:rPr>
          <w:rFonts w:eastAsia="MS Mincho"/>
        </w:rPr>
        <w:t xml:space="preserve"> obtained, even given relatively high variation in both harm reports and in elicited judgements, through high sampling effort in both stages of data gathering. </w:t>
      </w:r>
    </w:p>
    <w:p w14:paraId="4165CA42" w14:textId="77777777" w:rsidR="00F61793" w:rsidRPr="00D302D0" w:rsidRDefault="00F61793" w:rsidP="00507033">
      <w:pPr>
        <w:spacing w:before="0" w:after="120"/>
        <w:ind w:left="0"/>
        <w:rPr>
          <w:rFonts w:cs="Arial"/>
          <w:i/>
          <w:color w:val="4E84C4"/>
          <w:sz w:val="17"/>
          <w:szCs w:val="19"/>
        </w:rPr>
      </w:pPr>
      <w:r w:rsidRPr="00D302D0">
        <w:rPr>
          <w:rFonts w:cs="Arial"/>
          <w:i/>
          <w:noProof/>
          <w:color w:val="4E84C4"/>
          <w:sz w:val="17"/>
          <w:szCs w:val="19"/>
          <w:lang w:val="en-NZ" w:eastAsia="en-NZ"/>
        </w:rPr>
        <w:drawing>
          <wp:inline distT="0" distB="0" distL="0" distR="0" wp14:anchorId="56D987BF" wp14:editId="72398233">
            <wp:extent cx="5724285" cy="373108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0407" cy="3748113"/>
                    </a:xfrm>
                    <a:prstGeom prst="rect">
                      <a:avLst/>
                    </a:prstGeom>
                    <a:noFill/>
                  </pic:spPr>
                </pic:pic>
              </a:graphicData>
            </a:graphic>
          </wp:inline>
        </w:drawing>
      </w:r>
    </w:p>
    <w:p w14:paraId="790D1386" w14:textId="575A7AD6" w:rsidR="00F61793" w:rsidRPr="00D302D0" w:rsidRDefault="00507033" w:rsidP="00767EAD">
      <w:pPr>
        <w:pStyle w:val="Caption"/>
        <w:spacing w:after="60"/>
        <w:rPr>
          <w:b w:val="0"/>
          <w:iCs w:val="0"/>
          <w:color w:val="1C3158"/>
        </w:rPr>
      </w:pPr>
      <w:bookmarkStart w:id="276" w:name="_Ref445408516"/>
      <w:bookmarkStart w:id="277" w:name="_Ref429647918"/>
      <w:bookmarkStart w:id="278" w:name="_Toc440900311"/>
      <w:bookmarkStart w:id="279" w:name="_Toc462738091"/>
      <w:r>
        <w:t xml:space="preserve">Figure </w:t>
      </w:r>
      <w:fldSimple w:instr=" SEQ Figure \* ARABIC ">
        <w:r w:rsidR="0006479A">
          <w:rPr>
            <w:noProof/>
          </w:rPr>
          <w:t>8</w:t>
        </w:r>
      </w:fldSimple>
      <w:bookmarkEnd w:id="276"/>
      <w:r w:rsidR="007E0C13">
        <w:t>.</w:t>
      </w:r>
      <w:r w:rsidR="008610D3">
        <w:t xml:space="preserve"> </w:t>
      </w:r>
      <w:bookmarkEnd w:id="277"/>
      <w:r w:rsidR="00F61793" w:rsidRPr="00507033">
        <w:rPr>
          <w:iCs w:val="0"/>
          <w:color w:val="1C3158"/>
        </w:rPr>
        <w:t>Number of harms reported by PGSI for harms from own gambling</w:t>
      </w:r>
      <w:bookmarkEnd w:id="278"/>
      <w:bookmarkEnd w:id="279"/>
    </w:p>
    <w:p w14:paraId="05B2FBD0" w14:textId="1AA1FF14" w:rsidR="00F61793" w:rsidRPr="00767EAD" w:rsidRDefault="00F61793" w:rsidP="00767EAD">
      <w:pPr>
        <w:spacing w:before="0" w:after="0" w:line="240" w:lineRule="auto"/>
        <w:ind w:left="0"/>
        <w:rPr>
          <w:color w:val="1F3864" w:themeColor="accent5" w:themeShade="80"/>
          <w:sz w:val="16"/>
        </w:rPr>
      </w:pPr>
      <w:r w:rsidRPr="00767EAD">
        <w:rPr>
          <w:color w:val="1F3864" w:themeColor="accent5" w:themeShade="80"/>
          <w:sz w:val="16"/>
        </w:rPr>
        <w:t>Note</w:t>
      </w:r>
      <w:r w:rsidR="007E0C13">
        <w:rPr>
          <w:color w:val="1F3864" w:themeColor="accent5" w:themeShade="80"/>
          <w:sz w:val="16"/>
        </w:rPr>
        <w:t>.</w:t>
      </w:r>
      <w:r w:rsidR="008610D3">
        <w:rPr>
          <w:color w:val="1F3864" w:themeColor="accent5" w:themeShade="80"/>
          <w:sz w:val="16"/>
        </w:rPr>
        <w:t xml:space="preserve"> </w:t>
      </w:r>
      <w:r w:rsidRPr="00767EAD">
        <w:rPr>
          <w:color w:val="1F3864" w:themeColor="accent5" w:themeShade="80"/>
          <w:sz w:val="16"/>
        </w:rPr>
        <w:t>Error bars represent 95% quantiles of the distribution</w:t>
      </w:r>
      <w:r w:rsidR="007E0C13">
        <w:rPr>
          <w:color w:val="1F3864" w:themeColor="accent5" w:themeShade="80"/>
          <w:sz w:val="16"/>
        </w:rPr>
        <w:t>.</w:t>
      </w:r>
      <w:r w:rsidR="008610D3">
        <w:rPr>
          <w:color w:val="1F3864" w:themeColor="accent5" w:themeShade="80"/>
          <w:sz w:val="16"/>
        </w:rPr>
        <w:t xml:space="preserve"> </w:t>
      </w:r>
    </w:p>
    <w:p w14:paraId="3E72FF0E" w14:textId="77777777" w:rsidR="00F61793" w:rsidRPr="00D302D0" w:rsidRDefault="00F61793" w:rsidP="00767EAD">
      <w:pPr>
        <w:pStyle w:val="VRGFBodycontent"/>
        <w:rPr>
          <w:rFonts w:eastAsia="MS Mincho"/>
        </w:rPr>
      </w:pPr>
    </w:p>
    <w:p w14:paraId="5CAF812B" w14:textId="77777777" w:rsidR="00F61793" w:rsidRPr="00D302D0" w:rsidRDefault="00F61793" w:rsidP="00191866">
      <w:pPr>
        <w:pStyle w:val="VRGFHead4"/>
      </w:pPr>
      <w:r w:rsidRPr="00583A0F">
        <w:t>Harm to others</w:t>
      </w:r>
    </w:p>
    <w:p w14:paraId="53FB3A98" w14:textId="4731C50E" w:rsidR="00F61793" w:rsidRDefault="00F61793" w:rsidP="00B66762">
      <w:pPr>
        <w:pStyle w:val="VRGFBodycontent"/>
        <w:rPr>
          <w:rFonts w:eastAsia="MS Mincho"/>
        </w:rPr>
      </w:pPr>
      <w:r w:rsidRPr="00D302D0">
        <w:rPr>
          <w:rFonts w:eastAsia="MS Mincho"/>
        </w:rPr>
        <w:t>Harm caused to others by an individual’s gambling problems presents its own methodological issues, and was accordingly treated differently from harm caused by one’s own gambling</w:t>
      </w:r>
      <w:r w:rsidR="007E0C13">
        <w:rPr>
          <w:rFonts w:eastAsia="MS Mincho"/>
        </w:rPr>
        <w:t>.</w:t>
      </w:r>
      <w:r w:rsidR="008610D3">
        <w:rPr>
          <w:rFonts w:eastAsia="MS Mincho"/>
        </w:rPr>
        <w:t xml:space="preserve"> </w:t>
      </w:r>
      <w:r w:rsidRPr="00D302D0">
        <w:rPr>
          <w:rFonts w:eastAsia="MS Mincho"/>
        </w:rPr>
        <w:t xml:space="preserve">The </w:t>
      </w:r>
      <w:r w:rsidRPr="00D82AC4">
        <w:rPr>
          <w:rFonts w:eastAsia="MS Mincho"/>
        </w:rPr>
        <w:t>201</w:t>
      </w:r>
      <w:r>
        <w:rPr>
          <w:rFonts w:eastAsia="MS Mincho"/>
        </w:rPr>
        <w:t>2</w:t>
      </w:r>
      <w:r w:rsidRPr="00D82AC4">
        <w:rPr>
          <w:rFonts w:eastAsia="MS Mincho"/>
        </w:rPr>
        <w:t xml:space="preserve"> </w:t>
      </w:r>
      <w:r>
        <w:rPr>
          <w:rFonts w:eastAsia="MS Mincho"/>
        </w:rPr>
        <w:t>New Zealand National Gambling Study</w:t>
      </w:r>
      <w:r w:rsidRPr="00D82AC4">
        <w:rPr>
          <w:rFonts w:eastAsia="MS Mincho"/>
        </w:rPr>
        <w:t xml:space="preserve"> (</w:t>
      </w:r>
      <w:r>
        <w:rPr>
          <w:rFonts w:eastAsia="MS Mincho"/>
        </w:rPr>
        <w:t>NZ NGS; Abbott</w:t>
      </w:r>
      <w:r w:rsidR="00C55215">
        <w:rPr>
          <w:rFonts w:eastAsia="MS Mincho"/>
        </w:rPr>
        <w:t xml:space="preserve"> et al., 2014</w:t>
      </w:r>
      <w:r w:rsidR="00361F5F">
        <w:rPr>
          <w:rFonts w:eastAsia="MS Mincho"/>
        </w:rPr>
        <w:t>a</w:t>
      </w:r>
      <w:r w:rsidRPr="00D82AC4">
        <w:rPr>
          <w:rFonts w:eastAsia="MS Mincho"/>
        </w:rPr>
        <w:t xml:space="preserve">) </w:t>
      </w:r>
      <w:r w:rsidRPr="00D302D0">
        <w:rPr>
          <w:rFonts w:eastAsia="MS Mincho"/>
        </w:rPr>
        <w:t>ask</w:t>
      </w:r>
      <w:r>
        <w:rPr>
          <w:rFonts w:eastAsia="MS Mincho"/>
        </w:rPr>
        <w:t>ed</w:t>
      </w:r>
      <w:r w:rsidRPr="00D302D0">
        <w:rPr>
          <w:rFonts w:eastAsia="MS Mincho"/>
        </w:rPr>
        <w:t xml:space="preserve"> </w:t>
      </w:r>
      <w:r>
        <w:rPr>
          <w:rFonts w:eastAsia="MS Mincho"/>
        </w:rPr>
        <w:t>participants of a list of close relationships (e.g</w:t>
      </w:r>
      <w:r w:rsidR="007E0C13">
        <w:rPr>
          <w:rFonts w:eastAsia="MS Mincho"/>
        </w:rPr>
        <w:t>.</w:t>
      </w:r>
      <w:r w:rsidR="008610D3">
        <w:rPr>
          <w:rFonts w:eastAsia="MS Mincho"/>
        </w:rPr>
        <w:t xml:space="preserve"> </w:t>
      </w:r>
      <w:r>
        <w:rPr>
          <w:rFonts w:eastAsia="MS Mincho"/>
        </w:rPr>
        <w:t xml:space="preserve">spouse/partner, parent, sibling, child, workmate, other family member </w:t>
      </w:r>
      <w:r w:rsidR="00FB4E10">
        <w:rPr>
          <w:rFonts w:eastAsia="MS Mincho"/>
        </w:rPr>
        <w:t>etc.</w:t>
      </w:r>
      <w:r>
        <w:rPr>
          <w:rFonts w:eastAsia="MS Mincho"/>
        </w:rPr>
        <w:t xml:space="preserve">), </w:t>
      </w:r>
      <w:r w:rsidRPr="00D302D0">
        <w:rPr>
          <w:rFonts w:eastAsia="MS Mincho"/>
        </w:rPr>
        <w:t>whether they</w:t>
      </w:r>
      <w:r>
        <w:rPr>
          <w:rFonts w:eastAsia="MS Mincho"/>
        </w:rPr>
        <w:t xml:space="preserve"> think this person may have a problem with gambling and, if so, how their relationship with them was mainly affected by the other person</w:t>
      </w:r>
      <w:r w:rsidR="00FB4E10">
        <w:rPr>
          <w:rFonts w:eastAsia="MS Mincho"/>
        </w:rPr>
        <w:t>’</w:t>
      </w:r>
      <w:r>
        <w:rPr>
          <w:rFonts w:eastAsia="MS Mincho"/>
        </w:rPr>
        <w:t>s gambling (for each person mentioned)</w:t>
      </w:r>
      <w:r w:rsidR="007E0C13">
        <w:rPr>
          <w:rFonts w:eastAsia="MS Mincho"/>
        </w:rPr>
        <w:t>.</w:t>
      </w:r>
      <w:r w:rsidR="008610D3">
        <w:rPr>
          <w:rFonts w:eastAsia="MS Mincho"/>
        </w:rPr>
        <w:t xml:space="preserve"> </w:t>
      </w:r>
      <w:r>
        <w:rPr>
          <w:rFonts w:eastAsia="MS Mincho"/>
        </w:rPr>
        <w:t xml:space="preserve">Weighted to the NZ population, overall </w:t>
      </w:r>
      <w:r w:rsidR="00A32063">
        <w:rPr>
          <w:rFonts w:eastAsia="MS Mincho"/>
        </w:rPr>
        <w:t>14</w:t>
      </w:r>
      <w:r>
        <w:rPr>
          <w:rFonts w:eastAsia="MS Mincho"/>
        </w:rPr>
        <w:t>.</w:t>
      </w:r>
      <w:r w:rsidR="00A32063">
        <w:rPr>
          <w:rFonts w:eastAsia="MS Mincho"/>
        </w:rPr>
        <w:t>4</w:t>
      </w:r>
      <w:r>
        <w:rPr>
          <w:rFonts w:eastAsia="MS Mincho"/>
        </w:rPr>
        <w:t>% were negatively affected by someone else’s gambling</w:t>
      </w:r>
      <w:r w:rsidR="007E0C13">
        <w:rPr>
          <w:rFonts w:eastAsia="MS Mincho"/>
        </w:rPr>
        <w:t>.</w:t>
      </w:r>
      <w:r w:rsidR="008610D3">
        <w:rPr>
          <w:rFonts w:eastAsia="MS Mincho"/>
        </w:rPr>
        <w:t xml:space="preserve"> </w:t>
      </w:r>
    </w:p>
    <w:p w14:paraId="6803A93D" w14:textId="19C4F24D" w:rsidR="00F61793" w:rsidRPr="00D302D0" w:rsidRDefault="00F61793" w:rsidP="00B66762">
      <w:pPr>
        <w:pStyle w:val="VRGFBodycontent"/>
        <w:rPr>
          <w:rFonts w:eastAsia="MS Mincho"/>
        </w:rPr>
      </w:pPr>
      <w:r>
        <w:rPr>
          <w:rFonts w:eastAsia="MS Mincho"/>
        </w:rPr>
        <w:lastRenderedPageBreak/>
        <w:t>Unlike t</w:t>
      </w:r>
      <w:r w:rsidRPr="00D302D0">
        <w:rPr>
          <w:rFonts w:eastAsia="MS Mincho"/>
        </w:rPr>
        <w:t xml:space="preserve">he </w:t>
      </w:r>
      <w:r w:rsidR="00B9606C">
        <w:rPr>
          <w:rFonts w:eastAsia="MS Mincho"/>
        </w:rPr>
        <w:t xml:space="preserve">gambling </w:t>
      </w:r>
      <w:r w:rsidRPr="00D302D0">
        <w:rPr>
          <w:rFonts w:eastAsia="MS Mincho"/>
        </w:rPr>
        <w:t xml:space="preserve">harms </w:t>
      </w:r>
      <w:r w:rsidR="00B9606C">
        <w:rPr>
          <w:rFonts w:eastAsia="MS Mincho"/>
        </w:rPr>
        <w:t xml:space="preserve">national </w:t>
      </w:r>
      <w:r w:rsidRPr="00D302D0">
        <w:rPr>
          <w:rFonts w:eastAsia="MS Mincho"/>
        </w:rPr>
        <w:t>survey conducted in this study</w:t>
      </w:r>
      <w:r>
        <w:rPr>
          <w:rFonts w:eastAsia="MS Mincho"/>
        </w:rPr>
        <w:t xml:space="preserve">, the NZ NGS did not </w:t>
      </w:r>
      <w:r w:rsidRPr="00D302D0">
        <w:rPr>
          <w:rFonts w:eastAsia="MS Mincho"/>
        </w:rPr>
        <w:t xml:space="preserve">obtain </w:t>
      </w:r>
      <w:r>
        <w:rPr>
          <w:rFonts w:eastAsia="MS Mincho"/>
        </w:rPr>
        <w:t>from the participant their perception of the severity of gambling problems (PGSI score) for the other person whose gambling was causing them harm</w:t>
      </w:r>
      <w:r w:rsidR="007E0C13">
        <w:rPr>
          <w:rFonts w:eastAsia="MS Mincho"/>
        </w:rPr>
        <w:t>.</w:t>
      </w:r>
      <w:r w:rsidR="008610D3">
        <w:rPr>
          <w:rFonts w:eastAsia="MS Mincho"/>
        </w:rPr>
        <w:t xml:space="preserve"> </w:t>
      </w:r>
      <w:r w:rsidR="004F5954" w:rsidRPr="00D302D0">
        <w:rPr>
          <w:rFonts w:eastAsia="MS Mincho"/>
        </w:rPr>
        <w:t>However</w:t>
      </w:r>
      <w:r w:rsidR="00583A0F">
        <w:rPr>
          <w:rFonts w:eastAsia="MS Mincho"/>
        </w:rPr>
        <w:t>,</w:t>
      </w:r>
      <w:r w:rsidR="004F5954" w:rsidRPr="00D302D0">
        <w:rPr>
          <w:rFonts w:eastAsia="MS Mincho"/>
        </w:rPr>
        <w:t xml:space="preserve"> </w:t>
      </w:r>
      <w:r w:rsidR="00583A0F">
        <w:rPr>
          <w:rFonts w:eastAsia="MS Mincho"/>
        </w:rPr>
        <w:t>as</w:t>
      </w:r>
      <w:r w:rsidR="004F5954" w:rsidRPr="00D302D0">
        <w:rPr>
          <w:rFonts w:eastAsia="MS Mincho"/>
        </w:rPr>
        <w:t xml:space="preserve"> </w:t>
      </w:r>
      <w:r w:rsidR="004F5954">
        <w:rPr>
          <w:rFonts w:eastAsia="MS Mincho"/>
        </w:rPr>
        <w:t xml:space="preserve">such a PGSI score is derived from </w:t>
      </w:r>
      <w:r w:rsidR="004F5954" w:rsidRPr="005B604B">
        <w:t>second-hand</w:t>
      </w:r>
      <w:r w:rsidR="004F5954">
        <w:t xml:space="preserve"> reporting</w:t>
      </w:r>
      <w:r w:rsidR="004F5954" w:rsidRPr="00D302D0">
        <w:rPr>
          <w:rFonts w:eastAsia="MS Mincho"/>
        </w:rPr>
        <w:t xml:space="preserve">, it cannot </w:t>
      </w:r>
      <w:r w:rsidR="004F5954">
        <w:rPr>
          <w:rFonts w:eastAsia="MS Mincho"/>
        </w:rPr>
        <w:t xml:space="preserve">necessarily </w:t>
      </w:r>
      <w:r w:rsidR="004F5954" w:rsidRPr="00D302D0">
        <w:rPr>
          <w:rFonts w:eastAsia="MS Mincho"/>
        </w:rPr>
        <w:t xml:space="preserve">be compared directly to </w:t>
      </w:r>
      <w:r w:rsidR="004F5954">
        <w:rPr>
          <w:rFonts w:eastAsia="MS Mincho"/>
        </w:rPr>
        <w:t xml:space="preserve">a </w:t>
      </w:r>
      <w:r w:rsidR="004F5954" w:rsidRPr="00D302D0">
        <w:rPr>
          <w:rFonts w:eastAsia="MS Mincho"/>
        </w:rPr>
        <w:t>PGSI score obtained via</w:t>
      </w:r>
      <w:r w:rsidR="004F5954" w:rsidRPr="00F51DE5">
        <w:rPr>
          <w:rFonts w:eastAsia="MS Mincho"/>
        </w:rPr>
        <w:t xml:space="preserve"> </w:t>
      </w:r>
      <w:r w:rsidR="004F5954">
        <w:rPr>
          <w:rFonts w:eastAsia="MS Mincho"/>
        </w:rPr>
        <w:t xml:space="preserve">first-hand reporting. </w:t>
      </w:r>
      <w:r w:rsidRPr="00D302D0">
        <w:rPr>
          <w:rFonts w:eastAsia="MS Mincho"/>
        </w:rPr>
        <w:t>Therefore, whilst the prevalence of harm to oneself could be conditioned directly on population PGSI prevalence estimates, a similar strategy could not be followed for harm to others</w:t>
      </w:r>
      <w:r w:rsidR="007E0C13">
        <w:rPr>
          <w:rFonts w:eastAsia="MS Mincho"/>
        </w:rPr>
        <w:t>.</w:t>
      </w:r>
      <w:r w:rsidR="008610D3">
        <w:rPr>
          <w:rFonts w:eastAsia="MS Mincho"/>
        </w:rPr>
        <w:t xml:space="preserve"> </w:t>
      </w:r>
      <w:r w:rsidRPr="00D302D0">
        <w:rPr>
          <w:rFonts w:eastAsia="MS Mincho"/>
        </w:rPr>
        <w:t xml:space="preserve">Rather, we made the assumption that a person affected by another’s gambling was affected by an individual randomly drawn from the </w:t>
      </w:r>
      <w:r>
        <w:rPr>
          <w:rFonts w:eastAsia="MS Mincho"/>
        </w:rPr>
        <w:t>New Zealand</w:t>
      </w:r>
      <w:r w:rsidRPr="00D302D0">
        <w:rPr>
          <w:rFonts w:eastAsia="MS Mincho"/>
        </w:rPr>
        <w:t xml:space="preserve"> population of individuals with PGSI scores greater than zero</w:t>
      </w:r>
      <w:r w:rsidR="007E0C13">
        <w:rPr>
          <w:rFonts w:eastAsia="MS Mincho"/>
        </w:rPr>
        <w:t>.</w:t>
      </w:r>
      <w:r w:rsidR="008610D3">
        <w:rPr>
          <w:rFonts w:eastAsia="MS Mincho"/>
        </w:rPr>
        <w:t xml:space="preserve"> </w:t>
      </w:r>
      <w:r w:rsidRPr="00D302D0">
        <w:rPr>
          <w:rFonts w:eastAsia="MS Mincho"/>
        </w:rPr>
        <w:t>Accordingly, the harm they experienced was treated as a population weighted average of the PGSI-conditional harm estimates obtained in the present study</w:t>
      </w:r>
      <w:r w:rsidR="007E0C13">
        <w:rPr>
          <w:rFonts w:eastAsia="MS Mincho"/>
        </w:rPr>
        <w:t>.</w:t>
      </w:r>
      <w:r w:rsidR="008610D3">
        <w:rPr>
          <w:rFonts w:eastAsia="MS Mincho"/>
        </w:rPr>
        <w:t xml:space="preserve"> </w:t>
      </w:r>
      <w:r w:rsidRPr="00D302D0">
        <w:rPr>
          <w:rFonts w:eastAsia="MS Mincho"/>
        </w:rPr>
        <w:t xml:space="preserve">This </w:t>
      </w:r>
      <w:r w:rsidR="004F5954">
        <w:rPr>
          <w:rFonts w:eastAsia="MS Mincho"/>
        </w:rPr>
        <w:t>was</w:t>
      </w:r>
      <w:r w:rsidR="004F5954" w:rsidRPr="00D302D0">
        <w:rPr>
          <w:rFonts w:eastAsia="MS Mincho"/>
        </w:rPr>
        <w:t xml:space="preserve"> </w:t>
      </w:r>
      <w:r w:rsidRPr="00D302D0">
        <w:rPr>
          <w:rFonts w:eastAsia="MS Mincho"/>
        </w:rPr>
        <w:t>a somewhat conservative approach, since less prevalent, high PGSI individuals might be presumed to be more likely to affect others than more prevalent, low PGSI individuals</w:t>
      </w:r>
      <w:r w:rsidR="007E0C13">
        <w:rPr>
          <w:rFonts w:eastAsia="MS Mincho"/>
        </w:rPr>
        <w:t>.</w:t>
      </w:r>
      <w:r w:rsidR="008610D3">
        <w:rPr>
          <w:rFonts w:eastAsia="MS Mincho"/>
        </w:rPr>
        <w:t xml:space="preserve"> </w:t>
      </w:r>
      <w:r w:rsidRPr="00D302D0">
        <w:rPr>
          <w:rFonts w:eastAsia="MS Mincho"/>
        </w:rPr>
        <w:t xml:space="preserve">Finally, we note that the relationship between PGSI and harm to another is a more distal relationship than harm to oneself, as the quantum of harm experienced depends not only on the severity of problems, but also on the </w:t>
      </w:r>
      <w:r>
        <w:rPr>
          <w:rFonts w:eastAsia="MS Mincho"/>
        </w:rPr>
        <w:t xml:space="preserve">nature </w:t>
      </w:r>
      <w:r w:rsidRPr="00D302D0">
        <w:rPr>
          <w:rFonts w:eastAsia="MS Mincho"/>
        </w:rPr>
        <w:t>of</w:t>
      </w:r>
      <w:r>
        <w:rPr>
          <w:rFonts w:eastAsia="MS Mincho"/>
        </w:rPr>
        <w:t xml:space="preserve"> the</w:t>
      </w:r>
      <w:r w:rsidRPr="00D302D0">
        <w:rPr>
          <w:rFonts w:eastAsia="MS Mincho"/>
        </w:rPr>
        <w:t xml:space="preserve"> relationship between the two individuals</w:t>
      </w:r>
      <w:r w:rsidR="007E0C13">
        <w:rPr>
          <w:rFonts w:eastAsia="MS Mincho"/>
        </w:rPr>
        <w:t>.</w:t>
      </w:r>
      <w:r w:rsidR="008610D3">
        <w:rPr>
          <w:rFonts w:eastAsia="MS Mincho"/>
        </w:rPr>
        <w:t xml:space="preserve"> </w:t>
      </w:r>
      <w:r w:rsidRPr="00D302D0">
        <w:rPr>
          <w:rFonts w:eastAsia="MS Mincho"/>
        </w:rPr>
        <w:t>Our vignettes included a random sample of several forms of relationship (e.g. spouse, sibling)</w:t>
      </w:r>
      <w:r w:rsidR="007E0C13">
        <w:rPr>
          <w:rFonts w:eastAsia="MS Mincho"/>
        </w:rPr>
        <w:t>.</w:t>
      </w:r>
      <w:r w:rsidR="008610D3">
        <w:rPr>
          <w:rFonts w:eastAsia="MS Mincho"/>
        </w:rPr>
        <w:t xml:space="preserve"> </w:t>
      </w:r>
      <w:r w:rsidRPr="00D302D0">
        <w:rPr>
          <w:rFonts w:eastAsia="MS Mincho"/>
        </w:rPr>
        <w:t>However, determining the moderating effect of relationship between</w:t>
      </w:r>
      <w:r w:rsidR="00583A0F">
        <w:rPr>
          <w:rFonts w:eastAsia="MS Mincho"/>
        </w:rPr>
        <w:t xml:space="preserve"> a</w:t>
      </w:r>
      <w:r w:rsidRPr="00D302D0">
        <w:rPr>
          <w:rFonts w:eastAsia="MS Mincho"/>
        </w:rPr>
        <w:t xml:space="preserve"> gambler’s PGSI and degree of harm experienced by the affected other was not attempted, since relationship type is not known from the prevalence data</w:t>
      </w:r>
      <w:r w:rsidR="007E0C13">
        <w:rPr>
          <w:rFonts w:eastAsia="MS Mincho"/>
        </w:rPr>
        <w:t>.</w:t>
      </w:r>
      <w:r w:rsidR="008610D3">
        <w:rPr>
          <w:rFonts w:eastAsia="MS Mincho"/>
        </w:rPr>
        <w:t xml:space="preserve"> </w:t>
      </w:r>
      <w:r w:rsidRPr="00D302D0">
        <w:rPr>
          <w:rFonts w:eastAsia="MS Mincho"/>
        </w:rPr>
        <w:t>Therefore, we assume</w:t>
      </w:r>
      <w:r w:rsidR="00583A0F">
        <w:rPr>
          <w:rFonts w:eastAsia="MS Mincho"/>
        </w:rPr>
        <w:t>d</w:t>
      </w:r>
      <w:r w:rsidRPr="00D302D0">
        <w:rPr>
          <w:rFonts w:eastAsia="MS Mincho"/>
        </w:rPr>
        <w:t xml:space="preserve"> that the relationships nominated by respondents to the harms survey were a fair sample of those in the population.</w:t>
      </w:r>
    </w:p>
    <w:p w14:paraId="6F80890F" w14:textId="77777777" w:rsidR="00F61793" w:rsidRPr="00D82AC4" w:rsidRDefault="00F61793" w:rsidP="00F61793">
      <w:pPr>
        <w:tabs>
          <w:tab w:val="clear" w:pos="426"/>
        </w:tabs>
        <w:spacing w:before="0" w:after="0" w:line="240" w:lineRule="auto"/>
        <w:ind w:left="0" w:right="0"/>
        <w:rPr>
          <w:rFonts w:eastAsia="MS Mincho" w:cs="Arial"/>
          <w:sz w:val="24"/>
          <w:szCs w:val="24"/>
        </w:rPr>
      </w:pPr>
      <w:r w:rsidRPr="00D82AC4">
        <w:rPr>
          <w:rFonts w:eastAsia="MS Mincho" w:cs="Arial"/>
          <w:sz w:val="24"/>
          <w:szCs w:val="24"/>
        </w:rPr>
        <w:t xml:space="preserve"> </w:t>
      </w:r>
    </w:p>
    <w:p w14:paraId="311706FA" w14:textId="77777777" w:rsidR="00F61793" w:rsidRPr="00D302D0" w:rsidRDefault="00F61793" w:rsidP="00F61793">
      <w:pPr>
        <w:pStyle w:val="VRGFHead2"/>
      </w:pPr>
      <w:bookmarkStart w:id="280" w:name="_Toc440900294"/>
      <w:bookmarkStart w:id="281" w:name="_Toc462738061"/>
      <w:r w:rsidRPr="009A266C">
        <w:t>Results</w:t>
      </w:r>
      <w:bookmarkEnd w:id="280"/>
      <w:bookmarkEnd w:id="281"/>
    </w:p>
    <w:p w14:paraId="5B73687B" w14:textId="09783D6C" w:rsidR="00F61793" w:rsidRPr="00D82AC4" w:rsidRDefault="00B66762" w:rsidP="00F61793">
      <w:pPr>
        <w:pStyle w:val="VRGFBodycontent"/>
        <w:rPr>
          <w:rFonts w:eastAsia="MS Mincho"/>
        </w:rPr>
      </w:pPr>
      <w:r>
        <w:rPr>
          <w:rFonts w:eastAsia="MS Mincho"/>
        </w:rPr>
        <w:fldChar w:fldCharType="begin"/>
      </w:r>
      <w:r>
        <w:rPr>
          <w:rFonts w:eastAsia="MS Mincho"/>
        </w:rPr>
        <w:instrText xml:space="preserve"> REF _Ref445408686 \h </w:instrText>
      </w:r>
      <w:r>
        <w:rPr>
          <w:rFonts w:eastAsia="MS Mincho"/>
        </w:rPr>
      </w:r>
      <w:r>
        <w:rPr>
          <w:rFonts w:eastAsia="MS Mincho"/>
        </w:rPr>
        <w:fldChar w:fldCharType="separate"/>
      </w:r>
      <w:r w:rsidR="0006479A">
        <w:t xml:space="preserve">Figure </w:t>
      </w:r>
      <w:r w:rsidR="0006479A">
        <w:rPr>
          <w:noProof/>
        </w:rPr>
        <w:t>9</w:t>
      </w:r>
      <w:r>
        <w:rPr>
          <w:rFonts w:eastAsia="MS Mincho"/>
        </w:rPr>
        <w:fldChar w:fldCharType="end"/>
      </w:r>
      <w:r>
        <w:rPr>
          <w:rFonts w:eastAsia="MS Mincho"/>
        </w:rPr>
        <w:t xml:space="preserve"> </w:t>
      </w:r>
      <w:r w:rsidR="00F61793" w:rsidRPr="00D82AC4">
        <w:rPr>
          <w:rFonts w:eastAsia="MS Mincho"/>
        </w:rPr>
        <w:t xml:space="preserve">compares elicited </w:t>
      </w:r>
      <w:r w:rsidR="00577004">
        <w:rPr>
          <w:rFonts w:eastAsia="MS Mincho"/>
        </w:rPr>
        <w:t>gambling</w:t>
      </w:r>
      <w:r w:rsidR="00903E8B">
        <w:rPr>
          <w:rFonts w:eastAsia="MS Mincho"/>
        </w:rPr>
        <w:t>-related</w:t>
      </w:r>
      <w:r w:rsidR="00577004">
        <w:rPr>
          <w:rFonts w:eastAsia="MS Mincho"/>
        </w:rPr>
        <w:t xml:space="preserve"> </w:t>
      </w:r>
      <w:r w:rsidR="00F61793" w:rsidRPr="00D82AC4">
        <w:rPr>
          <w:rFonts w:eastAsia="MS Mincho"/>
        </w:rPr>
        <w:t xml:space="preserve">harm valuations </w:t>
      </w:r>
      <w:r w:rsidR="00D315C5">
        <w:rPr>
          <w:rFonts w:eastAsia="MS Mincho"/>
        </w:rPr>
        <w:t xml:space="preserve">(0-1 utility) </w:t>
      </w:r>
      <w:r w:rsidR="00F61793" w:rsidRPr="00D82AC4">
        <w:rPr>
          <w:rFonts w:eastAsia="MS Mincho"/>
        </w:rPr>
        <w:t>from the expert and general population samples, across the three PGSI categories</w:t>
      </w:r>
      <w:r w:rsidR="007E0C13">
        <w:rPr>
          <w:rFonts w:eastAsia="MS Mincho"/>
        </w:rPr>
        <w:t>.</w:t>
      </w:r>
      <w:r w:rsidR="008610D3">
        <w:rPr>
          <w:rFonts w:eastAsia="MS Mincho"/>
        </w:rPr>
        <w:t xml:space="preserve"> </w:t>
      </w:r>
      <w:r w:rsidR="00F61793" w:rsidRPr="00D82AC4">
        <w:rPr>
          <w:rFonts w:eastAsia="MS Mincho"/>
        </w:rPr>
        <w:t xml:space="preserve">It can be seen that the pattern of </w:t>
      </w:r>
      <w:r w:rsidR="00577004">
        <w:rPr>
          <w:rFonts w:eastAsia="MS Mincho"/>
        </w:rPr>
        <w:t>gambling</w:t>
      </w:r>
      <w:r w:rsidR="00903E8B">
        <w:rPr>
          <w:rFonts w:eastAsia="MS Mincho"/>
        </w:rPr>
        <w:t>-related</w:t>
      </w:r>
      <w:r w:rsidR="00577004">
        <w:rPr>
          <w:rFonts w:eastAsia="MS Mincho"/>
        </w:rPr>
        <w:t xml:space="preserve"> </w:t>
      </w:r>
      <w:r w:rsidR="00F61793" w:rsidRPr="00D82AC4">
        <w:rPr>
          <w:rFonts w:eastAsia="MS Mincho"/>
        </w:rPr>
        <w:t xml:space="preserve">harm valuations is similar for the two groups, </w:t>
      </w:r>
      <w:r w:rsidR="009A266C">
        <w:rPr>
          <w:rFonts w:eastAsia="MS Mincho"/>
        </w:rPr>
        <w:t>although</w:t>
      </w:r>
      <w:r w:rsidR="00F61793" w:rsidRPr="00D82AC4">
        <w:rPr>
          <w:rFonts w:eastAsia="MS Mincho"/>
        </w:rPr>
        <w:t xml:space="preserve"> experts tended to consistently provide </w:t>
      </w:r>
      <w:r w:rsidR="00F61793">
        <w:rPr>
          <w:rFonts w:eastAsia="MS Mincho"/>
        </w:rPr>
        <w:t>lower estimates</w:t>
      </w:r>
      <w:r w:rsidR="00F61793" w:rsidRPr="00D82AC4">
        <w:rPr>
          <w:rFonts w:eastAsia="MS Mincho"/>
        </w:rPr>
        <w:t xml:space="preserve"> than the general population</w:t>
      </w:r>
      <w:r w:rsidR="007E0C13">
        <w:rPr>
          <w:rFonts w:eastAsia="MS Mincho"/>
        </w:rPr>
        <w:t>.</w:t>
      </w:r>
      <w:r w:rsidR="008610D3">
        <w:rPr>
          <w:rFonts w:eastAsia="MS Mincho"/>
        </w:rPr>
        <w:t xml:space="preserve"> </w:t>
      </w:r>
      <w:r w:rsidR="00F61793" w:rsidRPr="00D82AC4">
        <w:rPr>
          <w:rFonts w:eastAsia="MS Mincho"/>
        </w:rPr>
        <w:t>Whilst experts tended to be more consistent in their evaluations, the much larger sample size in the general population resulted in more narrow confidence intervals for their evaluations</w:t>
      </w:r>
      <w:r w:rsidR="007E0C13">
        <w:rPr>
          <w:rFonts w:eastAsia="MS Mincho"/>
        </w:rPr>
        <w:t>.</w:t>
      </w:r>
      <w:r w:rsidR="008610D3">
        <w:rPr>
          <w:rFonts w:eastAsia="MS Mincho"/>
        </w:rPr>
        <w:t xml:space="preserve"> </w:t>
      </w:r>
      <w:r w:rsidR="00F61793" w:rsidRPr="00D82AC4">
        <w:rPr>
          <w:rFonts w:eastAsia="MS Mincho"/>
        </w:rPr>
        <w:t xml:space="preserve">The confidence intervals of the mean </w:t>
      </w:r>
      <w:r w:rsidR="00C01610">
        <w:rPr>
          <w:rFonts w:eastAsia="MS Mincho"/>
        </w:rPr>
        <w:t xml:space="preserve">utility </w:t>
      </w:r>
      <w:r w:rsidR="00F61793" w:rsidRPr="00D82AC4">
        <w:rPr>
          <w:rFonts w:eastAsia="MS Mincho"/>
        </w:rPr>
        <w:t xml:space="preserve">estimates overlap for the </w:t>
      </w:r>
      <w:r w:rsidR="00F61793">
        <w:rPr>
          <w:rFonts w:eastAsia="MS Mincho"/>
        </w:rPr>
        <w:t xml:space="preserve">low-risk and </w:t>
      </w:r>
      <w:r w:rsidR="00F61793" w:rsidRPr="00D82AC4">
        <w:rPr>
          <w:rFonts w:eastAsia="MS Mincho"/>
        </w:rPr>
        <w:t>problem gambler categories, making it difficult to conclude that there is a definite difference in the</w:t>
      </w:r>
      <w:r w:rsidR="00F61793">
        <w:rPr>
          <w:rFonts w:eastAsia="MS Mincho"/>
        </w:rPr>
        <w:t xml:space="preserve"> perceptions of these</w:t>
      </w:r>
      <w:r w:rsidR="00F61793" w:rsidRPr="00D82AC4">
        <w:rPr>
          <w:rFonts w:eastAsia="MS Mincho"/>
        </w:rPr>
        <w:t xml:space="preserve"> </w:t>
      </w:r>
      <w:r w:rsidR="00F61793">
        <w:rPr>
          <w:rFonts w:eastAsia="MS Mincho"/>
        </w:rPr>
        <w:t>t</w:t>
      </w:r>
      <w:r w:rsidR="00F61793" w:rsidRPr="00D82AC4">
        <w:rPr>
          <w:rFonts w:eastAsia="MS Mincho"/>
        </w:rPr>
        <w:t xml:space="preserve">wo </w:t>
      </w:r>
      <w:r w:rsidR="00F61793">
        <w:rPr>
          <w:rFonts w:eastAsia="MS Mincho"/>
        </w:rPr>
        <w:t>populations of raters</w:t>
      </w:r>
      <w:r w:rsidR="007E0C13">
        <w:rPr>
          <w:rFonts w:eastAsia="MS Mincho"/>
        </w:rPr>
        <w:t>.</w:t>
      </w:r>
      <w:r w:rsidR="008610D3">
        <w:rPr>
          <w:rFonts w:eastAsia="MS Mincho"/>
        </w:rPr>
        <w:t xml:space="preserve"> </w:t>
      </w:r>
      <w:r w:rsidR="00F61793">
        <w:rPr>
          <w:rFonts w:eastAsia="MS Mincho"/>
        </w:rPr>
        <w:t>However, a significant difference was observed in the ratings made with respect to moderate-risk vignettes</w:t>
      </w:r>
      <w:r w:rsidR="007E0C13">
        <w:rPr>
          <w:rFonts w:eastAsia="MS Mincho"/>
        </w:rPr>
        <w:t>.</w:t>
      </w:r>
      <w:r w:rsidR="008610D3">
        <w:rPr>
          <w:rFonts w:eastAsia="MS Mincho"/>
        </w:rPr>
        <w:t xml:space="preserve"> </w:t>
      </w:r>
      <w:r w:rsidR="00F61793" w:rsidRPr="00D82AC4">
        <w:rPr>
          <w:rFonts w:eastAsia="MS Mincho"/>
        </w:rPr>
        <w:t xml:space="preserve">There are no clear principles regarding whether, or to what degree, an expert judgement should be weighted more heavily than that of a non-expert – especially considering many general public respondents had </w:t>
      </w:r>
      <w:r w:rsidR="009A266C">
        <w:rPr>
          <w:rFonts w:eastAsia="MS Mincho"/>
        </w:rPr>
        <w:t xml:space="preserve">some </w:t>
      </w:r>
      <w:r w:rsidR="00F61793" w:rsidRPr="00D82AC4">
        <w:rPr>
          <w:rFonts w:eastAsia="MS Mincho"/>
        </w:rPr>
        <w:t>personal experience with gambling harms</w:t>
      </w:r>
      <w:r w:rsidR="007E0C13">
        <w:rPr>
          <w:rFonts w:eastAsia="MS Mincho"/>
        </w:rPr>
        <w:t>.</w:t>
      </w:r>
      <w:r w:rsidR="008610D3">
        <w:rPr>
          <w:rFonts w:eastAsia="MS Mincho"/>
        </w:rPr>
        <w:t xml:space="preserve"> </w:t>
      </w:r>
      <w:r w:rsidR="00F61793" w:rsidRPr="00D82AC4">
        <w:rPr>
          <w:rFonts w:eastAsia="MS Mincho"/>
        </w:rPr>
        <w:t>Therefore, we proceeded by weighting responses in the two groups equally to create final pooled estimates</w:t>
      </w:r>
      <w:r w:rsidR="007E0C13">
        <w:rPr>
          <w:rFonts w:eastAsia="MS Mincho"/>
        </w:rPr>
        <w:t>.</w:t>
      </w:r>
      <w:r w:rsidR="008610D3">
        <w:rPr>
          <w:rFonts w:eastAsia="MS Mincho"/>
        </w:rPr>
        <w:t xml:space="preserve"> </w:t>
      </w:r>
      <w:r w:rsidR="00F61793" w:rsidRPr="00D82AC4">
        <w:rPr>
          <w:rFonts w:eastAsia="MS Mincho"/>
        </w:rPr>
        <w:t xml:space="preserve">However, we </w:t>
      </w:r>
      <w:r w:rsidR="009A266C">
        <w:rPr>
          <w:rFonts w:eastAsia="MS Mincho"/>
        </w:rPr>
        <w:t xml:space="preserve">have </w:t>
      </w:r>
      <w:r w:rsidR="00F61793" w:rsidRPr="00D82AC4">
        <w:rPr>
          <w:rFonts w:eastAsia="MS Mincho"/>
        </w:rPr>
        <w:t>also provide</w:t>
      </w:r>
      <w:r w:rsidR="009A266C">
        <w:rPr>
          <w:rFonts w:eastAsia="MS Mincho"/>
        </w:rPr>
        <w:t>d</w:t>
      </w:r>
      <w:r w:rsidR="00F61793" w:rsidRPr="00D82AC4">
        <w:rPr>
          <w:rFonts w:eastAsia="MS Mincho"/>
        </w:rPr>
        <w:t xml:space="preserve"> separate numerical data on the PGSI category </w:t>
      </w:r>
      <w:r w:rsidR="00577004">
        <w:rPr>
          <w:rFonts w:eastAsia="MS Mincho"/>
        </w:rPr>
        <w:t>gambling</w:t>
      </w:r>
      <w:r w:rsidR="00903E8B">
        <w:rPr>
          <w:rFonts w:eastAsia="MS Mincho"/>
        </w:rPr>
        <w:t>-related</w:t>
      </w:r>
      <w:r w:rsidR="00577004">
        <w:rPr>
          <w:rFonts w:eastAsia="MS Mincho"/>
        </w:rPr>
        <w:t xml:space="preserve"> </w:t>
      </w:r>
      <w:r w:rsidR="00F61793" w:rsidRPr="00D82AC4">
        <w:rPr>
          <w:rFonts w:eastAsia="MS Mincho"/>
        </w:rPr>
        <w:t>harm</w:t>
      </w:r>
      <w:r w:rsidR="00C01610">
        <w:rPr>
          <w:rFonts w:eastAsia="MS Mincho"/>
        </w:rPr>
        <w:t xml:space="preserve"> utility</w:t>
      </w:r>
      <w:r w:rsidR="00F61793" w:rsidRPr="00D82AC4">
        <w:rPr>
          <w:rFonts w:eastAsia="MS Mincho"/>
        </w:rPr>
        <w:t xml:space="preserve"> estimates, weighted with respect to the </w:t>
      </w:r>
      <w:r w:rsidR="00F61793">
        <w:rPr>
          <w:rFonts w:eastAsia="MS Mincho"/>
        </w:rPr>
        <w:t xml:space="preserve">New Zealand </w:t>
      </w:r>
      <w:r w:rsidR="00F61793" w:rsidRPr="00D82AC4">
        <w:rPr>
          <w:rFonts w:eastAsia="MS Mincho"/>
        </w:rPr>
        <w:t>population</w:t>
      </w:r>
      <w:r>
        <w:rPr>
          <w:rFonts w:eastAsia="MS Mincho"/>
        </w:rPr>
        <w:t xml:space="preserve"> (</w:t>
      </w:r>
      <w:r>
        <w:rPr>
          <w:rFonts w:eastAsia="MS Mincho"/>
        </w:rPr>
        <w:fldChar w:fldCharType="begin"/>
      </w:r>
      <w:r>
        <w:rPr>
          <w:rFonts w:eastAsia="MS Mincho"/>
        </w:rPr>
        <w:instrText xml:space="preserve"> REF _Ref445408857 \h </w:instrText>
      </w:r>
      <w:r>
        <w:rPr>
          <w:rFonts w:eastAsia="MS Mincho"/>
        </w:rPr>
      </w:r>
      <w:r>
        <w:rPr>
          <w:rFonts w:eastAsia="MS Mincho"/>
        </w:rPr>
        <w:fldChar w:fldCharType="separate"/>
      </w:r>
      <w:r w:rsidR="0006479A">
        <w:t xml:space="preserve">Table </w:t>
      </w:r>
      <w:r w:rsidR="0006479A">
        <w:rPr>
          <w:noProof/>
        </w:rPr>
        <w:t>20</w:t>
      </w:r>
      <w:r>
        <w:rPr>
          <w:rFonts w:eastAsia="MS Mincho"/>
        </w:rPr>
        <w:fldChar w:fldCharType="end"/>
      </w:r>
      <w:r>
        <w:rPr>
          <w:rFonts w:eastAsia="MS Mincho"/>
        </w:rPr>
        <w:t>)</w:t>
      </w:r>
      <w:r w:rsidR="00F61793" w:rsidRPr="00D82AC4">
        <w:rPr>
          <w:rFonts w:eastAsia="MS Mincho"/>
        </w:rPr>
        <w:t>.</w:t>
      </w:r>
    </w:p>
    <w:p w14:paraId="757C1158" w14:textId="77777777" w:rsidR="00F61793" w:rsidRDefault="00F61793" w:rsidP="00F61793">
      <w:pPr>
        <w:pStyle w:val="VRGFBodycontent"/>
      </w:pPr>
    </w:p>
    <w:p w14:paraId="33B254EE" w14:textId="77777777" w:rsidR="00F61793" w:rsidRPr="00D82AC4" w:rsidRDefault="00F61793" w:rsidP="00F61793">
      <w:pPr>
        <w:spacing w:before="0" w:after="120" w:line="240" w:lineRule="auto"/>
        <w:ind w:left="0"/>
        <w:jc w:val="right"/>
        <w:rPr>
          <w:rFonts w:cs="Arial"/>
          <w:i/>
          <w:color w:val="4E84C4"/>
          <w:sz w:val="17"/>
          <w:szCs w:val="19"/>
        </w:rPr>
      </w:pPr>
      <w:r>
        <w:rPr>
          <w:rFonts w:cs="Arial"/>
          <w:i/>
          <w:noProof/>
          <w:color w:val="4E84C4"/>
          <w:sz w:val="17"/>
          <w:szCs w:val="19"/>
          <w:lang w:val="en-NZ" w:eastAsia="en-NZ"/>
        </w:rPr>
        <w:lastRenderedPageBreak/>
        <w:drawing>
          <wp:inline distT="0" distB="0" distL="0" distR="0" wp14:anchorId="2344DA3C" wp14:editId="23750571">
            <wp:extent cx="5708073" cy="372052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4771" cy="3724886"/>
                    </a:xfrm>
                    <a:prstGeom prst="rect">
                      <a:avLst/>
                    </a:prstGeom>
                    <a:noFill/>
                  </pic:spPr>
                </pic:pic>
              </a:graphicData>
            </a:graphic>
          </wp:inline>
        </w:drawing>
      </w:r>
    </w:p>
    <w:p w14:paraId="5B7100F5" w14:textId="45448825" w:rsidR="00F61793" w:rsidRPr="00E670E3" w:rsidRDefault="00B66762" w:rsidP="00767EAD">
      <w:pPr>
        <w:pStyle w:val="Caption"/>
        <w:spacing w:after="60"/>
        <w:rPr>
          <w:color w:val="1C3158"/>
        </w:rPr>
      </w:pPr>
      <w:bookmarkStart w:id="282" w:name="_Ref445408686"/>
      <w:bookmarkStart w:id="283" w:name="_Ref429647969"/>
      <w:bookmarkStart w:id="284" w:name="_Toc440900312"/>
      <w:bookmarkStart w:id="285" w:name="_Toc462738092"/>
      <w:r>
        <w:t xml:space="preserve">Figure </w:t>
      </w:r>
      <w:fldSimple w:instr=" SEQ Figure \* ARABIC ">
        <w:r w:rsidR="0006479A">
          <w:rPr>
            <w:noProof/>
          </w:rPr>
          <w:t>9</w:t>
        </w:r>
      </w:fldSimple>
      <w:bookmarkEnd w:id="282"/>
      <w:r w:rsidR="007E0C13">
        <w:t>.</w:t>
      </w:r>
      <w:r w:rsidR="008610D3">
        <w:t xml:space="preserve"> </w:t>
      </w:r>
      <w:bookmarkEnd w:id="283"/>
      <w:r w:rsidR="00577004">
        <w:t>Gambling</w:t>
      </w:r>
      <w:r w:rsidR="00903E8B">
        <w:t xml:space="preserve">-related </w:t>
      </w:r>
      <w:r w:rsidR="00577004">
        <w:t>h</w:t>
      </w:r>
      <w:r w:rsidR="00F61793" w:rsidRPr="00E670E3">
        <w:rPr>
          <w:color w:val="1C3158"/>
        </w:rPr>
        <w:t xml:space="preserve">arm </w:t>
      </w:r>
      <w:r w:rsidR="00C01610">
        <w:rPr>
          <w:color w:val="1C3158"/>
        </w:rPr>
        <w:t xml:space="preserve">(utility) </w:t>
      </w:r>
      <w:r w:rsidR="00F61793" w:rsidRPr="00E670E3">
        <w:rPr>
          <w:color w:val="1C3158"/>
        </w:rPr>
        <w:t>by sample type and PGSI category</w:t>
      </w:r>
      <w:bookmarkEnd w:id="284"/>
      <w:bookmarkEnd w:id="285"/>
    </w:p>
    <w:p w14:paraId="193E9052" w14:textId="1BEBF345" w:rsidR="00F61793" w:rsidRPr="00767EAD" w:rsidRDefault="00F61793" w:rsidP="00767EAD">
      <w:pPr>
        <w:spacing w:before="0" w:after="0" w:line="240" w:lineRule="auto"/>
        <w:ind w:left="0"/>
        <w:rPr>
          <w:color w:val="1F3864" w:themeColor="accent5" w:themeShade="80"/>
          <w:sz w:val="16"/>
        </w:rPr>
      </w:pPr>
      <w:r w:rsidRPr="00767EAD">
        <w:rPr>
          <w:color w:val="1F3864" w:themeColor="accent5" w:themeShade="80"/>
          <w:sz w:val="16"/>
        </w:rPr>
        <w:t>Note</w:t>
      </w:r>
      <w:r w:rsidR="007E0C13">
        <w:rPr>
          <w:color w:val="1F3864" w:themeColor="accent5" w:themeShade="80"/>
          <w:sz w:val="16"/>
        </w:rPr>
        <w:t>.</w:t>
      </w:r>
      <w:r w:rsidR="008610D3">
        <w:rPr>
          <w:color w:val="1F3864" w:themeColor="accent5" w:themeShade="80"/>
          <w:sz w:val="16"/>
        </w:rPr>
        <w:t xml:space="preserve"> </w:t>
      </w:r>
      <w:r w:rsidRPr="00767EAD">
        <w:rPr>
          <w:color w:val="1F3864" w:themeColor="accent5" w:themeShade="80"/>
          <w:sz w:val="16"/>
        </w:rPr>
        <w:t xml:space="preserve">Error bars indicate 95% confidence intervals of the mean. </w:t>
      </w:r>
    </w:p>
    <w:p w14:paraId="1E1ED93C" w14:textId="5E6E3E67" w:rsidR="00F61793" w:rsidRDefault="00F61793" w:rsidP="00C82A76">
      <w:pPr>
        <w:pStyle w:val="VRGFBodycontent"/>
        <w:spacing w:before="240"/>
        <w:rPr>
          <w:rFonts w:eastAsia="MS Mincho"/>
        </w:rPr>
      </w:pPr>
      <w:r w:rsidRPr="00203824">
        <w:rPr>
          <w:rFonts w:eastAsia="MS Mincho"/>
        </w:rPr>
        <w:t>For each PGSI category, the conditional harm means were weighted with respect to New Zealand prevalence data, and averaged</w:t>
      </w:r>
      <w:r w:rsidR="007E0C13">
        <w:rPr>
          <w:rFonts w:eastAsia="MS Mincho"/>
        </w:rPr>
        <w:t>.</w:t>
      </w:r>
      <w:r w:rsidR="008610D3">
        <w:rPr>
          <w:rFonts w:eastAsia="MS Mincho"/>
        </w:rPr>
        <w:t xml:space="preserve"> </w:t>
      </w:r>
      <w:r w:rsidRPr="00203824">
        <w:rPr>
          <w:rFonts w:eastAsia="MS Mincho"/>
        </w:rPr>
        <w:t>This account</w:t>
      </w:r>
      <w:r w:rsidR="009A266C">
        <w:rPr>
          <w:rFonts w:eastAsia="MS Mincho"/>
        </w:rPr>
        <w:t>ed</w:t>
      </w:r>
      <w:r w:rsidRPr="00203824">
        <w:rPr>
          <w:rFonts w:eastAsia="MS Mincho"/>
        </w:rPr>
        <w:t xml:space="preserve"> for the greater prevalence of lower scores than higher scores within categories, and permit</w:t>
      </w:r>
      <w:r w:rsidR="009A266C">
        <w:rPr>
          <w:rFonts w:eastAsia="MS Mincho"/>
        </w:rPr>
        <w:t>ted</w:t>
      </w:r>
      <w:r w:rsidRPr="00203824">
        <w:rPr>
          <w:rFonts w:eastAsia="MS Mincho"/>
        </w:rPr>
        <w:t xml:space="preserve"> an interpretation of the category mean as the expected value for a randomly selected individual falling into that category</w:t>
      </w:r>
      <w:r w:rsidR="007E0C13">
        <w:rPr>
          <w:rFonts w:eastAsia="MS Mincho"/>
        </w:rPr>
        <w:t>.</w:t>
      </w:r>
      <w:r w:rsidR="008610D3">
        <w:rPr>
          <w:rFonts w:eastAsia="MS Mincho"/>
        </w:rPr>
        <w:t xml:space="preserve"> </w:t>
      </w:r>
      <w:r w:rsidRPr="00203824">
        <w:rPr>
          <w:rFonts w:eastAsia="MS Mincho"/>
        </w:rPr>
        <w:t>Th</w:t>
      </w:r>
      <w:r w:rsidR="009A266C">
        <w:rPr>
          <w:rFonts w:eastAsia="MS Mincho"/>
        </w:rPr>
        <w:t>ese</w:t>
      </w:r>
      <w:r w:rsidRPr="00203824">
        <w:rPr>
          <w:rFonts w:eastAsia="MS Mincho"/>
        </w:rPr>
        <w:t xml:space="preserve"> data </w:t>
      </w:r>
      <w:r w:rsidR="009A266C">
        <w:rPr>
          <w:rFonts w:eastAsia="MS Mincho"/>
        </w:rPr>
        <w:t>are</w:t>
      </w:r>
      <w:r w:rsidRPr="00203824">
        <w:rPr>
          <w:rFonts w:eastAsia="MS Mincho"/>
        </w:rPr>
        <w:t xml:space="preserve"> provided in </w:t>
      </w:r>
      <w:r w:rsidR="00B66762">
        <w:rPr>
          <w:rFonts w:eastAsia="MS Mincho"/>
        </w:rPr>
        <w:fldChar w:fldCharType="begin"/>
      </w:r>
      <w:r w:rsidR="00B66762">
        <w:rPr>
          <w:rFonts w:eastAsia="MS Mincho"/>
        </w:rPr>
        <w:instrText xml:space="preserve"> REF _Ref445408857 \h </w:instrText>
      </w:r>
      <w:r w:rsidR="00B66762">
        <w:rPr>
          <w:rFonts w:eastAsia="MS Mincho"/>
        </w:rPr>
      </w:r>
      <w:r w:rsidR="00B66762">
        <w:rPr>
          <w:rFonts w:eastAsia="MS Mincho"/>
        </w:rPr>
        <w:fldChar w:fldCharType="separate"/>
      </w:r>
      <w:r w:rsidR="0006479A">
        <w:t xml:space="preserve">Table </w:t>
      </w:r>
      <w:r w:rsidR="0006479A">
        <w:rPr>
          <w:noProof/>
        </w:rPr>
        <w:t>20</w:t>
      </w:r>
      <w:r w:rsidR="00B66762">
        <w:rPr>
          <w:rFonts w:eastAsia="MS Mincho"/>
        </w:rPr>
        <w:fldChar w:fldCharType="end"/>
      </w:r>
      <w:r w:rsidR="00B66762">
        <w:rPr>
          <w:rFonts w:eastAsia="MS Mincho"/>
        </w:rPr>
        <w:t xml:space="preserve"> </w:t>
      </w:r>
      <w:r w:rsidRPr="00203824">
        <w:rPr>
          <w:rFonts w:eastAsia="MS Mincho"/>
        </w:rPr>
        <w:t xml:space="preserve">for both experts and general population elicited </w:t>
      </w:r>
      <w:r w:rsidR="00577004">
        <w:rPr>
          <w:rFonts w:eastAsia="MS Mincho"/>
        </w:rPr>
        <w:t xml:space="preserve">gambling </w:t>
      </w:r>
      <w:r w:rsidRPr="00203824">
        <w:rPr>
          <w:rFonts w:eastAsia="MS Mincho"/>
        </w:rPr>
        <w:t xml:space="preserve">harm, and for the pooled estimate. </w:t>
      </w:r>
    </w:p>
    <w:p w14:paraId="20809E67" w14:textId="7127DB11" w:rsidR="00F61793" w:rsidRDefault="00B66762" w:rsidP="00B66762">
      <w:pPr>
        <w:pStyle w:val="Caption"/>
        <w:rPr>
          <w:rFonts w:cs="Arial"/>
          <w:bCs/>
          <w:iCs w:val="0"/>
          <w:color w:val="auto"/>
          <w:lang w:eastAsia="ja-JP"/>
        </w:rPr>
      </w:pPr>
      <w:bookmarkStart w:id="286" w:name="_Ref445408857"/>
      <w:bookmarkStart w:id="287" w:name="_Ref429648117"/>
      <w:bookmarkStart w:id="288" w:name="_Toc440900342"/>
      <w:bookmarkStart w:id="289" w:name="_Ref445408782"/>
      <w:bookmarkStart w:id="290" w:name="_Toc462738123"/>
      <w:r>
        <w:t xml:space="preserve">Table </w:t>
      </w:r>
      <w:fldSimple w:instr=" SEQ Table \* ARABIC ">
        <w:r w:rsidR="0006479A">
          <w:rPr>
            <w:noProof/>
          </w:rPr>
          <w:t>20</w:t>
        </w:r>
      </w:fldSimple>
      <w:bookmarkEnd w:id="286"/>
      <w:r w:rsidR="007E0C13">
        <w:t>.</w:t>
      </w:r>
      <w:r w:rsidR="008610D3">
        <w:t xml:space="preserve"> </w:t>
      </w:r>
      <w:bookmarkEnd w:id="287"/>
      <w:r w:rsidR="00577004">
        <w:t>Gambling</w:t>
      </w:r>
      <w:r w:rsidR="00903E8B">
        <w:t>-related</w:t>
      </w:r>
      <w:r w:rsidR="00577004">
        <w:t xml:space="preserve"> h</w:t>
      </w:r>
      <w:r w:rsidR="00F61793" w:rsidRPr="00E670E3">
        <w:rPr>
          <w:rFonts w:cs="Arial"/>
          <w:color w:val="1C3158"/>
        </w:rPr>
        <w:t>arm</w:t>
      </w:r>
      <w:r w:rsidR="00C01610">
        <w:rPr>
          <w:rFonts w:cs="Arial"/>
          <w:color w:val="1C3158"/>
        </w:rPr>
        <w:t xml:space="preserve"> (utility)</w:t>
      </w:r>
      <w:r w:rsidR="00F61793" w:rsidRPr="00E670E3">
        <w:rPr>
          <w:rFonts w:cs="Arial"/>
          <w:color w:val="1C3158"/>
        </w:rPr>
        <w:t xml:space="preserve"> by sample type and PGSI category</w:t>
      </w:r>
      <w:bookmarkEnd w:id="288"/>
      <w:bookmarkEnd w:id="289"/>
      <w:bookmarkEnd w:id="290"/>
    </w:p>
    <w:tbl>
      <w:tblPr>
        <w:tblW w:w="9356" w:type="dxa"/>
        <w:tblLook w:val="04A0" w:firstRow="1" w:lastRow="0" w:firstColumn="1" w:lastColumn="0" w:noHBand="0" w:noVBand="1"/>
      </w:tblPr>
      <w:tblGrid>
        <w:gridCol w:w="1701"/>
        <w:gridCol w:w="992"/>
        <w:gridCol w:w="1134"/>
        <w:gridCol w:w="1134"/>
        <w:gridCol w:w="992"/>
        <w:gridCol w:w="1135"/>
        <w:gridCol w:w="1134"/>
        <w:gridCol w:w="1134"/>
      </w:tblGrid>
      <w:tr w:rsidR="00F61793" w:rsidRPr="001506B9" w14:paraId="72E27FD7" w14:textId="77777777" w:rsidTr="00767EAD">
        <w:trPr>
          <w:trHeight w:val="330"/>
        </w:trPr>
        <w:tc>
          <w:tcPr>
            <w:tcW w:w="1701" w:type="dxa"/>
            <w:vMerge w:val="restart"/>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01499376" w14:textId="77777777" w:rsidR="00F61793" w:rsidRPr="001506B9" w:rsidRDefault="00F61793" w:rsidP="00191866">
            <w:pPr>
              <w:tabs>
                <w:tab w:val="clear" w:pos="426"/>
              </w:tabs>
              <w:spacing w:before="0" w:after="0" w:line="240" w:lineRule="auto"/>
              <w:ind w:left="0" w:right="0"/>
              <w:rPr>
                <w:rFonts w:cs="Arial"/>
                <w:b/>
                <w:bCs/>
                <w:color w:val="1C3158"/>
                <w:sz w:val="18"/>
                <w:lang w:eastAsia="ja-JP"/>
              </w:rPr>
            </w:pPr>
            <w:r w:rsidRPr="001506B9">
              <w:rPr>
                <w:rFonts w:cs="Arial"/>
                <w:b/>
                <w:bCs/>
                <w:color w:val="1C3158"/>
                <w:sz w:val="18"/>
                <w:lang w:eastAsia="ja-JP"/>
              </w:rPr>
              <w:t>PGSI Category</w:t>
            </w:r>
          </w:p>
        </w:tc>
        <w:tc>
          <w:tcPr>
            <w:tcW w:w="3260" w:type="dxa"/>
            <w:gridSpan w:val="3"/>
            <w:tcBorders>
              <w:top w:val="single" w:sz="12" w:space="0" w:color="FF9E3C"/>
              <w:left w:val="nil"/>
              <w:bottom w:val="single" w:sz="12" w:space="0" w:color="FF9E3C"/>
              <w:right w:val="single" w:sz="12" w:space="0" w:color="FF9E3C"/>
            </w:tcBorders>
            <w:shd w:val="clear" w:color="000000" w:fill="FFBC64"/>
            <w:noWrap/>
            <w:vAlign w:val="center"/>
            <w:hideMark/>
          </w:tcPr>
          <w:p w14:paraId="7EAAD8A0"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General Population</w:t>
            </w:r>
          </w:p>
        </w:tc>
        <w:tc>
          <w:tcPr>
            <w:tcW w:w="3261" w:type="dxa"/>
            <w:gridSpan w:val="3"/>
            <w:tcBorders>
              <w:top w:val="single" w:sz="12" w:space="0" w:color="FF9E3C"/>
              <w:left w:val="nil"/>
              <w:bottom w:val="single" w:sz="12" w:space="0" w:color="FF9E3C"/>
              <w:right w:val="single" w:sz="12" w:space="0" w:color="FF9E3C"/>
            </w:tcBorders>
            <w:shd w:val="clear" w:color="000000" w:fill="FFBC64"/>
            <w:noWrap/>
            <w:vAlign w:val="center"/>
            <w:hideMark/>
          </w:tcPr>
          <w:p w14:paraId="7B456C42"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Experts</w:t>
            </w:r>
          </w:p>
        </w:tc>
        <w:tc>
          <w:tcPr>
            <w:tcW w:w="1134" w:type="dxa"/>
            <w:vMerge w:val="restart"/>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31570834"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Overall Harm</w:t>
            </w:r>
          </w:p>
        </w:tc>
      </w:tr>
      <w:tr w:rsidR="00F61793" w:rsidRPr="001506B9" w14:paraId="02681C6C" w14:textId="77777777" w:rsidTr="00767EAD">
        <w:trPr>
          <w:trHeight w:val="330"/>
        </w:trPr>
        <w:tc>
          <w:tcPr>
            <w:tcW w:w="1701" w:type="dxa"/>
            <w:vMerge/>
            <w:tcBorders>
              <w:top w:val="single" w:sz="12" w:space="0" w:color="FF9E3C"/>
              <w:left w:val="single" w:sz="12" w:space="0" w:color="FF9E3C"/>
              <w:bottom w:val="single" w:sz="12" w:space="0" w:color="FF9E3C"/>
              <w:right w:val="single" w:sz="12" w:space="0" w:color="FF9E3C"/>
            </w:tcBorders>
            <w:vAlign w:val="center"/>
            <w:hideMark/>
          </w:tcPr>
          <w:p w14:paraId="764F49D9" w14:textId="77777777" w:rsidR="00F61793" w:rsidRPr="001506B9" w:rsidRDefault="00F61793" w:rsidP="00191866">
            <w:pPr>
              <w:tabs>
                <w:tab w:val="clear" w:pos="426"/>
              </w:tabs>
              <w:spacing w:before="0" w:after="0" w:line="240" w:lineRule="auto"/>
              <w:ind w:left="0" w:right="0"/>
              <w:rPr>
                <w:rFonts w:cs="Arial"/>
                <w:b/>
                <w:bCs/>
                <w:color w:val="1C3158"/>
                <w:sz w:val="18"/>
                <w:lang w:eastAsia="ja-JP"/>
              </w:rPr>
            </w:pPr>
          </w:p>
        </w:tc>
        <w:tc>
          <w:tcPr>
            <w:tcW w:w="992" w:type="dxa"/>
            <w:tcBorders>
              <w:top w:val="nil"/>
              <w:left w:val="nil"/>
              <w:bottom w:val="single" w:sz="12" w:space="0" w:color="FF9E3C"/>
              <w:right w:val="single" w:sz="12" w:space="0" w:color="FF9E3C"/>
            </w:tcBorders>
            <w:shd w:val="clear" w:color="000000" w:fill="FFBC64"/>
            <w:noWrap/>
            <w:vAlign w:val="center"/>
            <w:hideMark/>
          </w:tcPr>
          <w:p w14:paraId="5AD0F5A7"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Harm</w:t>
            </w:r>
          </w:p>
        </w:tc>
        <w:tc>
          <w:tcPr>
            <w:tcW w:w="1134" w:type="dxa"/>
            <w:tcBorders>
              <w:top w:val="nil"/>
              <w:left w:val="nil"/>
              <w:bottom w:val="single" w:sz="12" w:space="0" w:color="FF9E3C"/>
              <w:right w:val="single" w:sz="12" w:space="0" w:color="FF9E3C"/>
            </w:tcBorders>
            <w:shd w:val="clear" w:color="000000" w:fill="FFBC64"/>
            <w:noWrap/>
            <w:vAlign w:val="center"/>
            <w:hideMark/>
          </w:tcPr>
          <w:p w14:paraId="1D6CF032"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Lower CI</w:t>
            </w:r>
          </w:p>
        </w:tc>
        <w:tc>
          <w:tcPr>
            <w:tcW w:w="1134" w:type="dxa"/>
            <w:tcBorders>
              <w:top w:val="nil"/>
              <w:left w:val="nil"/>
              <w:bottom w:val="single" w:sz="12" w:space="0" w:color="FF9E3C"/>
              <w:right w:val="single" w:sz="12" w:space="0" w:color="FF9E3C"/>
            </w:tcBorders>
            <w:shd w:val="clear" w:color="000000" w:fill="FFBC64"/>
            <w:noWrap/>
            <w:vAlign w:val="center"/>
            <w:hideMark/>
          </w:tcPr>
          <w:p w14:paraId="7747708C"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Upper CI</w:t>
            </w:r>
          </w:p>
        </w:tc>
        <w:tc>
          <w:tcPr>
            <w:tcW w:w="992" w:type="dxa"/>
            <w:tcBorders>
              <w:top w:val="nil"/>
              <w:left w:val="nil"/>
              <w:bottom w:val="single" w:sz="12" w:space="0" w:color="FF9E3C"/>
              <w:right w:val="single" w:sz="12" w:space="0" w:color="FF9E3C"/>
            </w:tcBorders>
            <w:shd w:val="clear" w:color="000000" w:fill="FFBC64"/>
            <w:noWrap/>
            <w:vAlign w:val="center"/>
            <w:hideMark/>
          </w:tcPr>
          <w:p w14:paraId="0AB5A885"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Harm</w:t>
            </w:r>
          </w:p>
        </w:tc>
        <w:tc>
          <w:tcPr>
            <w:tcW w:w="1135" w:type="dxa"/>
            <w:tcBorders>
              <w:top w:val="nil"/>
              <w:left w:val="nil"/>
              <w:bottom w:val="single" w:sz="12" w:space="0" w:color="FF9E3C"/>
              <w:right w:val="single" w:sz="12" w:space="0" w:color="FF9E3C"/>
            </w:tcBorders>
            <w:shd w:val="clear" w:color="000000" w:fill="FFBC64"/>
            <w:noWrap/>
            <w:vAlign w:val="center"/>
            <w:hideMark/>
          </w:tcPr>
          <w:p w14:paraId="760E9AF4"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Lower CI</w:t>
            </w:r>
          </w:p>
        </w:tc>
        <w:tc>
          <w:tcPr>
            <w:tcW w:w="1134" w:type="dxa"/>
            <w:tcBorders>
              <w:top w:val="nil"/>
              <w:left w:val="nil"/>
              <w:bottom w:val="single" w:sz="12" w:space="0" w:color="FF9E3C"/>
              <w:right w:val="single" w:sz="12" w:space="0" w:color="FF9E3C"/>
            </w:tcBorders>
            <w:shd w:val="clear" w:color="000000" w:fill="FFBC64"/>
            <w:noWrap/>
            <w:vAlign w:val="center"/>
            <w:hideMark/>
          </w:tcPr>
          <w:p w14:paraId="295B7C07"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Upper CI</w:t>
            </w:r>
          </w:p>
        </w:tc>
        <w:tc>
          <w:tcPr>
            <w:tcW w:w="1134" w:type="dxa"/>
            <w:vMerge/>
            <w:tcBorders>
              <w:top w:val="single" w:sz="12" w:space="0" w:color="FF9E3C"/>
              <w:left w:val="single" w:sz="12" w:space="0" w:color="FF9E3C"/>
              <w:bottom w:val="single" w:sz="12" w:space="0" w:color="FF9E3C"/>
              <w:right w:val="single" w:sz="12" w:space="0" w:color="FF9E3C"/>
            </w:tcBorders>
            <w:vAlign w:val="center"/>
            <w:hideMark/>
          </w:tcPr>
          <w:p w14:paraId="35B1D5E9" w14:textId="77777777" w:rsidR="00F61793" w:rsidRPr="001506B9" w:rsidRDefault="00F61793" w:rsidP="00191866">
            <w:pPr>
              <w:tabs>
                <w:tab w:val="clear" w:pos="426"/>
              </w:tabs>
              <w:spacing w:before="0" w:after="0" w:line="240" w:lineRule="auto"/>
              <w:ind w:left="0" w:right="0"/>
              <w:rPr>
                <w:rFonts w:cs="Arial"/>
                <w:b/>
                <w:bCs/>
                <w:sz w:val="18"/>
                <w:lang w:eastAsia="ja-JP"/>
              </w:rPr>
            </w:pPr>
          </w:p>
        </w:tc>
      </w:tr>
      <w:tr w:rsidR="00F61793" w:rsidRPr="001506B9" w14:paraId="1A34865E" w14:textId="77777777" w:rsidTr="00767EAD">
        <w:trPr>
          <w:trHeight w:val="330"/>
        </w:trPr>
        <w:tc>
          <w:tcPr>
            <w:tcW w:w="1701" w:type="dxa"/>
            <w:tcBorders>
              <w:top w:val="nil"/>
              <w:left w:val="single" w:sz="12" w:space="0" w:color="FF9E3C"/>
              <w:bottom w:val="single" w:sz="12" w:space="0" w:color="FF9E3C"/>
              <w:right w:val="single" w:sz="12" w:space="0" w:color="FF9E3C"/>
            </w:tcBorders>
            <w:shd w:val="clear" w:color="auto" w:fill="auto"/>
            <w:vAlign w:val="center"/>
            <w:hideMark/>
          </w:tcPr>
          <w:p w14:paraId="6F17075D" w14:textId="77777777" w:rsidR="00F61793" w:rsidRPr="001506B9" w:rsidRDefault="00F61793" w:rsidP="00191866">
            <w:pPr>
              <w:tabs>
                <w:tab w:val="clear" w:pos="426"/>
              </w:tabs>
              <w:spacing w:before="0" w:after="0" w:line="240" w:lineRule="auto"/>
              <w:ind w:left="0" w:right="0"/>
              <w:rPr>
                <w:rFonts w:cs="Arial"/>
                <w:color w:val="1C3158"/>
                <w:sz w:val="18"/>
                <w:lang w:eastAsia="ja-JP"/>
              </w:rPr>
            </w:pPr>
            <w:r w:rsidRPr="001506B9">
              <w:rPr>
                <w:rFonts w:cs="Arial"/>
                <w:color w:val="1C3158"/>
                <w:sz w:val="18"/>
                <w:lang w:eastAsia="ja-JP"/>
              </w:rPr>
              <w:t>Low Risk</w:t>
            </w:r>
          </w:p>
        </w:tc>
        <w:tc>
          <w:tcPr>
            <w:tcW w:w="992" w:type="dxa"/>
            <w:tcBorders>
              <w:top w:val="nil"/>
              <w:left w:val="nil"/>
              <w:bottom w:val="single" w:sz="12" w:space="0" w:color="FF9E3C"/>
              <w:right w:val="single" w:sz="12" w:space="0" w:color="FF9E3C"/>
            </w:tcBorders>
            <w:shd w:val="clear" w:color="auto" w:fill="auto"/>
            <w:vAlign w:val="center"/>
            <w:hideMark/>
          </w:tcPr>
          <w:p w14:paraId="61827A77"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0.22</w:t>
            </w:r>
          </w:p>
        </w:tc>
        <w:tc>
          <w:tcPr>
            <w:tcW w:w="1134" w:type="dxa"/>
            <w:tcBorders>
              <w:top w:val="nil"/>
              <w:left w:val="nil"/>
              <w:bottom w:val="single" w:sz="12" w:space="0" w:color="FF9E3C"/>
              <w:right w:val="single" w:sz="12" w:space="0" w:color="FF9E3C"/>
            </w:tcBorders>
            <w:shd w:val="clear" w:color="auto" w:fill="auto"/>
            <w:vAlign w:val="center"/>
            <w:hideMark/>
          </w:tcPr>
          <w:p w14:paraId="65A10590"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0.18</w:t>
            </w:r>
          </w:p>
        </w:tc>
        <w:tc>
          <w:tcPr>
            <w:tcW w:w="1134" w:type="dxa"/>
            <w:tcBorders>
              <w:top w:val="nil"/>
              <w:left w:val="nil"/>
              <w:bottom w:val="single" w:sz="12" w:space="0" w:color="FF9E3C"/>
              <w:right w:val="single" w:sz="12" w:space="0" w:color="FF9E3C"/>
            </w:tcBorders>
            <w:shd w:val="clear" w:color="auto" w:fill="auto"/>
            <w:vAlign w:val="center"/>
            <w:hideMark/>
          </w:tcPr>
          <w:p w14:paraId="6D5F5973"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0.26</w:t>
            </w:r>
          </w:p>
        </w:tc>
        <w:tc>
          <w:tcPr>
            <w:tcW w:w="992" w:type="dxa"/>
            <w:tcBorders>
              <w:top w:val="nil"/>
              <w:left w:val="nil"/>
              <w:bottom w:val="single" w:sz="12" w:space="0" w:color="FF9E3C"/>
              <w:right w:val="single" w:sz="12" w:space="0" w:color="FF9E3C"/>
            </w:tcBorders>
            <w:shd w:val="clear" w:color="auto" w:fill="auto"/>
            <w:vAlign w:val="center"/>
            <w:hideMark/>
          </w:tcPr>
          <w:p w14:paraId="7DF77F71"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0.16</w:t>
            </w:r>
          </w:p>
        </w:tc>
        <w:tc>
          <w:tcPr>
            <w:tcW w:w="1135" w:type="dxa"/>
            <w:tcBorders>
              <w:top w:val="nil"/>
              <w:left w:val="nil"/>
              <w:bottom w:val="single" w:sz="12" w:space="0" w:color="FF9E3C"/>
              <w:right w:val="single" w:sz="12" w:space="0" w:color="FF9E3C"/>
            </w:tcBorders>
            <w:shd w:val="clear" w:color="auto" w:fill="auto"/>
            <w:vAlign w:val="center"/>
            <w:hideMark/>
          </w:tcPr>
          <w:p w14:paraId="1AE11D32"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0.10</w:t>
            </w:r>
          </w:p>
        </w:tc>
        <w:tc>
          <w:tcPr>
            <w:tcW w:w="1134" w:type="dxa"/>
            <w:tcBorders>
              <w:top w:val="nil"/>
              <w:left w:val="nil"/>
              <w:bottom w:val="single" w:sz="12" w:space="0" w:color="FF9E3C"/>
              <w:right w:val="single" w:sz="12" w:space="0" w:color="FF9E3C"/>
            </w:tcBorders>
            <w:shd w:val="clear" w:color="auto" w:fill="auto"/>
            <w:vAlign w:val="center"/>
            <w:hideMark/>
          </w:tcPr>
          <w:p w14:paraId="4929C67A"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0.21</w:t>
            </w:r>
          </w:p>
        </w:tc>
        <w:tc>
          <w:tcPr>
            <w:tcW w:w="1134" w:type="dxa"/>
            <w:tcBorders>
              <w:top w:val="nil"/>
              <w:left w:val="nil"/>
              <w:bottom w:val="single" w:sz="12" w:space="0" w:color="FF9E3C"/>
              <w:right w:val="single" w:sz="12" w:space="0" w:color="FF9E3C"/>
            </w:tcBorders>
            <w:shd w:val="clear" w:color="auto" w:fill="auto"/>
            <w:vAlign w:val="center"/>
            <w:hideMark/>
          </w:tcPr>
          <w:p w14:paraId="62B022D1"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0.18</w:t>
            </w:r>
          </w:p>
        </w:tc>
      </w:tr>
      <w:tr w:rsidR="00F61793" w:rsidRPr="001506B9" w14:paraId="79920934" w14:textId="77777777" w:rsidTr="00767EAD">
        <w:trPr>
          <w:trHeight w:val="330"/>
        </w:trPr>
        <w:tc>
          <w:tcPr>
            <w:tcW w:w="1701" w:type="dxa"/>
            <w:tcBorders>
              <w:top w:val="nil"/>
              <w:left w:val="single" w:sz="12" w:space="0" w:color="FF9E3C"/>
              <w:bottom w:val="single" w:sz="12" w:space="0" w:color="FF9E3C"/>
              <w:right w:val="single" w:sz="12" w:space="0" w:color="FF9E3C"/>
            </w:tcBorders>
            <w:shd w:val="clear" w:color="auto" w:fill="auto"/>
            <w:vAlign w:val="center"/>
            <w:hideMark/>
          </w:tcPr>
          <w:p w14:paraId="6C1380D7" w14:textId="77777777" w:rsidR="00F61793" w:rsidRPr="001506B9" w:rsidRDefault="00F61793" w:rsidP="00191866">
            <w:pPr>
              <w:tabs>
                <w:tab w:val="clear" w:pos="426"/>
              </w:tabs>
              <w:spacing w:before="0" w:after="0" w:line="240" w:lineRule="auto"/>
              <w:ind w:left="0" w:right="0"/>
              <w:rPr>
                <w:rFonts w:cs="Arial"/>
                <w:color w:val="1C3158"/>
                <w:sz w:val="18"/>
                <w:lang w:eastAsia="ja-JP"/>
              </w:rPr>
            </w:pPr>
            <w:r w:rsidRPr="001506B9">
              <w:rPr>
                <w:rFonts w:cs="Arial"/>
                <w:color w:val="1C3158"/>
                <w:sz w:val="18"/>
                <w:lang w:eastAsia="ja-JP"/>
              </w:rPr>
              <w:t>Moderate Risk</w:t>
            </w:r>
          </w:p>
        </w:tc>
        <w:tc>
          <w:tcPr>
            <w:tcW w:w="992" w:type="dxa"/>
            <w:tcBorders>
              <w:top w:val="nil"/>
              <w:left w:val="nil"/>
              <w:bottom w:val="single" w:sz="12" w:space="0" w:color="FF9E3C"/>
              <w:right w:val="single" w:sz="12" w:space="0" w:color="FF9E3C"/>
            </w:tcBorders>
            <w:shd w:val="clear" w:color="auto" w:fill="auto"/>
            <w:vAlign w:val="center"/>
            <w:hideMark/>
          </w:tcPr>
          <w:p w14:paraId="434296E4"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0.42</w:t>
            </w:r>
          </w:p>
        </w:tc>
        <w:tc>
          <w:tcPr>
            <w:tcW w:w="1134" w:type="dxa"/>
            <w:tcBorders>
              <w:top w:val="nil"/>
              <w:left w:val="nil"/>
              <w:bottom w:val="single" w:sz="12" w:space="0" w:color="FF9E3C"/>
              <w:right w:val="single" w:sz="12" w:space="0" w:color="FF9E3C"/>
            </w:tcBorders>
            <w:shd w:val="clear" w:color="auto" w:fill="auto"/>
            <w:vAlign w:val="center"/>
            <w:hideMark/>
          </w:tcPr>
          <w:p w14:paraId="6CA37A1F"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0.36</w:t>
            </w:r>
          </w:p>
        </w:tc>
        <w:tc>
          <w:tcPr>
            <w:tcW w:w="1134" w:type="dxa"/>
            <w:tcBorders>
              <w:top w:val="nil"/>
              <w:left w:val="nil"/>
              <w:bottom w:val="single" w:sz="12" w:space="0" w:color="FF9E3C"/>
              <w:right w:val="single" w:sz="12" w:space="0" w:color="FF9E3C"/>
            </w:tcBorders>
            <w:shd w:val="clear" w:color="auto" w:fill="auto"/>
            <w:vAlign w:val="center"/>
            <w:hideMark/>
          </w:tcPr>
          <w:p w14:paraId="5690FA89"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0.48</w:t>
            </w:r>
          </w:p>
        </w:tc>
        <w:tc>
          <w:tcPr>
            <w:tcW w:w="992" w:type="dxa"/>
            <w:tcBorders>
              <w:top w:val="nil"/>
              <w:left w:val="nil"/>
              <w:bottom w:val="single" w:sz="12" w:space="0" w:color="FF9E3C"/>
              <w:right w:val="single" w:sz="12" w:space="0" w:color="FF9E3C"/>
            </w:tcBorders>
            <w:shd w:val="clear" w:color="auto" w:fill="auto"/>
            <w:vAlign w:val="center"/>
            <w:hideMark/>
          </w:tcPr>
          <w:p w14:paraId="12E83C9A"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0.24</w:t>
            </w:r>
          </w:p>
        </w:tc>
        <w:tc>
          <w:tcPr>
            <w:tcW w:w="1135" w:type="dxa"/>
            <w:tcBorders>
              <w:top w:val="nil"/>
              <w:left w:val="nil"/>
              <w:bottom w:val="single" w:sz="12" w:space="0" w:color="FF9E3C"/>
              <w:right w:val="single" w:sz="12" w:space="0" w:color="FF9E3C"/>
            </w:tcBorders>
            <w:shd w:val="clear" w:color="auto" w:fill="auto"/>
            <w:vAlign w:val="center"/>
            <w:hideMark/>
          </w:tcPr>
          <w:p w14:paraId="7269A9D2"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0.18</w:t>
            </w:r>
          </w:p>
        </w:tc>
        <w:tc>
          <w:tcPr>
            <w:tcW w:w="1134" w:type="dxa"/>
            <w:tcBorders>
              <w:top w:val="nil"/>
              <w:left w:val="nil"/>
              <w:bottom w:val="single" w:sz="12" w:space="0" w:color="FF9E3C"/>
              <w:right w:val="single" w:sz="12" w:space="0" w:color="FF9E3C"/>
            </w:tcBorders>
            <w:shd w:val="clear" w:color="auto" w:fill="auto"/>
            <w:vAlign w:val="center"/>
            <w:hideMark/>
          </w:tcPr>
          <w:p w14:paraId="5AA4E13D"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0.31</w:t>
            </w:r>
          </w:p>
        </w:tc>
        <w:tc>
          <w:tcPr>
            <w:tcW w:w="1134" w:type="dxa"/>
            <w:tcBorders>
              <w:top w:val="nil"/>
              <w:left w:val="nil"/>
              <w:bottom w:val="single" w:sz="12" w:space="0" w:color="FF9E3C"/>
              <w:right w:val="single" w:sz="12" w:space="0" w:color="FF9E3C"/>
            </w:tcBorders>
            <w:shd w:val="clear" w:color="auto" w:fill="auto"/>
            <w:vAlign w:val="center"/>
            <w:hideMark/>
          </w:tcPr>
          <w:p w14:paraId="0261B60F"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0.37</w:t>
            </w:r>
          </w:p>
        </w:tc>
      </w:tr>
      <w:tr w:rsidR="00F61793" w:rsidRPr="001506B9" w14:paraId="06DE2AFB" w14:textId="77777777" w:rsidTr="00767EAD">
        <w:trPr>
          <w:trHeight w:val="330"/>
        </w:trPr>
        <w:tc>
          <w:tcPr>
            <w:tcW w:w="1701" w:type="dxa"/>
            <w:tcBorders>
              <w:top w:val="nil"/>
              <w:left w:val="single" w:sz="12" w:space="0" w:color="FF9E3C"/>
              <w:bottom w:val="single" w:sz="12" w:space="0" w:color="FF9E3C"/>
              <w:right w:val="single" w:sz="12" w:space="0" w:color="FF9E3C"/>
            </w:tcBorders>
            <w:shd w:val="clear" w:color="auto" w:fill="auto"/>
            <w:vAlign w:val="center"/>
            <w:hideMark/>
          </w:tcPr>
          <w:p w14:paraId="72781317" w14:textId="77777777" w:rsidR="00F61793" w:rsidRPr="001506B9" w:rsidRDefault="00F61793" w:rsidP="00191866">
            <w:pPr>
              <w:tabs>
                <w:tab w:val="clear" w:pos="426"/>
              </w:tabs>
              <w:spacing w:before="0" w:after="0" w:line="240" w:lineRule="auto"/>
              <w:ind w:left="0" w:right="0"/>
              <w:rPr>
                <w:rFonts w:cs="Arial"/>
                <w:color w:val="1C3158"/>
                <w:sz w:val="18"/>
                <w:lang w:eastAsia="ja-JP"/>
              </w:rPr>
            </w:pPr>
            <w:r w:rsidRPr="001506B9">
              <w:rPr>
                <w:rFonts w:cs="Arial"/>
                <w:color w:val="1C3158"/>
                <w:sz w:val="18"/>
                <w:lang w:eastAsia="ja-JP"/>
              </w:rPr>
              <w:t>Problem Gambler</w:t>
            </w:r>
          </w:p>
        </w:tc>
        <w:tc>
          <w:tcPr>
            <w:tcW w:w="992" w:type="dxa"/>
            <w:tcBorders>
              <w:top w:val="nil"/>
              <w:left w:val="nil"/>
              <w:bottom w:val="single" w:sz="12" w:space="0" w:color="FF9E3C"/>
              <w:right w:val="single" w:sz="12" w:space="0" w:color="FF9E3C"/>
            </w:tcBorders>
            <w:shd w:val="clear" w:color="auto" w:fill="auto"/>
            <w:vAlign w:val="center"/>
            <w:hideMark/>
          </w:tcPr>
          <w:p w14:paraId="03814C39"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0.58</w:t>
            </w:r>
          </w:p>
        </w:tc>
        <w:tc>
          <w:tcPr>
            <w:tcW w:w="1134" w:type="dxa"/>
            <w:tcBorders>
              <w:top w:val="nil"/>
              <w:left w:val="nil"/>
              <w:bottom w:val="single" w:sz="12" w:space="0" w:color="FF9E3C"/>
              <w:right w:val="single" w:sz="12" w:space="0" w:color="FF9E3C"/>
            </w:tcBorders>
            <w:shd w:val="clear" w:color="auto" w:fill="auto"/>
            <w:vAlign w:val="center"/>
            <w:hideMark/>
          </w:tcPr>
          <w:p w14:paraId="1255EBB8"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0.53</w:t>
            </w:r>
          </w:p>
        </w:tc>
        <w:tc>
          <w:tcPr>
            <w:tcW w:w="1134" w:type="dxa"/>
            <w:tcBorders>
              <w:top w:val="nil"/>
              <w:left w:val="nil"/>
              <w:bottom w:val="single" w:sz="12" w:space="0" w:color="FF9E3C"/>
              <w:right w:val="single" w:sz="12" w:space="0" w:color="FF9E3C"/>
            </w:tcBorders>
            <w:shd w:val="clear" w:color="auto" w:fill="auto"/>
            <w:vAlign w:val="center"/>
            <w:hideMark/>
          </w:tcPr>
          <w:p w14:paraId="0540B07D"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0.63</w:t>
            </w:r>
          </w:p>
        </w:tc>
        <w:tc>
          <w:tcPr>
            <w:tcW w:w="992" w:type="dxa"/>
            <w:tcBorders>
              <w:top w:val="nil"/>
              <w:left w:val="nil"/>
              <w:bottom w:val="single" w:sz="12" w:space="0" w:color="FF9E3C"/>
              <w:right w:val="single" w:sz="12" w:space="0" w:color="FF9E3C"/>
            </w:tcBorders>
            <w:shd w:val="clear" w:color="auto" w:fill="auto"/>
            <w:vAlign w:val="center"/>
            <w:hideMark/>
          </w:tcPr>
          <w:p w14:paraId="1DBF5932"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0.48</w:t>
            </w:r>
          </w:p>
        </w:tc>
        <w:tc>
          <w:tcPr>
            <w:tcW w:w="1135" w:type="dxa"/>
            <w:tcBorders>
              <w:top w:val="nil"/>
              <w:left w:val="nil"/>
              <w:bottom w:val="single" w:sz="12" w:space="0" w:color="FF9E3C"/>
              <w:right w:val="single" w:sz="12" w:space="0" w:color="FF9E3C"/>
            </w:tcBorders>
            <w:shd w:val="clear" w:color="auto" w:fill="auto"/>
            <w:vAlign w:val="center"/>
            <w:hideMark/>
          </w:tcPr>
          <w:p w14:paraId="50CD85F7"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0.41</w:t>
            </w:r>
          </w:p>
        </w:tc>
        <w:tc>
          <w:tcPr>
            <w:tcW w:w="1134" w:type="dxa"/>
            <w:tcBorders>
              <w:top w:val="nil"/>
              <w:left w:val="nil"/>
              <w:bottom w:val="single" w:sz="12" w:space="0" w:color="FF9E3C"/>
              <w:right w:val="single" w:sz="12" w:space="0" w:color="FF9E3C"/>
            </w:tcBorders>
            <w:shd w:val="clear" w:color="auto" w:fill="auto"/>
            <w:vAlign w:val="center"/>
            <w:hideMark/>
          </w:tcPr>
          <w:p w14:paraId="77993469" w14:textId="77777777" w:rsidR="00F61793" w:rsidRPr="001506B9" w:rsidRDefault="00F61793" w:rsidP="00191866">
            <w:pPr>
              <w:tabs>
                <w:tab w:val="clear" w:pos="426"/>
              </w:tabs>
              <w:spacing w:before="0" w:after="0" w:line="240" w:lineRule="auto"/>
              <w:ind w:left="0" w:right="0"/>
              <w:jc w:val="center"/>
              <w:rPr>
                <w:rFonts w:cs="Arial"/>
                <w:color w:val="1C3158"/>
                <w:sz w:val="18"/>
                <w:lang w:eastAsia="ja-JP"/>
              </w:rPr>
            </w:pPr>
            <w:r w:rsidRPr="001506B9">
              <w:rPr>
                <w:rFonts w:cs="Arial"/>
                <w:color w:val="1C3158"/>
                <w:sz w:val="18"/>
                <w:lang w:eastAsia="ja-JP"/>
              </w:rPr>
              <w:t>0.56</w:t>
            </w:r>
          </w:p>
        </w:tc>
        <w:tc>
          <w:tcPr>
            <w:tcW w:w="1134" w:type="dxa"/>
            <w:tcBorders>
              <w:top w:val="nil"/>
              <w:left w:val="nil"/>
              <w:bottom w:val="single" w:sz="12" w:space="0" w:color="FF9E3C"/>
              <w:right w:val="single" w:sz="12" w:space="0" w:color="FF9E3C"/>
            </w:tcBorders>
            <w:shd w:val="clear" w:color="auto" w:fill="auto"/>
            <w:vAlign w:val="center"/>
            <w:hideMark/>
          </w:tcPr>
          <w:p w14:paraId="4B7C9EA0" w14:textId="77777777" w:rsidR="00F61793" w:rsidRPr="001506B9" w:rsidRDefault="00F61793" w:rsidP="00191866">
            <w:pPr>
              <w:tabs>
                <w:tab w:val="clear" w:pos="426"/>
              </w:tabs>
              <w:spacing w:before="0" w:after="0" w:line="240" w:lineRule="auto"/>
              <w:ind w:left="0" w:right="0"/>
              <w:jc w:val="center"/>
              <w:rPr>
                <w:rFonts w:cs="Arial"/>
                <w:b/>
                <w:bCs/>
                <w:color w:val="1C3158"/>
                <w:sz w:val="18"/>
                <w:lang w:eastAsia="ja-JP"/>
              </w:rPr>
            </w:pPr>
            <w:r w:rsidRPr="001506B9">
              <w:rPr>
                <w:rFonts w:cs="Arial"/>
                <w:b/>
                <w:bCs/>
                <w:color w:val="1C3158"/>
                <w:sz w:val="18"/>
                <w:lang w:eastAsia="ja-JP"/>
              </w:rPr>
              <w:t>0.54</w:t>
            </w:r>
          </w:p>
        </w:tc>
      </w:tr>
    </w:tbl>
    <w:p w14:paraId="3661B0AD" w14:textId="2A37B845" w:rsidR="00F61793" w:rsidRDefault="00F61793" w:rsidP="00C82A76">
      <w:pPr>
        <w:pStyle w:val="VRGFBodycontent"/>
        <w:spacing w:before="240"/>
      </w:pPr>
      <w:r w:rsidRPr="00D82AC4">
        <w:t xml:space="preserve">As well as considering differences in utility valuations </w:t>
      </w:r>
      <w:r w:rsidR="00577004">
        <w:t>of gambling</w:t>
      </w:r>
      <w:r w:rsidR="00903E8B">
        <w:t>-related</w:t>
      </w:r>
      <w:r w:rsidR="00577004">
        <w:t xml:space="preserve"> harm </w:t>
      </w:r>
      <w:r w:rsidRPr="00D82AC4">
        <w:t xml:space="preserve">between expert and general public respondents, we also </w:t>
      </w:r>
      <w:r>
        <w:t xml:space="preserve">examined </w:t>
      </w:r>
      <w:r w:rsidRPr="00D82AC4">
        <w:t>other res</w:t>
      </w:r>
      <w:r>
        <w:t>pondent characteristics (</w:t>
      </w:r>
      <w:r w:rsidR="00B66762">
        <w:fldChar w:fldCharType="begin"/>
      </w:r>
      <w:r w:rsidR="00B66762">
        <w:instrText xml:space="preserve"> REF _Ref445408902 \h </w:instrText>
      </w:r>
      <w:r w:rsidR="00B66762">
        <w:fldChar w:fldCharType="separate"/>
      </w:r>
      <w:r w:rsidR="0006479A">
        <w:t xml:space="preserve">Table </w:t>
      </w:r>
      <w:r w:rsidR="0006479A">
        <w:rPr>
          <w:noProof/>
        </w:rPr>
        <w:t>21</w:t>
      </w:r>
      <w:r w:rsidR="00B66762">
        <w:fldChar w:fldCharType="end"/>
      </w:r>
      <w:r w:rsidRPr="00D82AC4">
        <w:t>)</w:t>
      </w:r>
      <w:r w:rsidR="007E0C13">
        <w:t>.</w:t>
      </w:r>
      <w:r w:rsidR="008610D3">
        <w:t xml:space="preserve"> </w:t>
      </w:r>
      <w:r>
        <w:t xml:space="preserve">No significant differences in </w:t>
      </w:r>
      <w:r w:rsidR="00577004">
        <w:t>gambling</w:t>
      </w:r>
      <w:r w:rsidR="00903E8B">
        <w:t>-related</w:t>
      </w:r>
      <w:r w:rsidR="00577004">
        <w:t xml:space="preserve"> </w:t>
      </w:r>
      <w:r>
        <w:t xml:space="preserve">harm valuations were found </w:t>
      </w:r>
      <w:r w:rsidR="008C10D1">
        <w:t xml:space="preserve">for </w:t>
      </w:r>
      <w:r>
        <w:t>age, gender, gambling experiences (</w:t>
      </w:r>
      <w:r w:rsidR="009A266C">
        <w:t xml:space="preserve">only collected from </w:t>
      </w:r>
      <w:r>
        <w:t xml:space="preserve">general population), or </w:t>
      </w:r>
      <w:r w:rsidR="009A266C">
        <w:t>ethnicity</w:t>
      </w:r>
      <w:r>
        <w:t xml:space="preserve">. </w:t>
      </w:r>
    </w:p>
    <w:p w14:paraId="1DC871E2" w14:textId="77777777" w:rsidR="00B35B78" w:rsidRDefault="00B35B78" w:rsidP="00C82A76">
      <w:pPr>
        <w:pStyle w:val="VRGFBodycontent"/>
        <w:spacing w:before="240"/>
      </w:pPr>
    </w:p>
    <w:p w14:paraId="0B4A18F9" w14:textId="77777777" w:rsidR="00767EAD" w:rsidRDefault="00767EAD" w:rsidP="00F61793">
      <w:pPr>
        <w:pStyle w:val="VRGFBodycontent"/>
      </w:pPr>
    </w:p>
    <w:p w14:paraId="184FABE9" w14:textId="77777777" w:rsidR="00C82A76" w:rsidRDefault="00C82A76" w:rsidP="00F61793">
      <w:pPr>
        <w:pStyle w:val="VRGFBodycontent"/>
      </w:pPr>
    </w:p>
    <w:p w14:paraId="4382C8CF" w14:textId="77777777" w:rsidR="00C82A76" w:rsidRDefault="00C82A76" w:rsidP="00F61793">
      <w:pPr>
        <w:pStyle w:val="VRGFBodycontent"/>
      </w:pPr>
    </w:p>
    <w:p w14:paraId="5CC3ACDF" w14:textId="6F0C7ABC" w:rsidR="00F61793" w:rsidRPr="00D65A93" w:rsidRDefault="00B66762" w:rsidP="00B66762">
      <w:pPr>
        <w:pStyle w:val="Caption"/>
        <w:rPr>
          <w:rFonts w:eastAsia="MS Mincho" w:cs="Arial"/>
          <w:bCs/>
          <w:iCs w:val="0"/>
          <w:color w:val="1C3158"/>
          <w:lang w:val="en-US"/>
        </w:rPr>
      </w:pPr>
      <w:bookmarkStart w:id="291" w:name="_Ref445408902"/>
      <w:bookmarkStart w:id="292" w:name="_Ref429648137"/>
      <w:bookmarkStart w:id="293" w:name="_Toc440900343"/>
      <w:bookmarkStart w:id="294" w:name="_Toc462738124"/>
      <w:r>
        <w:t xml:space="preserve">Table </w:t>
      </w:r>
      <w:fldSimple w:instr=" SEQ Table \* ARABIC ">
        <w:r w:rsidR="0006479A">
          <w:rPr>
            <w:noProof/>
          </w:rPr>
          <w:t>21</w:t>
        </w:r>
      </w:fldSimple>
      <w:bookmarkEnd w:id="291"/>
      <w:r w:rsidR="007E0C13">
        <w:t>.</w:t>
      </w:r>
      <w:r w:rsidR="008610D3">
        <w:t xml:space="preserve"> </w:t>
      </w:r>
      <w:bookmarkEnd w:id="292"/>
      <w:r w:rsidR="00F61793" w:rsidRPr="00D65A93">
        <w:rPr>
          <w:color w:val="1C3158"/>
        </w:rPr>
        <w:t xml:space="preserve">Influence of respondent characteristics on elicited </w:t>
      </w:r>
      <w:r w:rsidR="00577004">
        <w:rPr>
          <w:color w:val="1C3158"/>
        </w:rPr>
        <w:t>gambling</w:t>
      </w:r>
      <w:r w:rsidR="00903E8B">
        <w:rPr>
          <w:color w:val="1C3158"/>
        </w:rPr>
        <w:t>-related</w:t>
      </w:r>
      <w:r w:rsidR="00577004">
        <w:rPr>
          <w:color w:val="1C3158"/>
        </w:rPr>
        <w:t xml:space="preserve"> </w:t>
      </w:r>
      <w:r w:rsidR="00F61793" w:rsidRPr="00D65A93">
        <w:rPr>
          <w:color w:val="1C3158"/>
        </w:rPr>
        <w:t>harm valuations</w:t>
      </w:r>
      <w:bookmarkEnd w:id="293"/>
      <w:bookmarkEnd w:id="294"/>
    </w:p>
    <w:tbl>
      <w:tblPr>
        <w:tblW w:w="8647" w:type="dxa"/>
        <w:tblLook w:val="04A0" w:firstRow="1" w:lastRow="0" w:firstColumn="1" w:lastColumn="0" w:noHBand="0" w:noVBand="1"/>
      </w:tblPr>
      <w:tblGrid>
        <w:gridCol w:w="4111"/>
        <w:gridCol w:w="1134"/>
        <w:gridCol w:w="1134"/>
        <w:gridCol w:w="1134"/>
        <w:gridCol w:w="1134"/>
      </w:tblGrid>
      <w:tr w:rsidR="00F61793" w:rsidRPr="009C17A2" w14:paraId="5B76F517" w14:textId="77777777" w:rsidTr="00767EAD">
        <w:trPr>
          <w:trHeight w:val="330"/>
        </w:trPr>
        <w:tc>
          <w:tcPr>
            <w:tcW w:w="4111" w:type="dxa"/>
            <w:tcBorders>
              <w:top w:val="single" w:sz="12" w:space="0" w:color="FF9E3C"/>
              <w:left w:val="single" w:sz="12" w:space="0" w:color="FF9E3C"/>
              <w:bottom w:val="nil"/>
              <w:right w:val="single" w:sz="12" w:space="0" w:color="FF9E3C"/>
            </w:tcBorders>
            <w:shd w:val="clear" w:color="000000" w:fill="FFBC64"/>
            <w:noWrap/>
            <w:vAlign w:val="center"/>
            <w:hideMark/>
          </w:tcPr>
          <w:p w14:paraId="59CBC08D" w14:textId="77777777" w:rsidR="00F61793" w:rsidRPr="009C17A2" w:rsidRDefault="00F61793" w:rsidP="00191866">
            <w:pPr>
              <w:tabs>
                <w:tab w:val="clear" w:pos="426"/>
              </w:tabs>
              <w:spacing w:before="0" w:after="0" w:line="240" w:lineRule="auto"/>
              <w:ind w:left="0" w:right="0"/>
              <w:rPr>
                <w:rFonts w:cs="Arial"/>
                <w:b/>
                <w:bCs/>
                <w:color w:val="1C3158"/>
                <w:sz w:val="18"/>
                <w:lang w:eastAsia="ja-JP"/>
              </w:rPr>
            </w:pPr>
            <w:r w:rsidRPr="009C17A2">
              <w:rPr>
                <w:rFonts w:cs="Arial"/>
                <w:b/>
                <w:bCs/>
                <w:color w:val="1C3158"/>
                <w:sz w:val="18"/>
                <w:lang w:eastAsia="ja-JP"/>
              </w:rPr>
              <w:t>Predictors</w:t>
            </w:r>
          </w:p>
        </w:tc>
        <w:tc>
          <w:tcPr>
            <w:tcW w:w="1134" w:type="dxa"/>
            <w:tcBorders>
              <w:top w:val="single" w:sz="12" w:space="0" w:color="FF9E3C"/>
              <w:left w:val="nil"/>
              <w:bottom w:val="nil"/>
              <w:right w:val="single" w:sz="12" w:space="0" w:color="FF9E3C"/>
            </w:tcBorders>
            <w:shd w:val="clear" w:color="000000" w:fill="FFBC64"/>
            <w:noWrap/>
            <w:vAlign w:val="center"/>
            <w:hideMark/>
          </w:tcPr>
          <w:p w14:paraId="78A6BD62" w14:textId="1C95E998" w:rsidR="00F61793" w:rsidRPr="009C17A2" w:rsidRDefault="00D315C5" w:rsidP="00191866">
            <w:pPr>
              <w:tabs>
                <w:tab w:val="clear" w:pos="426"/>
              </w:tabs>
              <w:spacing w:before="0" w:after="0" w:line="240" w:lineRule="auto"/>
              <w:ind w:left="0" w:right="0"/>
              <w:jc w:val="center"/>
              <w:rPr>
                <w:rFonts w:cs="Arial"/>
                <w:b/>
                <w:bCs/>
                <w:i/>
                <w:color w:val="1C3158"/>
                <w:sz w:val="18"/>
                <w:lang w:eastAsia="ja-JP"/>
              </w:rPr>
            </w:pPr>
            <w:r w:rsidRPr="009C17A2">
              <w:rPr>
                <w:rFonts w:cs="Arial"/>
                <w:b/>
                <w:bCs/>
                <w:i/>
                <w:color w:val="1C3158"/>
                <w:sz w:val="18"/>
                <w:lang w:eastAsia="ja-JP"/>
              </w:rPr>
              <w:t>Β</w:t>
            </w:r>
          </w:p>
        </w:tc>
        <w:tc>
          <w:tcPr>
            <w:tcW w:w="1134" w:type="dxa"/>
            <w:tcBorders>
              <w:top w:val="single" w:sz="12" w:space="0" w:color="FF9E3C"/>
              <w:left w:val="nil"/>
              <w:bottom w:val="nil"/>
              <w:right w:val="single" w:sz="12" w:space="0" w:color="FF9E3C"/>
            </w:tcBorders>
            <w:shd w:val="clear" w:color="000000" w:fill="FFBC64"/>
            <w:noWrap/>
            <w:vAlign w:val="center"/>
            <w:hideMark/>
          </w:tcPr>
          <w:p w14:paraId="2FBC427A" w14:textId="77777777" w:rsidR="00F61793" w:rsidRPr="009C17A2" w:rsidRDefault="00F61793" w:rsidP="00191866">
            <w:pPr>
              <w:tabs>
                <w:tab w:val="clear" w:pos="426"/>
              </w:tabs>
              <w:spacing w:before="0" w:after="0" w:line="240" w:lineRule="auto"/>
              <w:ind w:left="0" w:right="0"/>
              <w:jc w:val="center"/>
              <w:rPr>
                <w:rFonts w:cs="Arial"/>
                <w:b/>
                <w:bCs/>
                <w:i/>
                <w:color w:val="1C3158"/>
                <w:sz w:val="18"/>
                <w:lang w:eastAsia="ja-JP"/>
              </w:rPr>
            </w:pPr>
            <w:r w:rsidRPr="009C17A2">
              <w:rPr>
                <w:rFonts w:cs="Arial"/>
                <w:b/>
                <w:bCs/>
                <w:i/>
                <w:color w:val="1C3158"/>
                <w:sz w:val="18"/>
                <w:lang w:eastAsia="ja-JP"/>
              </w:rPr>
              <w:t>SE β</w:t>
            </w:r>
          </w:p>
        </w:tc>
        <w:tc>
          <w:tcPr>
            <w:tcW w:w="1134" w:type="dxa"/>
            <w:tcBorders>
              <w:top w:val="single" w:sz="12" w:space="0" w:color="FF9E3C"/>
              <w:left w:val="nil"/>
              <w:bottom w:val="nil"/>
              <w:right w:val="single" w:sz="12" w:space="0" w:color="FF9E3C"/>
            </w:tcBorders>
            <w:shd w:val="clear" w:color="000000" w:fill="FFBC64"/>
            <w:noWrap/>
            <w:vAlign w:val="center"/>
            <w:hideMark/>
          </w:tcPr>
          <w:p w14:paraId="644F0F1F" w14:textId="77777777" w:rsidR="00F61793" w:rsidRPr="009C17A2" w:rsidRDefault="00F61793" w:rsidP="00191866">
            <w:pPr>
              <w:tabs>
                <w:tab w:val="clear" w:pos="426"/>
              </w:tabs>
              <w:spacing w:before="0" w:after="0" w:line="240" w:lineRule="auto"/>
              <w:ind w:left="0" w:right="0"/>
              <w:jc w:val="center"/>
              <w:rPr>
                <w:rFonts w:cs="Arial"/>
                <w:b/>
                <w:bCs/>
                <w:i/>
                <w:color w:val="1C3158"/>
                <w:sz w:val="18"/>
                <w:lang w:eastAsia="ja-JP"/>
              </w:rPr>
            </w:pPr>
            <w:r w:rsidRPr="009C17A2">
              <w:rPr>
                <w:rFonts w:cs="Arial"/>
                <w:b/>
                <w:bCs/>
                <w:i/>
                <w:color w:val="1C3158"/>
                <w:sz w:val="18"/>
                <w:lang w:eastAsia="ja-JP"/>
              </w:rPr>
              <w:t>t</w:t>
            </w:r>
          </w:p>
        </w:tc>
        <w:tc>
          <w:tcPr>
            <w:tcW w:w="1134" w:type="dxa"/>
            <w:tcBorders>
              <w:top w:val="single" w:sz="12" w:space="0" w:color="FF9E3C"/>
              <w:left w:val="nil"/>
              <w:bottom w:val="nil"/>
              <w:right w:val="single" w:sz="12" w:space="0" w:color="FF9E3C"/>
            </w:tcBorders>
            <w:shd w:val="clear" w:color="000000" w:fill="FFBC64"/>
            <w:noWrap/>
            <w:vAlign w:val="center"/>
            <w:hideMark/>
          </w:tcPr>
          <w:p w14:paraId="4803F912" w14:textId="77777777" w:rsidR="00F61793" w:rsidRPr="009C17A2" w:rsidRDefault="00F61793" w:rsidP="00191866">
            <w:pPr>
              <w:tabs>
                <w:tab w:val="clear" w:pos="426"/>
              </w:tabs>
              <w:spacing w:before="0" w:after="0" w:line="240" w:lineRule="auto"/>
              <w:ind w:left="0" w:right="0"/>
              <w:jc w:val="center"/>
              <w:rPr>
                <w:rFonts w:cs="Arial"/>
                <w:b/>
                <w:bCs/>
                <w:i/>
                <w:color w:val="1C3158"/>
                <w:sz w:val="18"/>
                <w:lang w:eastAsia="ja-JP"/>
              </w:rPr>
            </w:pPr>
            <w:r w:rsidRPr="009C17A2">
              <w:rPr>
                <w:rFonts w:cs="Arial"/>
                <w:b/>
                <w:bCs/>
                <w:i/>
                <w:color w:val="1C3158"/>
                <w:sz w:val="18"/>
                <w:lang w:eastAsia="ja-JP"/>
              </w:rPr>
              <w:t>p</w:t>
            </w:r>
          </w:p>
        </w:tc>
      </w:tr>
      <w:tr w:rsidR="00F61793" w:rsidRPr="009C17A2" w14:paraId="78F73196" w14:textId="77777777" w:rsidTr="00767EAD">
        <w:trPr>
          <w:trHeight w:val="330"/>
        </w:trPr>
        <w:tc>
          <w:tcPr>
            <w:tcW w:w="4111" w:type="dxa"/>
            <w:tcBorders>
              <w:top w:val="single" w:sz="12" w:space="0" w:color="FF9E3C"/>
              <w:left w:val="single" w:sz="12" w:space="0" w:color="FF9E3C"/>
              <w:bottom w:val="single" w:sz="12" w:space="0" w:color="FF9E3C"/>
              <w:right w:val="single" w:sz="12" w:space="0" w:color="FF9E3C"/>
            </w:tcBorders>
            <w:shd w:val="clear" w:color="auto" w:fill="auto"/>
            <w:vAlign w:val="center"/>
            <w:hideMark/>
          </w:tcPr>
          <w:p w14:paraId="7DA54D1E" w14:textId="77777777" w:rsidR="00F61793" w:rsidRPr="009C17A2" w:rsidRDefault="00F61793" w:rsidP="00191866">
            <w:pPr>
              <w:tabs>
                <w:tab w:val="clear" w:pos="426"/>
              </w:tabs>
              <w:spacing w:before="0" w:after="0" w:line="240" w:lineRule="auto"/>
              <w:ind w:left="0" w:right="0"/>
              <w:rPr>
                <w:rFonts w:cs="Arial"/>
                <w:sz w:val="18"/>
                <w:lang w:eastAsia="ja-JP"/>
              </w:rPr>
            </w:pPr>
            <w:r w:rsidRPr="00191866">
              <w:rPr>
                <w:rFonts w:cs="Arial"/>
                <w:color w:val="1C3158"/>
                <w:sz w:val="18"/>
                <w:lang w:eastAsia="ja-JP"/>
              </w:rPr>
              <w:t>Intercept</w:t>
            </w:r>
          </w:p>
        </w:tc>
        <w:tc>
          <w:tcPr>
            <w:tcW w:w="1134" w:type="dxa"/>
            <w:tcBorders>
              <w:top w:val="single" w:sz="12" w:space="0" w:color="FF9E3C"/>
              <w:left w:val="nil"/>
              <w:bottom w:val="single" w:sz="12" w:space="0" w:color="FF9E3C"/>
              <w:right w:val="single" w:sz="12" w:space="0" w:color="FF9E3C"/>
            </w:tcBorders>
            <w:shd w:val="clear" w:color="auto" w:fill="auto"/>
            <w:vAlign w:val="center"/>
            <w:hideMark/>
          </w:tcPr>
          <w:p w14:paraId="498C68F7"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-1.348</w:t>
            </w:r>
          </w:p>
        </w:tc>
        <w:tc>
          <w:tcPr>
            <w:tcW w:w="1134" w:type="dxa"/>
            <w:tcBorders>
              <w:top w:val="single" w:sz="12" w:space="0" w:color="FF9E3C"/>
              <w:left w:val="nil"/>
              <w:bottom w:val="single" w:sz="12" w:space="0" w:color="FF9E3C"/>
              <w:right w:val="single" w:sz="12" w:space="0" w:color="FF9E3C"/>
            </w:tcBorders>
            <w:shd w:val="clear" w:color="auto" w:fill="auto"/>
            <w:vAlign w:val="center"/>
            <w:hideMark/>
          </w:tcPr>
          <w:p w14:paraId="2AA3A951"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1.182</w:t>
            </w:r>
          </w:p>
        </w:tc>
        <w:tc>
          <w:tcPr>
            <w:tcW w:w="1134" w:type="dxa"/>
            <w:tcBorders>
              <w:top w:val="single" w:sz="12" w:space="0" w:color="FF9E3C"/>
              <w:left w:val="nil"/>
              <w:bottom w:val="single" w:sz="12" w:space="0" w:color="FF9E3C"/>
              <w:right w:val="single" w:sz="12" w:space="0" w:color="FF9E3C"/>
            </w:tcBorders>
            <w:shd w:val="clear" w:color="auto" w:fill="auto"/>
            <w:vAlign w:val="center"/>
            <w:hideMark/>
          </w:tcPr>
          <w:p w14:paraId="63A35D3E"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-1.141</w:t>
            </w:r>
          </w:p>
        </w:tc>
        <w:tc>
          <w:tcPr>
            <w:tcW w:w="1134" w:type="dxa"/>
            <w:tcBorders>
              <w:top w:val="single" w:sz="12" w:space="0" w:color="FF9E3C"/>
              <w:left w:val="nil"/>
              <w:bottom w:val="single" w:sz="12" w:space="0" w:color="FF9E3C"/>
              <w:right w:val="single" w:sz="12" w:space="0" w:color="FF9E3C"/>
            </w:tcBorders>
            <w:shd w:val="clear" w:color="auto" w:fill="auto"/>
            <w:vAlign w:val="center"/>
            <w:hideMark/>
          </w:tcPr>
          <w:p w14:paraId="0D3D050B"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0.254</w:t>
            </w:r>
          </w:p>
        </w:tc>
      </w:tr>
      <w:tr w:rsidR="00F61793" w:rsidRPr="009C17A2" w14:paraId="7EA9A41A"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hideMark/>
          </w:tcPr>
          <w:p w14:paraId="3E364958" w14:textId="77777777" w:rsidR="00F61793" w:rsidRPr="009C17A2" w:rsidRDefault="00F61793" w:rsidP="00191866">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Age</w:t>
            </w:r>
          </w:p>
        </w:tc>
        <w:tc>
          <w:tcPr>
            <w:tcW w:w="1134" w:type="dxa"/>
            <w:tcBorders>
              <w:top w:val="nil"/>
              <w:left w:val="nil"/>
              <w:bottom w:val="single" w:sz="12" w:space="0" w:color="FF9E3C"/>
              <w:right w:val="single" w:sz="12" w:space="0" w:color="FF9E3C"/>
            </w:tcBorders>
            <w:shd w:val="clear" w:color="auto" w:fill="auto"/>
            <w:vAlign w:val="center"/>
            <w:hideMark/>
          </w:tcPr>
          <w:p w14:paraId="43A88691"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0.001</w:t>
            </w:r>
          </w:p>
        </w:tc>
        <w:tc>
          <w:tcPr>
            <w:tcW w:w="1134" w:type="dxa"/>
            <w:tcBorders>
              <w:top w:val="nil"/>
              <w:left w:val="nil"/>
              <w:bottom w:val="single" w:sz="12" w:space="0" w:color="FF9E3C"/>
              <w:right w:val="single" w:sz="12" w:space="0" w:color="FF9E3C"/>
            </w:tcBorders>
            <w:shd w:val="clear" w:color="auto" w:fill="auto"/>
            <w:vAlign w:val="center"/>
            <w:hideMark/>
          </w:tcPr>
          <w:p w14:paraId="333F3B19"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0.001</w:t>
            </w:r>
          </w:p>
        </w:tc>
        <w:tc>
          <w:tcPr>
            <w:tcW w:w="1134" w:type="dxa"/>
            <w:tcBorders>
              <w:top w:val="nil"/>
              <w:left w:val="nil"/>
              <w:bottom w:val="single" w:sz="12" w:space="0" w:color="FF9E3C"/>
              <w:right w:val="single" w:sz="12" w:space="0" w:color="FF9E3C"/>
            </w:tcBorders>
            <w:shd w:val="clear" w:color="auto" w:fill="auto"/>
            <w:vAlign w:val="center"/>
            <w:hideMark/>
          </w:tcPr>
          <w:p w14:paraId="1BCB006E"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1.474</w:t>
            </w:r>
          </w:p>
        </w:tc>
        <w:tc>
          <w:tcPr>
            <w:tcW w:w="1134" w:type="dxa"/>
            <w:tcBorders>
              <w:top w:val="nil"/>
              <w:left w:val="nil"/>
              <w:bottom w:val="single" w:sz="12" w:space="0" w:color="FF9E3C"/>
              <w:right w:val="single" w:sz="12" w:space="0" w:color="FF9E3C"/>
            </w:tcBorders>
            <w:shd w:val="clear" w:color="auto" w:fill="auto"/>
            <w:vAlign w:val="center"/>
            <w:hideMark/>
          </w:tcPr>
          <w:p w14:paraId="55DC4756"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 0.141</w:t>
            </w:r>
          </w:p>
        </w:tc>
      </w:tr>
      <w:tr w:rsidR="00F61793" w:rsidRPr="009C17A2" w14:paraId="64B8EFFE"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hideMark/>
          </w:tcPr>
          <w:p w14:paraId="4D096EEF" w14:textId="77777777" w:rsidR="00F61793" w:rsidRPr="009C17A2" w:rsidRDefault="00F61793" w:rsidP="00191866">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Gender (Female)</w:t>
            </w:r>
          </w:p>
        </w:tc>
        <w:tc>
          <w:tcPr>
            <w:tcW w:w="1134" w:type="dxa"/>
            <w:tcBorders>
              <w:top w:val="nil"/>
              <w:left w:val="nil"/>
              <w:bottom w:val="single" w:sz="12" w:space="0" w:color="FF9E3C"/>
              <w:right w:val="single" w:sz="12" w:space="0" w:color="FF9E3C"/>
            </w:tcBorders>
            <w:shd w:val="clear" w:color="auto" w:fill="auto"/>
            <w:vAlign w:val="center"/>
            <w:hideMark/>
          </w:tcPr>
          <w:p w14:paraId="7DF19977"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-0.018</w:t>
            </w:r>
          </w:p>
        </w:tc>
        <w:tc>
          <w:tcPr>
            <w:tcW w:w="1134" w:type="dxa"/>
            <w:tcBorders>
              <w:top w:val="nil"/>
              <w:left w:val="nil"/>
              <w:bottom w:val="single" w:sz="12" w:space="0" w:color="FF9E3C"/>
              <w:right w:val="single" w:sz="12" w:space="0" w:color="FF9E3C"/>
            </w:tcBorders>
            <w:shd w:val="clear" w:color="auto" w:fill="auto"/>
            <w:vAlign w:val="center"/>
            <w:hideMark/>
          </w:tcPr>
          <w:p w14:paraId="389977D9"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0.017</w:t>
            </w:r>
          </w:p>
        </w:tc>
        <w:tc>
          <w:tcPr>
            <w:tcW w:w="1134" w:type="dxa"/>
            <w:tcBorders>
              <w:top w:val="nil"/>
              <w:left w:val="nil"/>
              <w:bottom w:val="single" w:sz="12" w:space="0" w:color="FF9E3C"/>
              <w:right w:val="single" w:sz="12" w:space="0" w:color="FF9E3C"/>
            </w:tcBorders>
            <w:shd w:val="clear" w:color="auto" w:fill="auto"/>
            <w:vAlign w:val="center"/>
            <w:hideMark/>
          </w:tcPr>
          <w:p w14:paraId="72977EFE"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-1.065</w:t>
            </w:r>
          </w:p>
        </w:tc>
        <w:tc>
          <w:tcPr>
            <w:tcW w:w="1134" w:type="dxa"/>
            <w:tcBorders>
              <w:top w:val="nil"/>
              <w:left w:val="nil"/>
              <w:bottom w:val="single" w:sz="12" w:space="0" w:color="FF9E3C"/>
              <w:right w:val="single" w:sz="12" w:space="0" w:color="FF9E3C"/>
            </w:tcBorders>
            <w:shd w:val="clear" w:color="auto" w:fill="auto"/>
            <w:vAlign w:val="center"/>
            <w:hideMark/>
          </w:tcPr>
          <w:p w14:paraId="38EFDB32"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 0.287</w:t>
            </w:r>
          </w:p>
        </w:tc>
      </w:tr>
      <w:tr w:rsidR="00F61793" w:rsidRPr="009C17A2" w14:paraId="3ED179E1"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hideMark/>
          </w:tcPr>
          <w:p w14:paraId="25DBD385" w14:textId="77777777" w:rsidR="00F61793" w:rsidRPr="009C17A2" w:rsidRDefault="00F61793" w:rsidP="00191866">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Had gambling experiences</w:t>
            </w:r>
          </w:p>
        </w:tc>
        <w:tc>
          <w:tcPr>
            <w:tcW w:w="1134" w:type="dxa"/>
            <w:tcBorders>
              <w:top w:val="nil"/>
              <w:left w:val="nil"/>
              <w:bottom w:val="single" w:sz="12" w:space="0" w:color="FF9E3C"/>
              <w:right w:val="single" w:sz="12" w:space="0" w:color="FF9E3C"/>
            </w:tcBorders>
            <w:shd w:val="clear" w:color="auto" w:fill="auto"/>
            <w:vAlign w:val="center"/>
            <w:hideMark/>
          </w:tcPr>
          <w:p w14:paraId="7D4E4C89"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0.027</w:t>
            </w:r>
          </w:p>
        </w:tc>
        <w:tc>
          <w:tcPr>
            <w:tcW w:w="1134" w:type="dxa"/>
            <w:tcBorders>
              <w:top w:val="nil"/>
              <w:left w:val="nil"/>
              <w:bottom w:val="single" w:sz="12" w:space="0" w:color="FF9E3C"/>
              <w:right w:val="single" w:sz="12" w:space="0" w:color="FF9E3C"/>
            </w:tcBorders>
            <w:shd w:val="clear" w:color="auto" w:fill="auto"/>
            <w:vAlign w:val="center"/>
            <w:hideMark/>
          </w:tcPr>
          <w:p w14:paraId="3FDB1EF4"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0.020</w:t>
            </w:r>
          </w:p>
        </w:tc>
        <w:tc>
          <w:tcPr>
            <w:tcW w:w="1134" w:type="dxa"/>
            <w:tcBorders>
              <w:top w:val="nil"/>
              <w:left w:val="nil"/>
              <w:bottom w:val="single" w:sz="12" w:space="0" w:color="FF9E3C"/>
              <w:right w:val="single" w:sz="12" w:space="0" w:color="FF9E3C"/>
            </w:tcBorders>
            <w:shd w:val="clear" w:color="auto" w:fill="auto"/>
            <w:vAlign w:val="center"/>
            <w:hideMark/>
          </w:tcPr>
          <w:p w14:paraId="543F41CB"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1.391</w:t>
            </w:r>
          </w:p>
        </w:tc>
        <w:tc>
          <w:tcPr>
            <w:tcW w:w="1134" w:type="dxa"/>
            <w:tcBorders>
              <w:top w:val="nil"/>
              <w:left w:val="nil"/>
              <w:bottom w:val="single" w:sz="12" w:space="0" w:color="FF9E3C"/>
              <w:right w:val="single" w:sz="12" w:space="0" w:color="FF9E3C"/>
            </w:tcBorders>
            <w:shd w:val="clear" w:color="auto" w:fill="auto"/>
            <w:vAlign w:val="center"/>
            <w:hideMark/>
          </w:tcPr>
          <w:p w14:paraId="19CBE9B5"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0.165</w:t>
            </w:r>
          </w:p>
        </w:tc>
      </w:tr>
      <w:tr w:rsidR="00F61793" w:rsidRPr="009C17A2" w14:paraId="0E673969"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tcPr>
          <w:p w14:paraId="053D7E44" w14:textId="77777777" w:rsidR="00F61793" w:rsidRPr="009C17A2" w:rsidRDefault="00F61793" w:rsidP="00191866">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Experience at work with gambling problems</w:t>
            </w:r>
          </w:p>
        </w:tc>
        <w:tc>
          <w:tcPr>
            <w:tcW w:w="1134" w:type="dxa"/>
            <w:tcBorders>
              <w:top w:val="nil"/>
              <w:left w:val="nil"/>
              <w:bottom w:val="single" w:sz="12" w:space="0" w:color="FF9E3C"/>
              <w:right w:val="single" w:sz="12" w:space="0" w:color="FF9E3C"/>
            </w:tcBorders>
            <w:shd w:val="clear" w:color="auto" w:fill="auto"/>
            <w:vAlign w:val="center"/>
          </w:tcPr>
          <w:p w14:paraId="23219BCB"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-0.015</w:t>
            </w:r>
          </w:p>
        </w:tc>
        <w:tc>
          <w:tcPr>
            <w:tcW w:w="1134" w:type="dxa"/>
            <w:tcBorders>
              <w:top w:val="nil"/>
              <w:left w:val="nil"/>
              <w:bottom w:val="single" w:sz="12" w:space="0" w:color="FF9E3C"/>
              <w:right w:val="single" w:sz="12" w:space="0" w:color="FF9E3C"/>
            </w:tcBorders>
            <w:shd w:val="clear" w:color="auto" w:fill="auto"/>
            <w:vAlign w:val="center"/>
          </w:tcPr>
          <w:p w14:paraId="5B629136"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0.036</w:t>
            </w:r>
          </w:p>
        </w:tc>
        <w:tc>
          <w:tcPr>
            <w:tcW w:w="1134" w:type="dxa"/>
            <w:tcBorders>
              <w:top w:val="nil"/>
              <w:left w:val="nil"/>
              <w:bottom w:val="single" w:sz="12" w:space="0" w:color="FF9E3C"/>
              <w:right w:val="single" w:sz="12" w:space="0" w:color="FF9E3C"/>
            </w:tcBorders>
            <w:shd w:val="clear" w:color="auto" w:fill="auto"/>
            <w:vAlign w:val="center"/>
          </w:tcPr>
          <w:p w14:paraId="6F69B5FB"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-0.427</w:t>
            </w:r>
          </w:p>
        </w:tc>
        <w:tc>
          <w:tcPr>
            <w:tcW w:w="1134" w:type="dxa"/>
            <w:tcBorders>
              <w:top w:val="nil"/>
              <w:left w:val="nil"/>
              <w:bottom w:val="single" w:sz="12" w:space="0" w:color="FF9E3C"/>
              <w:right w:val="single" w:sz="12" w:space="0" w:color="FF9E3C"/>
            </w:tcBorders>
            <w:shd w:val="clear" w:color="auto" w:fill="auto"/>
            <w:vAlign w:val="center"/>
          </w:tcPr>
          <w:p w14:paraId="45775791"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 0.669</w:t>
            </w:r>
          </w:p>
        </w:tc>
      </w:tr>
      <w:tr w:rsidR="00F61793" w:rsidRPr="009C17A2" w14:paraId="40C90086"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tcPr>
          <w:p w14:paraId="29121B8E" w14:textId="77777777" w:rsidR="00F61793" w:rsidRPr="009C17A2" w:rsidRDefault="00F61793" w:rsidP="00191866">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Experienced harm from other’s gambling</w:t>
            </w:r>
          </w:p>
        </w:tc>
        <w:tc>
          <w:tcPr>
            <w:tcW w:w="1134" w:type="dxa"/>
            <w:tcBorders>
              <w:top w:val="nil"/>
              <w:left w:val="nil"/>
              <w:bottom w:val="single" w:sz="12" w:space="0" w:color="FF9E3C"/>
              <w:right w:val="single" w:sz="12" w:space="0" w:color="FF9E3C"/>
            </w:tcBorders>
            <w:shd w:val="clear" w:color="auto" w:fill="auto"/>
            <w:vAlign w:val="center"/>
          </w:tcPr>
          <w:p w14:paraId="36B7E915"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0.029</w:t>
            </w:r>
          </w:p>
        </w:tc>
        <w:tc>
          <w:tcPr>
            <w:tcW w:w="1134" w:type="dxa"/>
            <w:tcBorders>
              <w:top w:val="nil"/>
              <w:left w:val="nil"/>
              <w:bottom w:val="single" w:sz="12" w:space="0" w:color="FF9E3C"/>
              <w:right w:val="single" w:sz="12" w:space="0" w:color="FF9E3C"/>
            </w:tcBorders>
            <w:shd w:val="clear" w:color="auto" w:fill="auto"/>
            <w:vAlign w:val="center"/>
          </w:tcPr>
          <w:p w14:paraId="4875A3F1"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0.042</w:t>
            </w:r>
          </w:p>
        </w:tc>
        <w:tc>
          <w:tcPr>
            <w:tcW w:w="1134" w:type="dxa"/>
            <w:tcBorders>
              <w:top w:val="nil"/>
              <w:left w:val="nil"/>
              <w:bottom w:val="single" w:sz="12" w:space="0" w:color="FF9E3C"/>
              <w:right w:val="single" w:sz="12" w:space="0" w:color="FF9E3C"/>
            </w:tcBorders>
            <w:shd w:val="clear" w:color="auto" w:fill="auto"/>
            <w:vAlign w:val="center"/>
          </w:tcPr>
          <w:p w14:paraId="641F422B"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0.695</w:t>
            </w:r>
          </w:p>
        </w:tc>
        <w:tc>
          <w:tcPr>
            <w:tcW w:w="1134" w:type="dxa"/>
            <w:tcBorders>
              <w:top w:val="nil"/>
              <w:left w:val="nil"/>
              <w:bottom w:val="single" w:sz="12" w:space="0" w:color="FF9E3C"/>
              <w:right w:val="single" w:sz="12" w:space="0" w:color="FF9E3C"/>
            </w:tcBorders>
            <w:shd w:val="clear" w:color="auto" w:fill="auto"/>
            <w:vAlign w:val="center"/>
          </w:tcPr>
          <w:p w14:paraId="1E3A61DC"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0.487</w:t>
            </w:r>
          </w:p>
        </w:tc>
      </w:tr>
      <w:tr w:rsidR="00F61793" w:rsidRPr="009C17A2" w14:paraId="14A89C39"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tcPr>
          <w:p w14:paraId="7A25F915" w14:textId="77777777" w:rsidR="00F61793" w:rsidRPr="009C17A2" w:rsidRDefault="00F61793" w:rsidP="00191866">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Experienced harm from own gambling</w:t>
            </w:r>
          </w:p>
        </w:tc>
        <w:tc>
          <w:tcPr>
            <w:tcW w:w="1134" w:type="dxa"/>
            <w:tcBorders>
              <w:top w:val="nil"/>
              <w:left w:val="nil"/>
              <w:bottom w:val="single" w:sz="12" w:space="0" w:color="FF9E3C"/>
              <w:right w:val="single" w:sz="12" w:space="0" w:color="FF9E3C"/>
            </w:tcBorders>
            <w:shd w:val="clear" w:color="auto" w:fill="auto"/>
            <w:vAlign w:val="center"/>
          </w:tcPr>
          <w:p w14:paraId="1DD183C1"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0.017</w:t>
            </w:r>
          </w:p>
        </w:tc>
        <w:tc>
          <w:tcPr>
            <w:tcW w:w="1134" w:type="dxa"/>
            <w:tcBorders>
              <w:top w:val="nil"/>
              <w:left w:val="nil"/>
              <w:bottom w:val="single" w:sz="12" w:space="0" w:color="FF9E3C"/>
              <w:right w:val="single" w:sz="12" w:space="0" w:color="FF9E3C"/>
            </w:tcBorders>
            <w:shd w:val="clear" w:color="auto" w:fill="auto"/>
            <w:vAlign w:val="center"/>
          </w:tcPr>
          <w:p w14:paraId="09B856F6"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0.026</w:t>
            </w:r>
          </w:p>
        </w:tc>
        <w:tc>
          <w:tcPr>
            <w:tcW w:w="1134" w:type="dxa"/>
            <w:tcBorders>
              <w:top w:val="nil"/>
              <w:left w:val="nil"/>
              <w:bottom w:val="single" w:sz="12" w:space="0" w:color="FF9E3C"/>
              <w:right w:val="single" w:sz="12" w:space="0" w:color="FF9E3C"/>
            </w:tcBorders>
            <w:shd w:val="clear" w:color="auto" w:fill="auto"/>
            <w:vAlign w:val="center"/>
          </w:tcPr>
          <w:p w14:paraId="7FECD8A8"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0.631</w:t>
            </w:r>
          </w:p>
        </w:tc>
        <w:tc>
          <w:tcPr>
            <w:tcW w:w="1134" w:type="dxa"/>
            <w:tcBorders>
              <w:top w:val="nil"/>
              <w:left w:val="nil"/>
              <w:bottom w:val="single" w:sz="12" w:space="0" w:color="FF9E3C"/>
              <w:right w:val="single" w:sz="12" w:space="0" w:color="FF9E3C"/>
            </w:tcBorders>
            <w:shd w:val="clear" w:color="auto" w:fill="auto"/>
            <w:vAlign w:val="center"/>
          </w:tcPr>
          <w:p w14:paraId="3C409533"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0.528</w:t>
            </w:r>
          </w:p>
        </w:tc>
      </w:tr>
      <w:tr w:rsidR="00F61793" w:rsidRPr="009C17A2" w14:paraId="343571F0"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hideMark/>
          </w:tcPr>
          <w:p w14:paraId="237DF041" w14:textId="77777777" w:rsidR="00F61793" w:rsidRPr="009C17A2" w:rsidRDefault="00F61793" w:rsidP="00191866">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Lie-bet (Gambling problems)</w:t>
            </w:r>
          </w:p>
        </w:tc>
        <w:tc>
          <w:tcPr>
            <w:tcW w:w="1134" w:type="dxa"/>
            <w:tcBorders>
              <w:top w:val="nil"/>
              <w:left w:val="nil"/>
              <w:bottom w:val="single" w:sz="12" w:space="0" w:color="FF9E3C"/>
              <w:right w:val="single" w:sz="12" w:space="0" w:color="FF9E3C"/>
            </w:tcBorders>
            <w:shd w:val="clear" w:color="auto" w:fill="auto"/>
            <w:vAlign w:val="center"/>
            <w:hideMark/>
          </w:tcPr>
          <w:p w14:paraId="3176B446"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-0.006</w:t>
            </w:r>
          </w:p>
        </w:tc>
        <w:tc>
          <w:tcPr>
            <w:tcW w:w="1134" w:type="dxa"/>
            <w:tcBorders>
              <w:top w:val="nil"/>
              <w:left w:val="nil"/>
              <w:bottom w:val="single" w:sz="12" w:space="0" w:color="FF9E3C"/>
              <w:right w:val="single" w:sz="12" w:space="0" w:color="FF9E3C"/>
            </w:tcBorders>
            <w:shd w:val="clear" w:color="auto" w:fill="auto"/>
            <w:vAlign w:val="center"/>
            <w:hideMark/>
          </w:tcPr>
          <w:p w14:paraId="31EE9FEC"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0.017</w:t>
            </w:r>
          </w:p>
        </w:tc>
        <w:tc>
          <w:tcPr>
            <w:tcW w:w="1134" w:type="dxa"/>
            <w:tcBorders>
              <w:top w:val="nil"/>
              <w:left w:val="nil"/>
              <w:bottom w:val="single" w:sz="12" w:space="0" w:color="FF9E3C"/>
              <w:right w:val="single" w:sz="12" w:space="0" w:color="FF9E3C"/>
            </w:tcBorders>
            <w:shd w:val="clear" w:color="auto" w:fill="auto"/>
            <w:vAlign w:val="center"/>
            <w:hideMark/>
          </w:tcPr>
          <w:p w14:paraId="2A79E6F2"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 -0.337</w:t>
            </w:r>
          </w:p>
        </w:tc>
        <w:tc>
          <w:tcPr>
            <w:tcW w:w="1134" w:type="dxa"/>
            <w:tcBorders>
              <w:top w:val="nil"/>
              <w:left w:val="nil"/>
              <w:bottom w:val="single" w:sz="12" w:space="0" w:color="FF9E3C"/>
              <w:right w:val="single" w:sz="12" w:space="0" w:color="FF9E3C"/>
            </w:tcBorders>
            <w:shd w:val="clear" w:color="auto" w:fill="auto"/>
            <w:vAlign w:val="center"/>
            <w:hideMark/>
          </w:tcPr>
          <w:p w14:paraId="219D8CF6"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0.736</w:t>
            </w:r>
          </w:p>
        </w:tc>
      </w:tr>
      <w:tr w:rsidR="00F61793" w:rsidRPr="009C17A2" w14:paraId="6190E701"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hideMark/>
          </w:tcPr>
          <w:p w14:paraId="0160E35A" w14:textId="4B60EA26" w:rsidR="00F61793" w:rsidRPr="009C17A2" w:rsidRDefault="002901C9"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Māori</w:t>
            </w:r>
          </w:p>
        </w:tc>
        <w:tc>
          <w:tcPr>
            <w:tcW w:w="1134" w:type="dxa"/>
            <w:tcBorders>
              <w:top w:val="nil"/>
              <w:left w:val="nil"/>
              <w:bottom w:val="single" w:sz="12" w:space="0" w:color="FF9E3C"/>
              <w:right w:val="single" w:sz="12" w:space="0" w:color="FF9E3C"/>
            </w:tcBorders>
            <w:shd w:val="clear" w:color="auto" w:fill="auto"/>
            <w:vAlign w:val="center"/>
            <w:hideMark/>
          </w:tcPr>
          <w:p w14:paraId="7CFE9B07"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0.022</w:t>
            </w:r>
          </w:p>
        </w:tc>
        <w:tc>
          <w:tcPr>
            <w:tcW w:w="1134" w:type="dxa"/>
            <w:tcBorders>
              <w:top w:val="nil"/>
              <w:left w:val="nil"/>
              <w:bottom w:val="single" w:sz="12" w:space="0" w:color="FF9E3C"/>
              <w:right w:val="single" w:sz="12" w:space="0" w:color="FF9E3C"/>
            </w:tcBorders>
            <w:shd w:val="clear" w:color="auto" w:fill="auto"/>
            <w:vAlign w:val="center"/>
            <w:hideMark/>
          </w:tcPr>
          <w:p w14:paraId="4E8E699C"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0.027</w:t>
            </w:r>
          </w:p>
        </w:tc>
        <w:tc>
          <w:tcPr>
            <w:tcW w:w="1134" w:type="dxa"/>
            <w:tcBorders>
              <w:top w:val="nil"/>
              <w:left w:val="nil"/>
              <w:bottom w:val="single" w:sz="12" w:space="0" w:color="FF9E3C"/>
              <w:right w:val="single" w:sz="12" w:space="0" w:color="FF9E3C"/>
            </w:tcBorders>
            <w:shd w:val="clear" w:color="auto" w:fill="auto"/>
            <w:vAlign w:val="center"/>
            <w:hideMark/>
          </w:tcPr>
          <w:p w14:paraId="487653AC"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0.797</w:t>
            </w:r>
          </w:p>
        </w:tc>
        <w:tc>
          <w:tcPr>
            <w:tcW w:w="1134" w:type="dxa"/>
            <w:tcBorders>
              <w:top w:val="nil"/>
              <w:left w:val="nil"/>
              <w:bottom w:val="single" w:sz="12" w:space="0" w:color="FF9E3C"/>
              <w:right w:val="single" w:sz="12" w:space="0" w:color="FF9E3C"/>
            </w:tcBorders>
            <w:shd w:val="clear" w:color="auto" w:fill="auto"/>
            <w:vAlign w:val="center"/>
            <w:hideMark/>
          </w:tcPr>
          <w:p w14:paraId="7E74CAB1"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0.425</w:t>
            </w:r>
          </w:p>
        </w:tc>
      </w:tr>
      <w:tr w:rsidR="00F61793" w:rsidRPr="009C17A2" w14:paraId="31AECCBD"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hideMark/>
          </w:tcPr>
          <w:p w14:paraId="0EFAF133" w14:textId="77777777" w:rsidR="00F61793" w:rsidRPr="009C17A2" w:rsidRDefault="00F61793" w:rsidP="00191866">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Pacific</w:t>
            </w:r>
          </w:p>
        </w:tc>
        <w:tc>
          <w:tcPr>
            <w:tcW w:w="1134" w:type="dxa"/>
            <w:tcBorders>
              <w:top w:val="nil"/>
              <w:left w:val="nil"/>
              <w:bottom w:val="single" w:sz="12" w:space="0" w:color="FF9E3C"/>
              <w:right w:val="single" w:sz="12" w:space="0" w:color="FF9E3C"/>
            </w:tcBorders>
            <w:shd w:val="clear" w:color="auto" w:fill="auto"/>
            <w:vAlign w:val="center"/>
            <w:hideMark/>
          </w:tcPr>
          <w:p w14:paraId="4C03F137"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0.031</w:t>
            </w:r>
          </w:p>
        </w:tc>
        <w:tc>
          <w:tcPr>
            <w:tcW w:w="1134" w:type="dxa"/>
            <w:tcBorders>
              <w:top w:val="nil"/>
              <w:left w:val="nil"/>
              <w:bottom w:val="single" w:sz="12" w:space="0" w:color="FF9E3C"/>
              <w:right w:val="single" w:sz="12" w:space="0" w:color="FF9E3C"/>
            </w:tcBorders>
            <w:shd w:val="clear" w:color="auto" w:fill="auto"/>
            <w:vAlign w:val="center"/>
            <w:hideMark/>
          </w:tcPr>
          <w:p w14:paraId="4E49B3F4"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0.067</w:t>
            </w:r>
          </w:p>
        </w:tc>
        <w:tc>
          <w:tcPr>
            <w:tcW w:w="1134" w:type="dxa"/>
            <w:tcBorders>
              <w:top w:val="nil"/>
              <w:left w:val="nil"/>
              <w:bottom w:val="single" w:sz="12" w:space="0" w:color="FF9E3C"/>
              <w:right w:val="single" w:sz="12" w:space="0" w:color="FF9E3C"/>
            </w:tcBorders>
            <w:shd w:val="clear" w:color="auto" w:fill="auto"/>
            <w:vAlign w:val="center"/>
            <w:hideMark/>
          </w:tcPr>
          <w:p w14:paraId="7C8983D5"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0.466</w:t>
            </w:r>
          </w:p>
        </w:tc>
        <w:tc>
          <w:tcPr>
            <w:tcW w:w="1134" w:type="dxa"/>
            <w:tcBorders>
              <w:top w:val="nil"/>
              <w:left w:val="nil"/>
              <w:bottom w:val="single" w:sz="12" w:space="0" w:color="FF9E3C"/>
              <w:right w:val="single" w:sz="12" w:space="0" w:color="FF9E3C"/>
            </w:tcBorders>
            <w:shd w:val="clear" w:color="auto" w:fill="auto"/>
            <w:vAlign w:val="center"/>
            <w:hideMark/>
          </w:tcPr>
          <w:p w14:paraId="42938DAC"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0.641</w:t>
            </w:r>
          </w:p>
        </w:tc>
      </w:tr>
      <w:tr w:rsidR="00F61793" w:rsidRPr="009C17A2" w14:paraId="5CFA9767"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hideMark/>
          </w:tcPr>
          <w:p w14:paraId="19F12C8E" w14:textId="77777777" w:rsidR="00F61793" w:rsidRPr="009C17A2" w:rsidRDefault="00F61793" w:rsidP="00191866">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Asian</w:t>
            </w:r>
          </w:p>
        </w:tc>
        <w:tc>
          <w:tcPr>
            <w:tcW w:w="1134" w:type="dxa"/>
            <w:tcBorders>
              <w:top w:val="nil"/>
              <w:left w:val="nil"/>
              <w:bottom w:val="single" w:sz="12" w:space="0" w:color="FF9E3C"/>
              <w:right w:val="single" w:sz="12" w:space="0" w:color="FF9E3C"/>
            </w:tcBorders>
            <w:shd w:val="clear" w:color="auto" w:fill="auto"/>
            <w:vAlign w:val="center"/>
            <w:hideMark/>
          </w:tcPr>
          <w:p w14:paraId="5446F869"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0.038</w:t>
            </w:r>
          </w:p>
        </w:tc>
        <w:tc>
          <w:tcPr>
            <w:tcW w:w="1134" w:type="dxa"/>
            <w:tcBorders>
              <w:top w:val="nil"/>
              <w:left w:val="nil"/>
              <w:bottom w:val="single" w:sz="12" w:space="0" w:color="FF9E3C"/>
              <w:right w:val="single" w:sz="12" w:space="0" w:color="FF9E3C"/>
            </w:tcBorders>
            <w:shd w:val="clear" w:color="auto" w:fill="auto"/>
            <w:vAlign w:val="center"/>
            <w:hideMark/>
          </w:tcPr>
          <w:p w14:paraId="41B4B028"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0.038</w:t>
            </w:r>
          </w:p>
        </w:tc>
        <w:tc>
          <w:tcPr>
            <w:tcW w:w="1134" w:type="dxa"/>
            <w:tcBorders>
              <w:top w:val="nil"/>
              <w:left w:val="nil"/>
              <w:bottom w:val="single" w:sz="12" w:space="0" w:color="FF9E3C"/>
              <w:right w:val="single" w:sz="12" w:space="0" w:color="FF9E3C"/>
            </w:tcBorders>
            <w:shd w:val="clear" w:color="auto" w:fill="auto"/>
            <w:vAlign w:val="center"/>
            <w:hideMark/>
          </w:tcPr>
          <w:p w14:paraId="4BD6CA78"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1.020</w:t>
            </w:r>
          </w:p>
        </w:tc>
        <w:tc>
          <w:tcPr>
            <w:tcW w:w="1134" w:type="dxa"/>
            <w:tcBorders>
              <w:top w:val="nil"/>
              <w:left w:val="nil"/>
              <w:bottom w:val="single" w:sz="12" w:space="0" w:color="FF9E3C"/>
              <w:right w:val="single" w:sz="12" w:space="0" w:color="FF9E3C"/>
            </w:tcBorders>
            <w:shd w:val="clear" w:color="auto" w:fill="auto"/>
            <w:vAlign w:val="center"/>
            <w:hideMark/>
          </w:tcPr>
          <w:p w14:paraId="0A223291"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0.308</w:t>
            </w:r>
          </w:p>
        </w:tc>
      </w:tr>
      <w:tr w:rsidR="00F61793" w:rsidRPr="009C17A2" w14:paraId="2D5F1283" w14:textId="77777777" w:rsidTr="00767EAD">
        <w:trPr>
          <w:trHeight w:val="330"/>
        </w:trPr>
        <w:tc>
          <w:tcPr>
            <w:tcW w:w="4111" w:type="dxa"/>
            <w:tcBorders>
              <w:top w:val="nil"/>
              <w:left w:val="single" w:sz="12" w:space="0" w:color="FF9E3C"/>
              <w:bottom w:val="single" w:sz="12" w:space="0" w:color="FF9E3C"/>
              <w:right w:val="single" w:sz="12" w:space="0" w:color="FF9E3C"/>
            </w:tcBorders>
            <w:shd w:val="clear" w:color="auto" w:fill="auto"/>
            <w:vAlign w:val="center"/>
            <w:hideMark/>
          </w:tcPr>
          <w:p w14:paraId="148F2323" w14:textId="250E3666" w:rsidR="00F61793" w:rsidRPr="009C17A2" w:rsidRDefault="009A266C" w:rsidP="00191866">
            <w:pPr>
              <w:tabs>
                <w:tab w:val="clear" w:pos="426"/>
              </w:tabs>
              <w:spacing w:before="0" w:after="0" w:line="240" w:lineRule="auto"/>
              <w:ind w:left="0" w:right="0"/>
              <w:rPr>
                <w:rFonts w:cs="Arial"/>
                <w:color w:val="1C3158"/>
                <w:sz w:val="18"/>
                <w:lang w:eastAsia="ja-JP"/>
              </w:rPr>
            </w:pPr>
            <w:r>
              <w:rPr>
                <w:rFonts w:cs="Arial"/>
                <w:color w:val="1C3158"/>
                <w:sz w:val="18"/>
                <w:lang w:eastAsia="ja-JP"/>
              </w:rPr>
              <w:t>European/</w:t>
            </w:r>
            <w:r w:rsidR="00F61793" w:rsidRPr="009C17A2">
              <w:rPr>
                <w:rFonts w:cs="Arial"/>
                <w:color w:val="1C3158"/>
                <w:sz w:val="18"/>
                <w:lang w:eastAsia="ja-JP"/>
              </w:rPr>
              <w:t>Other ethnicity</w:t>
            </w:r>
          </w:p>
        </w:tc>
        <w:tc>
          <w:tcPr>
            <w:tcW w:w="1134" w:type="dxa"/>
            <w:tcBorders>
              <w:top w:val="nil"/>
              <w:left w:val="nil"/>
              <w:bottom w:val="single" w:sz="12" w:space="0" w:color="FF9E3C"/>
              <w:right w:val="single" w:sz="12" w:space="0" w:color="FF9E3C"/>
            </w:tcBorders>
            <w:shd w:val="clear" w:color="auto" w:fill="auto"/>
            <w:vAlign w:val="center"/>
            <w:hideMark/>
          </w:tcPr>
          <w:p w14:paraId="5243AB96"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0.038</w:t>
            </w:r>
          </w:p>
        </w:tc>
        <w:tc>
          <w:tcPr>
            <w:tcW w:w="1134" w:type="dxa"/>
            <w:tcBorders>
              <w:top w:val="nil"/>
              <w:left w:val="nil"/>
              <w:bottom w:val="single" w:sz="12" w:space="0" w:color="FF9E3C"/>
              <w:right w:val="single" w:sz="12" w:space="0" w:color="FF9E3C"/>
            </w:tcBorders>
            <w:shd w:val="clear" w:color="auto" w:fill="auto"/>
            <w:vAlign w:val="center"/>
            <w:hideMark/>
          </w:tcPr>
          <w:p w14:paraId="091A8A56"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0.027</w:t>
            </w:r>
          </w:p>
        </w:tc>
        <w:tc>
          <w:tcPr>
            <w:tcW w:w="1134" w:type="dxa"/>
            <w:tcBorders>
              <w:top w:val="nil"/>
              <w:left w:val="nil"/>
              <w:bottom w:val="single" w:sz="12" w:space="0" w:color="FF9E3C"/>
              <w:right w:val="single" w:sz="12" w:space="0" w:color="FF9E3C"/>
            </w:tcBorders>
            <w:shd w:val="clear" w:color="auto" w:fill="auto"/>
            <w:vAlign w:val="center"/>
            <w:hideMark/>
          </w:tcPr>
          <w:p w14:paraId="5A39CDD9"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1.409</w:t>
            </w:r>
          </w:p>
        </w:tc>
        <w:tc>
          <w:tcPr>
            <w:tcW w:w="1134" w:type="dxa"/>
            <w:tcBorders>
              <w:top w:val="nil"/>
              <w:left w:val="nil"/>
              <w:bottom w:val="single" w:sz="12" w:space="0" w:color="FF9E3C"/>
              <w:right w:val="single" w:sz="12" w:space="0" w:color="FF9E3C"/>
            </w:tcBorders>
            <w:shd w:val="clear" w:color="auto" w:fill="auto"/>
            <w:vAlign w:val="center"/>
            <w:hideMark/>
          </w:tcPr>
          <w:p w14:paraId="769AD80B" w14:textId="77777777" w:rsidR="00F61793" w:rsidRPr="00767EAD" w:rsidRDefault="00F61793" w:rsidP="00191866">
            <w:pPr>
              <w:tabs>
                <w:tab w:val="clear" w:pos="426"/>
              </w:tabs>
              <w:spacing w:before="0" w:after="0" w:line="240" w:lineRule="auto"/>
              <w:ind w:left="0" w:right="0"/>
              <w:jc w:val="center"/>
              <w:rPr>
                <w:rFonts w:cs="Arial"/>
                <w:color w:val="1F4E79" w:themeColor="accent1" w:themeShade="80"/>
                <w:sz w:val="18"/>
                <w:lang w:eastAsia="ja-JP"/>
              </w:rPr>
            </w:pPr>
            <w:r w:rsidRPr="00767EAD">
              <w:rPr>
                <w:rFonts w:cs="Arial"/>
                <w:color w:val="1F4E79" w:themeColor="accent1" w:themeShade="80"/>
                <w:sz w:val="18"/>
                <w:lang w:eastAsia="ja-JP"/>
              </w:rPr>
              <w:t>0.159</w:t>
            </w:r>
          </w:p>
        </w:tc>
      </w:tr>
    </w:tbl>
    <w:p w14:paraId="6CD036C6" w14:textId="77777777" w:rsidR="00C01610" w:rsidRDefault="00C01610" w:rsidP="00C82A76">
      <w:pPr>
        <w:pStyle w:val="VRGFBodycontent"/>
        <w:spacing w:before="240"/>
        <w:rPr>
          <w:rFonts w:eastAsia="MS Mincho"/>
        </w:rPr>
      </w:pPr>
    </w:p>
    <w:p w14:paraId="02F642D9" w14:textId="32927E28" w:rsidR="00F61793" w:rsidRDefault="00B66762" w:rsidP="00C82A76">
      <w:pPr>
        <w:pStyle w:val="VRGFBodycontent"/>
        <w:spacing w:before="240"/>
        <w:rPr>
          <w:rFonts w:eastAsia="MS Mincho"/>
        </w:rPr>
      </w:pPr>
      <w:r>
        <w:rPr>
          <w:rFonts w:eastAsia="MS Mincho"/>
        </w:rPr>
        <w:fldChar w:fldCharType="begin"/>
      </w:r>
      <w:r>
        <w:rPr>
          <w:rFonts w:eastAsia="MS Mincho"/>
        </w:rPr>
        <w:instrText xml:space="preserve"> REF _Ref445408974 \h </w:instrText>
      </w:r>
      <w:r>
        <w:rPr>
          <w:rFonts w:eastAsia="MS Mincho"/>
        </w:rPr>
      </w:r>
      <w:r>
        <w:rPr>
          <w:rFonts w:eastAsia="MS Mincho"/>
        </w:rPr>
        <w:fldChar w:fldCharType="separate"/>
      </w:r>
      <w:r w:rsidR="0006479A">
        <w:t xml:space="preserve">Figure </w:t>
      </w:r>
      <w:r w:rsidR="0006479A">
        <w:rPr>
          <w:noProof/>
        </w:rPr>
        <w:t>10</w:t>
      </w:r>
      <w:r>
        <w:rPr>
          <w:rFonts w:eastAsia="MS Mincho"/>
        </w:rPr>
        <w:fldChar w:fldCharType="end"/>
      </w:r>
      <w:r>
        <w:rPr>
          <w:rFonts w:eastAsia="MS Mincho"/>
        </w:rPr>
        <w:t xml:space="preserve"> </w:t>
      </w:r>
      <w:r w:rsidR="00F61793" w:rsidRPr="00D82AC4">
        <w:rPr>
          <w:rFonts w:eastAsia="MS Mincho"/>
        </w:rPr>
        <w:t xml:space="preserve">shows the estimated marginal means for the </w:t>
      </w:r>
      <w:r w:rsidR="00577004">
        <w:rPr>
          <w:rFonts w:eastAsia="MS Mincho"/>
        </w:rPr>
        <w:t>gambling</w:t>
      </w:r>
      <w:r w:rsidR="00903E8B">
        <w:rPr>
          <w:rFonts w:eastAsia="MS Mincho"/>
        </w:rPr>
        <w:t>-related</w:t>
      </w:r>
      <w:r w:rsidR="00577004">
        <w:rPr>
          <w:rFonts w:eastAsia="MS Mincho"/>
        </w:rPr>
        <w:t xml:space="preserve"> </w:t>
      </w:r>
      <w:r w:rsidR="00F61793" w:rsidRPr="00D82AC4">
        <w:rPr>
          <w:rFonts w:eastAsia="MS Mincho"/>
        </w:rPr>
        <w:t>harm (</w:t>
      </w:r>
      <w:r w:rsidR="00C01610">
        <w:rPr>
          <w:rFonts w:eastAsia="MS Mincho"/>
        </w:rPr>
        <w:t>0-</w:t>
      </w:r>
      <w:r w:rsidR="00F61793" w:rsidRPr="00D82AC4">
        <w:rPr>
          <w:rFonts w:eastAsia="MS Mincho"/>
        </w:rPr>
        <w:t>1 utility) with respect to the PGSI</w:t>
      </w:r>
      <w:r w:rsidR="007E0C13">
        <w:rPr>
          <w:rFonts w:eastAsia="MS Mincho"/>
        </w:rPr>
        <w:t>.</w:t>
      </w:r>
      <w:r w:rsidR="008610D3">
        <w:rPr>
          <w:rFonts w:eastAsia="MS Mincho"/>
        </w:rPr>
        <w:t xml:space="preserve"> </w:t>
      </w:r>
      <w:r w:rsidR="00F61793" w:rsidRPr="00D82AC4">
        <w:rPr>
          <w:rFonts w:eastAsia="MS Mincho"/>
        </w:rPr>
        <w:t>Th</w:t>
      </w:r>
      <w:r w:rsidR="009A266C">
        <w:rPr>
          <w:rFonts w:eastAsia="MS Mincho"/>
        </w:rPr>
        <w:t>ese</w:t>
      </w:r>
      <w:r w:rsidR="00F61793" w:rsidRPr="00D82AC4">
        <w:rPr>
          <w:rFonts w:eastAsia="MS Mincho"/>
        </w:rPr>
        <w:t xml:space="preserve"> data </w:t>
      </w:r>
      <w:r w:rsidR="009A266C">
        <w:rPr>
          <w:rFonts w:eastAsia="MS Mincho"/>
        </w:rPr>
        <w:t>are</w:t>
      </w:r>
      <w:r w:rsidR="00F61793" w:rsidRPr="00D82AC4">
        <w:rPr>
          <w:rFonts w:eastAsia="MS Mincho"/>
        </w:rPr>
        <w:t xml:space="preserve"> also pr</w:t>
      </w:r>
      <w:r w:rsidR="00F61793">
        <w:rPr>
          <w:rFonts w:eastAsia="MS Mincho"/>
        </w:rPr>
        <w:t>ovided numerically in</w:t>
      </w:r>
      <w:r>
        <w:rPr>
          <w:rFonts w:eastAsia="MS Mincho"/>
        </w:rPr>
        <w:t xml:space="preserve"> </w:t>
      </w:r>
      <w:r>
        <w:rPr>
          <w:rFonts w:eastAsia="MS Mincho"/>
        </w:rPr>
        <w:fldChar w:fldCharType="begin"/>
      </w:r>
      <w:r>
        <w:rPr>
          <w:rFonts w:eastAsia="MS Mincho"/>
        </w:rPr>
        <w:instrText xml:space="preserve"> REF _Ref445409025 \h </w:instrText>
      </w:r>
      <w:r>
        <w:rPr>
          <w:rFonts w:eastAsia="MS Mincho"/>
        </w:rPr>
      </w:r>
      <w:r>
        <w:rPr>
          <w:rFonts w:eastAsia="MS Mincho"/>
        </w:rPr>
        <w:fldChar w:fldCharType="separate"/>
      </w:r>
      <w:r w:rsidR="0006479A">
        <w:t xml:space="preserve">Table </w:t>
      </w:r>
      <w:r w:rsidR="0006479A">
        <w:rPr>
          <w:noProof/>
        </w:rPr>
        <w:t>22</w:t>
      </w:r>
      <w:r>
        <w:rPr>
          <w:rFonts w:eastAsia="MS Mincho"/>
        </w:rPr>
        <w:fldChar w:fldCharType="end"/>
      </w:r>
      <w:r w:rsidR="007E0C13">
        <w:rPr>
          <w:rFonts w:eastAsia="MS Mincho"/>
        </w:rPr>
        <w:t>.</w:t>
      </w:r>
      <w:r w:rsidR="008610D3">
        <w:rPr>
          <w:rFonts w:eastAsia="MS Mincho"/>
        </w:rPr>
        <w:t xml:space="preserve"> </w:t>
      </w:r>
      <w:r w:rsidR="00C01610">
        <w:rPr>
          <w:rFonts w:eastAsia="MS Mincho"/>
        </w:rPr>
        <w:t>Utilit</w:t>
      </w:r>
      <w:r w:rsidR="00903E8B">
        <w:rPr>
          <w:rFonts w:eastAsia="MS Mincho"/>
        </w:rPr>
        <w:t xml:space="preserve">ies </w:t>
      </w:r>
      <w:r w:rsidR="00F61793" w:rsidRPr="00D82AC4">
        <w:rPr>
          <w:rFonts w:eastAsia="MS Mincho"/>
        </w:rPr>
        <w:t xml:space="preserve">generated from data associated with low-risk gamblers </w:t>
      </w:r>
      <w:r w:rsidR="00A32063">
        <w:rPr>
          <w:rFonts w:eastAsia="MS Mincho"/>
        </w:rPr>
        <w:t xml:space="preserve">had </w:t>
      </w:r>
      <w:r w:rsidR="00F61793" w:rsidRPr="00D82AC4">
        <w:rPr>
          <w:rFonts w:eastAsia="MS Mincho"/>
        </w:rPr>
        <w:t xml:space="preserve">an average </w:t>
      </w:r>
      <w:r w:rsidR="00C01610">
        <w:rPr>
          <w:rFonts w:eastAsia="MS Mincho"/>
        </w:rPr>
        <w:t>gambling</w:t>
      </w:r>
      <w:r w:rsidR="00903E8B">
        <w:rPr>
          <w:rFonts w:eastAsia="MS Mincho"/>
        </w:rPr>
        <w:t>-related</w:t>
      </w:r>
      <w:r w:rsidR="00C01610">
        <w:rPr>
          <w:rFonts w:eastAsia="MS Mincho"/>
        </w:rPr>
        <w:t xml:space="preserve"> </w:t>
      </w:r>
      <w:r w:rsidR="00F61793" w:rsidRPr="00D82AC4">
        <w:rPr>
          <w:rFonts w:eastAsia="MS Mincho"/>
        </w:rPr>
        <w:t xml:space="preserve">harm </w:t>
      </w:r>
      <w:r w:rsidR="00C01610">
        <w:rPr>
          <w:rFonts w:eastAsia="MS Mincho"/>
        </w:rPr>
        <w:t xml:space="preserve">utility </w:t>
      </w:r>
      <w:r w:rsidR="00F61793" w:rsidRPr="00D82AC4">
        <w:rPr>
          <w:rFonts w:eastAsia="MS Mincho"/>
        </w:rPr>
        <w:t xml:space="preserve">of </w:t>
      </w:r>
      <w:r w:rsidR="00F61793">
        <w:rPr>
          <w:rFonts w:eastAsia="MS Mincho"/>
        </w:rPr>
        <w:t>0</w:t>
      </w:r>
      <w:r w:rsidR="00F61793" w:rsidRPr="00D82AC4">
        <w:rPr>
          <w:rFonts w:eastAsia="MS Mincho"/>
        </w:rPr>
        <w:t>.1</w:t>
      </w:r>
      <w:r w:rsidR="00F61793">
        <w:rPr>
          <w:rFonts w:eastAsia="MS Mincho"/>
        </w:rPr>
        <w:t>8</w:t>
      </w:r>
      <w:r w:rsidR="007E0C13">
        <w:rPr>
          <w:rFonts w:eastAsia="MS Mincho"/>
        </w:rPr>
        <w:t>.</w:t>
      </w:r>
      <w:r w:rsidR="008610D3">
        <w:rPr>
          <w:rFonts w:eastAsia="MS Mincho"/>
        </w:rPr>
        <w:t xml:space="preserve"> </w:t>
      </w:r>
      <w:r w:rsidR="00F61793" w:rsidRPr="00D82AC4">
        <w:rPr>
          <w:rFonts w:eastAsia="MS Mincho"/>
        </w:rPr>
        <w:t xml:space="preserve">The harm </w:t>
      </w:r>
      <w:r w:rsidR="009A266C">
        <w:rPr>
          <w:rFonts w:eastAsia="MS Mincho"/>
        </w:rPr>
        <w:t xml:space="preserve">rose </w:t>
      </w:r>
      <w:r w:rsidR="00F61793" w:rsidRPr="00D82AC4">
        <w:rPr>
          <w:rFonts w:eastAsia="MS Mincho"/>
        </w:rPr>
        <w:t>quickly across the moderate</w:t>
      </w:r>
      <w:r w:rsidR="009A266C">
        <w:rPr>
          <w:rFonts w:eastAsia="MS Mincho"/>
        </w:rPr>
        <w:t>-</w:t>
      </w:r>
      <w:r w:rsidR="00F61793" w:rsidRPr="00D82AC4">
        <w:rPr>
          <w:rFonts w:eastAsia="MS Mincho"/>
        </w:rPr>
        <w:t>risk category, and stabili</w:t>
      </w:r>
      <w:r w:rsidR="009A266C">
        <w:rPr>
          <w:rFonts w:eastAsia="MS Mincho"/>
        </w:rPr>
        <w:t>s</w:t>
      </w:r>
      <w:r w:rsidR="00F61793" w:rsidRPr="00D82AC4">
        <w:rPr>
          <w:rFonts w:eastAsia="MS Mincho"/>
        </w:rPr>
        <w:t>e</w:t>
      </w:r>
      <w:r w:rsidR="009A266C">
        <w:rPr>
          <w:rFonts w:eastAsia="MS Mincho"/>
        </w:rPr>
        <w:t>d</w:t>
      </w:r>
      <w:r w:rsidR="00F61793" w:rsidRPr="00D82AC4">
        <w:rPr>
          <w:rFonts w:eastAsia="MS Mincho"/>
        </w:rPr>
        <w:t xml:space="preserve"> at around 0.</w:t>
      </w:r>
      <w:r w:rsidR="00F61793">
        <w:rPr>
          <w:rFonts w:eastAsia="MS Mincho"/>
        </w:rPr>
        <w:t>54</w:t>
      </w:r>
      <w:r w:rsidR="00F61793" w:rsidRPr="00D82AC4">
        <w:rPr>
          <w:rFonts w:eastAsia="MS Mincho"/>
        </w:rPr>
        <w:t xml:space="preserve"> for the problem category</w:t>
      </w:r>
      <w:r w:rsidR="007E0C13">
        <w:rPr>
          <w:rFonts w:eastAsia="MS Mincho"/>
        </w:rPr>
        <w:t>.</w:t>
      </w:r>
      <w:r w:rsidR="008610D3">
        <w:rPr>
          <w:rFonts w:eastAsia="MS Mincho"/>
        </w:rPr>
        <w:t xml:space="preserve"> </w:t>
      </w:r>
      <w:r w:rsidR="00F61793" w:rsidRPr="00D82AC4">
        <w:rPr>
          <w:rFonts w:eastAsia="MS Mincho"/>
        </w:rPr>
        <w:t>As</w:t>
      </w:r>
      <w:r>
        <w:rPr>
          <w:rFonts w:eastAsia="MS Mincho"/>
        </w:rPr>
        <w:t xml:space="preserve"> </w:t>
      </w:r>
      <w:r>
        <w:rPr>
          <w:rFonts w:eastAsia="MS Mincho"/>
        </w:rPr>
        <w:fldChar w:fldCharType="begin"/>
      </w:r>
      <w:r>
        <w:rPr>
          <w:rFonts w:eastAsia="MS Mincho"/>
        </w:rPr>
        <w:instrText xml:space="preserve"> REF _Ref445408974 \h </w:instrText>
      </w:r>
      <w:r>
        <w:rPr>
          <w:rFonts w:eastAsia="MS Mincho"/>
        </w:rPr>
      </w:r>
      <w:r>
        <w:rPr>
          <w:rFonts w:eastAsia="MS Mincho"/>
        </w:rPr>
        <w:fldChar w:fldCharType="separate"/>
      </w:r>
      <w:r w:rsidR="0006479A">
        <w:t xml:space="preserve">Figure </w:t>
      </w:r>
      <w:r w:rsidR="0006479A">
        <w:rPr>
          <w:noProof/>
        </w:rPr>
        <w:t>10</w:t>
      </w:r>
      <w:r>
        <w:rPr>
          <w:rFonts w:eastAsia="MS Mincho"/>
        </w:rPr>
        <w:fldChar w:fldCharType="end"/>
      </w:r>
      <w:r w:rsidR="00F61793" w:rsidRPr="00D82AC4">
        <w:rPr>
          <w:rFonts w:eastAsia="MS Mincho"/>
        </w:rPr>
        <w:t xml:space="preserve"> illustrates, there were sharp jumps in harm between PGSI </w:t>
      </w:r>
      <w:r w:rsidR="009A266C">
        <w:rPr>
          <w:rFonts w:eastAsia="MS Mincho"/>
        </w:rPr>
        <w:t xml:space="preserve">scores of </w:t>
      </w:r>
      <w:r w:rsidR="00F61793">
        <w:rPr>
          <w:rFonts w:eastAsia="MS Mincho"/>
        </w:rPr>
        <w:t>1</w:t>
      </w:r>
      <w:r w:rsidR="00F61793" w:rsidRPr="00D82AC4">
        <w:rPr>
          <w:rFonts w:eastAsia="MS Mincho"/>
        </w:rPr>
        <w:t xml:space="preserve"> and </w:t>
      </w:r>
      <w:r w:rsidR="00F61793">
        <w:rPr>
          <w:rFonts w:eastAsia="MS Mincho"/>
        </w:rPr>
        <w:t>2</w:t>
      </w:r>
      <w:r w:rsidR="00F61793" w:rsidRPr="00D82AC4">
        <w:rPr>
          <w:rFonts w:eastAsia="MS Mincho"/>
        </w:rPr>
        <w:t xml:space="preserve">, as well as </w:t>
      </w:r>
      <w:r w:rsidR="009A266C">
        <w:rPr>
          <w:rFonts w:eastAsia="MS Mincho"/>
        </w:rPr>
        <w:t xml:space="preserve">scores of </w:t>
      </w:r>
      <w:r w:rsidR="00F61793">
        <w:rPr>
          <w:rFonts w:eastAsia="MS Mincho"/>
        </w:rPr>
        <w:t>6</w:t>
      </w:r>
      <w:r w:rsidR="00F61793" w:rsidRPr="00D82AC4">
        <w:rPr>
          <w:rFonts w:eastAsia="MS Mincho"/>
        </w:rPr>
        <w:t xml:space="preserve"> and </w:t>
      </w:r>
      <w:r w:rsidR="00F61793">
        <w:rPr>
          <w:rFonts w:eastAsia="MS Mincho"/>
        </w:rPr>
        <w:t>7</w:t>
      </w:r>
      <w:r w:rsidR="00F61793" w:rsidRPr="00D82AC4">
        <w:rPr>
          <w:rFonts w:eastAsia="MS Mincho"/>
        </w:rPr>
        <w:t xml:space="preserve"> – which correspond </w:t>
      </w:r>
      <w:r w:rsidR="00F61793">
        <w:rPr>
          <w:rFonts w:eastAsia="MS Mincho"/>
        </w:rPr>
        <w:t xml:space="preserve">closely (though not exactly) </w:t>
      </w:r>
      <w:r w:rsidR="00F61793" w:rsidRPr="00D82AC4">
        <w:rPr>
          <w:rFonts w:eastAsia="MS Mincho"/>
        </w:rPr>
        <w:t>to the boundaries between the PGSI categories</w:t>
      </w:r>
      <w:r w:rsidR="007E0C13">
        <w:rPr>
          <w:rFonts w:eastAsia="MS Mincho"/>
        </w:rPr>
        <w:t>.</w:t>
      </w:r>
      <w:r w:rsidR="008610D3">
        <w:rPr>
          <w:rFonts w:eastAsia="MS Mincho"/>
        </w:rPr>
        <w:t xml:space="preserve"> </w:t>
      </w:r>
      <w:r w:rsidR="009A266C">
        <w:rPr>
          <w:rFonts w:eastAsia="MS Mincho"/>
        </w:rPr>
        <w:t xml:space="preserve">A </w:t>
      </w:r>
      <w:r w:rsidR="00F61793" w:rsidRPr="00D82AC4">
        <w:rPr>
          <w:rFonts w:eastAsia="MS Mincho"/>
        </w:rPr>
        <w:t>PGSI score of 7</w:t>
      </w:r>
      <w:r w:rsidR="00F61793">
        <w:rPr>
          <w:rFonts w:eastAsia="MS Mincho"/>
        </w:rPr>
        <w:t xml:space="preserve"> was </w:t>
      </w:r>
      <w:r w:rsidR="00F61793" w:rsidRPr="00D82AC4">
        <w:rPr>
          <w:rFonts w:eastAsia="MS Mincho"/>
        </w:rPr>
        <w:t>characterised by wider confidence intervals than other values, suggesting</w:t>
      </w:r>
      <w:r w:rsidR="00F61793">
        <w:rPr>
          <w:rFonts w:eastAsia="MS Mincho"/>
        </w:rPr>
        <w:t xml:space="preserve"> </w:t>
      </w:r>
      <w:r w:rsidR="00F61793" w:rsidRPr="00D82AC4">
        <w:rPr>
          <w:rFonts w:eastAsia="MS Mincho"/>
        </w:rPr>
        <w:t xml:space="preserve">that </w:t>
      </w:r>
      <w:r w:rsidR="00F61793">
        <w:rPr>
          <w:rFonts w:eastAsia="MS Mincho"/>
        </w:rPr>
        <w:t>this</w:t>
      </w:r>
      <w:r w:rsidR="00F61793" w:rsidRPr="00D82AC4">
        <w:rPr>
          <w:rFonts w:eastAsia="MS Mincho"/>
        </w:rPr>
        <w:t xml:space="preserve"> score lie</w:t>
      </w:r>
      <w:r w:rsidR="00F61793">
        <w:rPr>
          <w:rFonts w:eastAsia="MS Mincho"/>
        </w:rPr>
        <w:t>s</w:t>
      </w:r>
      <w:r w:rsidR="00F61793" w:rsidRPr="00D82AC4">
        <w:rPr>
          <w:rFonts w:eastAsia="MS Mincho"/>
        </w:rPr>
        <w:t xml:space="preserve"> at </w:t>
      </w:r>
      <w:r w:rsidR="00F61793">
        <w:rPr>
          <w:rFonts w:eastAsia="MS Mincho"/>
        </w:rPr>
        <w:t xml:space="preserve">a </w:t>
      </w:r>
      <w:r w:rsidR="00F61793" w:rsidRPr="00D82AC4">
        <w:rPr>
          <w:rFonts w:eastAsia="MS Mincho"/>
        </w:rPr>
        <w:t xml:space="preserve">point of inflection in the accelerating experience of </w:t>
      </w:r>
      <w:r w:rsidR="00577004">
        <w:rPr>
          <w:rFonts w:eastAsia="MS Mincho"/>
        </w:rPr>
        <w:t>gambling</w:t>
      </w:r>
      <w:r w:rsidR="00903E8B">
        <w:rPr>
          <w:rFonts w:eastAsia="MS Mincho"/>
        </w:rPr>
        <w:t>-related</w:t>
      </w:r>
      <w:r w:rsidR="00577004">
        <w:rPr>
          <w:rFonts w:eastAsia="MS Mincho"/>
        </w:rPr>
        <w:t xml:space="preserve"> </w:t>
      </w:r>
      <w:r w:rsidR="00F61793" w:rsidRPr="00D82AC4">
        <w:rPr>
          <w:rFonts w:eastAsia="MS Mincho"/>
        </w:rPr>
        <w:t>harm as PGSI increases</w:t>
      </w:r>
      <w:r w:rsidR="007E0C13">
        <w:rPr>
          <w:rFonts w:eastAsia="MS Mincho"/>
        </w:rPr>
        <w:t>.</w:t>
      </w:r>
      <w:r w:rsidR="008610D3">
        <w:rPr>
          <w:rFonts w:eastAsia="MS Mincho"/>
        </w:rPr>
        <w:t xml:space="preserve"> </w:t>
      </w:r>
      <w:r w:rsidR="00F61793" w:rsidRPr="00D82AC4">
        <w:rPr>
          <w:rFonts w:eastAsia="MS Mincho"/>
        </w:rPr>
        <w:t>For other PGSI</w:t>
      </w:r>
      <w:r w:rsidR="009A266C">
        <w:rPr>
          <w:rFonts w:eastAsia="MS Mincho"/>
        </w:rPr>
        <w:t xml:space="preserve"> scores of</w:t>
      </w:r>
      <w:r w:rsidR="00F61793" w:rsidRPr="00D82AC4">
        <w:rPr>
          <w:rFonts w:eastAsia="MS Mincho"/>
        </w:rPr>
        <w:t xml:space="preserve"> 1, </w:t>
      </w:r>
      <w:r w:rsidR="00F61793">
        <w:rPr>
          <w:rFonts w:eastAsia="MS Mincho"/>
        </w:rPr>
        <w:t>2</w:t>
      </w:r>
      <w:r w:rsidR="00F61793" w:rsidRPr="00D82AC4">
        <w:rPr>
          <w:rFonts w:eastAsia="MS Mincho"/>
        </w:rPr>
        <w:t>-6, and 8</w:t>
      </w:r>
      <w:r w:rsidR="00F61793">
        <w:rPr>
          <w:rFonts w:eastAsia="MS Mincho"/>
        </w:rPr>
        <w:t>-14</w:t>
      </w:r>
      <w:r w:rsidR="009A266C">
        <w:rPr>
          <w:rFonts w:eastAsia="MS Mincho"/>
        </w:rPr>
        <w:t>,</w:t>
      </w:r>
      <w:r w:rsidR="00F61793" w:rsidRPr="00D82AC4">
        <w:rPr>
          <w:rFonts w:eastAsia="MS Mincho"/>
        </w:rPr>
        <w:t xml:space="preserve"> the degree of harm experienced </w:t>
      </w:r>
      <w:r w:rsidR="009A266C">
        <w:rPr>
          <w:rFonts w:eastAsia="MS Mincho"/>
        </w:rPr>
        <w:t>wa</w:t>
      </w:r>
      <w:r w:rsidR="00F61793" w:rsidRPr="00D82AC4">
        <w:rPr>
          <w:rFonts w:eastAsia="MS Mincho"/>
        </w:rPr>
        <w:t>s relatively flat, with conditional mean estimates lying within common standard error bounds.</w:t>
      </w:r>
    </w:p>
    <w:p w14:paraId="3C6F34DB" w14:textId="77777777" w:rsidR="00F61793" w:rsidRPr="00D82AC4" w:rsidRDefault="00F61793" w:rsidP="00767EAD">
      <w:pPr>
        <w:tabs>
          <w:tab w:val="clear" w:pos="426"/>
        </w:tabs>
        <w:spacing w:before="0" w:after="120"/>
        <w:ind w:left="0" w:right="0"/>
        <w:rPr>
          <w:rFonts w:eastAsia="MS Mincho" w:cs="Arial"/>
          <w:sz w:val="24"/>
          <w:szCs w:val="24"/>
        </w:rPr>
      </w:pPr>
      <w:r>
        <w:rPr>
          <w:rFonts w:eastAsia="MS Mincho" w:cs="Arial"/>
          <w:noProof/>
          <w:sz w:val="24"/>
          <w:szCs w:val="24"/>
          <w:lang w:val="en-NZ" w:eastAsia="en-NZ"/>
        </w:rPr>
        <w:lastRenderedPageBreak/>
        <w:drawing>
          <wp:inline distT="0" distB="0" distL="0" distR="0" wp14:anchorId="5B5E8B21" wp14:editId="2516A034">
            <wp:extent cx="5740226" cy="37414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0226" cy="3741478"/>
                    </a:xfrm>
                    <a:prstGeom prst="rect">
                      <a:avLst/>
                    </a:prstGeom>
                    <a:noFill/>
                  </pic:spPr>
                </pic:pic>
              </a:graphicData>
            </a:graphic>
          </wp:inline>
        </w:drawing>
      </w:r>
    </w:p>
    <w:p w14:paraId="114B8DFB" w14:textId="38FE97DA" w:rsidR="00F61793" w:rsidRPr="00D65A93" w:rsidRDefault="00B66762" w:rsidP="00767EAD">
      <w:pPr>
        <w:pStyle w:val="Caption"/>
        <w:spacing w:after="60"/>
        <w:rPr>
          <w:color w:val="1C3158"/>
        </w:rPr>
      </w:pPr>
      <w:bookmarkStart w:id="295" w:name="_Ref445408974"/>
      <w:bookmarkStart w:id="296" w:name="_Ref429648155"/>
      <w:bookmarkStart w:id="297" w:name="_Ref429648239"/>
      <w:bookmarkStart w:id="298" w:name="_Toc440900313"/>
      <w:bookmarkStart w:id="299" w:name="_Toc462738093"/>
      <w:r>
        <w:t xml:space="preserve">Figure </w:t>
      </w:r>
      <w:fldSimple w:instr=" SEQ Figure \* ARABIC ">
        <w:r w:rsidR="0006479A">
          <w:rPr>
            <w:noProof/>
          </w:rPr>
          <w:t>10</w:t>
        </w:r>
      </w:fldSimple>
      <w:bookmarkEnd w:id="295"/>
      <w:r w:rsidR="007E0C13">
        <w:t>.</w:t>
      </w:r>
      <w:r w:rsidR="008610D3">
        <w:t xml:space="preserve"> </w:t>
      </w:r>
      <w:bookmarkEnd w:id="296"/>
      <w:r w:rsidR="00C01610">
        <w:t>Gambling</w:t>
      </w:r>
      <w:r w:rsidR="00903E8B">
        <w:t>-related</w:t>
      </w:r>
      <w:r w:rsidR="00C01610">
        <w:t xml:space="preserve"> h</w:t>
      </w:r>
      <w:r w:rsidR="00F61793" w:rsidRPr="00D65A93">
        <w:rPr>
          <w:color w:val="1C3158"/>
        </w:rPr>
        <w:t xml:space="preserve">arm </w:t>
      </w:r>
      <w:r w:rsidR="00C01610">
        <w:rPr>
          <w:color w:val="1C3158"/>
        </w:rPr>
        <w:t>(</w:t>
      </w:r>
      <w:r w:rsidR="00D315C5">
        <w:rPr>
          <w:color w:val="1C3158"/>
        </w:rPr>
        <w:t>utility</w:t>
      </w:r>
      <w:r w:rsidR="00C01610">
        <w:rPr>
          <w:color w:val="1C3158"/>
        </w:rPr>
        <w:t>)</w:t>
      </w:r>
      <w:r w:rsidR="00D315C5">
        <w:rPr>
          <w:color w:val="1C3158"/>
        </w:rPr>
        <w:t xml:space="preserve"> </w:t>
      </w:r>
      <w:r w:rsidR="00F61793" w:rsidRPr="00D65A93">
        <w:rPr>
          <w:color w:val="1C3158"/>
        </w:rPr>
        <w:t>from one's own gambling by PGSI</w:t>
      </w:r>
      <w:bookmarkEnd w:id="297"/>
      <w:bookmarkEnd w:id="298"/>
      <w:bookmarkEnd w:id="299"/>
    </w:p>
    <w:p w14:paraId="1A928730" w14:textId="0422270C" w:rsidR="00F61793" w:rsidRPr="0082634A" w:rsidRDefault="00F61793" w:rsidP="00767EAD">
      <w:pPr>
        <w:spacing w:before="0" w:after="0" w:line="240" w:lineRule="auto"/>
        <w:ind w:left="0"/>
        <w:rPr>
          <w:color w:val="1C3158"/>
          <w:sz w:val="16"/>
        </w:rPr>
      </w:pPr>
      <w:r w:rsidRPr="0082634A">
        <w:rPr>
          <w:color w:val="1C3158"/>
          <w:sz w:val="16"/>
        </w:rPr>
        <w:t>Note</w:t>
      </w:r>
      <w:r w:rsidR="007E0C13">
        <w:rPr>
          <w:color w:val="1C3158"/>
          <w:sz w:val="16"/>
        </w:rPr>
        <w:t>.</w:t>
      </w:r>
      <w:r w:rsidR="008610D3">
        <w:rPr>
          <w:color w:val="1C3158"/>
          <w:sz w:val="16"/>
        </w:rPr>
        <w:t xml:space="preserve"> </w:t>
      </w:r>
      <w:r w:rsidRPr="0082634A">
        <w:rPr>
          <w:color w:val="1C3158"/>
          <w:sz w:val="16"/>
        </w:rPr>
        <w:t xml:space="preserve">Error bars indicate 95% confidence intervals of the mean. </w:t>
      </w:r>
    </w:p>
    <w:p w14:paraId="02590E57" w14:textId="77777777" w:rsidR="00F61793" w:rsidRPr="002B25C3" w:rsidRDefault="00F61793" w:rsidP="00F61793">
      <w:pPr>
        <w:pStyle w:val="VRGFBodycontent"/>
      </w:pPr>
    </w:p>
    <w:p w14:paraId="2D87C12D" w14:textId="1A145F70" w:rsidR="00F61793" w:rsidRDefault="00B66762" w:rsidP="00B66762">
      <w:pPr>
        <w:pStyle w:val="Caption"/>
        <w:rPr>
          <w:color w:val="1C3158"/>
        </w:rPr>
      </w:pPr>
      <w:bookmarkStart w:id="300" w:name="_Ref445409025"/>
      <w:bookmarkStart w:id="301" w:name="_Ref429648196"/>
      <w:bookmarkStart w:id="302" w:name="_Ref429648189"/>
      <w:bookmarkStart w:id="303" w:name="_Toc440900344"/>
      <w:bookmarkStart w:id="304" w:name="_Toc462738125"/>
      <w:r>
        <w:t xml:space="preserve">Table </w:t>
      </w:r>
      <w:fldSimple w:instr=" SEQ Table \* ARABIC ">
        <w:r w:rsidR="0006479A">
          <w:rPr>
            <w:noProof/>
          </w:rPr>
          <w:t>22</w:t>
        </w:r>
      </w:fldSimple>
      <w:bookmarkEnd w:id="300"/>
      <w:r w:rsidR="007E0C13">
        <w:t>.</w:t>
      </w:r>
      <w:r w:rsidR="008610D3">
        <w:t xml:space="preserve"> </w:t>
      </w:r>
      <w:bookmarkEnd w:id="301"/>
      <w:r w:rsidR="00577004">
        <w:t>Gambling</w:t>
      </w:r>
      <w:r w:rsidR="00903E8B">
        <w:t>-related</w:t>
      </w:r>
      <w:r w:rsidR="00577004">
        <w:t xml:space="preserve"> </w:t>
      </w:r>
      <w:r w:rsidR="00577004">
        <w:rPr>
          <w:color w:val="1C3158"/>
        </w:rPr>
        <w:t>h</w:t>
      </w:r>
      <w:r w:rsidR="00577004" w:rsidRPr="00D65A93">
        <w:rPr>
          <w:color w:val="1C3158"/>
        </w:rPr>
        <w:t xml:space="preserve">arm </w:t>
      </w:r>
      <w:r w:rsidR="00C01610">
        <w:rPr>
          <w:color w:val="1C3158"/>
        </w:rPr>
        <w:t>(</w:t>
      </w:r>
      <w:r w:rsidR="00D315C5">
        <w:rPr>
          <w:color w:val="1C3158"/>
        </w:rPr>
        <w:t>utility</w:t>
      </w:r>
      <w:r w:rsidR="00C01610">
        <w:rPr>
          <w:color w:val="1C3158"/>
        </w:rPr>
        <w:t>)</w:t>
      </w:r>
      <w:r w:rsidR="00D315C5">
        <w:rPr>
          <w:color w:val="1C3158"/>
        </w:rPr>
        <w:t xml:space="preserve"> </w:t>
      </w:r>
      <w:r w:rsidR="00F61793" w:rsidRPr="00D65A93">
        <w:rPr>
          <w:color w:val="1C3158"/>
        </w:rPr>
        <w:t>by PGSI</w:t>
      </w:r>
      <w:bookmarkEnd w:id="302"/>
      <w:bookmarkEnd w:id="303"/>
      <w:r w:rsidR="00D740A9">
        <w:rPr>
          <w:color w:val="1C3158"/>
        </w:rPr>
        <w:t xml:space="preserve"> score</w:t>
      </w:r>
      <w:bookmarkEnd w:id="304"/>
    </w:p>
    <w:tbl>
      <w:tblPr>
        <w:tblW w:w="6804" w:type="dxa"/>
        <w:tblLook w:val="04A0" w:firstRow="1" w:lastRow="0" w:firstColumn="1" w:lastColumn="0" w:noHBand="0" w:noVBand="1"/>
      </w:tblPr>
      <w:tblGrid>
        <w:gridCol w:w="1276"/>
        <w:gridCol w:w="1660"/>
        <w:gridCol w:w="1317"/>
        <w:gridCol w:w="1275"/>
        <w:gridCol w:w="1276"/>
      </w:tblGrid>
      <w:tr w:rsidR="00F61793" w:rsidRPr="00D65A93" w14:paraId="6A0396A9" w14:textId="77777777" w:rsidTr="00767EAD">
        <w:trPr>
          <w:trHeight w:val="330"/>
        </w:trPr>
        <w:tc>
          <w:tcPr>
            <w:tcW w:w="1276" w:type="dxa"/>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4C0A9D36" w14:textId="77777777" w:rsidR="00F61793" w:rsidRPr="00D65A93" w:rsidRDefault="00F61793" w:rsidP="00191866">
            <w:pPr>
              <w:tabs>
                <w:tab w:val="clear" w:pos="426"/>
              </w:tabs>
              <w:spacing w:before="0" w:after="0" w:line="240" w:lineRule="auto"/>
              <w:ind w:left="0" w:right="0"/>
              <w:rPr>
                <w:rFonts w:cs="Arial"/>
                <w:b/>
                <w:bCs/>
                <w:color w:val="1C3158"/>
                <w:sz w:val="18"/>
                <w:lang w:eastAsia="ja-JP"/>
              </w:rPr>
            </w:pPr>
            <w:r w:rsidRPr="00D65A93">
              <w:rPr>
                <w:rFonts w:cs="Arial"/>
                <w:b/>
                <w:bCs/>
                <w:color w:val="1C3158"/>
                <w:sz w:val="18"/>
                <w:lang w:eastAsia="ja-JP"/>
              </w:rPr>
              <w:t>PGSI Score</w:t>
            </w:r>
          </w:p>
        </w:tc>
        <w:tc>
          <w:tcPr>
            <w:tcW w:w="1660" w:type="dxa"/>
            <w:tcBorders>
              <w:top w:val="single" w:sz="12" w:space="0" w:color="FF9E3C"/>
              <w:left w:val="nil"/>
              <w:bottom w:val="single" w:sz="12" w:space="0" w:color="FF9E3C"/>
              <w:right w:val="single" w:sz="12" w:space="0" w:color="FF9E3C"/>
            </w:tcBorders>
            <w:shd w:val="clear" w:color="000000" w:fill="FFBC64"/>
            <w:noWrap/>
            <w:vAlign w:val="center"/>
            <w:hideMark/>
          </w:tcPr>
          <w:p w14:paraId="4E3E047F" w14:textId="77777777" w:rsidR="00F61793" w:rsidRPr="00D65A93" w:rsidRDefault="00F61793" w:rsidP="00191866">
            <w:pPr>
              <w:tabs>
                <w:tab w:val="clear" w:pos="426"/>
              </w:tabs>
              <w:spacing w:before="0" w:after="0" w:line="240" w:lineRule="auto"/>
              <w:ind w:left="0" w:right="0"/>
              <w:rPr>
                <w:rFonts w:cs="Arial"/>
                <w:b/>
                <w:bCs/>
                <w:color w:val="1C3158"/>
                <w:sz w:val="18"/>
                <w:lang w:eastAsia="ja-JP"/>
              </w:rPr>
            </w:pPr>
            <w:r w:rsidRPr="00D65A93">
              <w:rPr>
                <w:rFonts w:cs="Arial"/>
                <w:b/>
                <w:bCs/>
                <w:color w:val="1C3158"/>
                <w:sz w:val="18"/>
                <w:lang w:eastAsia="ja-JP"/>
              </w:rPr>
              <w:t>PGSI Category</w:t>
            </w:r>
          </w:p>
        </w:tc>
        <w:tc>
          <w:tcPr>
            <w:tcW w:w="1317" w:type="dxa"/>
            <w:tcBorders>
              <w:top w:val="single" w:sz="12" w:space="0" w:color="FF9E3C"/>
              <w:left w:val="nil"/>
              <w:bottom w:val="single" w:sz="12" w:space="0" w:color="FF9E3C"/>
              <w:right w:val="single" w:sz="12" w:space="0" w:color="FF9E3C"/>
            </w:tcBorders>
            <w:shd w:val="clear" w:color="000000" w:fill="FFBC64"/>
            <w:noWrap/>
            <w:vAlign w:val="center"/>
            <w:hideMark/>
          </w:tcPr>
          <w:p w14:paraId="3C3F5AD9" w14:textId="77777777" w:rsidR="00F61793" w:rsidRPr="00D65A93" w:rsidRDefault="00F61793" w:rsidP="00191866">
            <w:pPr>
              <w:tabs>
                <w:tab w:val="clear" w:pos="426"/>
              </w:tabs>
              <w:spacing w:before="0" w:after="0" w:line="240" w:lineRule="auto"/>
              <w:ind w:left="0" w:right="0"/>
              <w:jc w:val="center"/>
              <w:rPr>
                <w:rFonts w:cs="Arial"/>
                <w:b/>
                <w:bCs/>
                <w:color w:val="1C3158"/>
                <w:sz w:val="18"/>
                <w:lang w:eastAsia="ja-JP"/>
              </w:rPr>
            </w:pPr>
            <w:r w:rsidRPr="00D65A93">
              <w:rPr>
                <w:rFonts w:cs="Arial"/>
                <w:b/>
                <w:bCs/>
                <w:color w:val="1C3158"/>
                <w:sz w:val="18"/>
                <w:lang w:eastAsia="ja-JP"/>
              </w:rPr>
              <w:t>Harm</w:t>
            </w:r>
          </w:p>
        </w:tc>
        <w:tc>
          <w:tcPr>
            <w:tcW w:w="1275" w:type="dxa"/>
            <w:tcBorders>
              <w:top w:val="single" w:sz="12" w:space="0" w:color="FF9E3C"/>
              <w:left w:val="nil"/>
              <w:bottom w:val="single" w:sz="12" w:space="0" w:color="FF9E3C"/>
              <w:right w:val="single" w:sz="12" w:space="0" w:color="FF9E3C"/>
            </w:tcBorders>
            <w:shd w:val="clear" w:color="000000" w:fill="FFBC64"/>
            <w:noWrap/>
            <w:vAlign w:val="center"/>
            <w:hideMark/>
          </w:tcPr>
          <w:p w14:paraId="658D0116" w14:textId="77777777" w:rsidR="00F61793" w:rsidRPr="00D65A93" w:rsidRDefault="00F61793" w:rsidP="00191866">
            <w:pPr>
              <w:tabs>
                <w:tab w:val="clear" w:pos="426"/>
              </w:tabs>
              <w:spacing w:before="0" w:after="0" w:line="240" w:lineRule="auto"/>
              <w:ind w:left="0" w:right="0"/>
              <w:jc w:val="center"/>
              <w:rPr>
                <w:rFonts w:cs="Arial"/>
                <w:b/>
                <w:bCs/>
                <w:color w:val="1C3158"/>
                <w:sz w:val="18"/>
                <w:lang w:eastAsia="ja-JP"/>
              </w:rPr>
            </w:pPr>
            <w:r w:rsidRPr="00D65A93">
              <w:rPr>
                <w:rFonts w:cs="Arial"/>
                <w:b/>
                <w:bCs/>
                <w:color w:val="1C3158"/>
                <w:sz w:val="18"/>
                <w:lang w:eastAsia="ja-JP"/>
              </w:rPr>
              <w:t>Lower CI</w:t>
            </w:r>
          </w:p>
        </w:tc>
        <w:tc>
          <w:tcPr>
            <w:tcW w:w="1276" w:type="dxa"/>
            <w:tcBorders>
              <w:top w:val="single" w:sz="12" w:space="0" w:color="FF9E3C"/>
              <w:left w:val="nil"/>
              <w:bottom w:val="single" w:sz="12" w:space="0" w:color="FF9E3C"/>
              <w:right w:val="single" w:sz="12" w:space="0" w:color="FF9E3C"/>
            </w:tcBorders>
            <w:shd w:val="clear" w:color="000000" w:fill="FFBC64"/>
            <w:noWrap/>
            <w:vAlign w:val="center"/>
            <w:hideMark/>
          </w:tcPr>
          <w:p w14:paraId="6D6F830E" w14:textId="77777777" w:rsidR="00F61793" w:rsidRPr="00D65A93" w:rsidRDefault="00F61793" w:rsidP="00191866">
            <w:pPr>
              <w:tabs>
                <w:tab w:val="clear" w:pos="426"/>
              </w:tabs>
              <w:spacing w:before="0" w:after="0" w:line="240" w:lineRule="auto"/>
              <w:ind w:left="0" w:right="0"/>
              <w:jc w:val="center"/>
              <w:rPr>
                <w:rFonts w:cs="Arial"/>
                <w:b/>
                <w:bCs/>
                <w:color w:val="1C3158"/>
                <w:sz w:val="18"/>
                <w:lang w:eastAsia="ja-JP"/>
              </w:rPr>
            </w:pPr>
            <w:r w:rsidRPr="00D65A93">
              <w:rPr>
                <w:rFonts w:cs="Arial"/>
                <w:b/>
                <w:bCs/>
                <w:color w:val="1C3158"/>
                <w:sz w:val="18"/>
                <w:lang w:eastAsia="ja-JP"/>
              </w:rPr>
              <w:t>Upper CI</w:t>
            </w:r>
          </w:p>
        </w:tc>
      </w:tr>
      <w:tr w:rsidR="00F61793" w:rsidRPr="00D65A93" w14:paraId="5CD15798"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26B7C4DC"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1</w:t>
            </w:r>
          </w:p>
        </w:tc>
        <w:tc>
          <w:tcPr>
            <w:tcW w:w="1660" w:type="dxa"/>
            <w:vMerge w:val="restart"/>
            <w:tcBorders>
              <w:top w:val="nil"/>
              <w:left w:val="single" w:sz="12" w:space="0" w:color="FF9E3C"/>
              <w:bottom w:val="single" w:sz="12" w:space="0" w:color="FF9E3C"/>
              <w:right w:val="single" w:sz="12" w:space="0" w:color="FF9E3C"/>
            </w:tcBorders>
            <w:shd w:val="clear" w:color="auto" w:fill="auto"/>
            <w:hideMark/>
          </w:tcPr>
          <w:p w14:paraId="7308023D" w14:textId="7A0EC7FD"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Low</w:t>
            </w:r>
            <w:r w:rsidR="00D740A9">
              <w:rPr>
                <w:rFonts w:cs="Arial"/>
                <w:color w:val="1C3158"/>
                <w:sz w:val="18"/>
                <w:lang w:eastAsia="ja-JP"/>
              </w:rPr>
              <w:t>-</w:t>
            </w:r>
            <w:r w:rsidRPr="00D65A93">
              <w:rPr>
                <w:rFonts w:cs="Arial"/>
                <w:color w:val="1C3158"/>
                <w:sz w:val="18"/>
                <w:lang w:eastAsia="ja-JP"/>
              </w:rPr>
              <w:t>Risk</w:t>
            </w:r>
          </w:p>
        </w:tc>
        <w:tc>
          <w:tcPr>
            <w:tcW w:w="1317" w:type="dxa"/>
            <w:tcBorders>
              <w:top w:val="nil"/>
              <w:left w:val="nil"/>
              <w:bottom w:val="single" w:sz="12" w:space="0" w:color="FF9E3C"/>
              <w:right w:val="single" w:sz="12" w:space="0" w:color="FF9E3C"/>
            </w:tcBorders>
            <w:shd w:val="clear" w:color="auto" w:fill="auto"/>
            <w:vAlign w:val="center"/>
            <w:hideMark/>
          </w:tcPr>
          <w:p w14:paraId="154AC198"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0.14</w:t>
            </w:r>
          </w:p>
        </w:tc>
        <w:tc>
          <w:tcPr>
            <w:tcW w:w="1275" w:type="dxa"/>
            <w:tcBorders>
              <w:top w:val="nil"/>
              <w:left w:val="nil"/>
              <w:bottom w:val="single" w:sz="12" w:space="0" w:color="FF9E3C"/>
              <w:right w:val="single" w:sz="12" w:space="0" w:color="FF9E3C"/>
            </w:tcBorders>
            <w:shd w:val="clear" w:color="auto" w:fill="auto"/>
            <w:vAlign w:val="center"/>
            <w:hideMark/>
          </w:tcPr>
          <w:p w14:paraId="6FF19931"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0.12</w:t>
            </w:r>
          </w:p>
        </w:tc>
        <w:tc>
          <w:tcPr>
            <w:tcW w:w="1276" w:type="dxa"/>
            <w:tcBorders>
              <w:top w:val="nil"/>
              <w:left w:val="nil"/>
              <w:bottom w:val="single" w:sz="12" w:space="0" w:color="FF9E3C"/>
              <w:right w:val="single" w:sz="12" w:space="0" w:color="FF9E3C"/>
            </w:tcBorders>
            <w:shd w:val="clear" w:color="auto" w:fill="auto"/>
            <w:vAlign w:val="center"/>
            <w:hideMark/>
          </w:tcPr>
          <w:p w14:paraId="228ED6C0"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0.16</w:t>
            </w:r>
          </w:p>
        </w:tc>
      </w:tr>
      <w:tr w:rsidR="00F61793" w:rsidRPr="00D65A93" w14:paraId="5546CFA2"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661A45DF"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2</w:t>
            </w:r>
          </w:p>
        </w:tc>
        <w:tc>
          <w:tcPr>
            <w:tcW w:w="1660" w:type="dxa"/>
            <w:vMerge/>
            <w:tcBorders>
              <w:top w:val="nil"/>
              <w:left w:val="single" w:sz="12" w:space="0" w:color="FF9E3C"/>
              <w:bottom w:val="single" w:sz="12" w:space="0" w:color="FF9E3C"/>
              <w:right w:val="single" w:sz="12" w:space="0" w:color="FF9E3C"/>
            </w:tcBorders>
            <w:vAlign w:val="center"/>
            <w:hideMark/>
          </w:tcPr>
          <w:p w14:paraId="18F76C2F"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66FDF753"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0.30</w:t>
            </w:r>
          </w:p>
        </w:tc>
        <w:tc>
          <w:tcPr>
            <w:tcW w:w="1275" w:type="dxa"/>
            <w:tcBorders>
              <w:top w:val="nil"/>
              <w:left w:val="nil"/>
              <w:bottom w:val="single" w:sz="12" w:space="0" w:color="FF9E3C"/>
              <w:right w:val="single" w:sz="12" w:space="0" w:color="FF9E3C"/>
            </w:tcBorders>
            <w:shd w:val="clear" w:color="auto" w:fill="auto"/>
            <w:vAlign w:val="center"/>
            <w:hideMark/>
          </w:tcPr>
          <w:p w14:paraId="38062A75"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0.25</w:t>
            </w:r>
          </w:p>
        </w:tc>
        <w:tc>
          <w:tcPr>
            <w:tcW w:w="1276" w:type="dxa"/>
            <w:tcBorders>
              <w:top w:val="nil"/>
              <w:left w:val="nil"/>
              <w:bottom w:val="single" w:sz="12" w:space="0" w:color="FF9E3C"/>
              <w:right w:val="single" w:sz="12" w:space="0" w:color="FF9E3C"/>
            </w:tcBorders>
            <w:shd w:val="clear" w:color="auto" w:fill="auto"/>
            <w:vAlign w:val="center"/>
            <w:hideMark/>
          </w:tcPr>
          <w:p w14:paraId="5F979548"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0.35</w:t>
            </w:r>
          </w:p>
        </w:tc>
      </w:tr>
      <w:tr w:rsidR="00F61793" w:rsidRPr="00D65A93" w14:paraId="51CBEB07"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189869F2"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3</w:t>
            </w:r>
          </w:p>
        </w:tc>
        <w:tc>
          <w:tcPr>
            <w:tcW w:w="1660" w:type="dxa"/>
            <w:vMerge w:val="restart"/>
            <w:tcBorders>
              <w:top w:val="nil"/>
              <w:left w:val="single" w:sz="12" w:space="0" w:color="FF9E3C"/>
              <w:bottom w:val="single" w:sz="12" w:space="0" w:color="FF9E3C"/>
              <w:right w:val="single" w:sz="12" w:space="0" w:color="FF9E3C"/>
            </w:tcBorders>
            <w:shd w:val="clear" w:color="auto" w:fill="auto"/>
            <w:hideMark/>
          </w:tcPr>
          <w:p w14:paraId="2A253891" w14:textId="241B3231"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Moderate</w:t>
            </w:r>
            <w:r w:rsidR="00D740A9">
              <w:rPr>
                <w:rFonts w:cs="Arial"/>
                <w:color w:val="1C3158"/>
                <w:sz w:val="18"/>
                <w:lang w:eastAsia="ja-JP"/>
              </w:rPr>
              <w:t>-</w:t>
            </w:r>
            <w:r w:rsidRPr="00D65A93">
              <w:rPr>
                <w:rFonts w:cs="Arial"/>
                <w:color w:val="1C3158"/>
                <w:sz w:val="18"/>
                <w:lang w:eastAsia="ja-JP"/>
              </w:rPr>
              <w:t>Risk</w:t>
            </w:r>
          </w:p>
        </w:tc>
        <w:tc>
          <w:tcPr>
            <w:tcW w:w="1317" w:type="dxa"/>
            <w:tcBorders>
              <w:top w:val="nil"/>
              <w:left w:val="nil"/>
              <w:bottom w:val="single" w:sz="12" w:space="0" w:color="FF9E3C"/>
              <w:right w:val="single" w:sz="12" w:space="0" w:color="FF9E3C"/>
            </w:tcBorders>
            <w:shd w:val="clear" w:color="auto" w:fill="auto"/>
            <w:vAlign w:val="center"/>
            <w:hideMark/>
          </w:tcPr>
          <w:p w14:paraId="70F7C95F"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0.30</w:t>
            </w:r>
          </w:p>
        </w:tc>
        <w:tc>
          <w:tcPr>
            <w:tcW w:w="1275" w:type="dxa"/>
            <w:tcBorders>
              <w:top w:val="nil"/>
              <w:left w:val="nil"/>
              <w:bottom w:val="single" w:sz="12" w:space="0" w:color="FF9E3C"/>
              <w:right w:val="single" w:sz="12" w:space="0" w:color="FF9E3C"/>
            </w:tcBorders>
            <w:shd w:val="clear" w:color="auto" w:fill="auto"/>
            <w:vAlign w:val="center"/>
            <w:hideMark/>
          </w:tcPr>
          <w:p w14:paraId="6CF53247"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0.25</w:t>
            </w:r>
          </w:p>
        </w:tc>
        <w:tc>
          <w:tcPr>
            <w:tcW w:w="1276" w:type="dxa"/>
            <w:tcBorders>
              <w:top w:val="nil"/>
              <w:left w:val="nil"/>
              <w:bottom w:val="single" w:sz="12" w:space="0" w:color="FF9E3C"/>
              <w:right w:val="single" w:sz="12" w:space="0" w:color="FF9E3C"/>
            </w:tcBorders>
            <w:shd w:val="clear" w:color="auto" w:fill="auto"/>
            <w:vAlign w:val="center"/>
            <w:hideMark/>
          </w:tcPr>
          <w:p w14:paraId="1596B5DF"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0.35</w:t>
            </w:r>
          </w:p>
        </w:tc>
      </w:tr>
      <w:tr w:rsidR="00F61793" w:rsidRPr="00D65A93" w14:paraId="10BE033E"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17043C2B"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4</w:t>
            </w:r>
          </w:p>
        </w:tc>
        <w:tc>
          <w:tcPr>
            <w:tcW w:w="1660" w:type="dxa"/>
            <w:vMerge/>
            <w:tcBorders>
              <w:top w:val="nil"/>
              <w:left w:val="single" w:sz="12" w:space="0" w:color="FF9E3C"/>
              <w:bottom w:val="single" w:sz="12" w:space="0" w:color="FF9E3C"/>
              <w:right w:val="single" w:sz="12" w:space="0" w:color="FF9E3C"/>
            </w:tcBorders>
            <w:vAlign w:val="center"/>
            <w:hideMark/>
          </w:tcPr>
          <w:p w14:paraId="1885022F"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41B18045"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0.35</w:t>
            </w:r>
          </w:p>
        </w:tc>
        <w:tc>
          <w:tcPr>
            <w:tcW w:w="1275" w:type="dxa"/>
            <w:tcBorders>
              <w:top w:val="nil"/>
              <w:left w:val="nil"/>
              <w:bottom w:val="single" w:sz="12" w:space="0" w:color="FF9E3C"/>
              <w:right w:val="single" w:sz="12" w:space="0" w:color="FF9E3C"/>
            </w:tcBorders>
            <w:shd w:val="clear" w:color="auto" w:fill="auto"/>
            <w:vAlign w:val="center"/>
            <w:hideMark/>
          </w:tcPr>
          <w:p w14:paraId="51929D93"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0.30</w:t>
            </w:r>
          </w:p>
        </w:tc>
        <w:tc>
          <w:tcPr>
            <w:tcW w:w="1276" w:type="dxa"/>
            <w:tcBorders>
              <w:top w:val="nil"/>
              <w:left w:val="nil"/>
              <w:bottom w:val="single" w:sz="12" w:space="0" w:color="FF9E3C"/>
              <w:right w:val="single" w:sz="12" w:space="0" w:color="FF9E3C"/>
            </w:tcBorders>
            <w:shd w:val="clear" w:color="auto" w:fill="auto"/>
            <w:vAlign w:val="center"/>
            <w:hideMark/>
          </w:tcPr>
          <w:p w14:paraId="00B3E753"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0.40</w:t>
            </w:r>
          </w:p>
        </w:tc>
      </w:tr>
      <w:tr w:rsidR="00F61793" w:rsidRPr="00D65A93" w14:paraId="46AF79BC"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648F1BD1"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5</w:t>
            </w:r>
          </w:p>
        </w:tc>
        <w:tc>
          <w:tcPr>
            <w:tcW w:w="1660" w:type="dxa"/>
            <w:vMerge/>
            <w:tcBorders>
              <w:top w:val="nil"/>
              <w:left w:val="single" w:sz="12" w:space="0" w:color="FF9E3C"/>
              <w:bottom w:val="single" w:sz="12" w:space="0" w:color="FF9E3C"/>
              <w:right w:val="single" w:sz="12" w:space="0" w:color="FF9E3C"/>
            </w:tcBorders>
            <w:vAlign w:val="center"/>
            <w:hideMark/>
          </w:tcPr>
          <w:p w14:paraId="612B1267"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4C6DEA1C"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0.35</w:t>
            </w:r>
          </w:p>
        </w:tc>
        <w:tc>
          <w:tcPr>
            <w:tcW w:w="1275" w:type="dxa"/>
            <w:tcBorders>
              <w:top w:val="nil"/>
              <w:left w:val="nil"/>
              <w:bottom w:val="single" w:sz="12" w:space="0" w:color="FF9E3C"/>
              <w:right w:val="single" w:sz="12" w:space="0" w:color="FF9E3C"/>
            </w:tcBorders>
            <w:shd w:val="clear" w:color="auto" w:fill="auto"/>
            <w:vAlign w:val="center"/>
            <w:hideMark/>
          </w:tcPr>
          <w:p w14:paraId="2FBB1535"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0.31</w:t>
            </w:r>
          </w:p>
        </w:tc>
        <w:tc>
          <w:tcPr>
            <w:tcW w:w="1276" w:type="dxa"/>
            <w:tcBorders>
              <w:top w:val="nil"/>
              <w:left w:val="nil"/>
              <w:bottom w:val="single" w:sz="12" w:space="0" w:color="FF9E3C"/>
              <w:right w:val="single" w:sz="12" w:space="0" w:color="FF9E3C"/>
            </w:tcBorders>
            <w:shd w:val="clear" w:color="auto" w:fill="auto"/>
            <w:vAlign w:val="center"/>
            <w:hideMark/>
          </w:tcPr>
          <w:p w14:paraId="37294E59"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0.40</w:t>
            </w:r>
          </w:p>
        </w:tc>
      </w:tr>
      <w:tr w:rsidR="00F61793" w:rsidRPr="00D65A93" w14:paraId="256248E8"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54DDED20"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6</w:t>
            </w:r>
          </w:p>
        </w:tc>
        <w:tc>
          <w:tcPr>
            <w:tcW w:w="1660" w:type="dxa"/>
            <w:vMerge/>
            <w:tcBorders>
              <w:top w:val="nil"/>
              <w:left w:val="single" w:sz="12" w:space="0" w:color="FF9E3C"/>
              <w:bottom w:val="single" w:sz="12" w:space="0" w:color="FF9E3C"/>
              <w:right w:val="single" w:sz="12" w:space="0" w:color="FF9E3C"/>
            </w:tcBorders>
            <w:vAlign w:val="center"/>
            <w:hideMark/>
          </w:tcPr>
          <w:p w14:paraId="60DEB792"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5B3538CD"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0.35</w:t>
            </w:r>
          </w:p>
        </w:tc>
        <w:tc>
          <w:tcPr>
            <w:tcW w:w="1275" w:type="dxa"/>
            <w:tcBorders>
              <w:top w:val="nil"/>
              <w:left w:val="nil"/>
              <w:bottom w:val="single" w:sz="12" w:space="0" w:color="FF9E3C"/>
              <w:right w:val="single" w:sz="12" w:space="0" w:color="FF9E3C"/>
            </w:tcBorders>
            <w:shd w:val="clear" w:color="auto" w:fill="auto"/>
            <w:vAlign w:val="center"/>
            <w:hideMark/>
          </w:tcPr>
          <w:p w14:paraId="23D0E55E"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0.31</w:t>
            </w:r>
          </w:p>
        </w:tc>
        <w:tc>
          <w:tcPr>
            <w:tcW w:w="1276" w:type="dxa"/>
            <w:tcBorders>
              <w:top w:val="nil"/>
              <w:left w:val="nil"/>
              <w:bottom w:val="single" w:sz="12" w:space="0" w:color="FF9E3C"/>
              <w:right w:val="single" w:sz="12" w:space="0" w:color="FF9E3C"/>
            </w:tcBorders>
            <w:shd w:val="clear" w:color="auto" w:fill="auto"/>
            <w:vAlign w:val="center"/>
            <w:hideMark/>
          </w:tcPr>
          <w:p w14:paraId="1FFC1946"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0.41</w:t>
            </w:r>
          </w:p>
        </w:tc>
      </w:tr>
      <w:tr w:rsidR="00F61793" w:rsidRPr="00D65A93" w14:paraId="17FE6215"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4693A1C8"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7</w:t>
            </w:r>
          </w:p>
        </w:tc>
        <w:tc>
          <w:tcPr>
            <w:tcW w:w="1660" w:type="dxa"/>
            <w:vMerge/>
            <w:tcBorders>
              <w:top w:val="nil"/>
              <w:left w:val="single" w:sz="12" w:space="0" w:color="FF9E3C"/>
              <w:bottom w:val="single" w:sz="12" w:space="0" w:color="FF9E3C"/>
              <w:right w:val="single" w:sz="12" w:space="0" w:color="FF9E3C"/>
            </w:tcBorders>
            <w:vAlign w:val="center"/>
            <w:hideMark/>
          </w:tcPr>
          <w:p w14:paraId="28B243A9"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59DA613E"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0.48</w:t>
            </w:r>
          </w:p>
        </w:tc>
        <w:tc>
          <w:tcPr>
            <w:tcW w:w="1275" w:type="dxa"/>
            <w:tcBorders>
              <w:top w:val="nil"/>
              <w:left w:val="nil"/>
              <w:bottom w:val="single" w:sz="12" w:space="0" w:color="FF9E3C"/>
              <w:right w:val="single" w:sz="12" w:space="0" w:color="FF9E3C"/>
            </w:tcBorders>
            <w:shd w:val="clear" w:color="auto" w:fill="auto"/>
            <w:vAlign w:val="center"/>
            <w:hideMark/>
          </w:tcPr>
          <w:p w14:paraId="29D15FDE"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0.41</w:t>
            </w:r>
          </w:p>
        </w:tc>
        <w:tc>
          <w:tcPr>
            <w:tcW w:w="1276" w:type="dxa"/>
            <w:tcBorders>
              <w:top w:val="nil"/>
              <w:left w:val="nil"/>
              <w:bottom w:val="single" w:sz="12" w:space="0" w:color="FF9E3C"/>
              <w:right w:val="single" w:sz="12" w:space="0" w:color="FF9E3C"/>
            </w:tcBorders>
            <w:shd w:val="clear" w:color="auto" w:fill="auto"/>
            <w:vAlign w:val="center"/>
            <w:hideMark/>
          </w:tcPr>
          <w:p w14:paraId="6057810B"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0.54</w:t>
            </w:r>
          </w:p>
        </w:tc>
      </w:tr>
      <w:tr w:rsidR="00F61793" w:rsidRPr="00D65A93" w14:paraId="19F563E7"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1505865D"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8</w:t>
            </w:r>
          </w:p>
        </w:tc>
        <w:tc>
          <w:tcPr>
            <w:tcW w:w="1660" w:type="dxa"/>
            <w:vMerge w:val="restart"/>
            <w:tcBorders>
              <w:top w:val="nil"/>
              <w:left w:val="single" w:sz="12" w:space="0" w:color="FF9E3C"/>
              <w:bottom w:val="single" w:sz="12" w:space="0" w:color="FF9E3C"/>
              <w:right w:val="single" w:sz="12" w:space="0" w:color="FF9E3C"/>
            </w:tcBorders>
            <w:shd w:val="clear" w:color="auto" w:fill="auto"/>
            <w:hideMark/>
          </w:tcPr>
          <w:p w14:paraId="1000633F"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Problem Gambler</w:t>
            </w:r>
          </w:p>
        </w:tc>
        <w:tc>
          <w:tcPr>
            <w:tcW w:w="1317" w:type="dxa"/>
            <w:tcBorders>
              <w:top w:val="nil"/>
              <w:left w:val="nil"/>
              <w:bottom w:val="single" w:sz="12" w:space="0" w:color="FF9E3C"/>
              <w:right w:val="single" w:sz="12" w:space="0" w:color="FF9E3C"/>
            </w:tcBorders>
            <w:shd w:val="clear" w:color="auto" w:fill="auto"/>
            <w:vAlign w:val="center"/>
            <w:hideMark/>
          </w:tcPr>
          <w:p w14:paraId="79EC29F8"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0.53</w:t>
            </w:r>
          </w:p>
        </w:tc>
        <w:tc>
          <w:tcPr>
            <w:tcW w:w="1275" w:type="dxa"/>
            <w:tcBorders>
              <w:top w:val="nil"/>
              <w:left w:val="nil"/>
              <w:bottom w:val="single" w:sz="12" w:space="0" w:color="FF9E3C"/>
              <w:right w:val="single" w:sz="12" w:space="0" w:color="FF9E3C"/>
            </w:tcBorders>
            <w:shd w:val="clear" w:color="auto" w:fill="auto"/>
            <w:vAlign w:val="center"/>
            <w:hideMark/>
          </w:tcPr>
          <w:p w14:paraId="7413173C"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0.47</w:t>
            </w:r>
          </w:p>
        </w:tc>
        <w:tc>
          <w:tcPr>
            <w:tcW w:w="1276" w:type="dxa"/>
            <w:tcBorders>
              <w:top w:val="nil"/>
              <w:left w:val="nil"/>
              <w:bottom w:val="single" w:sz="12" w:space="0" w:color="FF9E3C"/>
              <w:right w:val="single" w:sz="12" w:space="0" w:color="FF9E3C"/>
            </w:tcBorders>
            <w:shd w:val="clear" w:color="auto" w:fill="auto"/>
            <w:vAlign w:val="center"/>
            <w:hideMark/>
          </w:tcPr>
          <w:p w14:paraId="1B6F5AA6"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0.57</w:t>
            </w:r>
          </w:p>
        </w:tc>
      </w:tr>
      <w:tr w:rsidR="00F61793" w:rsidRPr="00D65A93" w14:paraId="5689D0F6"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76066756"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9</w:t>
            </w:r>
          </w:p>
        </w:tc>
        <w:tc>
          <w:tcPr>
            <w:tcW w:w="1660" w:type="dxa"/>
            <w:vMerge/>
            <w:tcBorders>
              <w:top w:val="nil"/>
              <w:left w:val="single" w:sz="12" w:space="0" w:color="FF9E3C"/>
              <w:bottom w:val="single" w:sz="12" w:space="0" w:color="FF9E3C"/>
              <w:right w:val="single" w:sz="12" w:space="0" w:color="FF9E3C"/>
            </w:tcBorders>
            <w:vAlign w:val="center"/>
            <w:hideMark/>
          </w:tcPr>
          <w:p w14:paraId="6EB746F3"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0829CA19"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0.53</w:t>
            </w:r>
          </w:p>
        </w:tc>
        <w:tc>
          <w:tcPr>
            <w:tcW w:w="1275" w:type="dxa"/>
            <w:tcBorders>
              <w:top w:val="nil"/>
              <w:left w:val="nil"/>
              <w:bottom w:val="single" w:sz="12" w:space="0" w:color="FF9E3C"/>
              <w:right w:val="single" w:sz="12" w:space="0" w:color="FF9E3C"/>
            </w:tcBorders>
            <w:shd w:val="clear" w:color="auto" w:fill="auto"/>
            <w:vAlign w:val="center"/>
            <w:hideMark/>
          </w:tcPr>
          <w:p w14:paraId="463AD143"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0.48</w:t>
            </w:r>
          </w:p>
        </w:tc>
        <w:tc>
          <w:tcPr>
            <w:tcW w:w="1276" w:type="dxa"/>
            <w:tcBorders>
              <w:top w:val="nil"/>
              <w:left w:val="nil"/>
              <w:bottom w:val="single" w:sz="12" w:space="0" w:color="FF9E3C"/>
              <w:right w:val="single" w:sz="12" w:space="0" w:color="FF9E3C"/>
            </w:tcBorders>
            <w:shd w:val="clear" w:color="auto" w:fill="auto"/>
            <w:vAlign w:val="center"/>
            <w:hideMark/>
          </w:tcPr>
          <w:p w14:paraId="597AC94F"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0.57</w:t>
            </w:r>
          </w:p>
        </w:tc>
      </w:tr>
      <w:tr w:rsidR="00F61793" w:rsidRPr="00D65A93" w14:paraId="77F4E621"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0022517A"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10</w:t>
            </w:r>
          </w:p>
        </w:tc>
        <w:tc>
          <w:tcPr>
            <w:tcW w:w="1660" w:type="dxa"/>
            <w:vMerge/>
            <w:tcBorders>
              <w:top w:val="nil"/>
              <w:left w:val="single" w:sz="12" w:space="0" w:color="FF9E3C"/>
              <w:bottom w:val="single" w:sz="12" w:space="0" w:color="FF9E3C"/>
              <w:right w:val="single" w:sz="12" w:space="0" w:color="FF9E3C"/>
            </w:tcBorders>
            <w:vAlign w:val="center"/>
            <w:hideMark/>
          </w:tcPr>
          <w:p w14:paraId="3F9C5C35"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6C8A4182"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0.53</w:t>
            </w:r>
          </w:p>
        </w:tc>
        <w:tc>
          <w:tcPr>
            <w:tcW w:w="1275" w:type="dxa"/>
            <w:tcBorders>
              <w:top w:val="nil"/>
              <w:left w:val="nil"/>
              <w:bottom w:val="single" w:sz="12" w:space="0" w:color="FF9E3C"/>
              <w:right w:val="single" w:sz="12" w:space="0" w:color="FF9E3C"/>
            </w:tcBorders>
            <w:shd w:val="clear" w:color="auto" w:fill="auto"/>
            <w:vAlign w:val="center"/>
            <w:hideMark/>
          </w:tcPr>
          <w:p w14:paraId="0F0001CE"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0.48</w:t>
            </w:r>
          </w:p>
        </w:tc>
        <w:tc>
          <w:tcPr>
            <w:tcW w:w="1276" w:type="dxa"/>
            <w:tcBorders>
              <w:top w:val="nil"/>
              <w:left w:val="nil"/>
              <w:bottom w:val="single" w:sz="12" w:space="0" w:color="FF9E3C"/>
              <w:right w:val="single" w:sz="12" w:space="0" w:color="FF9E3C"/>
            </w:tcBorders>
            <w:shd w:val="clear" w:color="auto" w:fill="auto"/>
            <w:vAlign w:val="center"/>
            <w:hideMark/>
          </w:tcPr>
          <w:p w14:paraId="0E51ECC4"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0.57</w:t>
            </w:r>
          </w:p>
        </w:tc>
      </w:tr>
      <w:tr w:rsidR="00F61793" w:rsidRPr="00D65A93" w14:paraId="56113ED2"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092D7268"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11</w:t>
            </w:r>
          </w:p>
        </w:tc>
        <w:tc>
          <w:tcPr>
            <w:tcW w:w="1660" w:type="dxa"/>
            <w:vMerge/>
            <w:tcBorders>
              <w:top w:val="nil"/>
              <w:left w:val="single" w:sz="12" w:space="0" w:color="FF9E3C"/>
              <w:bottom w:val="single" w:sz="12" w:space="0" w:color="FF9E3C"/>
              <w:right w:val="single" w:sz="12" w:space="0" w:color="FF9E3C"/>
            </w:tcBorders>
            <w:vAlign w:val="center"/>
            <w:hideMark/>
          </w:tcPr>
          <w:p w14:paraId="2F8AC158"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79282455"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0.53</w:t>
            </w:r>
          </w:p>
        </w:tc>
        <w:tc>
          <w:tcPr>
            <w:tcW w:w="1275" w:type="dxa"/>
            <w:tcBorders>
              <w:top w:val="nil"/>
              <w:left w:val="nil"/>
              <w:bottom w:val="single" w:sz="12" w:space="0" w:color="FF9E3C"/>
              <w:right w:val="single" w:sz="12" w:space="0" w:color="FF9E3C"/>
            </w:tcBorders>
            <w:shd w:val="clear" w:color="auto" w:fill="auto"/>
            <w:vAlign w:val="center"/>
            <w:hideMark/>
          </w:tcPr>
          <w:p w14:paraId="1406C924"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0.48</w:t>
            </w:r>
          </w:p>
        </w:tc>
        <w:tc>
          <w:tcPr>
            <w:tcW w:w="1276" w:type="dxa"/>
            <w:tcBorders>
              <w:top w:val="nil"/>
              <w:left w:val="nil"/>
              <w:bottom w:val="single" w:sz="12" w:space="0" w:color="FF9E3C"/>
              <w:right w:val="single" w:sz="12" w:space="0" w:color="FF9E3C"/>
            </w:tcBorders>
            <w:shd w:val="clear" w:color="auto" w:fill="auto"/>
            <w:vAlign w:val="center"/>
            <w:hideMark/>
          </w:tcPr>
          <w:p w14:paraId="635F3215"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0.57</w:t>
            </w:r>
          </w:p>
        </w:tc>
      </w:tr>
      <w:tr w:rsidR="00F61793" w:rsidRPr="00D65A93" w14:paraId="3D3C2164"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6EA3ED68"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12</w:t>
            </w:r>
          </w:p>
        </w:tc>
        <w:tc>
          <w:tcPr>
            <w:tcW w:w="1660" w:type="dxa"/>
            <w:vMerge/>
            <w:tcBorders>
              <w:top w:val="nil"/>
              <w:left w:val="single" w:sz="12" w:space="0" w:color="FF9E3C"/>
              <w:bottom w:val="single" w:sz="12" w:space="0" w:color="FF9E3C"/>
              <w:right w:val="single" w:sz="12" w:space="0" w:color="FF9E3C"/>
            </w:tcBorders>
            <w:vAlign w:val="center"/>
            <w:hideMark/>
          </w:tcPr>
          <w:p w14:paraId="21D796EF"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66C614E1"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0.54</w:t>
            </w:r>
          </w:p>
        </w:tc>
        <w:tc>
          <w:tcPr>
            <w:tcW w:w="1275" w:type="dxa"/>
            <w:tcBorders>
              <w:top w:val="nil"/>
              <w:left w:val="nil"/>
              <w:bottom w:val="single" w:sz="12" w:space="0" w:color="FF9E3C"/>
              <w:right w:val="single" w:sz="12" w:space="0" w:color="FF9E3C"/>
            </w:tcBorders>
            <w:shd w:val="clear" w:color="auto" w:fill="auto"/>
            <w:vAlign w:val="center"/>
            <w:hideMark/>
          </w:tcPr>
          <w:p w14:paraId="581BF592"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0.50</w:t>
            </w:r>
          </w:p>
        </w:tc>
        <w:tc>
          <w:tcPr>
            <w:tcW w:w="1276" w:type="dxa"/>
            <w:tcBorders>
              <w:top w:val="nil"/>
              <w:left w:val="nil"/>
              <w:bottom w:val="single" w:sz="12" w:space="0" w:color="FF9E3C"/>
              <w:right w:val="single" w:sz="12" w:space="0" w:color="FF9E3C"/>
            </w:tcBorders>
            <w:shd w:val="clear" w:color="auto" w:fill="auto"/>
            <w:vAlign w:val="center"/>
            <w:hideMark/>
          </w:tcPr>
          <w:p w14:paraId="43A8C937"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0.58</w:t>
            </w:r>
          </w:p>
        </w:tc>
      </w:tr>
      <w:tr w:rsidR="00F61793" w:rsidRPr="00D65A93" w14:paraId="2328422D"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46D9CE12"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13</w:t>
            </w:r>
          </w:p>
        </w:tc>
        <w:tc>
          <w:tcPr>
            <w:tcW w:w="1660" w:type="dxa"/>
            <w:vMerge/>
            <w:tcBorders>
              <w:top w:val="nil"/>
              <w:left w:val="single" w:sz="12" w:space="0" w:color="FF9E3C"/>
              <w:bottom w:val="single" w:sz="12" w:space="0" w:color="FF9E3C"/>
              <w:right w:val="single" w:sz="12" w:space="0" w:color="FF9E3C"/>
            </w:tcBorders>
            <w:vAlign w:val="center"/>
            <w:hideMark/>
          </w:tcPr>
          <w:p w14:paraId="2CC37317"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6122F812"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0.54</w:t>
            </w:r>
          </w:p>
        </w:tc>
        <w:tc>
          <w:tcPr>
            <w:tcW w:w="1275" w:type="dxa"/>
            <w:tcBorders>
              <w:top w:val="nil"/>
              <w:left w:val="nil"/>
              <w:bottom w:val="single" w:sz="12" w:space="0" w:color="FF9E3C"/>
              <w:right w:val="single" w:sz="12" w:space="0" w:color="FF9E3C"/>
            </w:tcBorders>
            <w:shd w:val="clear" w:color="auto" w:fill="auto"/>
            <w:vAlign w:val="center"/>
            <w:hideMark/>
          </w:tcPr>
          <w:p w14:paraId="1593A5A8"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0.50</w:t>
            </w:r>
          </w:p>
        </w:tc>
        <w:tc>
          <w:tcPr>
            <w:tcW w:w="1276" w:type="dxa"/>
            <w:tcBorders>
              <w:top w:val="nil"/>
              <w:left w:val="nil"/>
              <w:bottom w:val="single" w:sz="12" w:space="0" w:color="FF9E3C"/>
              <w:right w:val="single" w:sz="12" w:space="0" w:color="FF9E3C"/>
            </w:tcBorders>
            <w:shd w:val="clear" w:color="auto" w:fill="auto"/>
            <w:vAlign w:val="center"/>
            <w:hideMark/>
          </w:tcPr>
          <w:p w14:paraId="5C46CCB6"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0.58</w:t>
            </w:r>
          </w:p>
        </w:tc>
      </w:tr>
      <w:tr w:rsidR="00F61793" w:rsidRPr="00D65A93" w14:paraId="1580FFBC"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5A7F8CF1"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14</w:t>
            </w:r>
          </w:p>
        </w:tc>
        <w:tc>
          <w:tcPr>
            <w:tcW w:w="1660" w:type="dxa"/>
            <w:vMerge/>
            <w:tcBorders>
              <w:top w:val="nil"/>
              <w:left w:val="single" w:sz="12" w:space="0" w:color="FF9E3C"/>
              <w:bottom w:val="single" w:sz="12" w:space="0" w:color="FF9E3C"/>
              <w:right w:val="single" w:sz="12" w:space="0" w:color="FF9E3C"/>
            </w:tcBorders>
            <w:vAlign w:val="center"/>
            <w:hideMark/>
          </w:tcPr>
          <w:p w14:paraId="6A4ED629"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6D7AD036"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0.54</w:t>
            </w:r>
          </w:p>
        </w:tc>
        <w:tc>
          <w:tcPr>
            <w:tcW w:w="1275" w:type="dxa"/>
            <w:tcBorders>
              <w:top w:val="nil"/>
              <w:left w:val="nil"/>
              <w:bottom w:val="single" w:sz="12" w:space="0" w:color="FF9E3C"/>
              <w:right w:val="single" w:sz="12" w:space="0" w:color="FF9E3C"/>
            </w:tcBorders>
            <w:shd w:val="clear" w:color="auto" w:fill="auto"/>
            <w:vAlign w:val="center"/>
            <w:hideMark/>
          </w:tcPr>
          <w:p w14:paraId="1B92A859"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0.50</w:t>
            </w:r>
          </w:p>
        </w:tc>
        <w:tc>
          <w:tcPr>
            <w:tcW w:w="1276" w:type="dxa"/>
            <w:tcBorders>
              <w:top w:val="nil"/>
              <w:left w:val="nil"/>
              <w:bottom w:val="single" w:sz="12" w:space="0" w:color="FF9E3C"/>
              <w:right w:val="single" w:sz="12" w:space="0" w:color="FF9E3C"/>
            </w:tcBorders>
            <w:shd w:val="clear" w:color="auto" w:fill="auto"/>
            <w:vAlign w:val="center"/>
            <w:hideMark/>
          </w:tcPr>
          <w:p w14:paraId="64511434"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0.58</w:t>
            </w:r>
          </w:p>
        </w:tc>
      </w:tr>
      <w:tr w:rsidR="00F61793" w:rsidRPr="00D65A93" w14:paraId="77D1A2E4" w14:textId="77777777" w:rsidTr="00767EAD">
        <w:trPr>
          <w:trHeight w:val="330"/>
        </w:trPr>
        <w:tc>
          <w:tcPr>
            <w:tcW w:w="1276" w:type="dxa"/>
            <w:tcBorders>
              <w:top w:val="nil"/>
              <w:left w:val="single" w:sz="12" w:space="0" w:color="FF9E3C"/>
              <w:bottom w:val="single" w:sz="12" w:space="0" w:color="FF9E3C"/>
              <w:right w:val="single" w:sz="12" w:space="0" w:color="FF9E3C"/>
            </w:tcBorders>
            <w:shd w:val="clear" w:color="auto" w:fill="auto"/>
            <w:vAlign w:val="center"/>
            <w:hideMark/>
          </w:tcPr>
          <w:p w14:paraId="10DF97E8" w14:textId="77777777" w:rsidR="00F61793" w:rsidRPr="00D65A93" w:rsidRDefault="00F61793" w:rsidP="00191866">
            <w:pPr>
              <w:tabs>
                <w:tab w:val="clear" w:pos="426"/>
              </w:tabs>
              <w:spacing w:before="0" w:after="0" w:line="240" w:lineRule="auto"/>
              <w:ind w:left="0" w:right="0"/>
              <w:rPr>
                <w:rFonts w:cs="Arial"/>
                <w:color w:val="1C3158"/>
                <w:sz w:val="18"/>
                <w:lang w:eastAsia="ja-JP"/>
              </w:rPr>
            </w:pPr>
            <w:r w:rsidRPr="00D65A93">
              <w:rPr>
                <w:rFonts w:cs="Arial"/>
                <w:color w:val="1C3158"/>
                <w:sz w:val="18"/>
                <w:lang w:eastAsia="ja-JP"/>
              </w:rPr>
              <w:t>15+</w:t>
            </w:r>
          </w:p>
        </w:tc>
        <w:tc>
          <w:tcPr>
            <w:tcW w:w="1660" w:type="dxa"/>
            <w:vMerge/>
            <w:tcBorders>
              <w:top w:val="nil"/>
              <w:left w:val="single" w:sz="12" w:space="0" w:color="FF9E3C"/>
              <w:bottom w:val="single" w:sz="12" w:space="0" w:color="FF9E3C"/>
              <w:right w:val="single" w:sz="12" w:space="0" w:color="FF9E3C"/>
            </w:tcBorders>
            <w:vAlign w:val="center"/>
            <w:hideMark/>
          </w:tcPr>
          <w:p w14:paraId="6CD35321" w14:textId="77777777" w:rsidR="00F61793" w:rsidRPr="00D65A93" w:rsidRDefault="00F61793" w:rsidP="00191866">
            <w:pPr>
              <w:tabs>
                <w:tab w:val="clear" w:pos="426"/>
              </w:tabs>
              <w:spacing w:before="0" w:after="0" w:line="240" w:lineRule="auto"/>
              <w:ind w:left="0" w:right="0"/>
              <w:rPr>
                <w:rFonts w:cs="Arial"/>
                <w:color w:val="1C3158"/>
                <w:sz w:val="18"/>
                <w:lang w:eastAsia="ja-JP"/>
              </w:rPr>
            </w:pPr>
          </w:p>
        </w:tc>
        <w:tc>
          <w:tcPr>
            <w:tcW w:w="1317" w:type="dxa"/>
            <w:tcBorders>
              <w:top w:val="nil"/>
              <w:left w:val="nil"/>
              <w:bottom w:val="single" w:sz="12" w:space="0" w:color="FF9E3C"/>
              <w:right w:val="single" w:sz="12" w:space="0" w:color="FF9E3C"/>
            </w:tcBorders>
            <w:shd w:val="clear" w:color="auto" w:fill="auto"/>
            <w:vAlign w:val="center"/>
            <w:hideMark/>
          </w:tcPr>
          <w:p w14:paraId="02290D82"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0.57</w:t>
            </w:r>
          </w:p>
        </w:tc>
        <w:tc>
          <w:tcPr>
            <w:tcW w:w="1275" w:type="dxa"/>
            <w:tcBorders>
              <w:top w:val="nil"/>
              <w:left w:val="nil"/>
              <w:bottom w:val="single" w:sz="12" w:space="0" w:color="FF9E3C"/>
              <w:right w:val="single" w:sz="12" w:space="0" w:color="FF9E3C"/>
            </w:tcBorders>
            <w:shd w:val="clear" w:color="auto" w:fill="auto"/>
            <w:vAlign w:val="center"/>
            <w:hideMark/>
          </w:tcPr>
          <w:p w14:paraId="7BF7D2B8"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0.52</w:t>
            </w:r>
          </w:p>
        </w:tc>
        <w:tc>
          <w:tcPr>
            <w:tcW w:w="1276" w:type="dxa"/>
            <w:tcBorders>
              <w:top w:val="nil"/>
              <w:left w:val="nil"/>
              <w:bottom w:val="single" w:sz="12" w:space="0" w:color="FF9E3C"/>
              <w:right w:val="single" w:sz="12" w:space="0" w:color="FF9E3C"/>
            </w:tcBorders>
            <w:shd w:val="clear" w:color="auto" w:fill="auto"/>
            <w:vAlign w:val="center"/>
            <w:hideMark/>
          </w:tcPr>
          <w:p w14:paraId="6D5BDA46" w14:textId="77777777" w:rsidR="00F61793" w:rsidRPr="00D65A93" w:rsidRDefault="00F61793" w:rsidP="00191866">
            <w:pPr>
              <w:tabs>
                <w:tab w:val="clear" w:pos="426"/>
              </w:tabs>
              <w:spacing w:before="0" w:after="0" w:line="240" w:lineRule="auto"/>
              <w:ind w:left="0" w:right="0"/>
              <w:jc w:val="center"/>
              <w:rPr>
                <w:rFonts w:cs="Arial"/>
                <w:color w:val="1C3158"/>
                <w:sz w:val="18"/>
                <w:lang w:eastAsia="ja-JP"/>
              </w:rPr>
            </w:pPr>
            <w:r w:rsidRPr="00D65A93">
              <w:rPr>
                <w:rFonts w:cs="Arial"/>
                <w:color w:val="1C3158"/>
                <w:sz w:val="18"/>
                <w:lang w:eastAsia="ja-JP"/>
              </w:rPr>
              <w:t>0.65</w:t>
            </w:r>
          </w:p>
        </w:tc>
      </w:tr>
    </w:tbl>
    <w:p w14:paraId="40630196" w14:textId="77777777" w:rsidR="00F61793" w:rsidRPr="00D82AC4" w:rsidRDefault="00F61793" w:rsidP="00F61793">
      <w:pPr>
        <w:pStyle w:val="VRGFBodycontent"/>
        <w:rPr>
          <w:rFonts w:eastAsia="MS Mincho"/>
        </w:rPr>
      </w:pPr>
    </w:p>
    <w:p w14:paraId="31409B9A" w14:textId="1A9E0BFB" w:rsidR="00F61793" w:rsidRDefault="00F61793" w:rsidP="00F61793">
      <w:pPr>
        <w:pStyle w:val="VRGFBodycontent"/>
      </w:pPr>
      <w:r w:rsidRPr="00D82AC4">
        <w:lastRenderedPageBreak/>
        <w:t xml:space="preserve">We re-ran the isotonic regression of the elicited </w:t>
      </w:r>
      <w:r w:rsidR="00C01610">
        <w:t>gambling</w:t>
      </w:r>
      <w:r w:rsidR="00903E8B">
        <w:t>-related</w:t>
      </w:r>
      <w:r w:rsidR="00C01610">
        <w:t xml:space="preserve"> </w:t>
      </w:r>
      <w:r w:rsidR="00577004">
        <w:t xml:space="preserve">harm </w:t>
      </w:r>
      <w:r w:rsidRPr="00D82AC4">
        <w:t>utilities on PGSI score separately for the VAS and TTO rating protocols in order to provide some indication of method variance</w:t>
      </w:r>
      <w:r w:rsidR="007E0C13">
        <w:t>.</w:t>
      </w:r>
      <w:r w:rsidR="008610D3">
        <w:t xml:space="preserve"> </w:t>
      </w:r>
      <w:r w:rsidR="00B66762">
        <w:fldChar w:fldCharType="begin"/>
      </w:r>
      <w:r w:rsidR="00B66762">
        <w:instrText xml:space="preserve"> REF _Ref445409087 \h </w:instrText>
      </w:r>
      <w:r w:rsidR="00B66762">
        <w:fldChar w:fldCharType="separate"/>
      </w:r>
      <w:r w:rsidR="0006479A">
        <w:t xml:space="preserve">Figure </w:t>
      </w:r>
      <w:r w:rsidR="0006479A">
        <w:rPr>
          <w:noProof/>
        </w:rPr>
        <w:t>11</w:t>
      </w:r>
      <w:r w:rsidR="00B66762">
        <w:fldChar w:fldCharType="end"/>
      </w:r>
      <w:r w:rsidR="00B66762">
        <w:t xml:space="preserve"> </w:t>
      </w:r>
      <w:r w:rsidRPr="00D82AC4">
        <w:t>compares the bootstrapped regression functions for these two protocols</w:t>
      </w:r>
      <w:r w:rsidR="007E0C13">
        <w:t>.</w:t>
      </w:r>
      <w:r w:rsidR="008610D3">
        <w:t xml:space="preserve"> </w:t>
      </w:r>
      <w:r w:rsidRPr="00D82AC4">
        <w:t xml:space="preserve">As the figure illustrates, TTO elicited </w:t>
      </w:r>
      <w:r w:rsidR="00D315C5">
        <w:t>gambling</w:t>
      </w:r>
      <w:r w:rsidR="00903E8B">
        <w:t>-related</w:t>
      </w:r>
      <w:r w:rsidR="00D315C5">
        <w:t xml:space="preserve"> </w:t>
      </w:r>
      <w:r w:rsidRPr="00D82AC4">
        <w:t xml:space="preserve">harm </w:t>
      </w:r>
      <w:r w:rsidR="00577004">
        <w:t xml:space="preserve">utility </w:t>
      </w:r>
      <w:r w:rsidRPr="00D82AC4">
        <w:t>was lower than the VAS</w:t>
      </w:r>
      <w:r w:rsidR="007E0C13">
        <w:t>.</w:t>
      </w:r>
      <w:r w:rsidR="008610D3">
        <w:t xml:space="preserve"> </w:t>
      </w:r>
      <w:r w:rsidRPr="00D82AC4">
        <w:t>However, the shape of the regression function was similar across protocols</w:t>
      </w:r>
      <w:r w:rsidR="007E0C13">
        <w:t>.</w:t>
      </w:r>
      <w:r w:rsidR="008610D3">
        <w:t xml:space="preserve"> </w:t>
      </w:r>
      <w:r w:rsidR="00C01610">
        <w:t>Gambling</w:t>
      </w:r>
      <w:r w:rsidR="00903E8B">
        <w:t>-related</w:t>
      </w:r>
      <w:r w:rsidR="00C01610">
        <w:t xml:space="preserve"> h</w:t>
      </w:r>
      <w:r w:rsidR="00C01610" w:rsidRPr="00D82AC4">
        <w:t xml:space="preserve">arm </w:t>
      </w:r>
      <w:r w:rsidR="00C01610">
        <w:t xml:space="preserve">utility </w:t>
      </w:r>
      <w:r w:rsidRPr="00D82AC4">
        <w:t xml:space="preserve">estimates via both protocols tended to display a distinct jump </w:t>
      </w:r>
      <w:r>
        <w:t>near</w:t>
      </w:r>
      <w:r w:rsidR="00EB4675">
        <w:t>,</w:t>
      </w:r>
      <w:r>
        <w:t xml:space="preserve"> but not exactly between</w:t>
      </w:r>
      <w:r w:rsidR="00EB4675">
        <w:t>,</w:t>
      </w:r>
      <w:r>
        <w:t xml:space="preserve"> </w:t>
      </w:r>
      <w:r w:rsidRPr="00D82AC4">
        <w:t>PGSI categories.</w:t>
      </w:r>
    </w:p>
    <w:p w14:paraId="169E410F" w14:textId="77777777" w:rsidR="00F61793" w:rsidRPr="00D82AC4" w:rsidRDefault="00F61793" w:rsidP="00767EAD">
      <w:pPr>
        <w:spacing w:before="100" w:beforeAutospacing="1" w:after="120" w:line="240" w:lineRule="auto"/>
        <w:ind w:left="0"/>
        <w:rPr>
          <w:rFonts w:cs="Arial"/>
        </w:rPr>
      </w:pPr>
      <w:r>
        <w:rPr>
          <w:rFonts w:cs="Arial"/>
          <w:noProof/>
          <w:lang w:val="en-NZ" w:eastAsia="en-NZ"/>
        </w:rPr>
        <w:drawing>
          <wp:inline distT="0" distB="0" distL="0" distR="0" wp14:anchorId="53A5386E" wp14:editId="24EAF761">
            <wp:extent cx="5614463" cy="365950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8780" cy="3675355"/>
                    </a:xfrm>
                    <a:prstGeom prst="rect">
                      <a:avLst/>
                    </a:prstGeom>
                    <a:noFill/>
                  </pic:spPr>
                </pic:pic>
              </a:graphicData>
            </a:graphic>
          </wp:inline>
        </w:drawing>
      </w:r>
    </w:p>
    <w:p w14:paraId="50329552" w14:textId="3C3E49D1" w:rsidR="00F61793" w:rsidRPr="00D65A93" w:rsidRDefault="00B66762" w:rsidP="00B66762">
      <w:pPr>
        <w:pStyle w:val="Caption"/>
        <w:rPr>
          <w:color w:val="1C3158"/>
        </w:rPr>
      </w:pPr>
      <w:bookmarkStart w:id="305" w:name="_Ref445409087"/>
      <w:bookmarkStart w:id="306" w:name="_Ref438026095"/>
      <w:bookmarkStart w:id="307" w:name="_Ref438026086"/>
      <w:bookmarkStart w:id="308" w:name="_Toc440900314"/>
      <w:bookmarkStart w:id="309" w:name="_Toc462738094"/>
      <w:r>
        <w:t xml:space="preserve">Figure </w:t>
      </w:r>
      <w:fldSimple w:instr=" SEQ Figure \* ARABIC ">
        <w:r w:rsidR="0006479A">
          <w:rPr>
            <w:noProof/>
          </w:rPr>
          <w:t>11</w:t>
        </w:r>
      </w:fldSimple>
      <w:bookmarkEnd w:id="305"/>
      <w:r w:rsidR="007E0C13">
        <w:t>.</w:t>
      </w:r>
      <w:r w:rsidR="008610D3">
        <w:t xml:space="preserve"> </w:t>
      </w:r>
      <w:bookmarkEnd w:id="306"/>
      <w:r w:rsidR="00577004">
        <w:rPr>
          <w:color w:val="1C3158"/>
        </w:rPr>
        <w:t>Gambling</w:t>
      </w:r>
      <w:r w:rsidR="00903E8B">
        <w:rPr>
          <w:color w:val="1C3158"/>
        </w:rPr>
        <w:t>-related</w:t>
      </w:r>
      <w:r w:rsidR="00577004">
        <w:rPr>
          <w:color w:val="1C3158"/>
        </w:rPr>
        <w:t xml:space="preserve"> h</w:t>
      </w:r>
      <w:r w:rsidR="00577004" w:rsidRPr="00D65A93">
        <w:rPr>
          <w:color w:val="1C3158"/>
        </w:rPr>
        <w:t xml:space="preserve">arm </w:t>
      </w:r>
      <w:r w:rsidR="00C01610">
        <w:rPr>
          <w:color w:val="1C3158"/>
        </w:rPr>
        <w:t>(</w:t>
      </w:r>
      <w:r w:rsidR="00D315C5">
        <w:rPr>
          <w:color w:val="1C3158"/>
        </w:rPr>
        <w:t>utility</w:t>
      </w:r>
      <w:r w:rsidR="00C01610">
        <w:rPr>
          <w:color w:val="1C3158"/>
        </w:rPr>
        <w:t>)</w:t>
      </w:r>
      <w:r w:rsidR="00D315C5">
        <w:rPr>
          <w:color w:val="1C3158"/>
        </w:rPr>
        <w:t xml:space="preserve"> </w:t>
      </w:r>
      <w:r w:rsidR="00F61793" w:rsidRPr="00D65A93">
        <w:rPr>
          <w:color w:val="1C3158"/>
        </w:rPr>
        <w:t>by PGSI and valuation method</w:t>
      </w:r>
      <w:bookmarkEnd w:id="307"/>
      <w:bookmarkEnd w:id="308"/>
      <w:bookmarkEnd w:id="309"/>
    </w:p>
    <w:p w14:paraId="4288F70A" w14:textId="3CA2A228" w:rsidR="00F61793" w:rsidRDefault="003B0770" w:rsidP="00C82A76">
      <w:pPr>
        <w:pStyle w:val="VRGFBodycontent"/>
        <w:spacing w:before="240"/>
      </w:pPr>
      <w:r>
        <w:fldChar w:fldCharType="begin"/>
      </w:r>
      <w:r>
        <w:instrText xml:space="preserve"> REF _Ref448417265 \h </w:instrText>
      </w:r>
      <w:r>
        <w:fldChar w:fldCharType="separate"/>
      </w:r>
      <w:r w:rsidR="0006479A">
        <w:t xml:space="preserve">Figure </w:t>
      </w:r>
      <w:r w:rsidR="0006479A">
        <w:rPr>
          <w:noProof/>
        </w:rPr>
        <w:t>12</w:t>
      </w:r>
      <w:r>
        <w:fldChar w:fldCharType="end"/>
      </w:r>
      <w:r>
        <w:t xml:space="preserve"> </w:t>
      </w:r>
      <w:r w:rsidR="00F61793" w:rsidRPr="00D82AC4">
        <w:t>compares the harm to others with respect to harms from one’s own gambling for each PGSI category</w:t>
      </w:r>
      <w:r w:rsidR="007E0C13">
        <w:t>.</w:t>
      </w:r>
      <w:r w:rsidR="008610D3">
        <w:t xml:space="preserve"> </w:t>
      </w:r>
      <w:r w:rsidR="00F61793" w:rsidRPr="00D82AC4">
        <w:t>For example, a typical problem gambler is estimated to experience a 0.</w:t>
      </w:r>
      <w:r w:rsidR="00F61793">
        <w:t>5</w:t>
      </w:r>
      <w:r w:rsidR="00F61793" w:rsidRPr="00D82AC4">
        <w:t xml:space="preserve">4 utility decrement personally, and furthermore can cause a </w:t>
      </w:r>
      <w:r w:rsidR="00F61793">
        <w:t>0</w:t>
      </w:r>
      <w:r w:rsidR="00F61793" w:rsidRPr="00D82AC4">
        <w:t>.3</w:t>
      </w:r>
      <w:r w:rsidR="00F61793">
        <w:t>4</w:t>
      </w:r>
      <w:r w:rsidR="00F61793" w:rsidRPr="00D82AC4">
        <w:t xml:space="preserve"> utility decrement to </w:t>
      </w:r>
      <w:r w:rsidR="00F61793">
        <w:t xml:space="preserve">their </w:t>
      </w:r>
      <w:r w:rsidR="00F61793" w:rsidRPr="00D82AC4">
        <w:t>affected others</w:t>
      </w:r>
      <w:r w:rsidR="007E0C13">
        <w:t>.</w:t>
      </w:r>
      <w:r w:rsidR="008610D3">
        <w:t xml:space="preserve"> </w:t>
      </w:r>
      <w:r w:rsidR="00F61793" w:rsidRPr="00D82AC4">
        <w:t>However, it is important to bear in mind a limitation of the methodology; that the PGSI category of the gambler was determined by the perceptions of the affected other</w:t>
      </w:r>
      <w:r w:rsidR="007E0C13">
        <w:t>.</w:t>
      </w:r>
      <w:r w:rsidR="008610D3">
        <w:t xml:space="preserve"> </w:t>
      </w:r>
      <w:r w:rsidR="00F61793">
        <w:t xml:space="preserve">Our investigations of group invariance of </w:t>
      </w:r>
      <w:r w:rsidR="00E9190D">
        <w:t xml:space="preserve">first-hand versus second-hand </w:t>
      </w:r>
      <w:r w:rsidR="00F61793">
        <w:t>reported PGSI scores confirm</w:t>
      </w:r>
      <w:r w:rsidR="00EB4675">
        <w:t>ed</w:t>
      </w:r>
      <w:r w:rsidR="00F61793">
        <w:t xml:space="preserve"> that </w:t>
      </w:r>
      <w:r w:rsidR="00E9190D">
        <w:t>first-hand reporters</w:t>
      </w:r>
      <w:r w:rsidR="00F61793">
        <w:t xml:space="preserve"> tend</w:t>
      </w:r>
      <w:r w:rsidR="00EB4675">
        <w:t>ed</w:t>
      </w:r>
      <w:r w:rsidR="00F61793">
        <w:t xml:space="preserve"> </w:t>
      </w:r>
      <w:r w:rsidR="00E049D3">
        <w:t xml:space="preserve">to </w:t>
      </w:r>
      <w:r w:rsidR="00F61793">
        <w:t>provide lower PGSI</w:t>
      </w:r>
      <w:r w:rsidR="005E3DBE">
        <w:t xml:space="preserve"> sum</w:t>
      </w:r>
      <w:r w:rsidR="00F61793">
        <w:t xml:space="preserve"> estimates</w:t>
      </w:r>
      <w:r w:rsidR="005E3DBE">
        <w:t>. This is understandable, given that self-reporters would in most cases be less likely to admit to problems. This difference has the potential to bias the r</w:t>
      </w:r>
      <w:r w:rsidR="007C0B13">
        <w:t xml:space="preserve">esulting </w:t>
      </w:r>
      <w:r w:rsidR="00D315C5">
        <w:t>gambling</w:t>
      </w:r>
      <w:r w:rsidR="00903E8B">
        <w:t>-related</w:t>
      </w:r>
      <w:r w:rsidR="00D315C5">
        <w:t xml:space="preserve"> </w:t>
      </w:r>
      <w:r w:rsidR="007C0B13">
        <w:t xml:space="preserve">harm </w:t>
      </w:r>
      <w:r w:rsidR="00C01610">
        <w:t xml:space="preserve">utility </w:t>
      </w:r>
      <w:r w:rsidR="007C0B13">
        <w:t xml:space="preserve">estimates, which are based on PGSI category scores. </w:t>
      </w:r>
      <w:r w:rsidR="00F61793">
        <w:t xml:space="preserve">However, </w:t>
      </w:r>
      <w:r w:rsidR="00EB4675">
        <w:t>as</w:t>
      </w:r>
      <w:r w:rsidR="00F61793">
        <w:t xml:space="preserve"> the </w:t>
      </w:r>
      <w:r w:rsidR="00D315C5">
        <w:t>gambling</w:t>
      </w:r>
      <w:r w:rsidR="00903E8B">
        <w:t>-related</w:t>
      </w:r>
      <w:r w:rsidR="00D315C5">
        <w:t xml:space="preserve"> </w:t>
      </w:r>
      <w:r w:rsidR="00F61793">
        <w:t xml:space="preserve">harm </w:t>
      </w:r>
      <w:r w:rsidR="00D315C5">
        <w:t xml:space="preserve">utility decrement </w:t>
      </w:r>
      <w:r w:rsidR="00F61793">
        <w:t>varies only between 0.31 and 0.34 for harm to others between moderate</w:t>
      </w:r>
      <w:r w:rsidR="00EB4675">
        <w:t>-</w:t>
      </w:r>
      <w:r w:rsidR="00F61793">
        <w:t xml:space="preserve">risk and problem gamblers, this discrepancy </w:t>
      </w:r>
      <w:r w:rsidR="007C0B13">
        <w:t>would have only a minor</w:t>
      </w:r>
      <w:r w:rsidR="00F61793">
        <w:t xml:space="preserve"> impact on the aggregate harm estimates</w:t>
      </w:r>
      <w:r w:rsidR="007E0C13">
        <w:t>.</w:t>
      </w:r>
      <w:r w:rsidR="008610D3">
        <w:t xml:space="preserve"> </w:t>
      </w:r>
      <w:r w:rsidR="00F61793">
        <w:t xml:space="preserve">These observations notwithstanding, it is reasonable to conclude that </w:t>
      </w:r>
      <w:r w:rsidR="00F61793" w:rsidRPr="00D82AC4">
        <w:t xml:space="preserve">proportionally more harm </w:t>
      </w:r>
      <w:r w:rsidR="00D315C5">
        <w:t xml:space="preserve">to quality of life </w:t>
      </w:r>
      <w:r w:rsidR="00F61793" w:rsidRPr="00D82AC4">
        <w:t>is caused to others in the low</w:t>
      </w:r>
      <w:r w:rsidR="00F61793">
        <w:t>-</w:t>
      </w:r>
      <w:r w:rsidR="00F61793" w:rsidRPr="00D82AC4">
        <w:t>risk categor</w:t>
      </w:r>
      <w:r w:rsidR="00F61793">
        <w:t xml:space="preserve">y than the moderate-risk and problem gambling </w:t>
      </w:r>
      <w:r w:rsidR="00F61793" w:rsidRPr="00D82AC4">
        <w:t>categor</w:t>
      </w:r>
      <w:r w:rsidR="00F61793">
        <w:t>ies</w:t>
      </w:r>
      <w:r w:rsidR="007E0C13">
        <w:t>.</w:t>
      </w:r>
      <w:r w:rsidR="008610D3">
        <w:t xml:space="preserve"> </w:t>
      </w:r>
      <w:r w:rsidR="00F61793">
        <w:t>This accords with our theoretical perspective that individuals with low levels of gambling problems can ‘pass on’ a number of harms to those around them, but that gamblers with advanced problems tend to exhaust their avenues for support from their social network</w:t>
      </w:r>
      <w:r w:rsidR="007E0C13">
        <w:t>.</w:t>
      </w:r>
      <w:r w:rsidR="008610D3">
        <w:t xml:space="preserve"> </w:t>
      </w:r>
      <w:r w:rsidR="00F61793">
        <w:t xml:space="preserve">To put this point another way, there appears to be a limit to which the friends and family will ‘absorb’ harms caused by a problem gambler. </w:t>
      </w:r>
    </w:p>
    <w:p w14:paraId="1EBC5185" w14:textId="77777777" w:rsidR="00A32063" w:rsidRPr="00D82AC4" w:rsidRDefault="00A32063" w:rsidP="00A32063">
      <w:pPr>
        <w:tabs>
          <w:tab w:val="clear" w:pos="426"/>
        </w:tabs>
        <w:spacing w:before="0" w:after="120" w:line="240" w:lineRule="auto"/>
        <w:ind w:left="0" w:right="0"/>
        <w:rPr>
          <w:rFonts w:eastAsia="MS Mincho" w:cs="Arial"/>
          <w:sz w:val="24"/>
          <w:szCs w:val="24"/>
        </w:rPr>
      </w:pPr>
      <w:r>
        <w:rPr>
          <w:rFonts w:eastAsia="MS Mincho" w:cs="Arial"/>
          <w:noProof/>
          <w:sz w:val="24"/>
          <w:szCs w:val="24"/>
          <w:lang w:val="en-NZ" w:eastAsia="en-NZ"/>
        </w:rPr>
        <w:lastRenderedPageBreak/>
        <w:drawing>
          <wp:inline distT="0" distB="0" distL="0" distR="0" wp14:anchorId="680442DD" wp14:editId="0685FB45">
            <wp:extent cx="5725258" cy="3731722"/>
            <wp:effectExtent l="0" t="0" r="889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8013" cy="3740036"/>
                    </a:xfrm>
                    <a:prstGeom prst="rect">
                      <a:avLst/>
                    </a:prstGeom>
                    <a:noFill/>
                  </pic:spPr>
                </pic:pic>
              </a:graphicData>
            </a:graphic>
          </wp:inline>
        </w:drawing>
      </w:r>
    </w:p>
    <w:p w14:paraId="39901862" w14:textId="46339A18" w:rsidR="00A32063" w:rsidRPr="00E670E3" w:rsidRDefault="00A32063" w:rsidP="00A32063">
      <w:pPr>
        <w:pStyle w:val="Caption"/>
        <w:rPr>
          <w:rFonts w:cs="Arial"/>
          <w:i/>
          <w:color w:val="1C3158"/>
          <w:sz w:val="17"/>
          <w:szCs w:val="19"/>
        </w:rPr>
      </w:pPr>
      <w:bookmarkStart w:id="310" w:name="_Ref448417265"/>
      <w:bookmarkStart w:id="311" w:name="_Toc462738095"/>
      <w:r>
        <w:t xml:space="preserve">Figure </w:t>
      </w:r>
      <w:fldSimple w:instr=" SEQ Figure \* ARABIC ">
        <w:r w:rsidR="0006479A">
          <w:rPr>
            <w:noProof/>
          </w:rPr>
          <w:t>12</w:t>
        </w:r>
      </w:fldSimple>
      <w:bookmarkEnd w:id="310"/>
      <w:r>
        <w:t>.</w:t>
      </w:r>
      <w:r w:rsidR="008610D3">
        <w:t xml:space="preserve"> </w:t>
      </w:r>
      <w:r w:rsidR="00D315C5">
        <w:t>Gambling</w:t>
      </w:r>
      <w:r w:rsidR="00903E8B">
        <w:t>-related</w:t>
      </w:r>
      <w:r w:rsidR="00D315C5">
        <w:t xml:space="preserve"> h</w:t>
      </w:r>
      <w:r w:rsidRPr="00E670E3">
        <w:rPr>
          <w:color w:val="1C3158"/>
        </w:rPr>
        <w:t xml:space="preserve">arm </w:t>
      </w:r>
      <w:r w:rsidR="00D315C5">
        <w:rPr>
          <w:color w:val="1C3158"/>
        </w:rPr>
        <w:t xml:space="preserve">(utility) </w:t>
      </w:r>
      <w:r w:rsidRPr="00E670E3">
        <w:rPr>
          <w:color w:val="1C3158"/>
        </w:rPr>
        <w:t>to self and others by PGSI category</w:t>
      </w:r>
      <w:bookmarkEnd w:id="311"/>
    </w:p>
    <w:p w14:paraId="5559533C" w14:textId="3D1C93B4" w:rsidR="00F61793" w:rsidRDefault="003B0770" w:rsidP="00C82A76">
      <w:pPr>
        <w:pStyle w:val="VRGFBodycontent"/>
        <w:spacing w:before="240"/>
      </w:pPr>
      <w:r>
        <w:fldChar w:fldCharType="begin"/>
      </w:r>
      <w:r>
        <w:instrText xml:space="preserve"> REF _Ref448417319 \h </w:instrText>
      </w:r>
      <w:r>
        <w:fldChar w:fldCharType="separate"/>
      </w:r>
      <w:r w:rsidR="0006479A">
        <w:t xml:space="preserve">Figure </w:t>
      </w:r>
      <w:r w:rsidR="0006479A">
        <w:rPr>
          <w:noProof/>
        </w:rPr>
        <w:t>13</w:t>
      </w:r>
      <w:r>
        <w:fldChar w:fldCharType="end"/>
      </w:r>
      <w:r>
        <w:t xml:space="preserve"> </w:t>
      </w:r>
      <w:r w:rsidR="00F61793" w:rsidRPr="00D82AC4">
        <w:t>compares the estimated utilities for gambling</w:t>
      </w:r>
      <w:r w:rsidR="00903E8B">
        <w:t>-related harm</w:t>
      </w:r>
      <w:r w:rsidR="00F61793" w:rsidRPr="00D82AC4">
        <w:t xml:space="preserve"> </w:t>
      </w:r>
      <w:r w:rsidR="00903E8B">
        <w:t xml:space="preserve">by PGSI category </w:t>
      </w:r>
      <w:r w:rsidR="00F61793" w:rsidRPr="00D82AC4">
        <w:t xml:space="preserve">with other conditions from the </w:t>
      </w:r>
      <w:r w:rsidR="00F61793">
        <w:t xml:space="preserve">2010 </w:t>
      </w:r>
      <w:r w:rsidR="00F61793" w:rsidRPr="00D82AC4">
        <w:t>Global Burden</w:t>
      </w:r>
      <w:r w:rsidR="00F61793">
        <w:t xml:space="preserve"> of Disease Study (GBD; Salomon et al., 2013</w:t>
      </w:r>
      <w:r w:rsidR="00F61793" w:rsidRPr="00D82AC4">
        <w:t>)</w:t>
      </w:r>
      <w:r w:rsidR="007E0C13">
        <w:t>.</w:t>
      </w:r>
      <w:r w:rsidR="008610D3">
        <w:t xml:space="preserve"> </w:t>
      </w:r>
      <w:r w:rsidR="00F61793" w:rsidRPr="00D82AC4">
        <w:t xml:space="preserve">This set of </w:t>
      </w:r>
      <w:r w:rsidR="00521A57">
        <w:t xml:space="preserve">health state </w:t>
      </w:r>
      <w:r w:rsidR="00F61793" w:rsidRPr="00D82AC4">
        <w:t>utilit</w:t>
      </w:r>
      <w:r w:rsidR="00521A57">
        <w:t>ies are</w:t>
      </w:r>
      <w:r w:rsidR="00F61793" w:rsidRPr="00D82AC4">
        <w:t xml:space="preserve"> particularly comparable to those of the present study since</w:t>
      </w:r>
      <w:r w:rsidR="00EB4675">
        <w:t>:</w:t>
      </w:r>
      <w:r w:rsidR="00F61793" w:rsidRPr="00D82AC4">
        <w:t xml:space="preserve"> (a) they used similar direct elicitation protocols, and (b) conditions from the </w:t>
      </w:r>
      <w:r w:rsidR="00F61793">
        <w:t>GBD</w:t>
      </w:r>
      <w:r w:rsidR="00F61793" w:rsidRPr="00D82AC4">
        <w:t xml:space="preserve"> study were incorporated as reference points in the VAS</w:t>
      </w:r>
      <w:r w:rsidR="007E0C13">
        <w:t>.</w:t>
      </w:r>
      <w:r w:rsidR="008610D3">
        <w:t xml:space="preserve"> </w:t>
      </w:r>
      <w:r w:rsidR="00F61793" w:rsidRPr="00D82AC4">
        <w:t>As</w:t>
      </w:r>
      <w:r w:rsidR="00F61793">
        <w:t xml:space="preserve"> illustrated</w:t>
      </w:r>
      <w:r w:rsidR="00F61793" w:rsidRPr="00D82AC4">
        <w:t>, problem gambling is considered</w:t>
      </w:r>
      <w:r w:rsidR="00F61793">
        <w:t xml:space="preserve"> more</w:t>
      </w:r>
      <w:r w:rsidR="00F61793" w:rsidRPr="00292425">
        <w:t xml:space="preserve"> </w:t>
      </w:r>
      <w:r w:rsidR="00F61793">
        <w:t xml:space="preserve">severe than </w:t>
      </w:r>
      <w:r w:rsidR="00F61793" w:rsidRPr="00D82AC4">
        <w:t>moderate alcohol use disorder or migraine headache</w:t>
      </w:r>
      <w:r w:rsidR="00F61793">
        <w:t xml:space="preserve">, as harmful as </w:t>
      </w:r>
      <w:r w:rsidR="00F61793" w:rsidRPr="00D82AC4">
        <w:t xml:space="preserve">severe alcohol use disorder, </w:t>
      </w:r>
      <w:r w:rsidR="00F61793">
        <w:t xml:space="preserve">but less harmful than schizophrenia or </w:t>
      </w:r>
      <w:r w:rsidR="00F61793" w:rsidRPr="00D82AC4">
        <w:t>heroin/opioid dependence</w:t>
      </w:r>
      <w:r w:rsidR="007E0C13">
        <w:t>.</w:t>
      </w:r>
      <w:r w:rsidR="008610D3">
        <w:t xml:space="preserve"> </w:t>
      </w:r>
      <w:r w:rsidR="00F61793" w:rsidRPr="00D82AC4">
        <w:t xml:space="preserve">Moderate-risk gamblers suffer harm slightly higher than </w:t>
      </w:r>
      <w:r w:rsidR="00F61793">
        <w:t xml:space="preserve">amphetamine dependence, but slightly less than </w:t>
      </w:r>
      <w:r w:rsidR="00F61793" w:rsidRPr="00D82AC4">
        <w:t>mild alcohol use disorder</w:t>
      </w:r>
      <w:r w:rsidR="007E0C13">
        <w:t>.</w:t>
      </w:r>
      <w:r w:rsidR="008610D3">
        <w:t xml:space="preserve"> </w:t>
      </w:r>
      <w:r w:rsidR="00F61793">
        <w:t>Lastly,</w:t>
      </w:r>
      <w:r w:rsidR="00F61793" w:rsidRPr="00D82AC4">
        <w:t xml:space="preserve"> low-risk gambling yields similar utility decrements to that of </w:t>
      </w:r>
      <w:r w:rsidR="00F61793">
        <w:t>moderate</w:t>
      </w:r>
      <w:r w:rsidR="00CB0BF7" w:rsidRPr="00CB0BF7">
        <w:rPr>
          <w:rFonts w:eastAsia="MS Mincho"/>
        </w:rPr>
        <w:t xml:space="preserve"> </w:t>
      </w:r>
      <w:r w:rsidR="00CB0BF7">
        <w:rPr>
          <w:rFonts w:eastAsia="MS Mincho"/>
        </w:rPr>
        <w:t>chronic obstructive pulmonary disease</w:t>
      </w:r>
      <w:r w:rsidR="00F61793">
        <w:t xml:space="preserve"> </w:t>
      </w:r>
      <w:r w:rsidR="00CB0BF7">
        <w:t>(</w:t>
      </w:r>
      <w:r w:rsidR="00F61793">
        <w:t>COPD</w:t>
      </w:r>
      <w:r w:rsidR="00CB0BF7">
        <w:t>)</w:t>
      </w:r>
      <w:r w:rsidR="00F61793">
        <w:t>/other respiratory problems or anxiety disorders</w:t>
      </w:r>
      <w:r w:rsidR="00F61793" w:rsidRPr="00D82AC4">
        <w:t xml:space="preserve">. </w:t>
      </w:r>
    </w:p>
    <w:p w14:paraId="694762D9" w14:textId="77777777" w:rsidR="00A32063" w:rsidRDefault="00A32063" w:rsidP="00F61793">
      <w:pPr>
        <w:pStyle w:val="VRGFBodycontent"/>
      </w:pPr>
    </w:p>
    <w:p w14:paraId="334615C6" w14:textId="77777777" w:rsidR="00A32063" w:rsidRPr="00D82AC4" w:rsidRDefault="00A32063" w:rsidP="00A32063">
      <w:pPr>
        <w:tabs>
          <w:tab w:val="clear" w:pos="426"/>
        </w:tabs>
        <w:spacing w:before="0" w:after="120" w:line="240" w:lineRule="auto"/>
        <w:ind w:left="0" w:right="0"/>
        <w:rPr>
          <w:rFonts w:eastAsia="MS Mincho" w:cs="Arial"/>
          <w:sz w:val="24"/>
          <w:szCs w:val="24"/>
        </w:rPr>
      </w:pPr>
      <w:r>
        <w:rPr>
          <w:rFonts w:eastAsia="MS Mincho" w:cs="Arial"/>
          <w:noProof/>
          <w:sz w:val="24"/>
          <w:szCs w:val="24"/>
          <w:lang w:val="en-NZ" w:eastAsia="en-NZ"/>
        </w:rPr>
        <w:lastRenderedPageBreak/>
        <w:drawing>
          <wp:inline distT="0" distB="0" distL="0" distR="0" wp14:anchorId="74552010" wp14:editId="032F539B">
            <wp:extent cx="5665142" cy="3495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4492" cy="3526126"/>
                    </a:xfrm>
                    <a:prstGeom prst="rect">
                      <a:avLst/>
                    </a:prstGeom>
                    <a:noFill/>
                  </pic:spPr>
                </pic:pic>
              </a:graphicData>
            </a:graphic>
          </wp:inline>
        </w:drawing>
      </w:r>
    </w:p>
    <w:p w14:paraId="22BE29C5" w14:textId="76E2451C" w:rsidR="00A32063" w:rsidRPr="009E39B5" w:rsidRDefault="00A32063" w:rsidP="00A32063">
      <w:pPr>
        <w:pStyle w:val="Caption"/>
        <w:rPr>
          <w:rFonts w:cs="Arial"/>
          <w:color w:val="1C3158"/>
          <w:sz w:val="17"/>
          <w:szCs w:val="19"/>
        </w:rPr>
      </w:pPr>
      <w:bookmarkStart w:id="312" w:name="_Ref448417319"/>
      <w:bookmarkStart w:id="313" w:name="_Toc462738096"/>
      <w:r>
        <w:t xml:space="preserve">Figure </w:t>
      </w:r>
      <w:fldSimple w:instr=" SEQ Figure \* ARABIC ">
        <w:r w:rsidR="0006479A">
          <w:rPr>
            <w:noProof/>
          </w:rPr>
          <w:t>13</w:t>
        </w:r>
      </w:fldSimple>
      <w:bookmarkEnd w:id="312"/>
      <w:r>
        <w:t>.</w:t>
      </w:r>
      <w:r w:rsidR="008610D3">
        <w:t xml:space="preserve"> </w:t>
      </w:r>
      <w:r w:rsidR="00521A57">
        <w:rPr>
          <w:color w:val="1C3158"/>
        </w:rPr>
        <w:t>G</w:t>
      </w:r>
      <w:r w:rsidRPr="009E39B5">
        <w:rPr>
          <w:color w:val="1C3158"/>
        </w:rPr>
        <w:t>ambling</w:t>
      </w:r>
      <w:r w:rsidR="00521A57">
        <w:rPr>
          <w:color w:val="1C3158"/>
        </w:rPr>
        <w:t>-related</w:t>
      </w:r>
      <w:r w:rsidRPr="009E39B5">
        <w:rPr>
          <w:color w:val="1C3158"/>
        </w:rPr>
        <w:t xml:space="preserve"> </w:t>
      </w:r>
      <w:r w:rsidR="000D0A19">
        <w:rPr>
          <w:color w:val="1C3158"/>
        </w:rPr>
        <w:t xml:space="preserve">harm </w:t>
      </w:r>
      <w:r w:rsidR="00521A57">
        <w:rPr>
          <w:color w:val="1C3158"/>
        </w:rPr>
        <w:t xml:space="preserve">utilities </w:t>
      </w:r>
      <w:r w:rsidRPr="009E39B5">
        <w:rPr>
          <w:color w:val="1C3158"/>
        </w:rPr>
        <w:t>compared to other health state</w:t>
      </w:r>
      <w:r w:rsidR="000D0A19">
        <w:rPr>
          <w:color w:val="1C3158"/>
        </w:rPr>
        <w:t xml:space="preserve"> utilities from GBD 2010</w:t>
      </w:r>
      <w:bookmarkEnd w:id="313"/>
    </w:p>
    <w:p w14:paraId="72A807F4" w14:textId="77777777" w:rsidR="00A32063" w:rsidRDefault="00A32063" w:rsidP="00F61793">
      <w:pPr>
        <w:pStyle w:val="VRGFBodycontent"/>
      </w:pPr>
    </w:p>
    <w:p w14:paraId="135BD9E6" w14:textId="77777777" w:rsidR="00F61793" w:rsidRDefault="00F61793" w:rsidP="00F61793">
      <w:pPr>
        <w:pStyle w:val="VRGFHead2"/>
      </w:pPr>
      <w:bookmarkStart w:id="314" w:name="_Toc462738062"/>
      <w:r w:rsidRPr="007C2011">
        <w:t>Discussion</w:t>
      </w:r>
      <w:bookmarkEnd w:id="314"/>
    </w:p>
    <w:p w14:paraId="45C2FA90" w14:textId="618243AC" w:rsidR="00F61793" w:rsidRPr="00C1085B" w:rsidRDefault="00F61793" w:rsidP="00191866">
      <w:pPr>
        <w:pStyle w:val="VRGFHead3"/>
      </w:pPr>
      <w:bookmarkStart w:id="315" w:name="_Toc462738063"/>
      <w:r w:rsidRPr="00C1085B">
        <w:t xml:space="preserve">HRQL Utility </w:t>
      </w:r>
      <w:r w:rsidR="000D0A19">
        <w:t>Estimates</w:t>
      </w:r>
      <w:r w:rsidR="000D0A19" w:rsidRPr="00C1085B">
        <w:t xml:space="preserve"> </w:t>
      </w:r>
      <w:r w:rsidRPr="00C1085B">
        <w:t>for Gambling</w:t>
      </w:r>
      <w:r w:rsidR="00521A57">
        <w:t>-Related</w:t>
      </w:r>
      <w:r w:rsidR="000D0A19">
        <w:t xml:space="preserve"> Harm</w:t>
      </w:r>
      <w:bookmarkEnd w:id="315"/>
    </w:p>
    <w:p w14:paraId="64132E04" w14:textId="470A1855" w:rsidR="00F61793" w:rsidRPr="00D82AC4" w:rsidRDefault="00F61793" w:rsidP="00F61793">
      <w:pPr>
        <w:pStyle w:val="VRGFBodycontent"/>
        <w:rPr>
          <w:rFonts w:eastAsia="MS Mincho"/>
        </w:rPr>
      </w:pPr>
      <w:r w:rsidRPr="00D82AC4">
        <w:rPr>
          <w:rFonts w:eastAsia="MS Mincho"/>
        </w:rPr>
        <w:t>This chapter described the first attempt to measure the impact of gambling</w:t>
      </w:r>
      <w:r w:rsidR="00521A57">
        <w:rPr>
          <w:rFonts w:eastAsia="MS Mincho"/>
        </w:rPr>
        <w:t>-related</w:t>
      </w:r>
      <w:r w:rsidRPr="00D82AC4">
        <w:rPr>
          <w:rFonts w:eastAsia="MS Mincho"/>
        </w:rPr>
        <w:t xml:space="preserve"> harms on an individual’s quality of life, drawing upon ideas and methodologies from public health research</w:t>
      </w:r>
      <w:r w:rsidR="007E0C13">
        <w:rPr>
          <w:rFonts w:eastAsia="MS Mincho"/>
        </w:rPr>
        <w:t>.</w:t>
      </w:r>
      <w:r w:rsidR="008610D3">
        <w:rPr>
          <w:rFonts w:eastAsia="MS Mincho"/>
        </w:rPr>
        <w:t xml:space="preserve"> </w:t>
      </w:r>
      <w:r w:rsidRPr="00D82AC4">
        <w:rPr>
          <w:rFonts w:eastAsia="MS Mincho"/>
        </w:rPr>
        <w:t xml:space="preserve">Treating gambling as a health condition </w:t>
      </w:r>
      <w:r w:rsidR="00EF14CE">
        <w:rPr>
          <w:rFonts w:eastAsia="MS Mincho"/>
        </w:rPr>
        <w:t>presented</w:t>
      </w:r>
      <w:r w:rsidR="00EF14CE" w:rsidRPr="00D82AC4">
        <w:rPr>
          <w:rFonts w:eastAsia="MS Mincho"/>
        </w:rPr>
        <w:t xml:space="preserve"> </w:t>
      </w:r>
      <w:r w:rsidRPr="00D82AC4">
        <w:rPr>
          <w:rFonts w:eastAsia="MS Mincho"/>
        </w:rPr>
        <w:t xml:space="preserve">certain challenges, most notably related to: (a) the dimensional nature of the condition, with varying degrees of harm occurring across the spectrum of gambling problem severity, </w:t>
      </w:r>
      <w:r>
        <w:rPr>
          <w:rFonts w:eastAsia="MS Mincho"/>
        </w:rPr>
        <w:t xml:space="preserve">and </w:t>
      </w:r>
      <w:r w:rsidRPr="00D82AC4">
        <w:rPr>
          <w:rFonts w:eastAsia="MS Mincho"/>
        </w:rPr>
        <w:t>(b) the complex and diverse scope of potential harms, and heterogeneity of their occurrence in the population</w:t>
      </w:r>
      <w:r w:rsidR="007E0C13">
        <w:rPr>
          <w:rFonts w:eastAsia="MS Mincho"/>
        </w:rPr>
        <w:t>.</w:t>
      </w:r>
      <w:r w:rsidR="008610D3">
        <w:rPr>
          <w:rFonts w:eastAsia="MS Mincho"/>
        </w:rPr>
        <w:t xml:space="preserve"> </w:t>
      </w:r>
      <w:r w:rsidRPr="00D82AC4">
        <w:rPr>
          <w:rFonts w:eastAsia="MS Mincho"/>
        </w:rPr>
        <w:t>The study was designed with these issues in mind, relying heavily on a large sample approach with respect to both harm condition descriptions, and number of independent utility elicitations made</w:t>
      </w:r>
      <w:r w:rsidR="007E0C13">
        <w:rPr>
          <w:rFonts w:eastAsia="MS Mincho"/>
        </w:rPr>
        <w:t>.</w:t>
      </w:r>
      <w:r w:rsidR="008610D3">
        <w:rPr>
          <w:rFonts w:eastAsia="MS Mincho"/>
        </w:rPr>
        <w:t xml:space="preserve"> </w:t>
      </w:r>
      <w:r w:rsidR="007C0B13">
        <w:rPr>
          <w:rFonts w:eastAsia="MS Mincho"/>
        </w:rPr>
        <w:t>The confidence intervals we report incorporate two sources of ‘error’ or sampling variability. First, because we used a large sample of</w:t>
      </w:r>
      <w:r w:rsidRPr="00D82AC4">
        <w:rPr>
          <w:rFonts w:eastAsia="MS Mincho"/>
        </w:rPr>
        <w:t xml:space="preserve"> </w:t>
      </w:r>
      <w:r w:rsidR="007C0B13">
        <w:rPr>
          <w:rFonts w:eastAsia="MS Mincho"/>
        </w:rPr>
        <w:t xml:space="preserve">vignettes, we achieved a fair representation of the true variation in the experience of </w:t>
      </w:r>
      <w:r w:rsidR="00521A57">
        <w:rPr>
          <w:rFonts w:eastAsia="MS Mincho"/>
        </w:rPr>
        <w:t xml:space="preserve">gambling-related </w:t>
      </w:r>
      <w:r w:rsidR="007C0B13">
        <w:rPr>
          <w:rFonts w:eastAsia="MS Mincho"/>
        </w:rPr>
        <w:t xml:space="preserve">harm in the population. Second, we used a large sample of elicitations, which captured variability in terms of how individuals judge the severity of the conditions. </w:t>
      </w:r>
      <w:r w:rsidRPr="00D82AC4">
        <w:rPr>
          <w:rFonts w:eastAsia="MS Mincho"/>
        </w:rPr>
        <w:t xml:space="preserve">This allowed us to calculate </w:t>
      </w:r>
      <w:r w:rsidR="007C0B13">
        <w:rPr>
          <w:rFonts w:eastAsia="MS Mincho"/>
        </w:rPr>
        <w:t xml:space="preserve">meaningful </w:t>
      </w:r>
      <w:r w:rsidRPr="00D82AC4">
        <w:rPr>
          <w:rFonts w:eastAsia="MS Mincho"/>
        </w:rPr>
        <w:t>error bounds for our mean utility estimates – something that</w:t>
      </w:r>
      <w:r w:rsidR="00BD26F3">
        <w:rPr>
          <w:rFonts w:eastAsia="MS Mincho"/>
        </w:rPr>
        <w:t>,</w:t>
      </w:r>
      <w:r w:rsidRPr="00D82AC4">
        <w:rPr>
          <w:rFonts w:eastAsia="MS Mincho"/>
        </w:rPr>
        <w:t xml:space="preserve"> to our knowledge</w:t>
      </w:r>
      <w:r w:rsidR="00BD26F3">
        <w:rPr>
          <w:rFonts w:eastAsia="MS Mincho"/>
        </w:rPr>
        <w:t>,</w:t>
      </w:r>
      <w:r w:rsidRPr="00D82AC4">
        <w:rPr>
          <w:rFonts w:eastAsia="MS Mincho"/>
        </w:rPr>
        <w:t xml:space="preserve"> has not been previously done in the population health literature</w:t>
      </w:r>
      <w:r w:rsidR="007E0C13">
        <w:rPr>
          <w:rFonts w:eastAsia="MS Mincho"/>
        </w:rPr>
        <w:t>.</w:t>
      </w:r>
      <w:r w:rsidR="008610D3">
        <w:rPr>
          <w:rFonts w:eastAsia="MS Mincho"/>
        </w:rPr>
        <w:t xml:space="preserve"> </w:t>
      </w:r>
      <w:r w:rsidR="00167015" w:rsidRPr="00D82AC4">
        <w:rPr>
          <w:rFonts w:eastAsia="MS Mincho"/>
        </w:rPr>
        <w:t>Nevertheless</w:t>
      </w:r>
      <w:r w:rsidR="00167015">
        <w:rPr>
          <w:rFonts w:eastAsia="MS Mincho"/>
        </w:rPr>
        <w:t>,</w:t>
      </w:r>
      <w:r w:rsidR="00167015" w:rsidRPr="00D82AC4">
        <w:rPr>
          <w:rFonts w:eastAsia="MS Mincho"/>
        </w:rPr>
        <w:t xml:space="preserve"> </w:t>
      </w:r>
      <w:r w:rsidR="00167015">
        <w:rPr>
          <w:rFonts w:eastAsia="MS Mincho"/>
        </w:rPr>
        <w:t>o</w:t>
      </w:r>
      <w:r w:rsidRPr="00D82AC4">
        <w:rPr>
          <w:rFonts w:eastAsia="MS Mincho"/>
        </w:rPr>
        <w:t>ur results are limited by the available data, most particularly with respect to the prevalence data</w:t>
      </w:r>
      <w:r w:rsidR="00167015">
        <w:rPr>
          <w:rFonts w:eastAsia="MS Mincho"/>
        </w:rPr>
        <w:t>,</w:t>
      </w:r>
      <w:r w:rsidRPr="00D82AC4">
        <w:rPr>
          <w:rFonts w:eastAsia="MS Mincho"/>
        </w:rPr>
        <w:t xml:space="preserve"> which w</w:t>
      </w:r>
      <w:r w:rsidR="00167015">
        <w:rPr>
          <w:rFonts w:eastAsia="MS Mincho"/>
        </w:rPr>
        <w:t>ere</w:t>
      </w:r>
      <w:r w:rsidRPr="00D82AC4">
        <w:rPr>
          <w:rFonts w:eastAsia="MS Mincho"/>
        </w:rPr>
        <w:t xml:space="preserve"> gathered with the aim of assessing the prevalence of gambling problems, not gambling harm</w:t>
      </w:r>
      <w:r w:rsidR="007E0C13">
        <w:rPr>
          <w:rFonts w:eastAsia="MS Mincho"/>
        </w:rPr>
        <w:t>.</w:t>
      </w:r>
      <w:r w:rsidR="008610D3">
        <w:rPr>
          <w:rFonts w:eastAsia="MS Mincho"/>
        </w:rPr>
        <w:t xml:space="preserve"> </w:t>
      </w:r>
      <w:r w:rsidR="00167015">
        <w:rPr>
          <w:rFonts w:eastAsia="MS Mincho"/>
        </w:rPr>
        <w:t>Additionally</w:t>
      </w:r>
      <w:r>
        <w:rPr>
          <w:rFonts w:eastAsia="MS Mincho"/>
        </w:rPr>
        <w:t xml:space="preserve">, despite the reasonably large sample, the high level of variability in </w:t>
      </w:r>
      <w:r w:rsidRPr="00521A57">
        <w:rPr>
          <w:rFonts w:eastAsia="MS Mincho"/>
        </w:rPr>
        <w:t xml:space="preserve">harm symptomology with respect to the PGSI </w:t>
      </w:r>
      <w:r w:rsidR="00F37558" w:rsidRPr="00521A57">
        <w:rPr>
          <w:rFonts w:eastAsia="MS Mincho"/>
        </w:rPr>
        <w:t xml:space="preserve">created </w:t>
      </w:r>
      <w:r w:rsidRPr="00521A57">
        <w:rPr>
          <w:rFonts w:eastAsia="MS Mincho"/>
        </w:rPr>
        <w:t xml:space="preserve">some difficulty in </w:t>
      </w:r>
      <w:r w:rsidR="00A93653" w:rsidRPr="00521A57">
        <w:rPr>
          <w:rFonts w:eastAsia="MS Mincho"/>
        </w:rPr>
        <w:t xml:space="preserve">calculating </w:t>
      </w:r>
      <w:r w:rsidRPr="00521A57">
        <w:rPr>
          <w:rFonts w:eastAsia="MS Mincho"/>
        </w:rPr>
        <w:t xml:space="preserve">a precise estimate of the </w:t>
      </w:r>
      <w:r w:rsidR="00521A57">
        <w:rPr>
          <w:rFonts w:eastAsia="MS Mincho"/>
        </w:rPr>
        <w:t xml:space="preserve">utilities </w:t>
      </w:r>
      <w:r w:rsidRPr="00521A57">
        <w:rPr>
          <w:rFonts w:eastAsia="MS Mincho"/>
        </w:rPr>
        <w:t>with respect to the PGSI</w:t>
      </w:r>
      <w:r w:rsidR="007E0C13" w:rsidRPr="00521A57">
        <w:rPr>
          <w:rFonts w:eastAsia="MS Mincho"/>
        </w:rPr>
        <w:t>.</w:t>
      </w:r>
      <w:r w:rsidR="008610D3" w:rsidRPr="00521A57">
        <w:rPr>
          <w:rFonts w:eastAsia="MS Mincho"/>
        </w:rPr>
        <w:t xml:space="preserve"> </w:t>
      </w:r>
      <w:r w:rsidRPr="00521A57">
        <w:rPr>
          <w:rFonts w:eastAsia="MS Mincho"/>
        </w:rPr>
        <w:t xml:space="preserve">Furthermore, systematic differences were observed between experts and general population raters, and between elicitation </w:t>
      </w:r>
      <w:r w:rsidR="0014594C" w:rsidRPr="00521A57">
        <w:rPr>
          <w:rFonts w:eastAsia="MS Mincho"/>
        </w:rPr>
        <w:t>methods</w:t>
      </w:r>
      <w:r w:rsidRPr="00521A57">
        <w:rPr>
          <w:rFonts w:eastAsia="MS Mincho"/>
        </w:rPr>
        <w:t xml:space="preserve"> (VAS versus TTO)</w:t>
      </w:r>
      <w:r w:rsidR="007E0C13" w:rsidRPr="00521A57">
        <w:rPr>
          <w:rFonts w:eastAsia="MS Mincho"/>
        </w:rPr>
        <w:t>.</w:t>
      </w:r>
      <w:r w:rsidR="008610D3" w:rsidRPr="00521A57">
        <w:rPr>
          <w:rFonts w:eastAsia="MS Mincho"/>
        </w:rPr>
        <w:t xml:space="preserve"> </w:t>
      </w:r>
      <w:r w:rsidRPr="00521A57">
        <w:rPr>
          <w:rFonts w:eastAsia="MS Mincho"/>
        </w:rPr>
        <w:t>These are known issues in the population health metric literature, with no straightforward remedy, and will be discussed in more detail below.</w:t>
      </w:r>
    </w:p>
    <w:p w14:paraId="00D79CF5" w14:textId="77777777" w:rsidR="00F61793" w:rsidRPr="00412993" w:rsidRDefault="00F61793" w:rsidP="00191866">
      <w:pPr>
        <w:pStyle w:val="VRGFHead4"/>
      </w:pPr>
      <w:r w:rsidRPr="00412993">
        <w:lastRenderedPageBreak/>
        <w:t>Expert versus general population utility elicitation</w:t>
      </w:r>
    </w:p>
    <w:p w14:paraId="6AAD234A" w14:textId="4C73198A" w:rsidR="00F61793" w:rsidRDefault="00F61793" w:rsidP="00F61793">
      <w:pPr>
        <w:pStyle w:val="VRGFBodycontent"/>
        <w:rPr>
          <w:rFonts w:eastAsia="MS Mincho"/>
        </w:rPr>
      </w:pPr>
      <w:r w:rsidRPr="00D82AC4">
        <w:rPr>
          <w:rFonts w:eastAsia="MS Mincho"/>
        </w:rPr>
        <w:t xml:space="preserve">We found that expert and general population judgements were broadly consistent, except for the fact that experts tended to provide lower </w:t>
      </w:r>
      <w:r w:rsidR="000D0A19">
        <w:rPr>
          <w:rFonts w:eastAsia="MS Mincho"/>
        </w:rPr>
        <w:t>gambling</w:t>
      </w:r>
      <w:r w:rsidR="00521A57">
        <w:rPr>
          <w:rFonts w:eastAsia="MS Mincho"/>
        </w:rPr>
        <w:t>-related</w:t>
      </w:r>
      <w:r w:rsidR="000D0A19">
        <w:rPr>
          <w:rFonts w:eastAsia="MS Mincho"/>
        </w:rPr>
        <w:t xml:space="preserve"> harm utility </w:t>
      </w:r>
      <w:r w:rsidRPr="00D82AC4">
        <w:rPr>
          <w:rFonts w:eastAsia="MS Mincho"/>
        </w:rPr>
        <w:t>estimates than the general population</w:t>
      </w:r>
      <w:r w:rsidR="0003495A">
        <w:rPr>
          <w:rFonts w:eastAsia="MS Mincho"/>
        </w:rPr>
        <w:t>.</w:t>
      </w:r>
      <w:r w:rsidR="008610D3">
        <w:rPr>
          <w:rFonts w:eastAsia="MS Mincho"/>
        </w:rPr>
        <w:t xml:space="preserve"> </w:t>
      </w:r>
      <w:r w:rsidRPr="00D82AC4">
        <w:rPr>
          <w:rFonts w:eastAsia="MS Mincho"/>
        </w:rPr>
        <w:t xml:space="preserve">Interestingly, this difference </w:t>
      </w:r>
      <w:r w:rsidR="0031220B">
        <w:rPr>
          <w:rFonts w:eastAsia="MS Mincho"/>
        </w:rPr>
        <w:t>was</w:t>
      </w:r>
      <w:r w:rsidR="0031220B" w:rsidRPr="00D82AC4">
        <w:rPr>
          <w:rFonts w:eastAsia="MS Mincho"/>
        </w:rPr>
        <w:t xml:space="preserve"> </w:t>
      </w:r>
      <w:r w:rsidRPr="00D82AC4">
        <w:rPr>
          <w:rFonts w:eastAsia="MS Mincho"/>
        </w:rPr>
        <w:t>the opposite direction from that generally found in health utility valuation experiments in which experts tend to rate conditions as more severe than the public</w:t>
      </w:r>
      <w:r>
        <w:rPr>
          <w:rFonts w:eastAsia="MS Mincho"/>
        </w:rPr>
        <w:t xml:space="preserve"> (Baltussen, Sanon, Sommerfeld, &amp; Wurthwein, 2002; Barbist, Renn, Noisternig, Rumpold &amp; Hofer, 2008; Haagsma, Polinder, Cassini, Colzani, &amp; Havelaar, 2014; Jelsma, Chivaura,</w:t>
      </w:r>
      <w:r w:rsidR="00580E36">
        <w:rPr>
          <w:rFonts w:eastAsia="MS Mincho"/>
        </w:rPr>
        <w:t xml:space="preserve"> Mhundwa, De Weerdt, &amp; de Cock, 1999</w:t>
      </w:r>
      <w:r>
        <w:rPr>
          <w:rFonts w:eastAsia="MS Mincho"/>
        </w:rPr>
        <w:t>; Ustun et al., 1999)</w:t>
      </w:r>
      <w:r w:rsidR="0003495A">
        <w:rPr>
          <w:rFonts w:eastAsia="MS Mincho"/>
        </w:rPr>
        <w:t>.</w:t>
      </w:r>
      <w:r w:rsidR="008610D3">
        <w:rPr>
          <w:rFonts w:eastAsia="MS Mincho"/>
        </w:rPr>
        <w:t xml:space="preserve"> </w:t>
      </w:r>
      <w:r>
        <w:rPr>
          <w:rFonts w:eastAsia="MS Mincho"/>
        </w:rPr>
        <w:t xml:space="preserve">Our interpretation of this result is that it </w:t>
      </w:r>
      <w:r w:rsidR="0031220B">
        <w:rPr>
          <w:rFonts w:eastAsia="MS Mincho"/>
        </w:rPr>
        <w:t xml:space="preserve">could be </w:t>
      </w:r>
      <w:r>
        <w:rPr>
          <w:rFonts w:eastAsia="MS Mincho"/>
        </w:rPr>
        <w:t xml:space="preserve">due to the greater stigma towards gambling than other </w:t>
      </w:r>
      <w:r w:rsidR="00820181">
        <w:rPr>
          <w:rFonts w:eastAsia="MS Mincho"/>
        </w:rPr>
        <w:t xml:space="preserve">health </w:t>
      </w:r>
      <w:r>
        <w:rPr>
          <w:rFonts w:eastAsia="MS Mincho"/>
        </w:rPr>
        <w:t>conditions; a bias that would be more apparent in the general population than in experts.</w:t>
      </w:r>
    </w:p>
    <w:p w14:paraId="0F2FC83F" w14:textId="69543F48" w:rsidR="00F61793" w:rsidRDefault="00F61793" w:rsidP="00F61793">
      <w:pPr>
        <w:pStyle w:val="VRGFBodycontent"/>
        <w:rPr>
          <w:rFonts w:eastAsia="MS Mincho"/>
        </w:rPr>
      </w:pPr>
      <w:r w:rsidRPr="00D82AC4">
        <w:rPr>
          <w:rFonts w:eastAsia="MS Mincho"/>
        </w:rPr>
        <w:t>It is unclear whether general population or expert judgements should be considered the most valid</w:t>
      </w:r>
      <w:r w:rsidR="0003495A">
        <w:rPr>
          <w:rFonts w:eastAsia="MS Mincho"/>
        </w:rPr>
        <w:t>.</w:t>
      </w:r>
      <w:r w:rsidR="008610D3">
        <w:rPr>
          <w:rFonts w:eastAsia="MS Mincho"/>
        </w:rPr>
        <w:t xml:space="preserve"> </w:t>
      </w:r>
      <w:r w:rsidRPr="00D82AC4">
        <w:rPr>
          <w:rFonts w:eastAsia="MS Mincho"/>
        </w:rPr>
        <w:t xml:space="preserve">On one hand, experts </w:t>
      </w:r>
      <w:r>
        <w:rPr>
          <w:rFonts w:eastAsia="MS Mincho"/>
        </w:rPr>
        <w:t>should</w:t>
      </w:r>
      <w:r w:rsidRPr="00D82AC4">
        <w:rPr>
          <w:rFonts w:eastAsia="MS Mincho"/>
        </w:rPr>
        <w:t xml:space="preserve"> be more familiar with gambling problems and should be able to imagine a more realistic life-situation given a verbal description</w:t>
      </w:r>
      <w:r w:rsidR="0003495A">
        <w:rPr>
          <w:rFonts w:eastAsia="MS Mincho"/>
        </w:rPr>
        <w:t>.</w:t>
      </w:r>
      <w:r w:rsidR="008610D3">
        <w:rPr>
          <w:rFonts w:eastAsia="MS Mincho"/>
        </w:rPr>
        <w:t xml:space="preserve"> </w:t>
      </w:r>
      <w:r w:rsidR="00A414DF">
        <w:rPr>
          <w:rFonts w:eastAsia="MS Mincho"/>
        </w:rPr>
        <w:t>Additionally</w:t>
      </w:r>
      <w:r w:rsidRPr="00D82AC4">
        <w:rPr>
          <w:rFonts w:eastAsia="MS Mincho"/>
        </w:rPr>
        <w:t>, experts tend to be more reliable in their estimates</w:t>
      </w:r>
      <w:r>
        <w:rPr>
          <w:rFonts w:eastAsia="MS Mincho"/>
        </w:rPr>
        <w:t xml:space="preserve">, which would likely reflect a better comprehension of the instructions, and better attention to the </w:t>
      </w:r>
      <w:r w:rsidRPr="00521A57">
        <w:rPr>
          <w:rFonts w:eastAsia="MS Mincho"/>
        </w:rPr>
        <w:t>task</w:t>
      </w:r>
      <w:r w:rsidR="0003495A" w:rsidRPr="00521A57">
        <w:rPr>
          <w:rFonts w:eastAsia="MS Mincho"/>
        </w:rPr>
        <w:t>.</w:t>
      </w:r>
      <w:r w:rsidR="008610D3" w:rsidRPr="00521A57">
        <w:rPr>
          <w:rFonts w:eastAsia="MS Mincho"/>
        </w:rPr>
        <w:t xml:space="preserve"> </w:t>
      </w:r>
      <w:r w:rsidRPr="00521A57">
        <w:rPr>
          <w:rFonts w:eastAsia="MS Mincho"/>
        </w:rPr>
        <w:t xml:space="preserve">However, definitions of </w:t>
      </w:r>
      <w:r w:rsidR="00521A57">
        <w:rPr>
          <w:rFonts w:eastAsia="MS Mincho"/>
        </w:rPr>
        <w:t>HRQLs</w:t>
      </w:r>
      <w:r w:rsidR="00521A57" w:rsidRPr="00521A57">
        <w:rPr>
          <w:rFonts w:eastAsia="MS Mincho"/>
        </w:rPr>
        <w:t xml:space="preserve"> </w:t>
      </w:r>
      <w:r w:rsidRPr="00521A57">
        <w:rPr>
          <w:rFonts w:eastAsia="MS Mincho"/>
        </w:rPr>
        <w:t>involve a social consensus judgement regarding the desirability or undesirability of a condition</w:t>
      </w:r>
      <w:r w:rsidR="0003495A" w:rsidRPr="00521A57">
        <w:rPr>
          <w:rFonts w:eastAsia="MS Mincho"/>
        </w:rPr>
        <w:t>.</w:t>
      </w:r>
      <w:r w:rsidR="008610D3" w:rsidRPr="00521A57">
        <w:rPr>
          <w:rFonts w:eastAsia="MS Mincho"/>
        </w:rPr>
        <w:t xml:space="preserve"> </w:t>
      </w:r>
      <w:r w:rsidRPr="00521A57">
        <w:rPr>
          <w:rFonts w:eastAsia="MS Mincho"/>
        </w:rPr>
        <w:t>From this point of view, it is the perception of the public that ‘counts’ in valuing health states</w:t>
      </w:r>
      <w:r w:rsidR="0003495A" w:rsidRPr="00521A57">
        <w:rPr>
          <w:rFonts w:eastAsia="MS Mincho"/>
        </w:rPr>
        <w:t>.</w:t>
      </w:r>
      <w:r w:rsidR="008610D3" w:rsidRPr="00521A57">
        <w:rPr>
          <w:rFonts w:eastAsia="MS Mincho"/>
        </w:rPr>
        <w:t xml:space="preserve"> </w:t>
      </w:r>
      <w:r w:rsidRPr="00521A57">
        <w:rPr>
          <w:rFonts w:eastAsia="MS Mincho"/>
        </w:rPr>
        <w:t>A</w:t>
      </w:r>
      <w:r w:rsidRPr="00D82AC4">
        <w:rPr>
          <w:rFonts w:eastAsia="MS Mincho"/>
        </w:rPr>
        <w:t xml:space="preserve"> further advantage of general public sampling is that much larger samples can be o</w:t>
      </w:r>
      <w:r>
        <w:rPr>
          <w:rFonts w:eastAsia="MS Mincho"/>
        </w:rPr>
        <w:t>btained, especially when using i</w:t>
      </w:r>
      <w:r w:rsidRPr="00D82AC4">
        <w:rPr>
          <w:rFonts w:eastAsia="MS Mincho"/>
        </w:rPr>
        <w:t>nternet</w:t>
      </w:r>
      <w:r w:rsidR="00A414DF">
        <w:rPr>
          <w:rFonts w:eastAsia="MS Mincho"/>
        </w:rPr>
        <w:t>-</w:t>
      </w:r>
      <w:r w:rsidRPr="00D82AC4">
        <w:rPr>
          <w:rFonts w:eastAsia="MS Mincho"/>
        </w:rPr>
        <w:t>based elicitation protocols</w:t>
      </w:r>
      <w:r w:rsidR="0003495A">
        <w:rPr>
          <w:rFonts w:eastAsia="MS Mincho"/>
        </w:rPr>
        <w:t>.</w:t>
      </w:r>
      <w:r w:rsidR="008610D3">
        <w:rPr>
          <w:rFonts w:eastAsia="MS Mincho"/>
        </w:rPr>
        <w:t xml:space="preserve"> </w:t>
      </w:r>
      <w:r>
        <w:rPr>
          <w:rFonts w:eastAsia="MS Mincho"/>
        </w:rPr>
        <w:t>This can more than compensate for lower reliability in responding, especially when intra-respondent reliability estimates are used to reject poor responses</w:t>
      </w:r>
      <w:r w:rsidR="0003495A">
        <w:rPr>
          <w:rFonts w:eastAsia="MS Mincho"/>
        </w:rPr>
        <w:t>.</w:t>
      </w:r>
      <w:r w:rsidR="008610D3">
        <w:rPr>
          <w:rFonts w:eastAsia="MS Mincho"/>
        </w:rPr>
        <w:t xml:space="preserve"> </w:t>
      </w:r>
      <w:r>
        <w:rPr>
          <w:rFonts w:eastAsia="MS Mincho"/>
        </w:rPr>
        <w:t>That is, w</w:t>
      </w:r>
      <w:r w:rsidRPr="00D82AC4">
        <w:rPr>
          <w:rFonts w:eastAsia="MS Mincho"/>
        </w:rPr>
        <w:t>hilst there is lower reliability of any single participant in the general public, the large number of respondents that can be efficiently recruited balances this</w:t>
      </w:r>
      <w:r w:rsidR="0003495A">
        <w:rPr>
          <w:rFonts w:eastAsia="MS Mincho"/>
        </w:rPr>
        <w:t>.</w:t>
      </w:r>
      <w:r w:rsidR="008610D3">
        <w:rPr>
          <w:rFonts w:eastAsia="MS Mincho"/>
        </w:rPr>
        <w:t xml:space="preserve"> </w:t>
      </w:r>
      <w:r w:rsidR="00A414DF" w:rsidRPr="00D82AC4">
        <w:rPr>
          <w:rFonts w:eastAsia="MS Mincho"/>
        </w:rPr>
        <w:t>Therefore</w:t>
      </w:r>
      <w:r w:rsidR="00A414DF">
        <w:rPr>
          <w:rFonts w:eastAsia="MS Mincho"/>
        </w:rPr>
        <w:t>,</w:t>
      </w:r>
      <w:r w:rsidR="00A414DF" w:rsidRPr="00D82AC4">
        <w:rPr>
          <w:rFonts w:eastAsia="MS Mincho"/>
        </w:rPr>
        <w:t xml:space="preserve"> </w:t>
      </w:r>
      <w:r w:rsidR="00A414DF">
        <w:rPr>
          <w:rFonts w:eastAsia="MS Mincho"/>
        </w:rPr>
        <w:t>w</w:t>
      </w:r>
      <w:r w:rsidRPr="00D82AC4">
        <w:rPr>
          <w:rFonts w:eastAsia="MS Mincho"/>
        </w:rPr>
        <w:t xml:space="preserve">e conclude that large-sample general public recruitment for this form of task </w:t>
      </w:r>
      <w:r>
        <w:rPr>
          <w:rFonts w:eastAsia="MS Mincho"/>
        </w:rPr>
        <w:t>has attractive properties</w:t>
      </w:r>
      <w:r w:rsidRPr="00D82AC4">
        <w:rPr>
          <w:rFonts w:eastAsia="MS Mincho"/>
        </w:rPr>
        <w:t>, both in terms of validity – being more easily interpreted as a ‘social consensus’, and on statistical grounds</w:t>
      </w:r>
      <w:r w:rsidR="0003495A">
        <w:rPr>
          <w:rFonts w:eastAsia="MS Mincho"/>
        </w:rPr>
        <w:t>.</w:t>
      </w:r>
      <w:r w:rsidR="008610D3">
        <w:rPr>
          <w:rFonts w:eastAsia="MS Mincho"/>
        </w:rPr>
        <w:t xml:space="preserve"> </w:t>
      </w:r>
      <w:r>
        <w:rPr>
          <w:rFonts w:eastAsia="MS Mincho"/>
        </w:rPr>
        <w:t>Nevertheless, the additional use of expert evaluations provides a useful point of comparison, especially given the circumstantial evidence that general population ratings are affected by stigma</w:t>
      </w:r>
      <w:r w:rsidR="0003495A">
        <w:rPr>
          <w:rFonts w:eastAsia="MS Mincho"/>
        </w:rPr>
        <w:t>.</w:t>
      </w:r>
      <w:r w:rsidR="008610D3">
        <w:rPr>
          <w:rFonts w:eastAsia="MS Mincho"/>
        </w:rPr>
        <w:t xml:space="preserve"> </w:t>
      </w:r>
      <w:r w:rsidRPr="00D82AC4">
        <w:rPr>
          <w:rFonts w:eastAsia="MS Mincho"/>
        </w:rPr>
        <w:t xml:space="preserve">The calculations done in this report </w:t>
      </w:r>
      <w:r>
        <w:rPr>
          <w:rFonts w:eastAsia="MS Mincho"/>
        </w:rPr>
        <w:t xml:space="preserve">have </w:t>
      </w:r>
      <w:r w:rsidRPr="00D82AC4">
        <w:rPr>
          <w:rFonts w:eastAsia="MS Mincho"/>
        </w:rPr>
        <w:t>weighted expert and general public responses equally</w:t>
      </w:r>
      <w:r w:rsidR="0003495A">
        <w:rPr>
          <w:rFonts w:eastAsia="MS Mincho"/>
        </w:rPr>
        <w:t>.</w:t>
      </w:r>
      <w:r w:rsidR="008610D3">
        <w:rPr>
          <w:rFonts w:eastAsia="MS Mincho"/>
        </w:rPr>
        <w:t xml:space="preserve"> </w:t>
      </w:r>
      <w:r w:rsidRPr="00D82AC4">
        <w:rPr>
          <w:rFonts w:eastAsia="MS Mincho"/>
        </w:rPr>
        <w:t>However, a valid alternative would have been to take the mid-point of the two group’s ratings</w:t>
      </w:r>
      <w:r w:rsidR="0003495A">
        <w:rPr>
          <w:rFonts w:eastAsia="MS Mincho"/>
        </w:rPr>
        <w:t>.</w:t>
      </w:r>
      <w:r w:rsidR="008610D3">
        <w:rPr>
          <w:rFonts w:eastAsia="MS Mincho"/>
        </w:rPr>
        <w:t xml:space="preserve"> </w:t>
      </w:r>
      <w:r w:rsidRPr="00D82AC4">
        <w:rPr>
          <w:rFonts w:eastAsia="MS Mincho"/>
        </w:rPr>
        <w:t xml:space="preserve">This would have led to lower </w:t>
      </w:r>
      <w:r w:rsidR="000D0A19">
        <w:rPr>
          <w:rFonts w:eastAsia="MS Mincho"/>
        </w:rPr>
        <w:t>gambling</w:t>
      </w:r>
      <w:r w:rsidR="00521A57">
        <w:rPr>
          <w:rFonts w:eastAsia="MS Mincho"/>
        </w:rPr>
        <w:t>-related</w:t>
      </w:r>
      <w:r w:rsidR="000D0A19">
        <w:rPr>
          <w:rFonts w:eastAsia="MS Mincho"/>
        </w:rPr>
        <w:t xml:space="preserve"> </w:t>
      </w:r>
      <w:r w:rsidRPr="00D82AC4">
        <w:rPr>
          <w:rFonts w:eastAsia="MS Mincho"/>
        </w:rPr>
        <w:t xml:space="preserve">harm </w:t>
      </w:r>
      <w:r w:rsidR="00521A57">
        <w:rPr>
          <w:rFonts w:eastAsia="MS Mincho"/>
        </w:rPr>
        <w:t xml:space="preserve">utility </w:t>
      </w:r>
      <w:r w:rsidRPr="00D82AC4">
        <w:rPr>
          <w:rFonts w:eastAsia="MS Mincho"/>
        </w:rPr>
        <w:t>estimates for the</w:t>
      </w:r>
      <w:r>
        <w:rPr>
          <w:rFonts w:eastAsia="MS Mincho"/>
        </w:rPr>
        <w:t xml:space="preserve"> moderate and problem categories, and a slightly higher estimate for the low-risk category</w:t>
      </w:r>
      <w:r w:rsidR="00A414DF">
        <w:rPr>
          <w:rFonts w:eastAsia="MS Mincho"/>
        </w:rPr>
        <w:t>, for example,</w:t>
      </w:r>
      <w:r w:rsidRPr="00D82AC4">
        <w:rPr>
          <w:rFonts w:eastAsia="MS Mincho"/>
        </w:rPr>
        <w:t xml:space="preserve"> the estimate for low-risk category would have been </w:t>
      </w:r>
      <w:r w:rsidR="00A414DF">
        <w:rPr>
          <w:rFonts w:eastAsia="MS Mincho"/>
        </w:rPr>
        <w:t>0</w:t>
      </w:r>
      <w:r w:rsidRPr="00D82AC4">
        <w:rPr>
          <w:rFonts w:eastAsia="MS Mincho"/>
        </w:rPr>
        <w:t>.1</w:t>
      </w:r>
      <w:r>
        <w:rPr>
          <w:rFonts w:eastAsia="MS Mincho"/>
        </w:rPr>
        <w:t>9</w:t>
      </w:r>
      <w:r w:rsidRPr="00D82AC4">
        <w:rPr>
          <w:rFonts w:eastAsia="MS Mincho"/>
        </w:rPr>
        <w:t xml:space="preserve"> instead of </w:t>
      </w:r>
      <w:r w:rsidR="00A414DF">
        <w:rPr>
          <w:rFonts w:eastAsia="MS Mincho"/>
        </w:rPr>
        <w:t>0</w:t>
      </w:r>
      <w:r w:rsidRPr="00D82AC4">
        <w:rPr>
          <w:rFonts w:eastAsia="MS Mincho"/>
        </w:rPr>
        <w:t>.1</w:t>
      </w:r>
      <w:r>
        <w:rPr>
          <w:rFonts w:eastAsia="MS Mincho"/>
        </w:rPr>
        <w:t>8</w:t>
      </w:r>
      <w:r w:rsidRPr="00D82AC4">
        <w:rPr>
          <w:rFonts w:eastAsia="MS Mincho"/>
        </w:rPr>
        <w:t xml:space="preserve"> due to </w:t>
      </w:r>
      <w:r>
        <w:rPr>
          <w:rFonts w:eastAsia="MS Mincho"/>
        </w:rPr>
        <w:t xml:space="preserve">the general population rating this condition as </w:t>
      </w:r>
      <w:r w:rsidR="00A414DF">
        <w:rPr>
          <w:rFonts w:eastAsia="MS Mincho"/>
        </w:rPr>
        <w:t>0</w:t>
      </w:r>
      <w:r>
        <w:rPr>
          <w:rFonts w:eastAsia="MS Mincho"/>
        </w:rPr>
        <w:t>.22</w:t>
      </w:r>
      <w:r w:rsidRPr="00D82AC4">
        <w:rPr>
          <w:rFonts w:eastAsia="MS Mincho"/>
        </w:rPr>
        <w:t xml:space="preserve">. </w:t>
      </w:r>
    </w:p>
    <w:p w14:paraId="3721C937" w14:textId="77777777" w:rsidR="00F61793" w:rsidRDefault="00F61793" w:rsidP="00F61793">
      <w:pPr>
        <w:pStyle w:val="VRGFBodycontent"/>
        <w:rPr>
          <w:rFonts w:eastAsia="MS Mincho"/>
        </w:rPr>
      </w:pPr>
    </w:p>
    <w:p w14:paraId="263122E4" w14:textId="77777777" w:rsidR="00F61793" w:rsidRPr="00412993" w:rsidRDefault="00F61793" w:rsidP="00191866">
      <w:pPr>
        <w:pStyle w:val="VRGFHead4"/>
      </w:pPr>
      <w:r w:rsidRPr="00412993">
        <w:t>Harm with respect to gambling problems</w:t>
      </w:r>
    </w:p>
    <w:p w14:paraId="46144B7C" w14:textId="3D19F2A1" w:rsidR="00F61793" w:rsidRDefault="00F61793" w:rsidP="00F61793">
      <w:pPr>
        <w:pStyle w:val="VRGFBodycontent"/>
        <w:rPr>
          <w:rFonts w:eastAsia="MS Mincho"/>
        </w:rPr>
      </w:pPr>
      <w:r w:rsidRPr="00D82AC4">
        <w:rPr>
          <w:rFonts w:eastAsia="MS Mincho"/>
        </w:rPr>
        <w:t xml:space="preserve">Our dimensional approach to understanding gambling harm, and reliance on the PGSI as our population-representative measure of prevalence, led us to estimate the relationship of the PGSI to </w:t>
      </w:r>
      <w:r>
        <w:rPr>
          <w:rFonts w:eastAsia="MS Mincho"/>
        </w:rPr>
        <w:t xml:space="preserve">a </w:t>
      </w:r>
      <w:r w:rsidRPr="00D82AC4">
        <w:rPr>
          <w:rFonts w:eastAsia="MS Mincho"/>
        </w:rPr>
        <w:t>utility decrement</w:t>
      </w:r>
      <w:r w:rsidR="0003495A">
        <w:rPr>
          <w:rFonts w:eastAsia="MS Mincho"/>
        </w:rPr>
        <w:t>.</w:t>
      </w:r>
      <w:r w:rsidR="008610D3">
        <w:rPr>
          <w:rFonts w:eastAsia="MS Mincho"/>
        </w:rPr>
        <w:t xml:space="preserve"> </w:t>
      </w:r>
      <w:r w:rsidRPr="00D82AC4">
        <w:rPr>
          <w:rFonts w:eastAsia="MS Mincho"/>
        </w:rPr>
        <w:t xml:space="preserve">The </w:t>
      </w:r>
      <w:r w:rsidR="000D0A19">
        <w:rPr>
          <w:rFonts w:eastAsia="MS Mincho"/>
        </w:rPr>
        <w:t>gambling</w:t>
      </w:r>
      <w:r w:rsidR="00521A57">
        <w:rPr>
          <w:rFonts w:eastAsia="MS Mincho"/>
        </w:rPr>
        <w:t>-related</w:t>
      </w:r>
      <w:r w:rsidR="000D0A19">
        <w:rPr>
          <w:rFonts w:eastAsia="MS Mincho"/>
        </w:rPr>
        <w:t xml:space="preserve"> </w:t>
      </w:r>
      <w:r w:rsidRPr="00D82AC4">
        <w:rPr>
          <w:rFonts w:eastAsia="MS Mincho"/>
        </w:rPr>
        <w:t xml:space="preserve">harm valuations tended to exhibit </w:t>
      </w:r>
      <w:r>
        <w:rPr>
          <w:rFonts w:eastAsia="MS Mincho"/>
        </w:rPr>
        <w:t>a systematic relationship to the PGSI</w:t>
      </w:r>
      <w:r w:rsidR="006733D4">
        <w:rPr>
          <w:rFonts w:eastAsia="MS Mincho"/>
        </w:rPr>
        <w:t>,</w:t>
      </w:r>
      <w:r>
        <w:rPr>
          <w:rFonts w:eastAsia="MS Mincho"/>
        </w:rPr>
        <w:t xml:space="preserve"> with inflection points similar, but not identical to, established</w:t>
      </w:r>
      <w:r w:rsidRPr="00D82AC4">
        <w:rPr>
          <w:rFonts w:eastAsia="MS Mincho"/>
        </w:rPr>
        <w:t xml:space="preserve"> PGSI harm categories</w:t>
      </w:r>
      <w:r w:rsidR="0003495A">
        <w:rPr>
          <w:rFonts w:eastAsia="MS Mincho"/>
        </w:rPr>
        <w:t>.</w:t>
      </w:r>
      <w:r w:rsidR="008610D3">
        <w:rPr>
          <w:rFonts w:eastAsia="MS Mincho"/>
        </w:rPr>
        <w:t xml:space="preserve"> </w:t>
      </w:r>
      <w:r w:rsidRPr="00D82AC4">
        <w:rPr>
          <w:rFonts w:eastAsia="MS Mincho"/>
        </w:rPr>
        <w:t>The raw elicited harm valuations showed a reasonable and expected curve with respect to the PGSI – rising sharply through the moderate</w:t>
      </w:r>
      <w:r w:rsidR="006733D4">
        <w:rPr>
          <w:rFonts w:eastAsia="MS Mincho"/>
        </w:rPr>
        <w:t>-</w:t>
      </w:r>
      <w:r w:rsidRPr="00D82AC4">
        <w:rPr>
          <w:rFonts w:eastAsia="MS Mincho"/>
        </w:rPr>
        <w:t>risk category, and then saturating shortly after the problem gambling threshold</w:t>
      </w:r>
      <w:r w:rsidR="0003495A">
        <w:rPr>
          <w:rFonts w:eastAsia="MS Mincho"/>
        </w:rPr>
        <w:t>.</w:t>
      </w:r>
      <w:r w:rsidR="008610D3">
        <w:rPr>
          <w:rFonts w:eastAsia="MS Mincho"/>
        </w:rPr>
        <w:t xml:space="preserve"> </w:t>
      </w:r>
      <w:r w:rsidRPr="00D82AC4">
        <w:rPr>
          <w:rFonts w:eastAsia="MS Mincho"/>
        </w:rPr>
        <w:t>This effect was similar for both elicitation methods</w:t>
      </w:r>
      <w:r w:rsidR="0003495A">
        <w:rPr>
          <w:rFonts w:eastAsia="MS Mincho"/>
        </w:rPr>
        <w:t>.</w:t>
      </w:r>
      <w:r w:rsidR="008610D3">
        <w:rPr>
          <w:rFonts w:eastAsia="MS Mincho"/>
        </w:rPr>
        <w:t xml:space="preserve"> </w:t>
      </w:r>
      <w:r w:rsidRPr="00D82AC4">
        <w:rPr>
          <w:rFonts w:eastAsia="MS Mincho"/>
        </w:rPr>
        <w:t>However, the VAS appeared to yield higher ratings across all levels of the PGSI</w:t>
      </w:r>
      <w:r w:rsidR="0003495A">
        <w:rPr>
          <w:rFonts w:eastAsia="MS Mincho"/>
        </w:rPr>
        <w:t>.</w:t>
      </w:r>
      <w:r w:rsidR="008610D3">
        <w:rPr>
          <w:rFonts w:eastAsia="MS Mincho"/>
        </w:rPr>
        <w:t xml:space="preserve"> </w:t>
      </w:r>
      <w:r w:rsidRPr="00D82AC4">
        <w:rPr>
          <w:rFonts w:eastAsia="MS Mincho"/>
        </w:rPr>
        <w:t>Method variance, or different mean estimates obtained by using different protocols, is a well-recognised concern in utility elicitation studies</w:t>
      </w:r>
      <w:r>
        <w:rPr>
          <w:rFonts w:eastAsia="MS Mincho"/>
        </w:rPr>
        <w:t xml:space="preserve"> (Haagsma et al., 2014; Schwarzinger, Southard, Burstrom, &amp; Nord, 2003; Haagsma, Havelaar, Janssen, &amp; Bonsel, 2008; Nord, 1991; Murray et al., 2013)</w:t>
      </w:r>
      <w:r w:rsidR="0003495A">
        <w:rPr>
          <w:rFonts w:eastAsia="MS Mincho"/>
        </w:rPr>
        <w:t>.</w:t>
      </w:r>
      <w:r w:rsidR="008610D3">
        <w:rPr>
          <w:rFonts w:eastAsia="MS Mincho"/>
        </w:rPr>
        <w:t xml:space="preserve"> </w:t>
      </w:r>
      <w:r w:rsidRPr="00D82AC4">
        <w:rPr>
          <w:rFonts w:eastAsia="MS Mincho"/>
        </w:rPr>
        <w:t>At present, the favoured approach appears to be through the use of multi-method protocols</w:t>
      </w:r>
      <w:r w:rsidR="0003495A">
        <w:rPr>
          <w:rFonts w:eastAsia="MS Mincho"/>
        </w:rPr>
        <w:t>.</w:t>
      </w:r>
      <w:r w:rsidR="008610D3">
        <w:rPr>
          <w:rFonts w:eastAsia="MS Mincho"/>
        </w:rPr>
        <w:t xml:space="preserve"> </w:t>
      </w:r>
      <w:r w:rsidRPr="00D82AC4">
        <w:rPr>
          <w:rFonts w:eastAsia="MS Mincho"/>
        </w:rPr>
        <w:t xml:space="preserve">Therefore, further work on gambling harms could contribute by implementing </w:t>
      </w:r>
      <w:r w:rsidR="00521A57">
        <w:rPr>
          <w:rFonts w:eastAsia="MS Mincho"/>
        </w:rPr>
        <w:t xml:space="preserve">and comparing </w:t>
      </w:r>
      <w:r w:rsidRPr="00D82AC4">
        <w:rPr>
          <w:rFonts w:eastAsia="MS Mincho"/>
        </w:rPr>
        <w:t>a wider variety of protocols</w:t>
      </w:r>
      <w:r w:rsidR="00521A57">
        <w:rPr>
          <w:rFonts w:eastAsia="MS Mincho"/>
        </w:rPr>
        <w:t xml:space="preserve">, such as Discrete </w:t>
      </w:r>
      <w:r w:rsidR="00521A57">
        <w:rPr>
          <w:rFonts w:eastAsia="MS Mincho"/>
        </w:rPr>
        <w:lastRenderedPageBreak/>
        <w:t>Choice Experiments (DCE)</w:t>
      </w:r>
      <w:r w:rsidR="0003495A">
        <w:rPr>
          <w:rFonts w:eastAsia="MS Mincho"/>
        </w:rPr>
        <w:t>.</w:t>
      </w:r>
      <w:r w:rsidR="008610D3">
        <w:rPr>
          <w:rFonts w:eastAsia="MS Mincho"/>
        </w:rPr>
        <w:t xml:space="preserve"> </w:t>
      </w:r>
      <w:r w:rsidRPr="00D82AC4">
        <w:rPr>
          <w:rFonts w:eastAsia="MS Mincho"/>
        </w:rPr>
        <w:t>One way to introduce further diversity in protocol would be to apply the VAS without any comparison conditions</w:t>
      </w:r>
      <w:r w:rsidR="0003495A">
        <w:rPr>
          <w:rFonts w:eastAsia="MS Mincho"/>
        </w:rPr>
        <w:t>.</w:t>
      </w:r>
      <w:r w:rsidR="008610D3">
        <w:rPr>
          <w:rFonts w:eastAsia="MS Mincho"/>
        </w:rPr>
        <w:t xml:space="preserve"> </w:t>
      </w:r>
      <w:r w:rsidRPr="00D82AC4">
        <w:rPr>
          <w:rFonts w:eastAsia="MS Mincho"/>
        </w:rPr>
        <w:t xml:space="preserve">The comparison conditions could then be incorporated into a separate rank-ordering task. </w:t>
      </w:r>
    </w:p>
    <w:p w14:paraId="13A0B8E7" w14:textId="77777777" w:rsidR="00F61793" w:rsidRDefault="00F61793" w:rsidP="00F61793">
      <w:pPr>
        <w:pStyle w:val="VRGFBodycontent"/>
        <w:rPr>
          <w:rFonts w:eastAsia="MS Mincho"/>
        </w:rPr>
      </w:pPr>
    </w:p>
    <w:p w14:paraId="17E23C21" w14:textId="77777777" w:rsidR="00F61793" w:rsidRPr="00412993" w:rsidRDefault="00F61793" w:rsidP="00191866">
      <w:pPr>
        <w:pStyle w:val="VRGFHead4"/>
      </w:pPr>
      <w:r w:rsidRPr="00412993">
        <w:t xml:space="preserve">Harm to </w:t>
      </w:r>
      <w:r w:rsidRPr="00191866">
        <w:t>self</w:t>
      </w:r>
      <w:r w:rsidRPr="00412993">
        <w:t xml:space="preserve"> and others</w:t>
      </w:r>
    </w:p>
    <w:p w14:paraId="5D297908" w14:textId="0C5E98E0" w:rsidR="00F61793" w:rsidRDefault="00F61793" w:rsidP="00F61793">
      <w:pPr>
        <w:pStyle w:val="VRGFBodycontent"/>
        <w:rPr>
          <w:rFonts w:eastAsia="MS Mincho"/>
        </w:rPr>
      </w:pPr>
      <w:r w:rsidRPr="00D82AC4">
        <w:rPr>
          <w:rFonts w:eastAsia="MS Mincho"/>
        </w:rPr>
        <w:t>For a given level of gambling problems, harm caused to oneself and others were relatively consistent</w:t>
      </w:r>
      <w:r w:rsidR="0003495A">
        <w:rPr>
          <w:rFonts w:eastAsia="MS Mincho"/>
        </w:rPr>
        <w:t>.</w:t>
      </w:r>
      <w:r w:rsidR="008610D3">
        <w:rPr>
          <w:rFonts w:eastAsia="MS Mincho"/>
        </w:rPr>
        <w:t xml:space="preserve"> </w:t>
      </w:r>
      <w:r w:rsidRPr="00D82AC4">
        <w:rPr>
          <w:rFonts w:eastAsia="MS Mincho"/>
        </w:rPr>
        <w:t>However, a relatively higher proportion of harms from a low-risk gambler appeared to be ‘passed on’ to those surrounding them, than from a problem gambler</w:t>
      </w:r>
      <w:r w:rsidR="0003495A">
        <w:rPr>
          <w:rFonts w:eastAsia="MS Mincho"/>
        </w:rPr>
        <w:t>.</w:t>
      </w:r>
      <w:r w:rsidR="008610D3">
        <w:rPr>
          <w:rFonts w:eastAsia="MS Mincho"/>
        </w:rPr>
        <w:t xml:space="preserve"> </w:t>
      </w:r>
      <w:r w:rsidRPr="00D82AC4">
        <w:rPr>
          <w:rFonts w:eastAsia="MS Mincho"/>
        </w:rPr>
        <w:t>This is understandable, given that there is generally a limit to the degree to which the more intense harms can be ‘transmitted’ from one person to another</w:t>
      </w:r>
      <w:r w:rsidR="0003495A">
        <w:rPr>
          <w:rFonts w:eastAsia="MS Mincho"/>
        </w:rPr>
        <w:t>.</w:t>
      </w:r>
      <w:r w:rsidR="008610D3">
        <w:rPr>
          <w:rFonts w:eastAsia="MS Mincho"/>
        </w:rPr>
        <w:t xml:space="preserve"> </w:t>
      </w:r>
      <w:r w:rsidRPr="00D82AC4">
        <w:rPr>
          <w:rFonts w:eastAsia="MS Mincho"/>
        </w:rPr>
        <w:t>At lower levels of problems, affected individuals may engage and support the gambler more fully, but beyond a certain point, affected others either cannot or will not make the problems of the gambler their own</w:t>
      </w:r>
      <w:r w:rsidR="0003495A">
        <w:rPr>
          <w:rFonts w:eastAsia="MS Mincho"/>
        </w:rPr>
        <w:t>.</w:t>
      </w:r>
      <w:r w:rsidR="008610D3">
        <w:rPr>
          <w:rFonts w:eastAsia="MS Mincho"/>
        </w:rPr>
        <w:t xml:space="preserve"> </w:t>
      </w:r>
      <w:r w:rsidRPr="00D82AC4">
        <w:rPr>
          <w:rFonts w:eastAsia="MS Mincho"/>
        </w:rPr>
        <w:t xml:space="preserve">As noted </w:t>
      </w:r>
      <w:r>
        <w:rPr>
          <w:rFonts w:eastAsia="MS Mincho"/>
        </w:rPr>
        <w:t>earlier</w:t>
      </w:r>
      <w:r w:rsidRPr="00D82AC4">
        <w:rPr>
          <w:rFonts w:eastAsia="MS Mincho"/>
        </w:rPr>
        <w:t>, we interpret these effects with caution, because a limitation of the methodology was that the PGSI status of the gambler for harm to others was evaluated second</w:t>
      </w:r>
      <w:r w:rsidR="00D7659A">
        <w:rPr>
          <w:rFonts w:eastAsia="MS Mincho"/>
        </w:rPr>
        <w:t>-</w:t>
      </w:r>
      <w:r w:rsidRPr="00D82AC4">
        <w:rPr>
          <w:rFonts w:eastAsia="MS Mincho"/>
        </w:rPr>
        <w:t>hand by the affected person</w:t>
      </w:r>
      <w:r w:rsidR="0003495A">
        <w:rPr>
          <w:rFonts w:eastAsia="MS Mincho"/>
        </w:rPr>
        <w:t>.</w:t>
      </w:r>
      <w:r w:rsidR="008610D3">
        <w:rPr>
          <w:rFonts w:eastAsia="MS Mincho"/>
        </w:rPr>
        <w:t xml:space="preserve"> </w:t>
      </w:r>
      <w:r>
        <w:rPr>
          <w:rFonts w:eastAsia="MS Mincho"/>
        </w:rPr>
        <w:t xml:space="preserve">Whilst the </w:t>
      </w:r>
      <w:r w:rsidRPr="00D82AC4">
        <w:rPr>
          <w:rFonts w:eastAsia="MS Mincho"/>
        </w:rPr>
        <w:t xml:space="preserve">PGSI </w:t>
      </w:r>
      <w:r>
        <w:rPr>
          <w:rFonts w:eastAsia="MS Mincho"/>
        </w:rPr>
        <w:t>items were found to be</w:t>
      </w:r>
      <w:r w:rsidRPr="00D82AC4">
        <w:rPr>
          <w:rFonts w:eastAsia="MS Mincho"/>
        </w:rPr>
        <w:t xml:space="preserve"> functioning relatively consistently via </w:t>
      </w:r>
      <w:r w:rsidR="007015AE">
        <w:rPr>
          <w:rFonts w:eastAsia="MS Mincho"/>
        </w:rPr>
        <w:t>first-hand</w:t>
      </w:r>
      <w:r w:rsidRPr="00D82AC4">
        <w:rPr>
          <w:rFonts w:eastAsia="MS Mincho"/>
        </w:rPr>
        <w:t xml:space="preserve"> and </w:t>
      </w:r>
      <w:r w:rsidR="007015AE">
        <w:rPr>
          <w:rFonts w:eastAsia="MS Mincho"/>
        </w:rPr>
        <w:t>second-hand</w:t>
      </w:r>
      <w:r w:rsidRPr="00D82AC4">
        <w:rPr>
          <w:rFonts w:eastAsia="MS Mincho"/>
        </w:rPr>
        <w:t xml:space="preserve"> reporting,</w:t>
      </w:r>
      <w:r>
        <w:rPr>
          <w:rFonts w:eastAsia="MS Mincho"/>
        </w:rPr>
        <w:t xml:space="preserve"> </w:t>
      </w:r>
      <w:r w:rsidR="007015AE">
        <w:rPr>
          <w:rFonts w:eastAsia="MS Mincho"/>
        </w:rPr>
        <w:t>first-hand</w:t>
      </w:r>
      <w:r>
        <w:rPr>
          <w:rFonts w:eastAsia="MS Mincho"/>
        </w:rPr>
        <w:t xml:space="preserve"> reporters tend</w:t>
      </w:r>
      <w:r w:rsidR="00D7659A">
        <w:rPr>
          <w:rFonts w:eastAsia="MS Mincho"/>
        </w:rPr>
        <w:t>ed</w:t>
      </w:r>
      <w:r>
        <w:rPr>
          <w:rFonts w:eastAsia="MS Mincho"/>
        </w:rPr>
        <w:t xml:space="preserve"> to provide lower scores</w:t>
      </w:r>
      <w:r w:rsidR="0003495A">
        <w:rPr>
          <w:rFonts w:eastAsia="MS Mincho"/>
        </w:rPr>
        <w:t>.</w:t>
      </w:r>
      <w:r w:rsidR="008610D3">
        <w:rPr>
          <w:rFonts w:eastAsia="MS Mincho"/>
        </w:rPr>
        <w:t xml:space="preserve"> </w:t>
      </w:r>
      <w:r>
        <w:rPr>
          <w:rFonts w:eastAsia="MS Mincho"/>
        </w:rPr>
        <w:t xml:space="preserve">Thus, some of </w:t>
      </w:r>
      <w:r w:rsidRPr="00D82AC4">
        <w:rPr>
          <w:rFonts w:eastAsia="MS Mincho"/>
        </w:rPr>
        <w:t xml:space="preserve">the apparent differences in harm response to gambling problems is due to subtle shifts in category boundaries of the PGSI. </w:t>
      </w:r>
    </w:p>
    <w:p w14:paraId="1B1506D8" w14:textId="77777777" w:rsidR="00F61793" w:rsidRDefault="00F61793" w:rsidP="00F61793">
      <w:pPr>
        <w:pStyle w:val="VRGFBodycontent"/>
        <w:rPr>
          <w:rFonts w:eastAsia="MS Mincho"/>
        </w:rPr>
      </w:pPr>
    </w:p>
    <w:p w14:paraId="10B44545" w14:textId="77777777" w:rsidR="00F61793" w:rsidRPr="00412993" w:rsidRDefault="00F61793" w:rsidP="00191866">
      <w:pPr>
        <w:pStyle w:val="VRGFHead4"/>
      </w:pPr>
      <w:r w:rsidRPr="00412993">
        <w:t>Gambling harm compared to other conditions</w:t>
      </w:r>
    </w:p>
    <w:p w14:paraId="6ED20F67" w14:textId="5DC2FDDD" w:rsidR="00F61793" w:rsidRDefault="00F61793" w:rsidP="00F61793">
      <w:pPr>
        <w:pStyle w:val="VRGFBodycontent"/>
        <w:rPr>
          <w:rFonts w:eastAsia="MS Mincho"/>
        </w:rPr>
      </w:pPr>
      <w:r w:rsidRPr="00D82AC4">
        <w:rPr>
          <w:rFonts w:eastAsia="MS Mincho"/>
        </w:rPr>
        <w:t xml:space="preserve">We compared </w:t>
      </w:r>
      <w:r w:rsidRPr="002E6C09">
        <w:rPr>
          <w:rFonts w:eastAsia="MS Mincho"/>
        </w:rPr>
        <w:t>our HRQL</w:t>
      </w:r>
      <w:r w:rsidR="00EA38FD" w:rsidRPr="002E6C09">
        <w:rPr>
          <w:rFonts w:eastAsia="MS Mincho"/>
        </w:rPr>
        <w:t xml:space="preserve"> gambling</w:t>
      </w:r>
      <w:r w:rsidR="002E6C09">
        <w:rPr>
          <w:rFonts w:eastAsia="MS Mincho"/>
        </w:rPr>
        <w:t>-related</w:t>
      </w:r>
      <w:r w:rsidR="00EA38FD" w:rsidRPr="002E6C09">
        <w:rPr>
          <w:rFonts w:eastAsia="MS Mincho"/>
        </w:rPr>
        <w:t xml:space="preserve"> harm</w:t>
      </w:r>
      <w:r w:rsidRPr="002E6C09">
        <w:rPr>
          <w:rFonts w:eastAsia="MS Mincho"/>
        </w:rPr>
        <w:t xml:space="preserve"> utility for the three categories of gamblers (low-risk, moderate-risk, and problem) with comparable conditions mostly from the New Zealand Burden of Diseases, Injuries and Risk Factors Study, 2006-2016</w:t>
      </w:r>
      <w:r w:rsidR="001B148A" w:rsidRPr="002E6C09">
        <w:rPr>
          <w:rFonts w:eastAsia="MS Mincho"/>
        </w:rPr>
        <w:t xml:space="preserve"> (NZBD)</w:t>
      </w:r>
      <w:r w:rsidRPr="002E6C09">
        <w:rPr>
          <w:rFonts w:eastAsia="MS Mincho"/>
        </w:rPr>
        <w:t xml:space="preserve"> (Ministry of Health, 2013)</w:t>
      </w:r>
      <w:r w:rsidR="0003495A" w:rsidRPr="002E6C09">
        <w:rPr>
          <w:rFonts w:eastAsia="MS Mincho"/>
        </w:rPr>
        <w:t>.</w:t>
      </w:r>
      <w:r w:rsidR="008610D3" w:rsidRPr="002E6C09">
        <w:rPr>
          <w:rFonts w:eastAsia="MS Mincho"/>
        </w:rPr>
        <w:t xml:space="preserve"> </w:t>
      </w:r>
      <w:r w:rsidRPr="002E6C09">
        <w:rPr>
          <w:rFonts w:eastAsia="MS Mincho"/>
        </w:rPr>
        <w:t xml:space="preserve">It is worthwhile noting that </w:t>
      </w:r>
      <w:r w:rsidR="003D5100" w:rsidRPr="002E6C09">
        <w:rPr>
          <w:rFonts w:eastAsia="MS Mincho"/>
        </w:rPr>
        <w:t xml:space="preserve">the NZBD study </w:t>
      </w:r>
      <w:r w:rsidRPr="002E6C09">
        <w:rPr>
          <w:rFonts w:eastAsia="MS Mincho"/>
        </w:rPr>
        <w:t>sourced</w:t>
      </w:r>
      <w:r w:rsidR="003D5100" w:rsidRPr="002E6C09">
        <w:rPr>
          <w:rFonts w:eastAsia="MS Mincho"/>
        </w:rPr>
        <w:t xml:space="preserve"> their </w:t>
      </w:r>
      <w:r w:rsidR="002E6C09">
        <w:rPr>
          <w:rFonts w:eastAsia="MS Mincho"/>
        </w:rPr>
        <w:t>utilities</w:t>
      </w:r>
      <w:r w:rsidRPr="002E6C09">
        <w:rPr>
          <w:rFonts w:eastAsia="MS Mincho"/>
        </w:rPr>
        <w:t xml:space="preserve"> from the Global Burden of Disease </w:t>
      </w:r>
      <w:r w:rsidR="00235A0F" w:rsidRPr="002E6C09">
        <w:rPr>
          <w:rFonts w:eastAsia="MS Mincho"/>
        </w:rPr>
        <w:t xml:space="preserve">Study </w:t>
      </w:r>
      <w:r w:rsidRPr="002E6C09">
        <w:rPr>
          <w:rFonts w:eastAsia="MS Mincho"/>
        </w:rPr>
        <w:t>2010 (Salomon et al., 2013),</w:t>
      </w:r>
      <w:r w:rsidR="003D5100" w:rsidRPr="002E6C09">
        <w:rPr>
          <w:rFonts w:eastAsia="MS Mincho"/>
        </w:rPr>
        <w:t xml:space="preserve"> and slightly modified them </w:t>
      </w:r>
      <w:r w:rsidRPr="002E6C09">
        <w:rPr>
          <w:rFonts w:eastAsia="MS Mincho"/>
        </w:rPr>
        <w:t>based on advice from an expert group</w:t>
      </w:r>
      <w:r w:rsidR="0003495A" w:rsidRPr="002E6C09">
        <w:rPr>
          <w:rFonts w:eastAsia="MS Mincho"/>
        </w:rPr>
        <w:t>.</w:t>
      </w:r>
      <w:r w:rsidR="008610D3" w:rsidRPr="002E6C09">
        <w:rPr>
          <w:rFonts w:eastAsia="MS Mincho"/>
        </w:rPr>
        <w:t xml:space="preserve"> </w:t>
      </w:r>
      <w:r w:rsidRPr="002E6C09">
        <w:rPr>
          <w:rFonts w:eastAsia="MS Mincho"/>
        </w:rPr>
        <w:t>Given the significant psychological and relationship distress that accompanies problem gambling, the placement of the most severe category near other conditions, such as alcohol use disorder or bipolar disorder, appears plausible</w:t>
      </w:r>
      <w:r w:rsidR="0003495A" w:rsidRPr="002E6C09">
        <w:rPr>
          <w:rFonts w:eastAsia="MS Mincho"/>
        </w:rPr>
        <w:t>.</w:t>
      </w:r>
      <w:r w:rsidR="008610D3" w:rsidRPr="002E6C09">
        <w:rPr>
          <w:rFonts w:eastAsia="MS Mincho"/>
        </w:rPr>
        <w:t xml:space="preserve"> </w:t>
      </w:r>
      <w:r w:rsidRPr="002E6C09">
        <w:rPr>
          <w:rFonts w:eastAsia="MS Mincho"/>
        </w:rPr>
        <w:t>These figures confirm that the experience of gambling problems results in a severe impact on a gambler’s quality of life</w:t>
      </w:r>
      <w:r w:rsidR="0003495A" w:rsidRPr="002E6C09">
        <w:rPr>
          <w:rFonts w:eastAsia="MS Mincho"/>
        </w:rPr>
        <w:t>.</w:t>
      </w:r>
      <w:r w:rsidR="008610D3" w:rsidRPr="002E6C09">
        <w:rPr>
          <w:rFonts w:eastAsia="MS Mincho"/>
        </w:rPr>
        <w:t xml:space="preserve"> </w:t>
      </w:r>
      <w:r w:rsidRPr="002E6C09">
        <w:rPr>
          <w:rFonts w:eastAsia="MS Mincho"/>
        </w:rPr>
        <w:t xml:space="preserve">The </w:t>
      </w:r>
      <w:r w:rsidR="005D732F" w:rsidRPr="002E6C09">
        <w:rPr>
          <w:rFonts w:eastAsia="MS Mincho"/>
        </w:rPr>
        <w:t xml:space="preserve">effect </w:t>
      </w:r>
      <w:r w:rsidRPr="002E6C09">
        <w:rPr>
          <w:rFonts w:eastAsia="MS Mincho"/>
        </w:rPr>
        <w:t>of being a low-risk gambler is arguably more questionable</w:t>
      </w:r>
      <w:r w:rsidR="0003495A">
        <w:rPr>
          <w:rFonts w:eastAsia="MS Mincho"/>
        </w:rPr>
        <w:t>.</w:t>
      </w:r>
      <w:r w:rsidR="008610D3">
        <w:rPr>
          <w:rFonts w:eastAsia="MS Mincho"/>
        </w:rPr>
        <w:t xml:space="preserve"> </w:t>
      </w:r>
      <w:r w:rsidRPr="00D82AC4">
        <w:rPr>
          <w:rFonts w:eastAsia="MS Mincho"/>
        </w:rPr>
        <w:t>It is worth keeping in mind that relatively less data was available at the lower end of the severity spectrum to condition our estimates, and also that experts and the general public displayed more discrepancies in evaluating the condition descriptions in this category</w:t>
      </w:r>
      <w:r w:rsidR="0003495A">
        <w:rPr>
          <w:rFonts w:eastAsia="MS Mincho"/>
        </w:rPr>
        <w:t>.</w:t>
      </w:r>
      <w:r w:rsidR="008610D3">
        <w:rPr>
          <w:rFonts w:eastAsia="MS Mincho"/>
        </w:rPr>
        <w:t xml:space="preserve"> </w:t>
      </w:r>
      <w:r w:rsidRPr="00D82AC4">
        <w:rPr>
          <w:rFonts w:eastAsia="MS Mincho"/>
        </w:rPr>
        <w:t xml:space="preserve">More information is needed on the experience of </w:t>
      </w:r>
      <w:r w:rsidR="00EA38FD">
        <w:rPr>
          <w:rFonts w:eastAsia="MS Mincho"/>
        </w:rPr>
        <w:t>gambling</w:t>
      </w:r>
      <w:r w:rsidR="002E6C09">
        <w:rPr>
          <w:rFonts w:eastAsia="MS Mincho"/>
        </w:rPr>
        <w:t>-related</w:t>
      </w:r>
      <w:r w:rsidR="00EA38FD">
        <w:rPr>
          <w:rFonts w:eastAsia="MS Mincho"/>
        </w:rPr>
        <w:t xml:space="preserve"> </w:t>
      </w:r>
      <w:r w:rsidRPr="00D82AC4">
        <w:rPr>
          <w:rFonts w:eastAsia="MS Mincho"/>
        </w:rPr>
        <w:t xml:space="preserve">harms at the lower end of the severity spectrum to improve our understanding of the degree of harm experienced by </w:t>
      </w:r>
      <w:r>
        <w:rPr>
          <w:rFonts w:eastAsia="MS Mincho"/>
        </w:rPr>
        <w:t xml:space="preserve">these </w:t>
      </w:r>
      <w:r w:rsidRPr="00D82AC4">
        <w:rPr>
          <w:rFonts w:eastAsia="MS Mincho"/>
        </w:rPr>
        <w:t>individuals</w:t>
      </w:r>
      <w:r>
        <w:rPr>
          <w:rFonts w:eastAsia="MS Mincho"/>
        </w:rPr>
        <w:t>, who represent a far larger proportion of the New Zealand population</w:t>
      </w:r>
      <w:r w:rsidRPr="00D82AC4">
        <w:rPr>
          <w:rFonts w:eastAsia="MS Mincho"/>
        </w:rPr>
        <w:t>.</w:t>
      </w:r>
    </w:p>
    <w:p w14:paraId="2A80A220" w14:textId="77777777" w:rsidR="004135D7" w:rsidRDefault="004135D7" w:rsidP="00F61793">
      <w:pPr>
        <w:pStyle w:val="VRGFBodycontent"/>
        <w:rPr>
          <w:rFonts w:eastAsia="MS Mincho"/>
        </w:rPr>
      </w:pPr>
    </w:p>
    <w:p w14:paraId="23D873A1" w14:textId="41D89E56" w:rsidR="004135D7" w:rsidRDefault="004135D7" w:rsidP="004135D7">
      <w:pPr>
        <w:pStyle w:val="VRGFHead1"/>
        <w:rPr>
          <w:rFonts w:eastAsia="MS Mincho"/>
        </w:rPr>
      </w:pPr>
      <w:bookmarkStart w:id="316" w:name="_Toc462738064"/>
      <w:r>
        <w:rPr>
          <w:rFonts w:eastAsia="MS Mincho"/>
        </w:rPr>
        <w:lastRenderedPageBreak/>
        <w:t>Assessing population level harm from gambling in New Zealand</w:t>
      </w:r>
      <w:bookmarkEnd w:id="316"/>
    </w:p>
    <w:p w14:paraId="495ADF19" w14:textId="3B7EBAD1" w:rsidR="00E87A03" w:rsidRDefault="006C7F31" w:rsidP="006C7F31">
      <w:pPr>
        <w:pStyle w:val="VRGFBodycontent"/>
        <w:rPr>
          <w:rFonts w:eastAsia="MS Mincho"/>
          <w:color w:val="000000"/>
        </w:rPr>
      </w:pPr>
      <w:r w:rsidRPr="00E87A03">
        <w:rPr>
          <w:rFonts w:eastAsia="MS Mincho"/>
        </w:rPr>
        <w:t>The previous chapter has presented findings on the impact of gambling at the individual level</w:t>
      </w:r>
      <w:r w:rsidR="0003495A" w:rsidRPr="00E87A03">
        <w:rPr>
          <w:rFonts w:eastAsia="MS Mincho"/>
        </w:rPr>
        <w:t>.</w:t>
      </w:r>
      <w:r w:rsidR="008610D3" w:rsidRPr="00E87A03">
        <w:rPr>
          <w:rFonts w:eastAsia="MS Mincho"/>
        </w:rPr>
        <w:t xml:space="preserve"> </w:t>
      </w:r>
      <w:r w:rsidRPr="00E87A03">
        <w:rPr>
          <w:rFonts w:eastAsia="MS Mincho"/>
        </w:rPr>
        <w:t xml:space="preserve">The final stage of </w:t>
      </w:r>
      <w:r w:rsidR="00033924" w:rsidRPr="00E87A03">
        <w:rPr>
          <w:rFonts w:eastAsia="MS Mincho"/>
        </w:rPr>
        <w:t xml:space="preserve">this </w:t>
      </w:r>
      <w:r w:rsidRPr="00E87A03">
        <w:rPr>
          <w:rFonts w:eastAsia="MS Mincho"/>
        </w:rPr>
        <w:t>study focuses on the impact of gambling</w:t>
      </w:r>
      <w:r w:rsidR="00E87A03">
        <w:rPr>
          <w:rFonts w:eastAsia="MS Mincho"/>
        </w:rPr>
        <w:t>-related</w:t>
      </w:r>
      <w:r w:rsidRPr="00E87A03">
        <w:rPr>
          <w:rFonts w:eastAsia="MS Mincho"/>
        </w:rPr>
        <w:t xml:space="preserve"> harm at the population level</w:t>
      </w:r>
      <w:r w:rsidR="0003495A" w:rsidRPr="00E87A03">
        <w:rPr>
          <w:rFonts w:eastAsia="MS Mincho"/>
        </w:rPr>
        <w:t>.</w:t>
      </w:r>
      <w:r w:rsidR="008610D3" w:rsidRPr="00E87A03">
        <w:rPr>
          <w:rFonts w:eastAsia="MS Mincho"/>
        </w:rPr>
        <w:t xml:space="preserve"> </w:t>
      </w:r>
      <w:r w:rsidRPr="00E87A03">
        <w:rPr>
          <w:rFonts w:eastAsia="MS Mincho"/>
        </w:rPr>
        <w:t>The goal is to quantify the ongoing harm per year in terms of QALY</w:t>
      </w:r>
      <w:r w:rsidRPr="00E87A03">
        <w:rPr>
          <w:rFonts w:eastAsia="MS Mincho"/>
          <w:vertAlign w:val="subscript"/>
        </w:rPr>
        <w:t>1</w:t>
      </w:r>
      <w:r w:rsidRPr="00E87A03">
        <w:rPr>
          <w:rFonts w:eastAsia="MS Mincho"/>
        </w:rPr>
        <w:t xml:space="preserve"> </w:t>
      </w:r>
      <w:r w:rsidR="00126A10" w:rsidRPr="00E87A03">
        <w:rPr>
          <w:rFonts w:eastAsia="MS Mincho"/>
        </w:rPr>
        <w:t>(</w:t>
      </w:r>
      <w:r w:rsidRPr="00E87A03">
        <w:rPr>
          <w:rFonts w:eastAsia="MS Mincho"/>
        </w:rPr>
        <w:t>the aggregate years of healthy life lost each year due to gambling</w:t>
      </w:r>
      <w:r w:rsidR="00126A10" w:rsidRPr="00E87A03">
        <w:rPr>
          <w:rFonts w:eastAsia="MS Mincho"/>
        </w:rPr>
        <w:t>)</w:t>
      </w:r>
      <w:r w:rsidRPr="00E87A03">
        <w:rPr>
          <w:rFonts w:eastAsia="MS Mincho"/>
        </w:rPr>
        <w:t xml:space="preserve"> in the New Zealand adult population</w:t>
      </w:r>
      <w:r w:rsidR="0003495A" w:rsidRPr="00E87A03">
        <w:rPr>
          <w:rFonts w:eastAsia="MS Mincho"/>
        </w:rPr>
        <w:t>.</w:t>
      </w:r>
      <w:r w:rsidR="008610D3" w:rsidRPr="00E87A03">
        <w:rPr>
          <w:rFonts w:eastAsia="MS Mincho"/>
        </w:rPr>
        <w:t xml:space="preserve"> </w:t>
      </w:r>
      <w:r w:rsidRPr="00E87A03">
        <w:rPr>
          <w:rFonts w:eastAsia="MS Mincho"/>
        </w:rPr>
        <w:t xml:space="preserve">Our aim was to </w:t>
      </w:r>
      <w:r w:rsidR="00126A10" w:rsidRPr="00E87A03">
        <w:rPr>
          <w:rFonts w:eastAsia="MS Mincho"/>
        </w:rPr>
        <w:t xml:space="preserve">look at </w:t>
      </w:r>
      <w:r w:rsidRPr="00E87A03">
        <w:rPr>
          <w:rFonts w:eastAsia="MS Mincho"/>
        </w:rPr>
        <w:t>QALY</w:t>
      </w:r>
      <w:r w:rsidRPr="00E87A03">
        <w:rPr>
          <w:rFonts w:eastAsia="MS Mincho"/>
          <w:vertAlign w:val="subscript"/>
        </w:rPr>
        <w:t>1</w:t>
      </w:r>
      <w:r w:rsidRPr="00E87A03">
        <w:rPr>
          <w:rFonts w:eastAsia="MS Mincho"/>
        </w:rPr>
        <w:t xml:space="preserve"> comparisons between: PGSI categories, harms to self and others, gambling and other comparable health states, and demographic differences</w:t>
      </w:r>
      <w:r w:rsidR="0003495A" w:rsidRPr="00E87A03">
        <w:rPr>
          <w:rFonts w:eastAsia="MS Mincho"/>
        </w:rPr>
        <w:t>.</w:t>
      </w:r>
      <w:r w:rsidR="008610D3" w:rsidRPr="00E87A03">
        <w:rPr>
          <w:rFonts w:eastAsia="MS Mincho"/>
        </w:rPr>
        <w:t xml:space="preserve"> </w:t>
      </w:r>
      <w:r w:rsidRPr="00E87A03">
        <w:rPr>
          <w:rFonts w:eastAsia="MS Mincho"/>
        </w:rPr>
        <w:t>In comparing gambling to other health states, it is important to bear in mind that our approach does not incorporate subsequent conditions potentially caused by a health state</w:t>
      </w:r>
      <w:r w:rsidR="0003495A" w:rsidRPr="00E87A03">
        <w:rPr>
          <w:rFonts w:eastAsia="MS Mincho"/>
        </w:rPr>
        <w:t>.</w:t>
      </w:r>
      <w:r w:rsidR="008610D3" w:rsidRPr="00E87A03">
        <w:rPr>
          <w:rFonts w:eastAsia="MS Mincho"/>
        </w:rPr>
        <w:t xml:space="preserve"> </w:t>
      </w:r>
      <w:r w:rsidRPr="00E87A03">
        <w:rPr>
          <w:rFonts w:eastAsia="MS Mincho"/>
        </w:rPr>
        <w:t xml:space="preserve">For example, alcoholism </w:t>
      </w:r>
      <w:r w:rsidR="005364D9" w:rsidRPr="00E87A03">
        <w:rPr>
          <w:rFonts w:eastAsia="MS Mincho"/>
        </w:rPr>
        <w:t xml:space="preserve">not only </w:t>
      </w:r>
      <w:r w:rsidRPr="00E87A03">
        <w:rPr>
          <w:rFonts w:eastAsia="MS Mincho"/>
        </w:rPr>
        <w:t>results in ongoing harm due to being in the state itself (comparable via our QALY</w:t>
      </w:r>
      <w:r w:rsidRPr="00E87A03">
        <w:rPr>
          <w:rFonts w:eastAsia="MS Mincho"/>
          <w:vertAlign w:val="subscript"/>
        </w:rPr>
        <w:t>1</w:t>
      </w:r>
      <w:r w:rsidRPr="00E87A03">
        <w:rPr>
          <w:rFonts w:eastAsia="MS Mincho"/>
        </w:rPr>
        <w:t xml:space="preserve"> approach), but also results in an increased likelihood of other health conditions, such as cardio-vascular disease – often at some undefined point in the future</w:t>
      </w:r>
      <w:r w:rsidR="0003495A" w:rsidRPr="00E87A03">
        <w:rPr>
          <w:rFonts w:eastAsia="MS Mincho"/>
        </w:rPr>
        <w:t>.</w:t>
      </w:r>
      <w:r w:rsidR="008610D3" w:rsidRPr="00E87A03">
        <w:rPr>
          <w:rFonts w:eastAsia="MS Mincho"/>
        </w:rPr>
        <w:t xml:space="preserve"> </w:t>
      </w:r>
      <w:r w:rsidRPr="00E87A03">
        <w:rPr>
          <w:rFonts w:eastAsia="MS Mincho"/>
        </w:rPr>
        <w:t>Therefore, we have attempted to select comparable conditions in which the prim</w:t>
      </w:r>
      <w:r w:rsidR="004170F5" w:rsidRPr="00E87A03">
        <w:rPr>
          <w:rFonts w:eastAsia="MS Mincho"/>
        </w:rPr>
        <w:t>ary decrement to health in well</w:t>
      </w:r>
      <w:r w:rsidRPr="00E87A03">
        <w:rPr>
          <w:rFonts w:eastAsia="MS Mincho"/>
        </w:rPr>
        <w:t>being is due to the experience of being in the state itself (e.g. depression)</w:t>
      </w:r>
      <w:r w:rsidR="0003495A" w:rsidRPr="00E87A03">
        <w:rPr>
          <w:rFonts w:eastAsia="MS Mincho"/>
        </w:rPr>
        <w:t>.</w:t>
      </w:r>
      <w:r w:rsidR="008610D3" w:rsidRPr="00E87A03">
        <w:rPr>
          <w:rFonts w:eastAsia="MS Mincho"/>
        </w:rPr>
        <w:t xml:space="preserve"> </w:t>
      </w:r>
      <w:r w:rsidRPr="00E87A03">
        <w:rPr>
          <w:rFonts w:eastAsia="MS Mincho"/>
        </w:rPr>
        <w:t xml:space="preserve">An exception is made </w:t>
      </w:r>
      <w:r w:rsidR="00126A10" w:rsidRPr="00E87A03">
        <w:rPr>
          <w:rFonts w:eastAsia="MS Mincho"/>
        </w:rPr>
        <w:t>for</w:t>
      </w:r>
      <w:r w:rsidRPr="00E87A03">
        <w:rPr>
          <w:rFonts w:eastAsia="MS Mincho"/>
        </w:rPr>
        <w:t xml:space="preserve"> alcohol </w:t>
      </w:r>
      <w:r w:rsidR="00126A10" w:rsidRPr="00E87A03">
        <w:rPr>
          <w:rFonts w:eastAsia="MS Mincho"/>
        </w:rPr>
        <w:t xml:space="preserve">use </w:t>
      </w:r>
      <w:r w:rsidRPr="00E87A03">
        <w:rPr>
          <w:rFonts w:eastAsia="MS Mincho"/>
        </w:rPr>
        <w:t xml:space="preserve">(which involves both on-going and cumulative harm), </w:t>
      </w:r>
      <w:r w:rsidR="00126A10" w:rsidRPr="00E87A03">
        <w:rPr>
          <w:rFonts w:eastAsia="MS Mincho"/>
        </w:rPr>
        <w:t xml:space="preserve">as </w:t>
      </w:r>
      <w:r w:rsidRPr="00E87A03">
        <w:rPr>
          <w:rFonts w:eastAsia="MS Mincho"/>
        </w:rPr>
        <w:t xml:space="preserve">it </w:t>
      </w:r>
      <w:r w:rsidR="00126A10" w:rsidRPr="00E87A03">
        <w:rPr>
          <w:rFonts w:eastAsia="MS Mincho"/>
        </w:rPr>
        <w:t>is</w:t>
      </w:r>
      <w:r w:rsidRPr="00E87A03">
        <w:rPr>
          <w:rFonts w:eastAsia="MS Mincho"/>
        </w:rPr>
        <w:t xml:space="preserve"> a major public health concern in New Zealand that is often compared </w:t>
      </w:r>
      <w:r w:rsidR="00126A10" w:rsidRPr="00E87A03">
        <w:rPr>
          <w:rFonts w:eastAsia="MS Mincho"/>
        </w:rPr>
        <w:t xml:space="preserve">with </w:t>
      </w:r>
      <w:r w:rsidRPr="00E87A03">
        <w:rPr>
          <w:rFonts w:eastAsia="MS Mincho"/>
        </w:rPr>
        <w:t>gambling</w:t>
      </w:r>
      <w:r w:rsidR="0003495A" w:rsidRPr="00E87A03">
        <w:rPr>
          <w:rFonts w:eastAsia="MS Mincho"/>
        </w:rPr>
        <w:t>.</w:t>
      </w:r>
      <w:r w:rsidR="008610D3" w:rsidRPr="00E87A03">
        <w:rPr>
          <w:rFonts w:eastAsia="MS Mincho"/>
        </w:rPr>
        <w:t xml:space="preserve"> </w:t>
      </w:r>
      <w:r w:rsidRPr="00E87A03">
        <w:rPr>
          <w:rFonts w:eastAsia="MS Mincho"/>
        </w:rPr>
        <w:t>Our approach should not be taken to imply that conditions such as depression or gambling cannot also lead to subsequent morbid conditions or premature mortality</w:t>
      </w:r>
      <w:r w:rsidR="0003495A" w:rsidRPr="00E87A03">
        <w:rPr>
          <w:rFonts w:eastAsia="MS Mincho"/>
        </w:rPr>
        <w:t>.</w:t>
      </w:r>
      <w:r w:rsidR="008610D3" w:rsidRPr="00E87A03">
        <w:rPr>
          <w:rFonts w:eastAsia="MS Mincho"/>
        </w:rPr>
        <w:t xml:space="preserve"> </w:t>
      </w:r>
      <w:r w:rsidRPr="00E87A03">
        <w:rPr>
          <w:rFonts w:eastAsia="MS Mincho"/>
        </w:rPr>
        <w:t>However, the QALY</w:t>
      </w:r>
      <w:r w:rsidRPr="00E87A03">
        <w:rPr>
          <w:rFonts w:eastAsia="MS Mincho"/>
          <w:vertAlign w:val="subscript"/>
        </w:rPr>
        <w:t>1</w:t>
      </w:r>
      <w:r w:rsidRPr="00E87A03">
        <w:rPr>
          <w:rFonts w:eastAsia="MS Mincho"/>
        </w:rPr>
        <w:t xml:space="preserve"> prevalence-based approach cannot incorporate these aspects of the possible ‘cost’ of acquiring a condition</w:t>
      </w:r>
      <w:r w:rsidR="0003495A" w:rsidRPr="00E87A03">
        <w:rPr>
          <w:rFonts w:eastAsia="MS Mincho"/>
        </w:rPr>
        <w:t>.</w:t>
      </w:r>
      <w:r w:rsidR="008610D3" w:rsidRPr="00E87A03">
        <w:rPr>
          <w:rFonts w:eastAsia="MS Mincho"/>
        </w:rPr>
        <w:t xml:space="preserve"> </w:t>
      </w:r>
      <w:r w:rsidRPr="00E87A03">
        <w:rPr>
          <w:rFonts w:eastAsia="MS Mincho"/>
        </w:rPr>
        <w:t>This distinction should be borne in mind in all comparisons reported below</w:t>
      </w:r>
      <w:r w:rsidR="0003495A" w:rsidRPr="00E87A03">
        <w:rPr>
          <w:rFonts w:eastAsia="MS Mincho"/>
        </w:rPr>
        <w:t>.</w:t>
      </w:r>
      <w:r w:rsidR="008610D3" w:rsidRPr="00E87A03">
        <w:rPr>
          <w:rFonts w:eastAsia="MS Mincho"/>
        </w:rPr>
        <w:t xml:space="preserve"> </w:t>
      </w:r>
      <w:r w:rsidRPr="00E87A03">
        <w:rPr>
          <w:rFonts w:eastAsia="MS Mincho"/>
        </w:rPr>
        <w:t>The approach to defining and assessing conditions was largely based on methods developed for the GBD Study (Murray &amp; Lopez, 1996) and subsequently utilised in the Health Lost in New Zealand report on burden of diseases (</w:t>
      </w:r>
      <w:r w:rsidRPr="00E87A03">
        <w:rPr>
          <w:rFonts w:eastAsia="MS Mincho"/>
          <w:color w:val="000000"/>
        </w:rPr>
        <w:t>Ministry of Health, 201</w:t>
      </w:r>
      <w:r w:rsidR="00C4250B" w:rsidRPr="00E87A03">
        <w:rPr>
          <w:rFonts w:eastAsia="MS Mincho"/>
          <w:color w:val="000000"/>
        </w:rPr>
        <w:t>3</w:t>
      </w:r>
      <w:r w:rsidRPr="00E87A03">
        <w:rPr>
          <w:rFonts w:eastAsia="MS Mincho"/>
          <w:color w:val="000000"/>
        </w:rPr>
        <w:t>).</w:t>
      </w:r>
      <w:r w:rsidR="00E87A03">
        <w:rPr>
          <w:rFonts w:eastAsia="MS Mincho"/>
          <w:color w:val="000000"/>
        </w:rPr>
        <w:t xml:space="preserve"> The main departure being the exclusion of incorporating population attributable risk factors (PAFs), </w:t>
      </w:r>
      <w:r w:rsidR="002E164D">
        <w:rPr>
          <w:rFonts w:eastAsia="MS Mincho"/>
          <w:color w:val="000000"/>
        </w:rPr>
        <w:t xml:space="preserve">duration, </w:t>
      </w:r>
      <w:r w:rsidR="00E87A03">
        <w:rPr>
          <w:rFonts w:eastAsia="MS Mincho"/>
          <w:color w:val="000000"/>
        </w:rPr>
        <w:t>age, and gender into the calculation of population level gambling-related harm, due to a lack of reliable longitudinal gambling studies to provide the relevant data.</w:t>
      </w:r>
      <w:r w:rsidR="00292BC2">
        <w:rPr>
          <w:rFonts w:eastAsia="MS Mincho"/>
          <w:color w:val="000000"/>
        </w:rPr>
        <w:t xml:space="preserve"> The 2010 GBD study also decided to </w:t>
      </w:r>
      <w:r w:rsidR="00292BC2">
        <w:t>simplify the calculation of YLDs using the prevalence of each health condition (sequela) x disability weight, rather than incorporating incidence, as had been previously; and implemented no discounting for age. However, they did adjust for comorbidity in the YLD calculation. The present study follows this approach closely, but makes not adjustment for comorbidities</w:t>
      </w:r>
      <w:r w:rsidR="00B109E5">
        <w:t xml:space="preserve"> due to the difficulty of implementing such an adjustment for gambling-related harm. This</w:t>
      </w:r>
      <w:r w:rsidR="00292BC2">
        <w:t xml:space="preserve"> entails that the </w:t>
      </w:r>
      <w:r w:rsidR="00B109E5">
        <w:t xml:space="preserve">raw </w:t>
      </w:r>
      <w:r w:rsidR="00292BC2" w:rsidRPr="00E87A03">
        <w:rPr>
          <w:rFonts w:eastAsia="MS Mincho"/>
        </w:rPr>
        <w:t>QALY</w:t>
      </w:r>
      <w:r w:rsidR="00292BC2" w:rsidRPr="00E87A03">
        <w:rPr>
          <w:rFonts w:eastAsia="MS Mincho"/>
          <w:vertAlign w:val="subscript"/>
        </w:rPr>
        <w:t>1</w:t>
      </w:r>
      <w:r w:rsidR="00B109E5">
        <w:t xml:space="preserve"> estimates will be somewhat</w:t>
      </w:r>
      <w:r w:rsidR="00292BC2">
        <w:t xml:space="preserve"> </w:t>
      </w:r>
      <w:r w:rsidR="00B109E5">
        <w:t>inflated, and therefore raw GBD YLD</w:t>
      </w:r>
      <w:r w:rsidR="00292BC2">
        <w:t xml:space="preserve"> </w:t>
      </w:r>
      <w:r w:rsidR="00B109E5">
        <w:t xml:space="preserve">and the present </w:t>
      </w:r>
      <w:r w:rsidR="00B109E5" w:rsidRPr="00E87A03">
        <w:rPr>
          <w:rFonts w:eastAsia="MS Mincho"/>
        </w:rPr>
        <w:t>QALY</w:t>
      </w:r>
      <w:r w:rsidR="00B109E5" w:rsidRPr="00E87A03">
        <w:rPr>
          <w:rFonts w:eastAsia="MS Mincho"/>
          <w:vertAlign w:val="subscript"/>
        </w:rPr>
        <w:t>1</w:t>
      </w:r>
      <w:r w:rsidR="00292BC2">
        <w:t xml:space="preserve"> </w:t>
      </w:r>
      <w:r w:rsidR="00B109E5">
        <w:t>figures should not be directly compared.</w:t>
      </w:r>
    </w:p>
    <w:p w14:paraId="7B11D4BE" w14:textId="76A56A8F" w:rsidR="006C7F31" w:rsidRDefault="006C7F31" w:rsidP="006C7F31">
      <w:pPr>
        <w:pStyle w:val="VRGFBodycontent"/>
        <w:rPr>
          <w:rFonts w:eastAsia="MS Mincho"/>
        </w:rPr>
      </w:pPr>
      <w:bookmarkStart w:id="317" w:name="_Toc440900296"/>
    </w:p>
    <w:p w14:paraId="761B64A5" w14:textId="77777777" w:rsidR="006C7F31" w:rsidRPr="00D302D0" w:rsidRDefault="006C7F31" w:rsidP="006C7F31">
      <w:pPr>
        <w:pStyle w:val="VRGFHead2"/>
        <w:rPr>
          <w:rFonts w:eastAsia="MS Mincho"/>
        </w:rPr>
      </w:pPr>
      <w:bookmarkStart w:id="318" w:name="_Toc462738065"/>
      <w:r w:rsidRPr="00D302D0">
        <w:rPr>
          <w:rFonts w:eastAsia="MS Mincho"/>
        </w:rPr>
        <w:t>Method</w:t>
      </w:r>
      <w:bookmarkEnd w:id="317"/>
      <w:bookmarkEnd w:id="318"/>
    </w:p>
    <w:p w14:paraId="13F1163D" w14:textId="221C7805" w:rsidR="006C7F31" w:rsidRPr="00E87A03" w:rsidRDefault="006C7F31" w:rsidP="006C7F31">
      <w:pPr>
        <w:pStyle w:val="VRGFHead3"/>
      </w:pPr>
      <w:bookmarkStart w:id="319" w:name="_Toc462738066"/>
      <w:r w:rsidRPr="00E87A03">
        <w:t>Calculating QALY</w:t>
      </w:r>
      <w:r w:rsidRPr="00E87A03">
        <w:rPr>
          <w:vertAlign w:val="subscript"/>
        </w:rPr>
        <w:t>1</w:t>
      </w:r>
      <w:r w:rsidR="00C55215" w:rsidRPr="00E87A03">
        <w:t xml:space="preserve"> – Annual y</w:t>
      </w:r>
      <w:r w:rsidRPr="00E87A03">
        <w:t xml:space="preserve">ears of </w:t>
      </w:r>
      <w:r w:rsidR="000A22AB">
        <w:t xml:space="preserve">healthy </w:t>
      </w:r>
      <w:r w:rsidR="00C55215" w:rsidRPr="00E87A03">
        <w:t>l</w:t>
      </w:r>
      <w:r w:rsidRPr="00E87A03">
        <w:t xml:space="preserve">ife </w:t>
      </w:r>
      <w:r w:rsidR="00C55215" w:rsidRPr="00E87A03">
        <w:t>l</w:t>
      </w:r>
      <w:r w:rsidRPr="00E87A03">
        <w:t>ost</w:t>
      </w:r>
      <w:bookmarkEnd w:id="319"/>
    </w:p>
    <w:p w14:paraId="22EEE539" w14:textId="77BE87C2" w:rsidR="006C7F31" w:rsidRPr="00E87A03" w:rsidRDefault="00C55215" w:rsidP="006C7F31">
      <w:pPr>
        <w:pStyle w:val="VRGFBodycontent"/>
        <w:rPr>
          <w:rFonts w:eastAsia="MS Mincho"/>
        </w:rPr>
      </w:pPr>
      <w:r w:rsidRPr="00E87A03">
        <w:rPr>
          <w:rFonts w:eastAsia="MS Mincho"/>
          <w:noProof/>
          <w:lang w:val="en-NZ" w:eastAsia="en-NZ"/>
        </w:rPr>
        <mc:AlternateContent>
          <mc:Choice Requires="wps">
            <w:drawing>
              <wp:anchor distT="45720" distB="45720" distL="114300" distR="114300" simplePos="0" relativeHeight="251659264" behindDoc="0" locked="0" layoutInCell="1" allowOverlap="1" wp14:anchorId="215B2B8E" wp14:editId="5969F256">
                <wp:simplePos x="0" y="0"/>
                <wp:positionH relativeFrom="margin">
                  <wp:posOffset>-635</wp:posOffset>
                </wp:positionH>
                <wp:positionV relativeFrom="paragraph">
                  <wp:posOffset>614045</wp:posOffset>
                </wp:positionV>
                <wp:extent cx="5532755" cy="558800"/>
                <wp:effectExtent l="0" t="0" r="1079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558800"/>
                        </a:xfrm>
                        <a:prstGeom prst="rect">
                          <a:avLst/>
                        </a:prstGeom>
                        <a:solidFill>
                          <a:srgbClr val="FFFFFF"/>
                        </a:solidFill>
                        <a:ln w="15875">
                          <a:solidFill>
                            <a:srgbClr val="1F3864"/>
                          </a:solidFill>
                          <a:miter lim="800000"/>
                          <a:headEnd/>
                          <a:tailEnd/>
                        </a:ln>
                      </wps:spPr>
                      <wps:txbx>
                        <w:txbxContent>
                          <w:p w14:paraId="13323A97" w14:textId="0F9FB7CF" w:rsidR="00FD75E7" w:rsidRDefault="00FD75E7" w:rsidP="00CA0059">
                            <w:pPr>
                              <w:pStyle w:val="VRGFBodycontent"/>
                              <w:spacing w:after="40"/>
                            </w:pPr>
                            <w:r w:rsidRPr="000A22AB">
                              <w:rPr>
                                <w:rFonts w:eastAsia="MS Mincho"/>
                              </w:rPr>
                              <w:t>*</w:t>
                            </w:r>
                            <w:r>
                              <w:rPr>
                                <w:rFonts w:eastAsia="MS Mincho"/>
                              </w:rPr>
                              <w:t>QALY</w:t>
                            </w:r>
                            <w:r w:rsidRPr="000A22AB">
                              <w:rPr>
                                <w:rFonts w:eastAsia="MS Mincho"/>
                                <w:vertAlign w:val="subscript"/>
                              </w:rPr>
                              <w:t>1</w:t>
                            </w:r>
                            <w:r w:rsidRPr="000A22AB">
                              <w:rPr>
                                <w:rFonts w:eastAsia="MS Mincho"/>
                              </w:rPr>
                              <w:t xml:space="preserve"> = (New Zealand Adult Population x Annual Prevalence (%) for Health State) x Utility Weight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5B2B8E" id="_x0000_t202" coordsize="21600,21600" o:spt="202" path="m,l,21600r21600,l21600,xe">
                <v:stroke joinstyle="miter"/>
                <v:path gradientshapeok="t" o:connecttype="rect"/>
              </v:shapetype>
              <v:shape id="Text Box 2" o:spid="_x0000_s1026" type="#_x0000_t202" style="position:absolute;left:0;text-align:left;margin-left:-.05pt;margin-top:48.35pt;width:435.65pt;height:44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" strokecolor="#1f3864" strokeweight="1.25pt">
                <v:textbox style="mso-fit-shape-to-text:t">
                  <w:txbxContent>
                    <w:p w14:paraId="13323A97" w14:textId="0F9FB7CF" w:rsidR="00FD75E7" w:rsidRDefault="00FD75E7" w:rsidP="00CA0059">
                      <w:pPr>
                        <w:pStyle w:val="VRGFBodycontent"/>
                        <w:spacing w:after="40"/>
                      </w:pPr>
                      <w:r w:rsidRPr="000A22AB">
                        <w:rPr>
                          <w:rFonts w:eastAsia="MS Mincho"/>
                        </w:rPr>
                        <w:t>*</w:t>
                      </w:r>
                      <w:r>
                        <w:rPr>
                          <w:rFonts w:eastAsia="MS Mincho"/>
                        </w:rPr>
                        <w:t>QALY</w:t>
                      </w:r>
                      <w:r w:rsidRPr="000A22AB">
                        <w:rPr>
                          <w:rFonts w:eastAsia="MS Mincho"/>
                          <w:vertAlign w:val="subscript"/>
                        </w:rPr>
                        <w:t>1</w:t>
                      </w:r>
                      <w:r w:rsidRPr="000A22AB">
                        <w:rPr>
                          <w:rFonts w:eastAsia="MS Mincho"/>
                        </w:rPr>
                        <w:t xml:space="preserve"> = (New Zealand Adult Population x Annual Prevalence (%) for Health State) x Utility Weight</w:t>
                      </w:r>
                    </w:p>
                  </w:txbxContent>
                </v:textbox>
                <w10:wrap type="square" anchorx="margin"/>
              </v:shape>
            </w:pict>
          </mc:Fallback>
        </mc:AlternateContent>
      </w:r>
      <w:r w:rsidR="006C7F31" w:rsidRPr="00E87A03">
        <w:rPr>
          <w:rFonts w:eastAsia="MS Mincho"/>
        </w:rPr>
        <w:t>The QALY</w:t>
      </w:r>
      <w:r w:rsidR="006C7F31" w:rsidRPr="00E87A03">
        <w:rPr>
          <w:rFonts w:eastAsia="MS Mincho"/>
          <w:vertAlign w:val="subscript"/>
        </w:rPr>
        <w:t>1</w:t>
      </w:r>
      <w:r w:rsidR="006C7F31" w:rsidRPr="00E87A03">
        <w:rPr>
          <w:rFonts w:eastAsia="MS Mincho"/>
        </w:rPr>
        <w:t xml:space="preserve">, or annual years </w:t>
      </w:r>
      <w:r w:rsidR="000A22AB">
        <w:rPr>
          <w:rFonts w:eastAsia="MS Mincho"/>
        </w:rPr>
        <w:t xml:space="preserve">of healthy life </w:t>
      </w:r>
      <w:r w:rsidR="006C7F31" w:rsidRPr="00E87A03">
        <w:rPr>
          <w:rFonts w:eastAsia="MS Mincho"/>
        </w:rPr>
        <w:t>lost for harm due to gambling and other comparable health states were calculated using the formula:</w:t>
      </w:r>
      <w:r w:rsidR="00FC4486" w:rsidRPr="00E87A03">
        <w:rPr>
          <w:rFonts w:eastAsia="MS Mincho"/>
        </w:rPr>
        <w:t xml:space="preserve"> </w:t>
      </w:r>
    </w:p>
    <w:p w14:paraId="43E6AA1D" w14:textId="2094DFFE" w:rsidR="006C7F31" w:rsidRPr="00E87A03" w:rsidRDefault="006C7F31" w:rsidP="006C7F31">
      <w:pPr>
        <w:pStyle w:val="VRGFBodycontent"/>
        <w:spacing w:before="0" w:line="240" w:lineRule="auto"/>
        <w:rPr>
          <w:rFonts w:eastAsia="MS Mincho"/>
          <w:sz w:val="16"/>
          <w:szCs w:val="16"/>
        </w:rPr>
      </w:pPr>
      <w:r w:rsidRPr="00E87A03">
        <w:rPr>
          <w:rFonts w:eastAsia="MS Mincho"/>
          <w:sz w:val="16"/>
          <w:szCs w:val="16"/>
        </w:rPr>
        <w:lastRenderedPageBreak/>
        <w:t xml:space="preserve">*As this is only for a single year it is referred to as </w:t>
      </w:r>
      <w:r w:rsidR="00534EE5">
        <w:rPr>
          <w:rFonts w:eastAsia="MS Mincho"/>
          <w:sz w:val="16"/>
          <w:szCs w:val="16"/>
        </w:rPr>
        <w:t>QALY</w:t>
      </w:r>
      <w:r w:rsidR="00534EE5" w:rsidRPr="00E87A03">
        <w:rPr>
          <w:rFonts w:eastAsia="MS Mincho"/>
          <w:sz w:val="16"/>
          <w:szCs w:val="16"/>
          <w:vertAlign w:val="subscript"/>
        </w:rPr>
        <w:t>1</w:t>
      </w:r>
      <w:r w:rsidR="0003495A" w:rsidRPr="00E87A03">
        <w:rPr>
          <w:rFonts w:eastAsia="MS Mincho"/>
          <w:sz w:val="16"/>
          <w:szCs w:val="16"/>
        </w:rPr>
        <w:t>.</w:t>
      </w:r>
      <w:r w:rsidR="008610D3" w:rsidRPr="00E87A03">
        <w:rPr>
          <w:rFonts w:eastAsia="MS Mincho"/>
          <w:sz w:val="16"/>
          <w:szCs w:val="16"/>
        </w:rPr>
        <w:t xml:space="preserve"> </w:t>
      </w:r>
      <w:r w:rsidR="00D9419A" w:rsidRPr="00E87A03">
        <w:rPr>
          <w:rFonts w:eastAsia="MS Mincho"/>
          <w:sz w:val="16"/>
          <w:szCs w:val="16"/>
        </w:rPr>
        <w:t xml:space="preserve">The </w:t>
      </w:r>
      <w:r w:rsidRPr="00E87A03">
        <w:rPr>
          <w:rFonts w:eastAsia="MS Mincho"/>
          <w:sz w:val="16"/>
          <w:szCs w:val="16"/>
        </w:rPr>
        <w:t xml:space="preserve">New Zealand adult population used in analysis </w:t>
      </w:r>
      <w:r w:rsidR="00D9419A" w:rsidRPr="00E87A03">
        <w:rPr>
          <w:rFonts w:eastAsia="MS Mincho"/>
          <w:sz w:val="16"/>
          <w:szCs w:val="16"/>
        </w:rPr>
        <w:t xml:space="preserve">was estimated from the 2013 New Zealand census as </w:t>
      </w:r>
      <w:r w:rsidRPr="00E87A03">
        <w:rPr>
          <w:rFonts w:eastAsia="MS Mincho"/>
          <w:sz w:val="16"/>
          <w:szCs w:val="16"/>
        </w:rPr>
        <w:t>3,571,947.</w:t>
      </w:r>
    </w:p>
    <w:p w14:paraId="0318E9F7" w14:textId="6CBF0A1A" w:rsidR="006C7F31" w:rsidRDefault="006C7F31" w:rsidP="00534EE5">
      <w:pPr>
        <w:pStyle w:val="VRGFBodycontent"/>
        <w:rPr>
          <w:rFonts w:eastAsia="MS Mincho"/>
        </w:rPr>
      </w:pPr>
      <w:r w:rsidRPr="00E87A03">
        <w:rPr>
          <w:rFonts w:eastAsia="MS Mincho"/>
        </w:rPr>
        <w:t>Meaningful</w:t>
      </w:r>
      <w:r w:rsidR="00534EE5">
        <w:rPr>
          <w:rFonts w:eastAsia="MS Mincho"/>
        </w:rPr>
        <w:t xml:space="preserve"> estimates of population level years of life lost </w:t>
      </w:r>
      <w:r w:rsidRPr="00E87A03">
        <w:rPr>
          <w:rFonts w:eastAsia="MS Mincho"/>
        </w:rPr>
        <w:t>depend on a clear definition of the health state</w:t>
      </w:r>
      <w:r w:rsidR="0003495A" w:rsidRPr="00E87A03">
        <w:rPr>
          <w:rFonts w:eastAsia="MS Mincho"/>
        </w:rPr>
        <w:t>.</w:t>
      </w:r>
      <w:r w:rsidR="008610D3" w:rsidRPr="00E87A03">
        <w:rPr>
          <w:rFonts w:eastAsia="MS Mincho"/>
        </w:rPr>
        <w:t xml:space="preserve"> </w:t>
      </w:r>
      <w:r w:rsidRPr="00E87A03">
        <w:rPr>
          <w:rFonts w:eastAsia="MS Mincho"/>
        </w:rPr>
        <w:t xml:space="preserve">In </w:t>
      </w:r>
      <w:r w:rsidR="00534EE5">
        <w:rPr>
          <w:rFonts w:eastAsia="MS Mincho"/>
        </w:rPr>
        <w:t>HRQL</w:t>
      </w:r>
      <w:r w:rsidRPr="00E87A03">
        <w:rPr>
          <w:rFonts w:eastAsia="MS Mincho"/>
        </w:rPr>
        <w:t xml:space="preserve"> studies</w:t>
      </w:r>
      <w:r w:rsidR="00126A10" w:rsidRPr="00E87A03">
        <w:rPr>
          <w:rFonts w:eastAsia="MS Mincho"/>
        </w:rPr>
        <w:t>,</w:t>
      </w:r>
      <w:r w:rsidRPr="00E87A03">
        <w:rPr>
          <w:rFonts w:eastAsia="MS Mincho"/>
        </w:rPr>
        <w:t xml:space="preserve"> utility weights for health states are often calculated at different levels of severity (e.g. mild, moderate, severe), whether the condition had been treated or not, or stage of condition (e.g. residual or acute)</w:t>
      </w:r>
      <w:r w:rsidR="0003495A" w:rsidRPr="00E87A03">
        <w:rPr>
          <w:rFonts w:eastAsia="MS Mincho"/>
        </w:rPr>
        <w:t>.</w:t>
      </w:r>
      <w:r w:rsidR="008610D3" w:rsidRPr="00E87A03">
        <w:rPr>
          <w:rFonts w:eastAsia="MS Mincho"/>
        </w:rPr>
        <w:t xml:space="preserve"> </w:t>
      </w:r>
      <w:r w:rsidRPr="00E87A03">
        <w:rPr>
          <w:rFonts w:eastAsia="MS Mincho"/>
        </w:rPr>
        <w:t>In calculating</w:t>
      </w:r>
      <w:r w:rsidR="00534EE5">
        <w:rPr>
          <w:rFonts w:eastAsia="MS Mincho"/>
        </w:rPr>
        <w:t xml:space="preserve"> years of life lost</w:t>
      </w:r>
      <w:r w:rsidR="00126A10" w:rsidRPr="00E87A03">
        <w:rPr>
          <w:rFonts w:eastAsia="MS Mincho"/>
        </w:rPr>
        <w:t>,</w:t>
      </w:r>
      <w:r w:rsidRPr="00E87A03">
        <w:rPr>
          <w:rFonts w:eastAsia="MS Mincho"/>
        </w:rPr>
        <w:t xml:space="preserve"> it is necessary to ensure the utility weight and the population prevalence data match in definition</w:t>
      </w:r>
      <w:r w:rsidR="0003495A" w:rsidRPr="00E87A03">
        <w:rPr>
          <w:rFonts w:eastAsia="MS Mincho"/>
        </w:rPr>
        <w:t>.</w:t>
      </w:r>
      <w:r w:rsidR="008610D3" w:rsidRPr="00E87A03">
        <w:rPr>
          <w:rFonts w:eastAsia="MS Mincho"/>
        </w:rPr>
        <w:t xml:space="preserve"> </w:t>
      </w:r>
      <w:r w:rsidRPr="00E87A03">
        <w:rPr>
          <w:rFonts w:eastAsia="MS Mincho"/>
        </w:rPr>
        <w:t>Errors in this matching can result in a substantial error in the</w:t>
      </w:r>
      <w:r w:rsidR="00534EE5">
        <w:rPr>
          <w:rFonts w:eastAsia="MS Mincho"/>
        </w:rPr>
        <w:t xml:space="preserve"> </w:t>
      </w:r>
      <w:r w:rsidRPr="00E87A03">
        <w:rPr>
          <w:rFonts w:eastAsia="MS Mincho"/>
        </w:rPr>
        <w:t>estimate</w:t>
      </w:r>
      <w:r w:rsidR="0003495A" w:rsidRPr="00E87A03">
        <w:rPr>
          <w:rFonts w:eastAsia="MS Mincho"/>
        </w:rPr>
        <w:t>.</w:t>
      </w:r>
      <w:r w:rsidR="008610D3" w:rsidRPr="00E87A03">
        <w:rPr>
          <w:rFonts w:eastAsia="MS Mincho"/>
        </w:rPr>
        <w:t xml:space="preserve"> </w:t>
      </w:r>
      <w:r w:rsidRPr="00E87A03">
        <w:rPr>
          <w:rFonts w:eastAsia="MS Mincho"/>
        </w:rPr>
        <w:t>An extensive search was conducted to source matching prevalence figures for the health states of interest to compare against gambling</w:t>
      </w:r>
      <w:r w:rsidR="00534EE5">
        <w:rPr>
          <w:rFonts w:eastAsia="MS Mincho"/>
        </w:rPr>
        <w:t>-related</w:t>
      </w:r>
      <w:r w:rsidRPr="00E87A03">
        <w:rPr>
          <w:rFonts w:eastAsia="MS Mincho"/>
        </w:rPr>
        <w:t xml:space="preserve"> harms</w:t>
      </w:r>
      <w:r w:rsidR="0003495A" w:rsidRPr="00E87A03">
        <w:rPr>
          <w:rFonts w:eastAsia="MS Mincho"/>
        </w:rPr>
        <w:t>.</w:t>
      </w:r>
      <w:r w:rsidR="008610D3" w:rsidRPr="00E87A03">
        <w:rPr>
          <w:rFonts w:eastAsia="MS Mincho"/>
        </w:rPr>
        <w:t xml:space="preserve"> </w:t>
      </w:r>
      <w:r w:rsidRPr="00E87A03">
        <w:rPr>
          <w:rFonts w:eastAsia="MS Mincho"/>
        </w:rPr>
        <w:t>This exercise proved challenging, due to the fact that many population health studies are not designed to collect data on various levels or stages of health states; they are normally reported as present or absent for the condition</w:t>
      </w:r>
      <w:r w:rsidR="0003495A" w:rsidRPr="00E87A03">
        <w:rPr>
          <w:rFonts w:eastAsia="MS Mincho"/>
        </w:rPr>
        <w:t>.</w:t>
      </w:r>
      <w:r w:rsidR="008610D3" w:rsidRPr="00E87A03">
        <w:rPr>
          <w:rFonts w:eastAsia="MS Mincho"/>
        </w:rPr>
        <w:t xml:space="preserve"> </w:t>
      </w:r>
      <w:r w:rsidRPr="00E87A03">
        <w:rPr>
          <w:rFonts w:eastAsia="MS Mincho"/>
        </w:rPr>
        <w:t>In some cases, matching condition definitions for prevalence and utility weights could not be identified</w:t>
      </w:r>
      <w:r w:rsidR="0003495A" w:rsidRPr="00E87A03">
        <w:rPr>
          <w:rFonts w:eastAsia="MS Mincho"/>
        </w:rPr>
        <w:t>.</w:t>
      </w:r>
      <w:r w:rsidR="008610D3" w:rsidRPr="00E87A03">
        <w:rPr>
          <w:rFonts w:eastAsia="MS Mincho"/>
        </w:rPr>
        <w:t xml:space="preserve"> </w:t>
      </w:r>
      <w:r w:rsidRPr="00E87A03">
        <w:rPr>
          <w:rFonts w:eastAsia="MS Mincho"/>
        </w:rPr>
        <w:t>As a result, some health states of interest (such as cardiovascular diseases) were excluded from the analysis due to the inability to source matching prevalence figures</w:t>
      </w:r>
      <w:r w:rsidR="0003495A" w:rsidRPr="00E87A03">
        <w:rPr>
          <w:rFonts w:eastAsia="MS Mincho"/>
        </w:rPr>
        <w:t>.</w:t>
      </w:r>
      <w:r w:rsidR="008610D3" w:rsidRPr="00E87A03">
        <w:rPr>
          <w:rFonts w:eastAsia="MS Mincho"/>
        </w:rPr>
        <w:t xml:space="preserve"> </w:t>
      </w:r>
      <w:r w:rsidRPr="00E87A03">
        <w:rPr>
          <w:rFonts w:eastAsia="MS Mincho"/>
        </w:rPr>
        <w:t>In other cases, reasonable approximations were assumed, and this is noted where appropriate.</w:t>
      </w:r>
      <w:r>
        <w:rPr>
          <w:rFonts w:eastAsia="MS Mincho"/>
        </w:rPr>
        <w:t xml:space="preserve"> </w:t>
      </w:r>
    </w:p>
    <w:p w14:paraId="6DD44A85" w14:textId="77777777" w:rsidR="006C7F31" w:rsidRDefault="006C7F31" w:rsidP="006C7F31">
      <w:pPr>
        <w:pStyle w:val="VRGFBodycontent"/>
        <w:rPr>
          <w:rFonts w:eastAsia="MS Mincho"/>
        </w:rPr>
      </w:pPr>
    </w:p>
    <w:p w14:paraId="043BCD74" w14:textId="4086FD64" w:rsidR="006C7F31" w:rsidRPr="00D302D0" w:rsidRDefault="006C7F31" w:rsidP="006C7F31">
      <w:pPr>
        <w:pStyle w:val="VRGFHead3"/>
      </w:pPr>
      <w:bookmarkStart w:id="320" w:name="_Toc462738067"/>
      <w:r w:rsidRPr="00D302D0">
        <w:t xml:space="preserve">Data </w:t>
      </w:r>
      <w:r w:rsidR="00C55215">
        <w:t>s</w:t>
      </w:r>
      <w:r w:rsidRPr="00D302D0">
        <w:t>ources</w:t>
      </w:r>
      <w:bookmarkEnd w:id="320"/>
    </w:p>
    <w:p w14:paraId="05458C5F" w14:textId="1582BC08" w:rsidR="006C7F31" w:rsidRPr="00D302D0" w:rsidRDefault="00C55215" w:rsidP="006C7F31">
      <w:pPr>
        <w:pStyle w:val="VRGFHead4"/>
      </w:pPr>
      <w:r>
        <w:t>New Zealand 2012 National Gambling S</w:t>
      </w:r>
      <w:r w:rsidR="006C7F31" w:rsidRPr="00D302D0">
        <w:t>tudy</w:t>
      </w:r>
    </w:p>
    <w:p w14:paraId="5826D8F3" w14:textId="2F985444" w:rsidR="006C7F31" w:rsidRPr="00534EE5" w:rsidRDefault="006C7F31" w:rsidP="006C7F31">
      <w:pPr>
        <w:pStyle w:val="VRGFBodycontent"/>
        <w:rPr>
          <w:rFonts w:eastAsia="MS Mincho"/>
        </w:rPr>
      </w:pPr>
      <w:r w:rsidRPr="00D82AC4">
        <w:rPr>
          <w:rFonts w:eastAsia="MS Mincho"/>
        </w:rPr>
        <w:t xml:space="preserve">The source for estimates of the </w:t>
      </w:r>
      <w:r>
        <w:rPr>
          <w:rFonts w:eastAsia="MS Mincho"/>
        </w:rPr>
        <w:t xml:space="preserve">New Zealand </w:t>
      </w:r>
      <w:r w:rsidRPr="00D82AC4">
        <w:rPr>
          <w:rFonts w:eastAsia="MS Mincho"/>
        </w:rPr>
        <w:t>adult population data was the 201</w:t>
      </w:r>
      <w:r>
        <w:rPr>
          <w:rFonts w:eastAsia="MS Mincho"/>
        </w:rPr>
        <w:t>2</w:t>
      </w:r>
      <w:r w:rsidRPr="00D82AC4">
        <w:rPr>
          <w:rFonts w:eastAsia="MS Mincho"/>
        </w:rPr>
        <w:t xml:space="preserve"> </w:t>
      </w:r>
      <w:r>
        <w:rPr>
          <w:rFonts w:eastAsia="MS Mincho"/>
        </w:rPr>
        <w:t>New Zealand National Gambling Study</w:t>
      </w:r>
      <w:r w:rsidRPr="00D82AC4">
        <w:rPr>
          <w:rFonts w:eastAsia="MS Mincho"/>
        </w:rPr>
        <w:t xml:space="preserve"> (</w:t>
      </w:r>
      <w:r w:rsidR="00263368" w:rsidRPr="00263368">
        <w:rPr>
          <w:rFonts w:eastAsia="MS Mincho"/>
        </w:rPr>
        <w:t>Abbott et al., 2014a</w:t>
      </w:r>
      <w:r w:rsidRPr="00D82AC4">
        <w:rPr>
          <w:rFonts w:eastAsia="MS Mincho"/>
        </w:rPr>
        <w:t>)</w:t>
      </w:r>
      <w:r w:rsidR="0003495A">
        <w:rPr>
          <w:rFonts w:eastAsia="MS Mincho"/>
        </w:rPr>
        <w:t>.</w:t>
      </w:r>
      <w:r w:rsidR="008610D3">
        <w:rPr>
          <w:rFonts w:eastAsia="MS Mincho"/>
        </w:rPr>
        <w:t xml:space="preserve"> </w:t>
      </w:r>
      <w:r>
        <w:rPr>
          <w:rFonts w:eastAsia="MS Mincho"/>
        </w:rPr>
        <w:t xml:space="preserve">This survey was conducted by the Gambling and Addictions Research Centre at Auckland University of Technology (AUT) </w:t>
      </w:r>
      <w:r w:rsidRPr="00D82AC4">
        <w:rPr>
          <w:rFonts w:eastAsia="MS Mincho"/>
        </w:rPr>
        <w:t xml:space="preserve">with a representative sample of </w:t>
      </w:r>
      <w:r>
        <w:rPr>
          <w:rFonts w:eastAsia="MS Mincho"/>
        </w:rPr>
        <w:t>6</w:t>
      </w:r>
      <w:r w:rsidRPr="00D82AC4">
        <w:rPr>
          <w:rFonts w:eastAsia="MS Mincho"/>
        </w:rPr>
        <w:t>,</w:t>
      </w:r>
      <w:r>
        <w:rPr>
          <w:rFonts w:eastAsia="MS Mincho"/>
        </w:rPr>
        <w:t>251</w:t>
      </w:r>
      <w:r w:rsidRPr="00D82AC4">
        <w:rPr>
          <w:rFonts w:eastAsia="MS Mincho"/>
        </w:rPr>
        <w:t xml:space="preserve"> </w:t>
      </w:r>
      <w:r>
        <w:rPr>
          <w:rFonts w:eastAsia="MS Mincho"/>
        </w:rPr>
        <w:t xml:space="preserve">adults </w:t>
      </w:r>
      <w:r w:rsidRPr="00D82AC4">
        <w:rPr>
          <w:rFonts w:eastAsia="MS Mincho"/>
        </w:rPr>
        <w:t xml:space="preserve">aged 18 years and </w:t>
      </w:r>
      <w:r w:rsidR="0026116A">
        <w:rPr>
          <w:rFonts w:eastAsia="MS Mincho"/>
        </w:rPr>
        <w:t>older</w:t>
      </w:r>
      <w:r w:rsidR="0003495A">
        <w:rPr>
          <w:rFonts w:eastAsia="MS Mincho"/>
        </w:rPr>
        <w:t>.</w:t>
      </w:r>
      <w:r w:rsidR="008610D3">
        <w:rPr>
          <w:rFonts w:eastAsia="MS Mincho"/>
        </w:rPr>
        <w:t xml:space="preserve"> </w:t>
      </w:r>
      <w:r>
        <w:rPr>
          <w:rFonts w:eastAsia="MS Mincho"/>
        </w:rPr>
        <w:t xml:space="preserve">This dataset was provided to the researchers by </w:t>
      </w:r>
      <w:r w:rsidR="00F626E9">
        <w:rPr>
          <w:rFonts w:eastAsia="MS Mincho"/>
        </w:rPr>
        <w:t xml:space="preserve">the </w:t>
      </w:r>
      <w:r>
        <w:rPr>
          <w:rFonts w:eastAsia="MS Mincho"/>
        </w:rPr>
        <w:t xml:space="preserve">AUT </w:t>
      </w:r>
      <w:r w:rsidR="00A84C64">
        <w:rPr>
          <w:rFonts w:eastAsia="MS Mincho"/>
        </w:rPr>
        <w:t>statistician</w:t>
      </w:r>
      <w:r w:rsidR="00F626E9">
        <w:rPr>
          <w:rFonts w:eastAsia="MS Mincho"/>
        </w:rPr>
        <w:t xml:space="preserve"> responsible for that data</w:t>
      </w:r>
      <w:r w:rsidR="00A84C64">
        <w:rPr>
          <w:rFonts w:eastAsia="MS Mincho"/>
        </w:rPr>
        <w:t xml:space="preserve"> </w:t>
      </w:r>
      <w:r>
        <w:rPr>
          <w:rFonts w:eastAsia="MS Mincho"/>
        </w:rPr>
        <w:t>and the gambling harm utility variables were then appended to the database by PGSI category: low-risk (0.18), moderate-risk (0.37), and problem gambler (0.54)</w:t>
      </w:r>
      <w:r w:rsidR="0003495A">
        <w:rPr>
          <w:rFonts w:eastAsia="MS Mincho"/>
        </w:rPr>
        <w:t>.</w:t>
      </w:r>
      <w:r w:rsidR="008610D3">
        <w:rPr>
          <w:rFonts w:eastAsia="MS Mincho"/>
        </w:rPr>
        <w:t xml:space="preserve"> </w:t>
      </w:r>
      <w:r>
        <w:rPr>
          <w:rFonts w:eastAsia="MS Mincho"/>
        </w:rPr>
        <w:t>Analysis of the New Zealand population level harm due to gambling was conducted from this dataset</w:t>
      </w:r>
      <w:r w:rsidR="0026116A">
        <w:rPr>
          <w:rFonts w:eastAsia="MS Mincho"/>
        </w:rPr>
        <w:t>,</w:t>
      </w:r>
      <w:r>
        <w:rPr>
          <w:rFonts w:eastAsia="MS Mincho"/>
        </w:rPr>
        <w:t xml:space="preserve"> weighted to be representative of the adult population</w:t>
      </w:r>
      <w:r w:rsidR="0003495A">
        <w:rPr>
          <w:rFonts w:eastAsia="MS Mincho"/>
        </w:rPr>
        <w:t>.</w:t>
      </w:r>
      <w:r w:rsidR="008610D3">
        <w:rPr>
          <w:rFonts w:eastAsia="MS Mincho"/>
        </w:rPr>
        <w:t xml:space="preserve"> </w:t>
      </w:r>
      <w:r>
        <w:rPr>
          <w:rFonts w:eastAsia="MS Mincho"/>
        </w:rPr>
        <w:t>Non-gamblers and no</w:t>
      </w:r>
      <w:r w:rsidR="00DA7A64">
        <w:rPr>
          <w:rFonts w:eastAsia="MS Mincho"/>
        </w:rPr>
        <w:t>n</w:t>
      </w:r>
      <w:r>
        <w:rPr>
          <w:rFonts w:eastAsia="MS Mincho"/>
        </w:rPr>
        <w:t>-</w:t>
      </w:r>
      <w:r w:rsidRPr="00534EE5">
        <w:rPr>
          <w:rFonts w:eastAsia="MS Mincho"/>
        </w:rPr>
        <w:t xml:space="preserve">problem gamblers were excluded from analysis, as they </w:t>
      </w:r>
      <w:r w:rsidR="0026116A" w:rsidRPr="00534EE5">
        <w:rPr>
          <w:rFonts w:eastAsia="MS Mincho"/>
        </w:rPr>
        <w:t>did not have a</w:t>
      </w:r>
      <w:r w:rsidRPr="00534EE5">
        <w:rPr>
          <w:rFonts w:eastAsia="MS Mincho"/>
        </w:rPr>
        <w:t xml:space="preserve"> gambling harm utility score. </w:t>
      </w:r>
    </w:p>
    <w:p w14:paraId="655DC435" w14:textId="5686C213" w:rsidR="006C7F31" w:rsidRPr="00534EE5" w:rsidRDefault="006C7F31" w:rsidP="006C7F31">
      <w:pPr>
        <w:pStyle w:val="VRGFBodycontent"/>
        <w:rPr>
          <w:rFonts w:eastAsia="MS Mincho"/>
        </w:rPr>
      </w:pPr>
      <w:r w:rsidRPr="00534EE5">
        <w:rPr>
          <w:rFonts w:eastAsia="MS Mincho"/>
        </w:rPr>
        <w:t xml:space="preserve">The utility weights for </w:t>
      </w:r>
      <w:r w:rsidR="00534EE5">
        <w:rPr>
          <w:rFonts w:eastAsia="MS Mincho"/>
        </w:rPr>
        <w:t xml:space="preserve">gambling-related </w:t>
      </w:r>
      <w:r w:rsidRPr="00534EE5">
        <w:rPr>
          <w:rFonts w:eastAsia="MS Mincho"/>
        </w:rPr>
        <w:t xml:space="preserve">harms by PGSI category were multiplied by PGSI prevalence estimates to yield </w:t>
      </w:r>
      <w:r w:rsidR="00534EE5">
        <w:rPr>
          <w:rFonts w:eastAsia="MS Mincho"/>
        </w:rPr>
        <w:t>QALY</w:t>
      </w:r>
      <w:r w:rsidR="00534EE5" w:rsidRPr="00534EE5">
        <w:rPr>
          <w:rFonts w:eastAsia="MS Mincho"/>
          <w:vertAlign w:val="subscript"/>
        </w:rPr>
        <w:t>1</w:t>
      </w:r>
      <w:r w:rsidR="00534EE5" w:rsidRPr="00534EE5">
        <w:rPr>
          <w:rFonts w:eastAsia="MS Mincho"/>
        </w:rPr>
        <w:t xml:space="preserve"> </w:t>
      </w:r>
      <w:r w:rsidRPr="00534EE5">
        <w:rPr>
          <w:rFonts w:eastAsia="MS Mincho"/>
        </w:rPr>
        <w:t>estimates</w:t>
      </w:r>
      <w:r w:rsidR="0003495A" w:rsidRPr="00534EE5">
        <w:rPr>
          <w:rFonts w:eastAsia="MS Mincho"/>
        </w:rPr>
        <w:t>.</w:t>
      </w:r>
      <w:r w:rsidR="008610D3" w:rsidRPr="00534EE5">
        <w:rPr>
          <w:rFonts w:eastAsia="MS Mincho"/>
        </w:rPr>
        <w:t xml:space="preserve"> </w:t>
      </w:r>
      <w:r w:rsidRPr="00534EE5">
        <w:rPr>
          <w:rFonts w:eastAsia="MS Mincho"/>
        </w:rPr>
        <w:t xml:space="preserve">Weighted data to the New Zealand adult population was used </w:t>
      </w:r>
      <w:r w:rsidR="008E55C2" w:rsidRPr="00534EE5">
        <w:rPr>
          <w:rFonts w:eastAsia="MS Mincho"/>
        </w:rPr>
        <w:t>to generate</w:t>
      </w:r>
      <w:r w:rsidRPr="00534EE5">
        <w:rPr>
          <w:rFonts w:eastAsia="MS Mincho"/>
        </w:rPr>
        <w:t xml:space="preserve"> the following figures in our analysis:</w:t>
      </w:r>
    </w:p>
    <w:p w14:paraId="593D0E9A" w14:textId="1BC7202D" w:rsidR="006C7F31" w:rsidRPr="00534EE5" w:rsidRDefault="006C7F31" w:rsidP="006C7F31">
      <w:pPr>
        <w:pStyle w:val="VRGFBulletedlist"/>
        <w:rPr>
          <w:rFonts w:eastAsia="MS Mincho"/>
          <w:lang w:eastAsia="ja-JP"/>
        </w:rPr>
      </w:pPr>
      <w:r w:rsidRPr="00534EE5">
        <w:rPr>
          <w:rFonts w:eastAsia="MS Mincho"/>
          <w:lang w:eastAsia="ja-JP"/>
        </w:rPr>
        <w:t>New Zealand adult population</w:t>
      </w:r>
      <w:r w:rsidR="00277480" w:rsidRPr="00534EE5">
        <w:rPr>
          <w:rFonts w:eastAsia="MS Mincho"/>
          <w:lang w:eastAsia="ja-JP"/>
        </w:rPr>
        <w:t xml:space="preserve"> as per 2013 census</w:t>
      </w:r>
      <w:r w:rsidRPr="00534EE5">
        <w:rPr>
          <w:rFonts w:eastAsia="MS Mincho"/>
          <w:lang w:eastAsia="ja-JP"/>
        </w:rPr>
        <w:t xml:space="preserve"> – </w:t>
      </w:r>
      <w:r w:rsidRPr="00534EE5">
        <w:t>3,571,947</w:t>
      </w:r>
      <w:r w:rsidRPr="00534EE5">
        <w:rPr>
          <w:rFonts w:eastAsia="MS Mincho"/>
          <w:lang w:eastAsia="ja-JP"/>
        </w:rPr>
        <w:t>.</w:t>
      </w:r>
    </w:p>
    <w:p w14:paraId="1666129F" w14:textId="1C40E606" w:rsidR="006C7F31" w:rsidRPr="00534EE5" w:rsidRDefault="006C7F31" w:rsidP="006C7F31">
      <w:pPr>
        <w:pStyle w:val="VRGFBulletedlist"/>
        <w:rPr>
          <w:rFonts w:eastAsia="MS Mincho"/>
          <w:lang w:eastAsia="ja-JP"/>
        </w:rPr>
      </w:pPr>
      <w:r w:rsidRPr="00534EE5">
        <w:rPr>
          <w:rFonts w:eastAsia="MS Mincho"/>
        </w:rPr>
        <w:t>Population</w:t>
      </w:r>
      <w:r w:rsidRPr="00534EE5">
        <w:rPr>
          <w:rFonts w:eastAsia="MS Mincho"/>
          <w:lang w:eastAsia="ja-JP"/>
        </w:rPr>
        <w:t xml:space="preserve"> and prevalence by PGSI category – See</w:t>
      </w:r>
      <w:r w:rsidR="00887EF0" w:rsidRPr="00534EE5">
        <w:rPr>
          <w:rFonts w:eastAsia="MS Mincho"/>
          <w:lang w:eastAsia="ja-JP"/>
        </w:rPr>
        <w:t xml:space="preserve"> </w:t>
      </w:r>
      <w:r w:rsidR="00887EF0" w:rsidRPr="00534EE5">
        <w:rPr>
          <w:rFonts w:eastAsia="MS Mincho"/>
          <w:lang w:eastAsia="ja-JP"/>
        </w:rPr>
        <w:fldChar w:fldCharType="begin"/>
      </w:r>
      <w:r w:rsidR="00887EF0" w:rsidRPr="00534EE5">
        <w:rPr>
          <w:rFonts w:eastAsia="MS Mincho"/>
          <w:lang w:eastAsia="ja-JP"/>
        </w:rPr>
        <w:instrText xml:space="preserve"> REF _Ref445565394 \h </w:instrText>
      </w:r>
      <w:r w:rsidR="00534EE5" w:rsidRPr="00534EE5">
        <w:rPr>
          <w:rFonts w:eastAsia="MS Mincho"/>
          <w:lang w:eastAsia="ja-JP"/>
        </w:rPr>
        <w:instrText xml:space="preserve"> \* MERGEFORMAT </w:instrText>
      </w:r>
      <w:r w:rsidR="00887EF0" w:rsidRPr="00534EE5">
        <w:rPr>
          <w:rFonts w:eastAsia="MS Mincho"/>
          <w:lang w:eastAsia="ja-JP"/>
        </w:rPr>
      </w:r>
      <w:r w:rsidR="00887EF0" w:rsidRPr="00534EE5">
        <w:rPr>
          <w:rFonts w:eastAsia="MS Mincho"/>
          <w:lang w:eastAsia="ja-JP"/>
        </w:rPr>
        <w:fldChar w:fldCharType="separate"/>
      </w:r>
      <w:r w:rsidR="0006479A" w:rsidRPr="00534EE5">
        <w:t xml:space="preserve">Table </w:t>
      </w:r>
      <w:r w:rsidR="0006479A">
        <w:rPr>
          <w:noProof/>
        </w:rPr>
        <w:t>23</w:t>
      </w:r>
      <w:r w:rsidR="00887EF0" w:rsidRPr="00534EE5">
        <w:rPr>
          <w:rFonts w:eastAsia="MS Mincho"/>
          <w:lang w:eastAsia="ja-JP"/>
        </w:rPr>
        <w:fldChar w:fldCharType="end"/>
      </w:r>
      <w:r w:rsidR="00F168F2" w:rsidRPr="00534EE5">
        <w:rPr>
          <w:rFonts w:eastAsia="MS Mincho"/>
          <w:lang w:eastAsia="ja-JP"/>
        </w:rPr>
        <w:t>.</w:t>
      </w:r>
    </w:p>
    <w:p w14:paraId="64E52E15" w14:textId="5C69D48D" w:rsidR="006C7F31" w:rsidRPr="00534EE5" w:rsidRDefault="00534EE5" w:rsidP="006C7F31">
      <w:pPr>
        <w:pStyle w:val="VRGFBulletedlist"/>
        <w:rPr>
          <w:rFonts w:eastAsia="MS Mincho"/>
          <w:lang w:eastAsia="ja-JP"/>
        </w:rPr>
      </w:pPr>
      <w:r>
        <w:rPr>
          <w:rFonts w:eastAsia="MS Mincho"/>
          <w:lang w:eastAsia="ja-JP"/>
        </w:rPr>
        <w:t>QALY</w:t>
      </w:r>
      <w:r w:rsidRPr="00534EE5">
        <w:rPr>
          <w:rFonts w:eastAsia="MS Mincho"/>
          <w:vertAlign w:val="subscript"/>
        </w:rPr>
        <w:t>1</w:t>
      </w:r>
      <w:r w:rsidRPr="00534EE5">
        <w:rPr>
          <w:rFonts w:eastAsia="MS Mincho"/>
          <w:lang w:eastAsia="ja-JP"/>
        </w:rPr>
        <w:t xml:space="preserve"> </w:t>
      </w:r>
      <w:r w:rsidR="006C7F31" w:rsidRPr="00534EE5">
        <w:rPr>
          <w:rFonts w:eastAsia="MS Mincho"/>
          <w:lang w:eastAsia="ja-JP"/>
        </w:rPr>
        <w:t>by demographics and PGSI category.</w:t>
      </w:r>
    </w:p>
    <w:p w14:paraId="4725D10B" w14:textId="69188DCF" w:rsidR="006C7F31" w:rsidRPr="00534EE5" w:rsidRDefault="00534EE5" w:rsidP="006C7F31">
      <w:pPr>
        <w:pStyle w:val="VRGFBulletedlist"/>
        <w:rPr>
          <w:rFonts w:eastAsia="MS Mincho"/>
          <w:b/>
          <w:lang w:eastAsia="ja-JP"/>
        </w:rPr>
      </w:pPr>
      <w:r>
        <w:rPr>
          <w:rFonts w:eastAsia="MS Mincho"/>
          <w:lang w:eastAsia="ja-JP"/>
        </w:rPr>
        <w:t>QALY</w:t>
      </w:r>
      <w:r w:rsidRPr="00534EE5">
        <w:rPr>
          <w:rFonts w:eastAsia="MS Mincho"/>
          <w:vertAlign w:val="subscript"/>
        </w:rPr>
        <w:t>1</w:t>
      </w:r>
      <w:r w:rsidRPr="00534EE5">
        <w:rPr>
          <w:rFonts w:eastAsia="MS Mincho"/>
          <w:lang w:eastAsia="ja-JP"/>
        </w:rPr>
        <w:t xml:space="preserve"> </w:t>
      </w:r>
      <w:r w:rsidR="006C7F31" w:rsidRPr="00534EE5">
        <w:rPr>
          <w:rFonts w:eastAsia="MS Mincho"/>
          <w:lang w:eastAsia="ja-JP"/>
        </w:rPr>
        <w:t>for others harmed by gamblers.</w:t>
      </w:r>
    </w:p>
    <w:p w14:paraId="10D15EAD" w14:textId="77777777" w:rsidR="006C7F31" w:rsidRPr="00534EE5" w:rsidRDefault="006C7F31" w:rsidP="006C7F31">
      <w:pPr>
        <w:pStyle w:val="VRGFBodycontent"/>
        <w:rPr>
          <w:rFonts w:eastAsia="MS Mincho"/>
          <w:lang w:eastAsia="ja-JP"/>
        </w:rPr>
      </w:pPr>
    </w:p>
    <w:p w14:paraId="4B29D7DB" w14:textId="2FB45D9F" w:rsidR="006C7F31" w:rsidRPr="00534EE5" w:rsidRDefault="00C55215" w:rsidP="006C7F31">
      <w:pPr>
        <w:pStyle w:val="VRGFHead4"/>
      </w:pPr>
      <w:r w:rsidRPr="00534EE5">
        <w:t>Utility w</w:t>
      </w:r>
      <w:r w:rsidR="006C7F31" w:rsidRPr="00534EE5">
        <w:t>eights</w:t>
      </w:r>
    </w:p>
    <w:p w14:paraId="1F4AD190" w14:textId="0ED25499" w:rsidR="006C7F31" w:rsidRDefault="006C7F31" w:rsidP="006C7F31">
      <w:pPr>
        <w:pStyle w:val="VRGFBodycontent"/>
        <w:rPr>
          <w:rFonts w:eastAsia="MS Mincho"/>
          <w:lang w:eastAsia="ja-JP"/>
        </w:rPr>
      </w:pPr>
      <w:r w:rsidRPr="00534EE5">
        <w:rPr>
          <w:rFonts w:eastAsia="MS Mincho"/>
        </w:rPr>
        <w:t xml:space="preserve">As discussed previously, utility weights for </w:t>
      </w:r>
      <w:r w:rsidR="00534EE5">
        <w:rPr>
          <w:rFonts w:eastAsia="MS Mincho"/>
        </w:rPr>
        <w:t xml:space="preserve">gambling-related </w:t>
      </w:r>
      <w:r w:rsidRPr="00534EE5">
        <w:rPr>
          <w:rFonts w:eastAsia="MS Mincho"/>
        </w:rPr>
        <w:t>harm to self and others</w:t>
      </w:r>
      <w:r w:rsidR="00E3664B" w:rsidRPr="00534EE5">
        <w:rPr>
          <w:rFonts w:eastAsia="MS Mincho"/>
        </w:rPr>
        <w:t>,</w:t>
      </w:r>
      <w:r w:rsidRPr="00534EE5">
        <w:rPr>
          <w:rFonts w:eastAsia="MS Mincho"/>
        </w:rPr>
        <w:t xml:space="preserve"> by PGSI</w:t>
      </w:r>
      <w:r w:rsidR="00E3664B" w:rsidRPr="00534EE5">
        <w:rPr>
          <w:rFonts w:eastAsia="MS Mincho"/>
        </w:rPr>
        <w:t>,</w:t>
      </w:r>
      <w:r w:rsidRPr="00534EE5">
        <w:rPr>
          <w:rFonts w:eastAsia="MS Mincho"/>
        </w:rPr>
        <w:t xml:space="preserve"> were derived from the current study</w:t>
      </w:r>
      <w:r w:rsidR="0003495A" w:rsidRPr="00534EE5">
        <w:rPr>
          <w:rFonts w:eastAsia="MS Mincho"/>
        </w:rPr>
        <w:t>.</w:t>
      </w:r>
      <w:r w:rsidR="008610D3" w:rsidRPr="00534EE5">
        <w:rPr>
          <w:rFonts w:eastAsia="MS Mincho"/>
        </w:rPr>
        <w:t xml:space="preserve"> </w:t>
      </w:r>
      <w:r w:rsidRPr="00534EE5">
        <w:rPr>
          <w:rFonts w:eastAsia="MS Mincho"/>
        </w:rPr>
        <w:t>Utility weights (also known as disability weights) for other comparable health states were sourced from the New Zealand Burden of Diseases, Injuries and Risk Factors Study, 2006-2016 (Ministry of Health, 2013)</w:t>
      </w:r>
      <w:r w:rsidR="0003495A" w:rsidRPr="00534EE5">
        <w:rPr>
          <w:rFonts w:eastAsia="MS Mincho"/>
        </w:rPr>
        <w:t>.</w:t>
      </w:r>
      <w:r w:rsidR="008610D3" w:rsidRPr="00534EE5">
        <w:rPr>
          <w:rFonts w:eastAsia="MS Mincho"/>
        </w:rPr>
        <w:t xml:space="preserve"> </w:t>
      </w:r>
      <w:r w:rsidRPr="00534EE5">
        <w:rPr>
          <w:rFonts w:eastAsia="MS Mincho"/>
        </w:rPr>
        <w:t xml:space="preserve">The exception was ‘hazardous drinking’ of alcohol in </w:t>
      </w:r>
      <w:r w:rsidRPr="00534EE5">
        <w:rPr>
          <w:rFonts w:eastAsia="MS Mincho"/>
        </w:rPr>
        <w:lastRenderedPageBreak/>
        <w:t xml:space="preserve">which the ‘Dutch weight’ for problem drinking was used </w:t>
      </w:r>
      <w:r w:rsidRPr="00534EE5">
        <w:rPr>
          <w:rFonts w:eastAsia="MS Mincho"/>
          <w:lang w:eastAsia="ja-JP"/>
        </w:rPr>
        <w:t>(Stouthard, Essink-Bot, Bonsel, Barendregt, &amp; Kramers, 1997)</w:t>
      </w:r>
      <w:r w:rsidR="00277480" w:rsidRPr="00534EE5">
        <w:rPr>
          <w:rFonts w:eastAsia="MS Mincho"/>
          <w:lang w:eastAsia="ja-JP"/>
        </w:rPr>
        <w:t xml:space="preserve"> due to the data not being available for New Zealand</w:t>
      </w:r>
      <w:r w:rsidRPr="00534EE5">
        <w:rPr>
          <w:rFonts w:eastAsia="MS Mincho"/>
          <w:lang w:eastAsia="ja-JP"/>
        </w:rPr>
        <w:t>.</w:t>
      </w:r>
    </w:p>
    <w:p w14:paraId="14565576" w14:textId="77777777" w:rsidR="006C7F31" w:rsidRPr="00D82AC4" w:rsidRDefault="006C7F31" w:rsidP="006C7F31">
      <w:pPr>
        <w:pStyle w:val="VRGFBodycontent"/>
        <w:rPr>
          <w:rFonts w:eastAsia="MS Mincho"/>
          <w:b/>
          <w:lang w:eastAsia="ja-JP"/>
        </w:rPr>
      </w:pPr>
    </w:p>
    <w:p w14:paraId="4F1942AB" w14:textId="23901259" w:rsidR="006C7F31" w:rsidRPr="00D302D0" w:rsidRDefault="006C7F31" w:rsidP="006C7F31">
      <w:pPr>
        <w:pStyle w:val="VRGFHead4"/>
      </w:pPr>
      <w:r w:rsidRPr="00D302D0">
        <w:t xml:space="preserve">Prevalence of </w:t>
      </w:r>
      <w:r w:rsidR="00C55215">
        <w:t>other h</w:t>
      </w:r>
      <w:r w:rsidRPr="00D302D0">
        <w:t xml:space="preserve">ealth </w:t>
      </w:r>
      <w:r w:rsidR="00C55215">
        <w:t>s</w:t>
      </w:r>
      <w:r w:rsidRPr="00D302D0">
        <w:t xml:space="preserve">tates in the New Zealand </w:t>
      </w:r>
      <w:r w:rsidR="00C55215">
        <w:t>p</w:t>
      </w:r>
      <w:r w:rsidRPr="00D302D0">
        <w:t>opulation</w:t>
      </w:r>
    </w:p>
    <w:p w14:paraId="171F79CF" w14:textId="42D7EDD5" w:rsidR="006C7F31" w:rsidRPr="00534EE5" w:rsidRDefault="006C7F31" w:rsidP="006C7F31">
      <w:pPr>
        <w:pStyle w:val="VRGFBodycontent"/>
        <w:rPr>
          <w:rFonts w:eastAsia="MS Mincho"/>
        </w:rPr>
      </w:pPr>
      <w:r w:rsidRPr="00534EE5">
        <w:rPr>
          <w:rFonts w:eastAsia="MS Mincho"/>
        </w:rPr>
        <w:t>Wherever possible, the percentage annual prevalence of other health states were sourced for New Zealand from population studies</w:t>
      </w:r>
      <w:r w:rsidR="0003495A" w:rsidRPr="00534EE5">
        <w:rPr>
          <w:rFonts w:eastAsia="MS Mincho"/>
        </w:rPr>
        <w:t>.</w:t>
      </w:r>
      <w:r w:rsidR="008610D3" w:rsidRPr="00534EE5">
        <w:rPr>
          <w:rFonts w:eastAsia="MS Mincho"/>
        </w:rPr>
        <w:t xml:space="preserve"> </w:t>
      </w:r>
      <w:r w:rsidR="00022F29" w:rsidRPr="00534EE5">
        <w:rPr>
          <w:rFonts w:eastAsia="MS Mincho"/>
        </w:rPr>
        <w:t>When those</w:t>
      </w:r>
      <w:r w:rsidRPr="00534EE5">
        <w:rPr>
          <w:rFonts w:eastAsia="MS Mincho"/>
        </w:rPr>
        <w:t xml:space="preserve"> figures were not available, they were sourced from countries of a similar </w:t>
      </w:r>
      <w:r w:rsidR="00CA0059" w:rsidRPr="00534EE5">
        <w:rPr>
          <w:rFonts w:eastAsia="MS Mincho"/>
        </w:rPr>
        <w:t xml:space="preserve">social-economic </w:t>
      </w:r>
      <w:r w:rsidR="00E47214" w:rsidRPr="00534EE5">
        <w:rPr>
          <w:rFonts w:eastAsia="MS Mincho"/>
        </w:rPr>
        <w:t>status</w:t>
      </w:r>
      <w:r w:rsidRPr="00534EE5">
        <w:rPr>
          <w:rFonts w:eastAsia="MS Mincho"/>
        </w:rPr>
        <w:t xml:space="preserve"> with the assumption that prevalence figures would be comparable to New Zealand</w:t>
      </w:r>
      <w:r w:rsidR="0003495A" w:rsidRPr="00534EE5">
        <w:rPr>
          <w:rFonts w:eastAsia="MS Mincho"/>
        </w:rPr>
        <w:t>.</w:t>
      </w:r>
      <w:r w:rsidR="008610D3" w:rsidRPr="00534EE5">
        <w:rPr>
          <w:rFonts w:eastAsia="MS Mincho"/>
        </w:rPr>
        <w:t xml:space="preserve"> </w:t>
      </w:r>
      <w:r w:rsidRPr="00534EE5">
        <w:rPr>
          <w:rFonts w:eastAsia="MS Mincho"/>
        </w:rPr>
        <w:t>The sources of prevalence estimates used in calculations include</w:t>
      </w:r>
      <w:r w:rsidR="00022F29" w:rsidRPr="00534EE5">
        <w:rPr>
          <w:rFonts w:eastAsia="MS Mincho"/>
        </w:rPr>
        <w:t>d</w:t>
      </w:r>
      <w:r w:rsidRPr="00534EE5">
        <w:rPr>
          <w:rFonts w:eastAsia="MS Mincho"/>
        </w:rPr>
        <w:t>:</w:t>
      </w:r>
    </w:p>
    <w:p w14:paraId="2D90ABF4" w14:textId="691CB646" w:rsidR="006C7F31" w:rsidRPr="00534EE5" w:rsidRDefault="006C7F31" w:rsidP="006C7F31">
      <w:pPr>
        <w:pStyle w:val="VRGFBulletedlist"/>
        <w:rPr>
          <w:rFonts w:eastAsia="MS Mincho"/>
          <w:lang w:eastAsia="ja-JP"/>
        </w:rPr>
      </w:pPr>
      <w:r w:rsidRPr="00534EE5">
        <w:rPr>
          <w:rFonts w:eastAsia="MS Mincho"/>
          <w:lang w:eastAsia="ja-JP"/>
        </w:rPr>
        <w:t xml:space="preserve">Annual update of key results 2014/15: New Zealand </w:t>
      </w:r>
      <w:r w:rsidR="00022F29" w:rsidRPr="00534EE5">
        <w:rPr>
          <w:rFonts w:eastAsia="MS Mincho"/>
          <w:lang w:eastAsia="ja-JP"/>
        </w:rPr>
        <w:t>H</w:t>
      </w:r>
      <w:r w:rsidRPr="00534EE5">
        <w:rPr>
          <w:rFonts w:eastAsia="MS Mincho"/>
          <w:lang w:eastAsia="ja-JP"/>
        </w:rPr>
        <w:t xml:space="preserve">ealth </w:t>
      </w:r>
      <w:r w:rsidR="00022F29" w:rsidRPr="00534EE5">
        <w:rPr>
          <w:rFonts w:eastAsia="MS Mincho"/>
          <w:lang w:eastAsia="ja-JP"/>
        </w:rPr>
        <w:t>S</w:t>
      </w:r>
      <w:r w:rsidRPr="00534EE5">
        <w:rPr>
          <w:rFonts w:eastAsia="MS Mincho"/>
          <w:lang w:eastAsia="ja-JP"/>
        </w:rPr>
        <w:t>urvey (Ministry of Health, 2015)</w:t>
      </w:r>
      <w:r w:rsidR="00C55215" w:rsidRPr="00534EE5">
        <w:rPr>
          <w:rFonts w:eastAsia="MS Mincho"/>
          <w:lang w:eastAsia="ja-JP"/>
        </w:rPr>
        <w:t>.</w:t>
      </w:r>
      <w:r w:rsidRPr="00534EE5">
        <w:rPr>
          <w:rFonts w:eastAsia="MS Mincho"/>
          <w:lang w:eastAsia="ja-JP"/>
        </w:rPr>
        <w:t xml:space="preserve"> </w:t>
      </w:r>
    </w:p>
    <w:p w14:paraId="22217A7F" w14:textId="0D898262" w:rsidR="006C7F31" w:rsidRPr="00534EE5" w:rsidRDefault="006C7F31" w:rsidP="006C7F31">
      <w:pPr>
        <w:pStyle w:val="VRGFBulletedlist"/>
        <w:rPr>
          <w:rFonts w:eastAsia="MS Mincho"/>
          <w:lang w:eastAsia="ja-JP"/>
        </w:rPr>
      </w:pPr>
      <w:r w:rsidRPr="00534EE5">
        <w:rPr>
          <w:rFonts w:eastAsia="MS Mincho"/>
          <w:lang w:eastAsia="ja-JP"/>
        </w:rPr>
        <w:t>Prevalence, interference with life and severity of 12 month DSM-IV disorders in Te Rau Hinengaro: The New Zealand Mental Health Survey (Wells et al., 2006)</w:t>
      </w:r>
      <w:r w:rsidR="00C55215" w:rsidRPr="00534EE5">
        <w:rPr>
          <w:rFonts w:eastAsia="MS Mincho"/>
          <w:lang w:eastAsia="ja-JP"/>
        </w:rPr>
        <w:t>.</w:t>
      </w:r>
    </w:p>
    <w:p w14:paraId="79651F38" w14:textId="6F5BB31B" w:rsidR="006C7F31" w:rsidRPr="00534EE5" w:rsidRDefault="006C7F31" w:rsidP="006C7F31">
      <w:pPr>
        <w:pStyle w:val="VRGFBulletedlist"/>
        <w:rPr>
          <w:rFonts w:eastAsia="MS Mincho"/>
          <w:lang w:eastAsia="ja-JP"/>
        </w:rPr>
      </w:pPr>
      <w:r w:rsidRPr="00534EE5">
        <w:rPr>
          <w:rFonts w:eastAsia="MS Mincho"/>
          <w:lang w:eastAsia="ja-JP"/>
        </w:rPr>
        <w:t>Epilepsy across the spectrum: Promoting health and understanding (England, 2012)</w:t>
      </w:r>
      <w:r w:rsidR="00C55215" w:rsidRPr="00534EE5">
        <w:rPr>
          <w:rFonts w:eastAsia="MS Mincho"/>
          <w:lang w:eastAsia="ja-JP"/>
        </w:rPr>
        <w:t>.</w:t>
      </w:r>
    </w:p>
    <w:p w14:paraId="376B9351" w14:textId="2BF2F3EB" w:rsidR="006C7F31" w:rsidRPr="00534EE5" w:rsidRDefault="006C7F31" w:rsidP="006C7F31">
      <w:pPr>
        <w:pStyle w:val="VRGFBulletedlist"/>
        <w:rPr>
          <w:rFonts w:eastAsia="MS Mincho"/>
          <w:lang w:eastAsia="ja-JP"/>
        </w:rPr>
      </w:pPr>
      <w:r w:rsidRPr="00534EE5">
        <w:rPr>
          <w:rFonts w:eastAsia="MS Mincho"/>
          <w:lang w:eastAsia="ja-JP"/>
        </w:rPr>
        <w:t>Multiple sclerosis in New Zealand (Alla &amp; Mason, 2014)</w:t>
      </w:r>
      <w:r w:rsidR="00C55215" w:rsidRPr="00534EE5">
        <w:rPr>
          <w:rFonts w:eastAsia="MS Mincho"/>
          <w:lang w:eastAsia="ja-JP"/>
        </w:rPr>
        <w:t>.</w:t>
      </w:r>
      <w:r w:rsidRPr="00534EE5">
        <w:rPr>
          <w:rFonts w:eastAsia="MS Mincho"/>
          <w:lang w:eastAsia="ja-JP"/>
        </w:rPr>
        <w:t xml:space="preserve"> </w:t>
      </w:r>
    </w:p>
    <w:p w14:paraId="34FF5A86" w14:textId="2284416F" w:rsidR="006C7F31" w:rsidRPr="00534EE5" w:rsidRDefault="006C7F31" w:rsidP="006C7F31">
      <w:pPr>
        <w:pStyle w:val="VRGFBulletedlist"/>
        <w:rPr>
          <w:rFonts w:eastAsia="MS Mincho"/>
          <w:lang w:eastAsia="ja-JP"/>
        </w:rPr>
      </w:pPr>
      <w:r w:rsidRPr="00534EE5">
        <w:rPr>
          <w:rFonts w:eastAsia="MS Mincho"/>
          <w:lang w:eastAsia="ja-JP"/>
        </w:rPr>
        <w:t>Prevalence of diagnosed and undiagnosed diabetes and prediabetes in New Zealand: findings from the 2008/09 adult nutrition survey (Coppell et al., 2013)</w:t>
      </w:r>
      <w:r w:rsidR="00C55215" w:rsidRPr="00534EE5">
        <w:rPr>
          <w:rFonts w:eastAsia="MS Mincho"/>
          <w:lang w:eastAsia="ja-JP"/>
        </w:rPr>
        <w:t>.</w:t>
      </w:r>
    </w:p>
    <w:p w14:paraId="4340A730" w14:textId="46CF089B" w:rsidR="006C7F31" w:rsidRPr="00534EE5" w:rsidRDefault="006C7F31" w:rsidP="006C7F31">
      <w:pPr>
        <w:pStyle w:val="VRGFBulletedlist"/>
        <w:rPr>
          <w:rFonts w:eastAsia="MS Mincho"/>
          <w:lang w:eastAsia="ja-JP"/>
        </w:rPr>
      </w:pPr>
      <w:r w:rsidRPr="00534EE5">
        <w:rPr>
          <w:rFonts w:eastAsia="MS Mincho"/>
          <w:lang w:eastAsia="ja-JP"/>
        </w:rPr>
        <w:t>The impact of respiratory disease in New Zealand: 2014 update (Barnard et al., 2015)</w:t>
      </w:r>
      <w:r w:rsidR="00C55215" w:rsidRPr="00534EE5">
        <w:rPr>
          <w:rFonts w:eastAsia="MS Mincho"/>
          <w:lang w:eastAsia="ja-JP"/>
        </w:rPr>
        <w:t>.</w:t>
      </w:r>
    </w:p>
    <w:p w14:paraId="225AB47B" w14:textId="0F89EE84" w:rsidR="006C7F31" w:rsidRPr="00534EE5" w:rsidRDefault="006C7F31" w:rsidP="006C7F31">
      <w:pPr>
        <w:pStyle w:val="VRGFBulletedlist"/>
        <w:rPr>
          <w:rFonts w:eastAsia="MS Mincho"/>
          <w:lang w:eastAsia="ja-JP"/>
        </w:rPr>
      </w:pPr>
      <w:r w:rsidRPr="00534EE5">
        <w:rPr>
          <w:rFonts w:eastAsia="MS Mincho"/>
          <w:lang w:eastAsia="ja-JP"/>
        </w:rPr>
        <w:t>Mental health in New Zealand from a public health perspective (Ellis &amp; Collings, 1997)</w:t>
      </w:r>
      <w:r w:rsidR="00C55215" w:rsidRPr="00534EE5">
        <w:rPr>
          <w:rFonts w:eastAsia="MS Mincho"/>
          <w:lang w:eastAsia="ja-JP"/>
        </w:rPr>
        <w:t>.</w:t>
      </w:r>
    </w:p>
    <w:p w14:paraId="52FF283E" w14:textId="405D88D6" w:rsidR="006C7F31" w:rsidRPr="002D0872" w:rsidRDefault="006C7F31" w:rsidP="006C7F31">
      <w:pPr>
        <w:pStyle w:val="VRGFBodycontent"/>
      </w:pPr>
      <w:r w:rsidRPr="00534EE5">
        <w:rPr>
          <w:rFonts w:eastAsia="MS Mincho"/>
        </w:rPr>
        <w:t xml:space="preserve">To calculate the </w:t>
      </w:r>
      <w:r w:rsidR="00534EE5">
        <w:t>QALY</w:t>
      </w:r>
      <w:r w:rsidR="00534EE5" w:rsidRPr="00534EE5">
        <w:rPr>
          <w:sz w:val="16"/>
          <w:szCs w:val="16"/>
        </w:rPr>
        <w:t>1</w:t>
      </w:r>
      <w:r w:rsidR="00534EE5" w:rsidRPr="00534EE5">
        <w:t xml:space="preserve"> </w:t>
      </w:r>
      <w:r w:rsidRPr="00534EE5">
        <w:t xml:space="preserve">for other health conditions the same formula was used as </w:t>
      </w:r>
      <w:r w:rsidR="00022F29" w:rsidRPr="00534EE5">
        <w:t xml:space="preserve">for </w:t>
      </w:r>
      <w:r w:rsidRPr="00534EE5">
        <w:t>gambling harm: New Zealand Adult Population (3,571,947) x Prevalence (%) for Health State x Utility Weight</w:t>
      </w:r>
      <w:r w:rsidR="0003495A" w:rsidRPr="00534EE5">
        <w:t>.</w:t>
      </w:r>
      <w:r w:rsidR="008610D3" w:rsidRPr="00534EE5">
        <w:t xml:space="preserve"> </w:t>
      </w:r>
      <w:r w:rsidR="0014594C" w:rsidRPr="00534EE5">
        <w:t xml:space="preserve">See </w:t>
      </w:r>
      <w:r w:rsidR="0014594C" w:rsidRPr="00534EE5">
        <w:fldChar w:fldCharType="begin"/>
      </w:r>
      <w:r w:rsidR="0014594C" w:rsidRPr="00534EE5">
        <w:instrText xml:space="preserve"> REF _Ref445565230 \h </w:instrText>
      </w:r>
      <w:r w:rsidR="00C00760" w:rsidRPr="00534EE5">
        <w:instrText xml:space="preserve"> \* MERGEFORMAT </w:instrText>
      </w:r>
      <w:r w:rsidR="0014594C" w:rsidRPr="00534EE5">
        <w:fldChar w:fldCharType="separate"/>
      </w:r>
      <w:r w:rsidR="0006479A">
        <w:t xml:space="preserve">Appendix </w:t>
      </w:r>
      <w:r w:rsidR="0006479A">
        <w:rPr>
          <w:noProof/>
        </w:rPr>
        <w:t>11</w:t>
      </w:r>
      <w:r w:rsidR="0014594C" w:rsidRPr="00534EE5">
        <w:fldChar w:fldCharType="end"/>
      </w:r>
      <w:r w:rsidR="0014594C" w:rsidRPr="00534EE5">
        <w:t xml:space="preserve"> </w:t>
      </w:r>
      <w:r w:rsidRPr="00534EE5">
        <w:t xml:space="preserve">for the figures used in calculation of </w:t>
      </w:r>
      <w:r w:rsidR="00534EE5">
        <w:t>QALY</w:t>
      </w:r>
      <w:r w:rsidR="00534EE5" w:rsidRPr="00534EE5">
        <w:rPr>
          <w:sz w:val="16"/>
          <w:szCs w:val="16"/>
        </w:rPr>
        <w:t>1</w:t>
      </w:r>
      <w:r w:rsidR="00534EE5" w:rsidRPr="00534EE5">
        <w:t xml:space="preserve"> </w:t>
      </w:r>
      <w:r w:rsidRPr="00534EE5">
        <w:t>for gambling harms and the other health conditions.</w:t>
      </w:r>
    </w:p>
    <w:p w14:paraId="21B7BE1F" w14:textId="77777777" w:rsidR="006C7F31" w:rsidRDefault="006C7F31" w:rsidP="006C7F31">
      <w:pPr>
        <w:pStyle w:val="VRGFBodycontent"/>
        <w:rPr>
          <w:rFonts w:eastAsia="MS Mincho"/>
          <w:lang w:eastAsia="ja-JP"/>
        </w:rPr>
      </w:pPr>
    </w:p>
    <w:p w14:paraId="21057ECF" w14:textId="77777777" w:rsidR="006C7F31" w:rsidRPr="00D302D0" w:rsidRDefault="006C7F31" w:rsidP="006C7F31">
      <w:pPr>
        <w:pStyle w:val="VRGFHead2"/>
        <w:rPr>
          <w:rFonts w:eastAsia="MS Mincho"/>
        </w:rPr>
      </w:pPr>
      <w:bookmarkStart w:id="321" w:name="_Toc440900297"/>
      <w:bookmarkStart w:id="322" w:name="_Toc462738068"/>
      <w:r w:rsidRPr="00D302D0">
        <w:rPr>
          <w:rFonts w:eastAsia="MS Mincho"/>
        </w:rPr>
        <w:t>Results</w:t>
      </w:r>
      <w:bookmarkEnd w:id="321"/>
      <w:bookmarkEnd w:id="322"/>
    </w:p>
    <w:p w14:paraId="06FB7D28" w14:textId="26142B29" w:rsidR="00E03DE0" w:rsidRDefault="006C7F31" w:rsidP="00E03DE0">
      <w:pPr>
        <w:pStyle w:val="VRGFHead3"/>
      </w:pPr>
      <w:bookmarkStart w:id="323" w:name="_Toc462738069"/>
      <w:r w:rsidRPr="00D302D0">
        <w:t>Prevalence of gambling problems in New Zealand</w:t>
      </w:r>
      <w:bookmarkEnd w:id="323"/>
    </w:p>
    <w:p w14:paraId="77B98178" w14:textId="6EC8926B" w:rsidR="006C7F31" w:rsidRDefault="00E03DE0" w:rsidP="006C7F31">
      <w:pPr>
        <w:pStyle w:val="VRGFBodycontent"/>
        <w:rPr>
          <w:rFonts w:eastAsia="MS Mincho"/>
        </w:rPr>
      </w:pPr>
      <w:r>
        <w:rPr>
          <w:rFonts w:eastAsia="MS Mincho"/>
        </w:rPr>
        <w:fldChar w:fldCharType="begin"/>
      </w:r>
      <w:r>
        <w:rPr>
          <w:rFonts w:eastAsia="MS Mincho"/>
        </w:rPr>
        <w:instrText xml:space="preserve"> REF _Ref448493198 \h </w:instrText>
      </w:r>
      <w:r>
        <w:rPr>
          <w:rFonts w:eastAsia="MS Mincho"/>
        </w:rPr>
      </w:r>
      <w:r>
        <w:rPr>
          <w:rFonts w:eastAsia="MS Mincho"/>
        </w:rPr>
        <w:fldChar w:fldCharType="separate"/>
      </w:r>
      <w:r w:rsidR="0006479A">
        <w:t xml:space="preserve">Figure </w:t>
      </w:r>
      <w:r w:rsidR="0006479A">
        <w:rPr>
          <w:noProof/>
        </w:rPr>
        <w:t>14</w:t>
      </w:r>
      <w:r>
        <w:rPr>
          <w:rFonts w:eastAsia="MS Mincho"/>
        </w:rPr>
        <w:fldChar w:fldCharType="end"/>
      </w:r>
      <w:r>
        <w:rPr>
          <w:rFonts w:eastAsia="MS Mincho"/>
        </w:rPr>
        <w:t xml:space="preserve"> </w:t>
      </w:r>
      <w:r w:rsidR="006C7F31" w:rsidRPr="00E03DE0">
        <w:rPr>
          <w:rFonts w:eastAsia="MS Mincho"/>
        </w:rPr>
        <w:t>compares the prevalence of gambling to other health-related conditions in New Zealand</w:t>
      </w:r>
      <w:r w:rsidR="0003495A" w:rsidRPr="00E03DE0">
        <w:rPr>
          <w:rFonts w:eastAsia="MS Mincho"/>
        </w:rPr>
        <w:t>.</w:t>
      </w:r>
      <w:r w:rsidR="008610D3" w:rsidRPr="00E03DE0">
        <w:rPr>
          <w:rFonts w:eastAsia="MS Mincho"/>
        </w:rPr>
        <w:t xml:space="preserve"> </w:t>
      </w:r>
      <w:r w:rsidR="006C7F31" w:rsidRPr="00E03DE0">
        <w:rPr>
          <w:rFonts w:eastAsia="MS Mincho"/>
        </w:rPr>
        <w:t>Low-risk gambling problems are more prevalent than rheumatoid arthritis,</w:t>
      </w:r>
      <w:r w:rsidR="00B8434C" w:rsidRPr="00E03DE0" w:rsidDel="00B8434C">
        <w:rPr>
          <w:rFonts w:eastAsia="MS Mincho"/>
        </w:rPr>
        <w:t xml:space="preserve"> </w:t>
      </w:r>
      <w:r w:rsidR="006C7F31" w:rsidRPr="00E03DE0">
        <w:rPr>
          <w:rFonts w:eastAsia="MS Mincho"/>
        </w:rPr>
        <w:t>COPD and drug use disorders, but considerably less prevalent than hazardous drinking of alcohol (&gt;8 AUDIT score) and anxiety and depressive disorders</w:t>
      </w:r>
      <w:r w:rsidR="0003495A" w:rsidRPr="00E03DE0">
        <w:rPr>
          <w:rFonts w:eastAsia="MS Mincho"/>
        </w:rPr>
        <w:t>.</w:t>
      </w:r>
      <w:r w:rsidR="008610D3" w:rsidRPr="00E03DE0">
        <w:rPr>
          <w:rFonts w:eastAsia="MS Mincho"/>
        </w:rPr>
        <w:t xml:space="preserve"> </w:t>
      </w:r>
      <w:r w:rsidR="006C7F31" w:rsidRPr="00E03DE0">
        <w:rPr>
          <w:rFonts w:eastAsia="MS Mincho"/>
        </w:rPr>
        <w:t>Moderate-risk gambling problems are similar in prevalence to drug use disorders, slightly higher than stroke</w:t>
      </w:r>
      <w:r w:rsidR="00731088" w:rsidRPr="00E03DE0">
        <w:rPr>
          <w:rFonts w:eastAsia="MS Mincho"/>
        </w:rPr>
        <w:t>,</w:t>
      </w:r>
      <w:r w:rsidR="006C7F31" w:rsidRPr="00E03DE0">
        <w:rPr>
          <w:rFonts w:eastAsia="MS Mincho"/>
        </w:rPr>
        <w:t xml:space="preserve"> and twice as prevalent as bipolar affective disorder</w:t>
      </w:r>
      <w:r w:rsidR="0003495A" w:rsidRPr="00E03DE0">
        <w:rPr>
          <w:rFonts w:eastAsia="MS Mincho"/>
        </w:rPr>
        <w:t>.</w:t>
      </w:r>
      <w:r w:rsidR="008610D3" w:rsidRPr="00E03DE0">
        <w:rPr>
          <w:rFonts w:eastAsia="MS Mincho"/>
        </w:rPr>
        <w:t xml:space="preserve"> </w:t>
      </w:r>
      <w:r w:rsidR="006C7F31" w:rsidRPr="00E03DE0">
        <w:rPr>
          <w:rFonts w:eastAsia="MS Mincho"/>
        </w:rPr>
        <w:t xml:space="preserve">Combining all levels of gambling problems, prevalence is </w:t>
      </w:r>
      <w:r w:rsidR="0014594C" w:rsidRPr="00E03DE0">
        <w:rPr>
          <w:rFonts w:eastAsia="MS Mincho"/>
        </w:rPr>
        <w:t xml:space="preserve">slightly higher </w:t>
      </w:r>
      <w:r w:rsidR="00731088" w:rsidRPr="00E03DE0">
        <w:rPr>
          <w:rFonts w:eastAsia="MS Mincho"/>
        </w:rPr>
        <w:t xml:space="preserve">than </w:t>
      </w:r>
      <w:r w:rsidR="006C7F31" w:rsidRPr="00E03DE0">
        <w:rPr>
          <w:rFonts w:eastAsia="MS Mincho"/>
        </w:rPr>
        <w:t>diabetes.</w:t>
      </w:r>
    </w:p>
    <w:p w14:paraId="55396559" w14:textId="1288B3B4" w:rsidR="00E03DE0" w:rsidRDefault="00E03DE0" w:rsidP="006C7F31">
      <w:pPr>
        <w:pStyle w:val="VRGFBodycontent"/>
        <w:rPr>
          <w:rFonts w:eastAsia="MS Mincho"/>
        </w:rPr>
      </w:pPr>
    </w:p>
    <w:p w14:paraId="1013A4A1" w14:textId="04AF4485" w:rsidR="008C6CBB" w:rsidRPr="00E03DE0" w:rsidRDefault="008C6CBB" w:rsidP="006C7F31">
      <w:pPr>
        <w:pStyle w:val="VRGFBodycontent"/>
        <w:rPr>
          <w:rFonts w:eastAsia="MS Mincho"/>
        </w:rPr>
      </w:pPr>
      <w:r>
        <w:rPr>
          <w:rFonts w:eastAsia="MS Mincho"/>
          <w:noProof/>
          <w:lang w:val="en-NZ" w:eastAsia="en-NZ"/>
        </w:rPr>
        <w:lastRenderedPageBreak/>
        <w:drawing>
          <wp:inline distT="0" distB="0" distL="0" distR="0" wp14:anchorId="08B8D77E" wp14:editId="395F32DE">
            <wp:extent cx="5460139" cy="3369177"/>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4360" cy="3377952"/>
                    </a:xfrm>
                    <a:prstGeom prst="rect">
                      <a:avLst/>
                    </a:prstGeom>
                    <a:noFill/>
                  </pic:spPr>
                </pic:pic>
              </a:graphicData>
            </a:graphic>
          </wp:inline>
        </w:drawing>
      </w:r>
    </w:p>
    <w:p w14:paraId="41DFA3E0" w14:textId="44EF3112" w:rsidR="006C7F31" w:rsidRPr="00646D9F" w:rsidRDefault="0014594C" w:rsidP="0014594C">
      <w:pPr>
        <w:pStyle w:val="Caption"/>
        <w:rPr>
          <w:rFonts w:eastAsia="MS Mincho"/>
          <w:color w:val="1C3158"/>
        </w:rPr>
      </w:pPr>
      <w:bookmarkStart w:id="324" w:name="_Ref445565298"/>
      <w:bookmarkStart w:id="325" w:name="_Ref448493198"/>
      <w:bookmarkStart w:id="326" w:name="_Ref429650746"/>
      <w:bookmarkStart w:id="327" w:name="_Toc440900317"/>
      <w:bookmarkStart w:id="328" w:name="_Toc462738097"/>
      <w:r>
        <w:t xml:space="preserve">Figure </w:t>
      </w:r>
      <w:fldSimple w:instr=" SEQ Figure \* ARABIC ">
        <w:r w:rsidR="0006479A">
          <w:rPr>
            <w:noProof/>
          </w:rPr>
          <w:t>14</w:t>
        </w:r>
      </w:fldSimple>
      <w:bookmarkEnd w:id="324"/>
      <w:bookmarkEnd w:id="325"/>
      <w:r w:rsidR="0003495A">
        <w:t>.</w:t>
      </w:r>
      <w:r w:rsidR="008610D3">
        <w:t xml:space="preserve"> </w:t>
      </w:r>
      <w:bookmarkEnd w:id="326"/>
      <w:r w:rsidR="006C7F31" w:rsidRPr="00646D9F">
        <w:rPr>
          <w:color w:val="1C3158"/>
        </w:rPr>
        <w:t xml:space="preserve">Annual prevalence of gambling problems (by PGSI category) and other health states in the </w:t>
      </w:r>
      <w:r w:rsidR="006C7F31">
        <w:rPr>
          <w:color w:val="1C3158"/>
        </w:rPr>
        <w:t>New Zealand</w:t>
      </w:r>
      <w:r w:rsidR="006C7F31" w:rsidRPr="00646D9F">
        <w:rPr>
          <w:color w:val="1C3158"/>
        </w:rPr>
        <w:t xml:space="preserve"> adult population</w:t>
      </w:r>
      <w:bookmarkEnd w:id="327"/>
      <w:bookmarkEnd w:id="328"/>
      <w:r w:rsidR="006C7F31" w:rsidRPr="00646D9F">
        <w:rPr>
          <w:color w:val="1C3158"/>
        </w:rPr>
        <w:t xml:space="preserve"> </w:t>
      </w:r>
    </w:p>
    <w:p w14:paraId="3B9E9BB2" w14:textId="77777777" w:rsidR="006C7F31" w:rsidRPr="00D82AC4" w:rsidRDefault="006C7F31" w:rsidP="006C7F31">
      <w:pPr>
        <w:pStyle w:val="VRGFBodycontent"/>
        <w:rPr>
          <w:rFonts w:eastAsia="MS Mincho"/>
        </w:rPr>
      </w:pPr>
    </w:p>
    <w:p w14:paraId="4EC7D4E7" w14:textId="609E4C9B" w:rsidR="006C7F31" w:rsidRPr="00D302D0" w:rsidRDefault="00C55215" w:rsidP="006C7F31">
      <w:pPr>
        <w:pStyle w:val="VRGFHead3"/>
      </w:pPr>
      <w:bookmarkStart w:id="329" w:name="_Toc462738070"/>
      <w:r>
        <w:t>Harm to s</w:t>
      </w:r>
      <w:r w:rsidR="006C7F31" w:rsidRPr="00D302D0">
        <w:t>elf</w:t>
      </w:r>
      <w:bookmarkEnd w:id="329"/>
    </w:p>
    <w:p w14:paraId="633F8891" w14:textId="618562AA" w:rsidR="006C7F31" w:rsidRPr="00534EE5" w:rsidRDefault="006C7F31" w:rsidP="006C7F31">
      <w:pPr>
        <w:pStyle w:val="VRGFBodycontent"/>
        <w:rPr>
          <w:rFonts w:eastAsia="MS Mincho"/>
        </w:rPr>
      </w:pPr>
      <w:r w:rsidRPr="00534EE5">
        <w:rPr>
          <w:rFonts w:eastAsia="MS Mincho"/>
        </w:rPr>
        <w:t>The aggregate years of healthy life lost each year (</w:t>
      </w:r>
      <w:r w:rsidR="00534EE5">
        <w:rPr>
          <w:rFonts w:eastAsia="MS Mincho"/>
        </w:rPr>
        <w:t>QALY</w:t>
      </w:r>
      <w:r w:rsidR="00534EE5" w:rsidRPr="00534EE5">
        <w:rPr>
          <w:rFonts w:eastAsia="MS Mincho"/>
          <w:vertAlign w:val="subscript"/>
        </w:rPr>
        <w:t>1</w:t>
      </w:r>
      <w:r w:rsidRPr="00534EE5">
        <w:rPr>
          <w:rFonts w:eastAsia="MS Mincho"/>
        </w:rPr>
        <w:t>) in the New Zealand adult population due to one’s own gambling, for those experiencing gambling problems or at low</w:t>
      </w:r>
      <w:r w:rsidR="00B36653" w:rsidRPr="00534EE5">
        <w:rPr>
          <w:rFonts w:eastAsia="MS Mincho"/>
        </w:rPr>
        <w:t>-</w:t>
      </w:r>
      <w:r w:rsidRPr="00534EE5">
        <w:rPr>
          <w:rFonts w:eastAsia="MS Mincho"/>
        </w:rPr>
        <w:t xml:space="preserve"> or moderate</w:t>
      </w:r>
      <w:r w:rsidR="00277480" w:rsidRPr="00534EE5">
        <w:rPr>
          <w:rFonts w:eastAsia="MS Mincho"/>
        </w:rPr>
        <w:t xml:space="preserve"> </w:t>
      </w:r>
      <w:r w:rsidRPr="00534EE5">
        <w:rPr>
          <w:rFonts w:eastAsia="MS Mincho"/>
        </w:rPr>
        <w:t>risk, were calculated to be 67,199 years</w:t>
      </w:r>
      <w:r w:rsidR="0003495A" w:rsidRPr="00534EE5">
        <w:rPr>
          <w:rFonts w:eastAsia="MS Mincho"/>
        </w:rPr>
        <w:t>.</w:t>
      </w:r>
      <w:r w:rsidR="008610D3" w:rsidRPr="00534EE5">
        <w:rPr>
          <w:rFonts w:eastAsia="MS Mincho"/>
        </w:rPr>
        <w:t xml:space="preserve"> </w:t>
      </w:r>
      <w:r w:rsidR="0014594C" w:rsidRPr="00534EE5">
        <w:rPr>
          <w:rFonts w:eastAsia="MS Mincho"/>
        </w:rPr>
        <w:fldChar w:fldCharType="begin"/>
      </w:r>
      <w:r w:rsidR="0014594C" w:rsidRPr="00534EE5">
        <w:rPr>
          <w:rFonts w:eastAsia="MS Mincho"/>
        </w:rPr>
        <w:instrText xml:space="preserve"> REF _Ref445565394 \h </w:instrText>
      </w:r>
      <w:r w:rsidR="00C00760" w:rsidRPr="00534EE5">
        <w:rPr>
          <w:rFonts w:eastAsia="MS Mincho"/>
        </w:rPr>
        <w:instrText xml:space="preserve"> \* MERGEFORMAT </w:instrText>
      </w:r>
      <w:r w:rsidR="0014594C" w:rsidRPr="00534EE5">
        <w:rPr>
          <w:rFonts w:eastAsia="MS Mincho"/>
        </w:rPr>
      </w:r>
      <w:r w:rsidR="0014594C" w:rsidRPr="00534EE5">
        <w:rPr>
          <w:rFonts w:eastAsia="MS Mincho"/>
        </w:rPr>
        <w:fldChar w:fldCharType="separate"/>
      </w:r>
      <w:r w:rsidR="0006479A" w:rsidRPr="00534EE5">
        <w:t xml:space="preserve">Table </w:t>
      </w:r>
      <w:r w:rsidR="0006479A">
        <w:rPr>
          <w:noProof/>
        </w:rPr>
        <w:t>23</w:t>
      </w:r>
      <w:r w:rsidR="0014594C" w:rsidRPr="00534EE5">
        <w:rPr>
          <w:rFonts w:eastAsia="MS Mincho"/>
        </w:rPr>
        <w:fldChar w:fldCharType="end"/>
      </w:r>
      <w:r w:rsidR="0014594C" w:rsidRPr="00534EE5">
        <w:rPr>
          <w:rFonts w:eastAsia="MS Mincho"/>
        </w:rPr>
        <w:t xml:space="preserve"> </w:t>
      </w:r>
      <w:r w:rsidRPr="00534EE5">
        <w:rPr>
          <w:rFonts w:eastAsia="MS Mincho"/>
        </w:rPr>
        <w:t>displays the total</w:t>
      </w:r>
      <w:r w:rsidR="00534EE5">
        <w:rPr>
          <w:rFonts w:eastAsia="MS Mincho"/>
        </w:rPr>
        <w:t xml:space="preserve"> gambling-related</w:t>
      </w:r>
      <w:r w:rsidRPr="00534EE5">
        <w:rPr>
          <w:rFonts w:eastAsia="MS Mincho"/>
        </w:rPr>
        <w:t xml:space="preserve"> harm and </w:t>
      </w:r>
      <w:r w:rsidR="00534EE5">
        <w:rPr>
          <w:rFonts w:eastAsia="MS Mincho"/>
        </w:rPr>
        <w:t>QALY</w:t>
      </w:r>
      <w:r w:rsidR="00534EE5" w:rsidRPr="00534EE5">
        <w:rPr>
          <w:rFonts w:eastAsia="MS Mincho"/>
          <w:vertAlign w:val="subscript"/>
        </w:rPr>
        <w:t>1</w:t>
      </w:r>
      <w:r w:rsidR="00534EE5" w:rsidRPr="00534EE5">
        <w:rPr>
          <w:rFonts w:eastAsia="MS Mincho"/>
        </w:rPr>
        <w:t xml:space="preserve"> </w:t>
      </w:r>
      <w:r w:rsidRPr="00534EE5">
        <w:rPr>
          <w:rFonts w:eastAsia="MS Mincho"/>
        </w:rPr>
        <w:t>in the New Zealand adult population by PGSI category.</w:t>
      </w:r>
    </w:p>
    <w:p w14:paraId="17671D09" w14:textId="5526FB9C" w:rsidR="006C7F31" w:rsidRPr="00534EE5" w:rsidRDefault="0014594C" w:rsidP="0014594C">
      <w:pPr>
        <w:pStyle w:val="Caption"/>
        <w:rPr>
          <w:rFonts w:eastAsia="MS Mincho"/>
          <w:color w:val="1C3158"/>
        </w:rPr>
      </w:pPr>
      <w:bookmarkStart w:id="330" w:name="_Ref445565394"/>
      <w:bookmarkStart w:id="331" w:name="_Toc462738126"/>
      <w:r w:rsidRPr="00534EE5">
        <w:t xml:space="preserve">Table </w:t>
      </w:r>
      <w:fldSimple w:instr=" SEQ Table \* ARABIC ">
        <w:r w:rsidR="0006479A">
          <w:rPr>
            <w:noProof/>
          </w:rPr>
          <w:t>23</w:t>
        </w:r>
      </w:fldSimple>
      <w:bookmarkStart w:id="332" w:name="_Toc440900345"/>
      <w:bookmarkEnd w:id="330"/>
      <w:r w:rsidR="0003495A" w:rsidRPr="00534EE5">
        <w:t>.</w:t>
      </w:r>
      <w:r w:rsidR="008610D3" w:rsidRPr="00534EE5">
        <w:t xml:space="preserve"> </w:t>
      </w:r>
      <w:r w:rsidR="00C00760" w:rsidRPr="00534EE5">
        <w:t>Gambling</w:t>
      </w:r>
      <w:r w:rsidR="00534EE5">
        <w:t>-related</w:t>
      </w:r>
      <w:r w:rsidR="00C00760" w:rsidRPr="00534EE5">
        <w:t xml:space="preserve"> </w:t>
      </w:r>
      <w:r w:rsidR="00C00760" w:rsidRPr="00534EE5">
        <w:rPr>
          <w:color w:val="1C3158"/>
        </w:rPr>
        <w:t xml:space="preserve">harm </w:t>
      </w:r>
      <w:r w:rsidR="006C7F31" w:rsidRPr="00534EE5">
        <w:rPr>
          <w:color w:val="1C3158"/>
        </w:rPr>
        <w:t>by PGSI category</w:t>
      </w:r>
      <w:bookmarkEnd w:id="331"/>
      <w:bookmarkEnd w:id="332"/>
    </w:p>
    <w:tbl>
      <w:tblPr>
        <w:tblW w:w="8789" w:type="dxa"/>
        <w:tblLook w:val="04A0" w:firstRow="1" w:lastRow="0" w:firstColumn="1" w:lastColumn="0" w:noHBand="0" w:noVBand="1"/>
      </w:tblPr>
      <w:tblGrid>
        <w:gridCol w:w="2410"/>
        <w:gridCol w:w="992"/>
        <w:gridCol w:w="1560"/>
        <w:gridCol w:w="1275"/>
        <w:gridCol w:w="1276"/>
        <w:gridCol w:w="1276"/>
      </w:tblGrid>
      <w:tr w:rsidR="006C7F31" w:rsidRPr="00534EE5" w14:paraId="33E2C8DD" w14:textId="77777777" w:rsidTr="002901C9">
        <w:trPr>
          <w:trHeight w:val="795"/>
        </w:trPr>
        <w:tc>
          <w:tcPr>
            <w:tcW w:w="2410" w:type="dxa"/>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69D1AD7F" w14:textId="77777777" w:rsidR="006C7F31" w:rsidRPr="00534EE5" w:rsidRDefault="006C7F31" w:rsidP="006C7F31">
            <w:pPr>
              <w:tabs>
                <w:tab w:val="clear" w:pos="426"/>
              </w:tabs>
              <w:spacing w:before="0" w:after="0" w:line="240" w:lineRule="auto"/>
              <w:ind w:left="0" w:right="0"/>
              <w:rPr>
                <w:rFonts w:cs="Arial"/>
                <w:b/>
                <w:bCs/>
                <w:color w:val="1C3158"/>
                <w:sz w:val="18"/>
                <w:lang w:eastAsia="ja-JP"/>
              </w:rPr>
            </w:pPr>
            <w:r w:rsidRPr="00534EE5">
              <w:rPr>
                <w:rFonts w:cs="Arial"/>
                <w:b/>
                <w:bCs/>
                <w:color w:val="1C3158"/>
                <w:sz w:val="18"/>
                <w:lang w:eastAsia="ja-JP"/>
              </w:rPr>
              <w:t>Problem Gambling Severity Index (PGSI)</w:t>
            </w:r>
          </w:p>
        </w:tc>
        <w:tc>
          <w:tcPr>
            <w:tcW w:w="992" w:type="dxa"/>
            <w:tcBorders>
              <w:top w:val="single" w:sz="12" w:space="0" w:color="FF9E3C"/>
              <w:left w:val="nil"/>
              <w:bottom w:val="single" w:sz="12" w:space="0" w:color="FF9E3C"/>
              <w:right w:val="single" w:sz="12" w:space="0" w:color="FF9E3C"/>
            </w:tcBorders>
            <w:shd w:val="clear" w:color="000000" w:fill="FFBC64"/>
            <w:vAlign w:val="center"/>
            <w:hideMark/>
          </w:tcPr>
          <w:p w14:paraId="2BF9C910" w14:textId="77777777" w:rsidR="006C7F31" w:rsidRPr="00534EE5" w:rsidRDefault="006C7F31" w:rsidP="006C7F31">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Harm</w:t>
            </w:r>
          </w:p>
        </w:tc>
        <w:tc>
          <w:tcPr>
            <w:tcW w:w="1560" w:type="dxa"/>
            <w:tcBorders>
              <w:top w:val="single" w:sz="12" w:space="0" w:color="FF9E3C"/>
              <w:left w:val="nil"/>
              <w:bottom w:val="single" w:sz="12" w:space="0" w:color="FF9E3C"/>
              <w:right w:val="single" w:sz="12" w:space="0" w:color="FF9E3C"/>
            </w:tcBorders>
            <w:shd w:val="clear" w:color="000000" w:fill="FFBC64"/>
            <w:vAlign w:val="center"/>
            <w:hideMark/>
          </w:tcPr>
          <w:p w14:paraId="28A3422E" w14:textId="77777777" w:rsidR="006C7F31" w:rsidRPr="00534EE5" w:rsidRDefault="006C7F31" w:rsidP="006C7F31">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Prevalence in NZ Population (%)</w:t>
            </w:r>
          </w:p>
        </w:tc>
        <w:tc>
          <w:tcPr>
            <w:tcW w:w="1275" w:type="dxa"/>
            <w:tcBorders>
              <w:top w:val="single" w:sz="12" w:space="0" w:color="FF9E3C"/>
              <w:left w:val="nil"/>
              <w:bottom w:val="single" w:sz="12" w:space="0" w:color="FF9E3C"/>
              <w:right w:val="single" w:sz="12" w:space="0" w:color="FF9E3C"/>
            </w:tcBorders>
            <w:shd w:val="clear" w:color="000000" w:fill="FFBC64"/>
            <w:vAlign w:val="center"/>
            <w:hideMark/>
          </w:tcPr>
          <w:p w14:paraId="1A2EB09C" w14:textId="77777777" w:rsidR="006C7F31" w:rsidRPr="00534EE5" w:rsidRDefault="006C7F31" w:rsidP="006C7F31">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Total of NZ Population</w:t>
            </w:r>
          </w:p>
        </w:tc>
        <w:tc>
          <w:tcPr>
            <w:tcW w:w="1276" w:type="dxa"/>
            <w:tcBorders>
              <w:top w:val="single" w:sz="12" w:space="0" w:color="FF9E3C"/>
              <w:left w:val="nil"/>
              <w:bottom w:val="single" w:sz="12" w:space="0" w:color="FF9E3C"/>
              <w:right w:val="single" w:sz="12" w:space="0" w:color="FF9E3C"/>
            </w:tcBorders>
            <w:shd w:val="clear" w:color="000000" w:fill="FFBC64"/>
            <w:vAlign w:val="center"/>
            <w:hideMark/>
          </w:tcPr>
          <w:p w14:paraId="0C3A189B" w14:textId="3E65688F" w:rsidR="006C7F31" w:rsidRPr="00534EE5" w:rsidRDefault="006C7F31" w:rsidP="00534EE5">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 xml:space="preserve">Years of </w:t>
            </w:r>
            <w:r w:rsidR="00534EE5">
              <w:rPr>
                <w:rFonts w:cs="Arial"/>
                <w:b/>
                <w:bCs/>
                <w:color w:val="1C3158"/>
                <w:sz w:val="18"/>
                <w:lang w:eastAsia="ja-JP"/>
              </w:rPr>
              <w:t xml:space="preserve">Healthy </w:t>
            </w:r>
            <w:r w:rsidRPr="00534EE5">
              <w:rPr>
                <w:rFonts w:cs="Arial"/>
                <w:b/>
                <w:bCs/>
                <w:color w:val="1C3158"/>
                <w:sz w:val="18"/>
                <w:lang w:eastAsia="ja-JP"/>
              </w:rPr>
              <w:t>Life Lost (</w:t>
            </w:r>
            <w:r w:rsidR="00534EE5">
              <w:rPr>
                <w:rFonts w:cs="Arial"/>
                <w:b/>
                <w:bCs/>
                <w:color w:val="1C3158"/>
                <w:sz w:val="18"/>
                <w:lang w:eastAsia="ja-JP"/>
              </w:rPr>
              <w:t>QALY</w:t>
            </w:r>
            <w:r w:rsidRPr="00534EE5">
              <w:rPr>
                <w:rFonts w:cs="Arial"/>
                <w:b/>
                <w:bCs/>
                <w:color w:val="1C3158"/>
                <w:szCs w:val="20"/>
                <w:vertAlign w:val="subscript"/>
                <w:lang w:eastAsia="ja-JP"/>
              </w:rPr>
              <w:t>1</w:t>
            </w:r>
            <w:r w:rsidRPr="00534EE5">
              <w:rPr>
                <w:rFonts w:cs="Arial"/>
                <w:b/>
                <w:bCs/>
                <w:color w:val="1C3158"/>
                <w:sz w:val="18"/>
                <w:lang w:eastAsia="ja-JP"/>
              </w:rPr>
              <w:t>)</w:t>
            </w:r>
          </w:p>
        </w:tc>
        <w:tc>
          <w:tcPr>
            <w:tcW w:w="1276" w:type="dxa"/>
            <w:tcBorders>
              <w:top w:val="single" w:sz="12" w:space="0" w:color="FF9E3C"/>
              <w:left w:val="nil"/>
              <w:bottom w:val="single" w:sz="12" w:space="0" w:color="FF9E3C"/>
              <w:right w:val="single" w:sz="12" w:space="0" w:color="FF9E3C"/>
            </w:tcBorders>
            <w:shd w:val="clear" w:color="000000" w:fill="FFBC64"/>
            <w:vAlign w:val="center"/>
            <w:hideMark/>
          </w:tcPr>
          <w:p w14:paraId="2BCEB42C" w14:textId="5368FD81" w:rsidR="006C7F31" w:rsidRPr="00534EE5" w:rsidRDefault="006C7F31" w:rsidP="00534EE5">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 xml:space="preserve">Proportion of </w:t>
            </w:r>
            <w:r w:rsidR="00534EE5">
              <w:rPr>
                <w:rFonts w:cs="Arial"/>
                <w:b/>
                <w:bCs/>
                <w:color w:val="1C3158"/>
                <w:sz w:val="18"/>
                <w:lang w:eastAsia="ja-JP"/>
              </w:rPr>
              <w:t>QALY</w:t>
            </w:r>
            <w:r w:rsidRPr="00534EE5">
              <w:rPr>
                <w:rFonts w:cs="Arial"/>
                <w:b/>
                <w:bCs/>
                <w:color w:val="1C3158"/>
                <w:szCs w:val="20"/>
                <w:vertAlign w:val="subscript"/>
                <w:lang w:eastAsia="ja-JP"/>
              </w:rPr>
              <w:t>1</w:t>
            </w:r>
            <w:r w:rsidRPr="00534EE5">
              <w:rPr>
                <w:rFonts w:cs="Arial"/>
                <w:b/>
                <w:bCs/>
                <w:color w:val="1C3158"/>
                <w:sz w:val="18"/>
                <w:lang w:eastAsia="ja-JP"/>
              </w:rPr>
              <w:t xml:space="preserve"> (%)</w:t>
            </w:r>
          </w:p>
        </w:tc>
      </w:tr>
      <w:tr w:rsidR="006C7F31" w:rsidRPr="00534EE5" w14:paraId="72FCCCF2" w14:textId="77777777" w:rsidTr="002901C9">
        <w:trPr>
          <w:trHeight w:val="330"/>
        </w:trPr>
        <w:tc>
          <w:tcPr>
            <w:tcW w:w="2410" w:type="dxa"/>
            <w:tcBorders>
              <w:top w:val="nil"/>
              <w:left w:val="single" w:sz="12" w:space="0" w:color="FF9E3C"/>
              <w:bottom w:val="single" w:sz="12" w:space="0" w:color="FF9E3C"/>
              <w:right w:val="single" w:sz="12" w:space="0" w:color="FF9E3C"/>
            </w:tcBorders>
            <w:shd w:val="clear" w:color="auto" w:fill="auto"/>
            <w:vAlign w:val="center"/>
            <w:hideMark/>
          </w:tcPr>
          <w:p w14:paraId="1E4087B3" w14:textId="77777777" w:rsidR="006C7F31" w:rsidRPr="00534EE5" w:rsidRDefault="006C7F31" w:rsidP="006C7F31">
            <w:pPr>
              <w:tabs>
                <w:tab w:val="clear" w:pos="426"/>
              </w:tabs>
              <w:spacing w:before="0" w:after="0" w:line="240" w:lineRule="auto"/>
              <w:ind w:left="0" w:right="0"/>
              <w:rPr>
                <w:rFonts w:cs="Arial"/>
                <w:color w:val="1C3158"/>
                <w:sz w:val="18"/>
                <w:lang w:eastAsia="ja-JP"/>
              </w:rPr>
            </w:pPr>
            <w:r w:rsidRPr="00534EE5">
              <w:rPr>
                <w:rFonts w:cs="Arial"/>
                <w:color w:val="1C3158"/>
                <w:sz w:val="18"/>
                <w:lang w:eastAsia="ja-JP"/>
              </w:rPr>
              <w:t>Low Risk</w:t>
            </w:r>
          </w:p>
        </w:tc>
        <w:tc>
          <w:tcPr>
            <w:tcW w:w="992" w:type="dxa"/>
            <w:tcBorders>
              <w:top w:val="nil"/>
              <w:left w:val="nil"/>
              <w:bottom w:val="single" w:sz="12" w:space="0" w:color="FF9E3C"/>
              <w:right w:val="single" w:sz="12" w:space="0" w:color="FF9E3C"/>
            </w:tcBorders>
            <w:shd w:val="clear" w:color="000000" w:fill="FFFFFF"/>
            <w:vAlign w:val="center"/>
            <w:hideMark/>
          </w:tcPr>
          <w:p w14:paraId="2CA2A775"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0.18</w:t>
            </w:r>
          </w:p>
        </w:tc>
        <w:tc>
          <w:tcPr>
            <w:tcW w:w="1560" w:type="dxa"/>
            <w:tcBorders>
              <w:top w:val="nil"/>
              <w:left w:val="nil"/>
              <w:bottom w:val="single" w:sz="12" w:space="0" w:color="FF9E3C"/>
              <w:right w:val="single" w:sz="12" w:space="0" w:color="FF9E3C"/>
            </w:tcBorders>
            <w:shd w:val="clear" w:color="000000" w:fill="FFFFFF"/>
            <w:vAlign w:val="center"/>
            <w:hideMark/>
          </w:tcPr>
          <w:p w14:paraId="76FF0DA4"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4.91</w:t>
            </w:r>
          </w:p>
        </w:tc>
        <w:tc>
          <w:tcPr>
            <w:tcW w:w="1275" w:type="dxa"/>
            <w:tcBorders>
              <w:top w:val="nil"/>
              <w:left w:val="nil"/>
              <w:bottom w:val="single" w:sz="12" w:space="0" w:color="FF9E3C"/>
              <w:right w:val="single" w:sz="12" w:space="0" w:color="FF9E3C"/>
            </w:tcBorders>
            <w:shd w:val="clear" w:color="000000" w:fill="FFFFFF"/>
            <w:vAlign w:val="center"/>
            <w:hideMark/>
          </w:tcPr>
          <w:p w14:paraId="31BB3A20"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175,511</w:t>
            </w:r>
          </w:p>
        </w:tc>
        <w:tc>
          <w:tcPr>
            <w:tcW w:w="1276" w:type="dxa"/>
            <w:tcBorders>
              <w:top w:val="nil"/>
              <w:left w:val="nil"/>
              <w:bottom w:val="single" w:sz="12" w:space="0" w:color="FF9E3C"/>
              <w:right w:val="single" w:sz="12" w:space="0" w:color="FF9E3C"/>
            </w:tcBorders>
            <w:shd w:val="clear" w:color="000000" w:fill="FFFFFF"/>
            <w:vAlign w:val="center"/>
            <w:hideMark/>
          </w:tcPr>
          <w:p w14:paraId="76B1A6AD"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32,280</w:t>
            </w:r>
          </w:p>
        </w:tc>
        <w:tc>
          <w:tcPr>
            <w:tcW w:w="1276" w:type="dxa"/>
            <w:tcBorders>
              <w:top w:val="nil"/>
              <w:left w:val="nil"/>
              <w:bottom w:val="single" w:sz="12" w:space="0" w:color="FF9E3C"/>
              <w:right w:val="single" w:sz="12" w:space="0" w:color="FF9E3C"/>
            </w:tcBorders>
            <w:shd w:val="clear" w:color="000000" w:fill="FFFFFF"/>
            <w:vAlign w:val="center"/>
            <w:hideMark/>
          </w:tcPr>
          <w:p w14:paraId="18543EE0"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48.04</w:t>
            </w:r>
          </w:p>
        </w:tc>
      </w:tr>
      <w:tr w:rsidR="006C7F31" w:rsidRPr="00534EE5" w14:paraId="68C986F2" w14:textId="77777777" w:rsidTr="002901C9">
        <w:trPr>
          <w:trHeight w:val="330"/>
        </w:trPr>
        <w:tc>
          <w:tcPr>
            <w:tcW w:w="2410" w:type="dxa"/>
            <w:tcBorders>
              <w:top w:val="nil"/>
              <w:left w:val="single" w:sz="12" w:space="0" w:color="FF9E3C"/>
              <w:bottom w:val="single" w:sz="12" w:space="0" w:color="FF9E3C"/>
              <w:right w:val="single" w:sz="12" w:space="0" w:color="FF9E3C"/>
            </w:tcBorders>
            <w:shd w:val="clear" w:color="auto" w:fill="auto"/>
            <w:vAlign w:val="center"/>
            <w:hideMark/>
          </w:tcPr>
          <w:p w14:paraId="674F5B3E" w14:textId="77777777" w:rsidR="006C7F31" w:rsidRPr="00534EE5" w:rsidRDefault="006C7F31" w:rsidP="006C7F31">
            <w:pPr>
              <w:tabs>
                <w:tab w:val="clear" w:pos="426"/>
              </w:tabs>
              <w:spacing w:before="0" w:after="0" w:line="240" w:lineRule="auto"/>
              <w:ind w:left="0" w:right="0"/>
              <w:rPr>
                <w:rFonts w:cs="Arial"/>
                <w:color w:val="1C3158"/>
                <w:sz w:val="18"/>
                <w:lang w:eastAsia="ja-JP"/>
              </w:rPr>
            </w:pPr>
            <w:r w:rsidRPr="00534EE5">
              <w:rPr>
                <w:rFonts w:cs="Arial"/>
                <w:color w:val="1C3158"/>
                <w:sz w:val="18"/>
                <w:lang w:eastAsia="ja-JP"/>
              </w:rPr>
              <w:t>Moderate Risk</w:t>
            </w:r>
          </w:p>
        </w:tc>
        <w:tc>
          <w:tcPr>
            <w:tcW w:w="992" w:type="dxa"/>
            <w:tcBorders>
              <w:top w:val="nil"/>
              <w:left w:val="nil"/>
              <w:bottom w:val="single" w:sz="12" w:space="0" w:color="FF9E3C"/>
              <w:right w:val="single" w:sz="12" w:space="0" w:color="FF9E3C"/>
            </w:tcBorders>
            <w:shd w:val="clear" w:color="000000" w:fill="FFFFFF"/>
            <w:vAlign w:val="center"/>
            <w:hideMark/>
          </w:tcPr>
          <w:p w14:paraId="6A6C5920"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0.37</w:t>
            </w:r>
          </w:p>
        </w:tc>
        <w:tc>
          <w:tcPr>
            <w:tcW w:w="1560" w:type="dxa"/>
            <w:tcBorders>
              <w:top w:val="nil"/>
              <w:left w:val="nil"/>
              <w:bottom w:val="single" w:sz="12" w:space="0" w:color="FF9E3C"/>
              <w:right w:val="single" w:sz="12" w:space="0" w:color="FF9E3C"/>
            </w:tcBorders>
            <w:shd w:val="clear" w:color="000000" w:fill="FFFFFF"/>
            <w:vAlign w:val="center"/>
            <w:hideMark/>
          </w:tcPr>
          <w:p w14:paraId="59A40747"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1.72</w:t>
            </w:r>
          </w:p>
        </w:tc>
        <w:tc>
          <w:tcPr>
            <w:tcW w:w="1275" w:type="dxa"/>
            <w:tcBorders>
              <w:top w:val="nil"/>
              <w:left w:val="nil"/>
              <w:bottom w:val="single" w:sz="12" w:space="0" w:color="FF9E3C"/>
              <w:right w:val="single" w:sz="12" w:space="0" w:color="FF9E3C"/>
            </w:tcBorders>
            <w:shd w:val="clear" w:color="000000" w:fill="FFFFFF"/>
            <w:vAlign w:val="center"/>
            <w:hideMark/>
          </w:tcPr>
          <w:p w14:paraId="04B802CB"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61,470</w:t>
            </w:r>
          </w:p>
        </w:tc>
        <w:tc>
          <w:tcPr>
            <w:tcW w:w="1276" w:type="dxa"/>
            <w:tcBorders>
              <w:top w:val="nil"/>
              <w:left w:val="nil"/>
              <w:bottom w:val="single" w:sz="12" w:space="0" w:color="FF9E3C"/>
              <w:right w:val="single" w:sz="12" w:space="0" w:color="FF9E3C"/>
            </w:tcBorders>
            <w:shd w:val="clear" w:color="000000" w:fill="FFFFFF"/>
            <w:vAlign w:val="center"/>
            <w:hideMark/>
          </w:tcPr>
          <w:p w14:paraId="224FCA9D"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22,577</w:t>
            </w:r>
          </w:p>
        </w:tc>
        <w:tc>
          <w:tcPr>
            <w:tcW w:w="1276" w:type="dxa"/>
            <w:tcBorders>
              <w:top w:val="nil"/>
              <w:left w:val="nil"/>
              <w:bottom w:val="single" w:sz="12" w:space="0" w:color="FF9E3C"/>
              <w:right w:val="single" w:sz="12" w:space="0" w:color="FF9E3C"/>
            </w:tcBorders>
            <w:shd w:val="clear" w:color="000000" w:fill="FFFFFF"/>
            <w:vAlign w:val="center"/>
            <w:hideMark/>
          </w:tcPr>
          <w:p w14:paraId="6A1CAA98"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33.60</w:t>
            </w:r>
          </w:p>
        </w:tc>
      </w:tr>
      <w:tr w:rsidR="006C7F31" w:rsidRPr="00534EE5" w14:paraId="78DE5CAC" w14:textId="77777777" w:rsidTr="002901C9">
        <w:trPr>
          <w:trHeight w:val="330"/>
        </w:trPr>
        <w:tc>
          <w:tcPr>
            <w:tcW w:w="2410" w:type="dxa"/>
            <w:tcBorders>
              <w:top w:val="nil"/>
              <w:left w:val="single" w:sz="12" w:space="0" w:color="FF9E3C"/>
              <w:bottom w:val="single" w:sz="12" w:space="0" w:color="FF9E3C"/>
              <w:right w:val="single" w:sz="12" w:space="0" w:color="FF9E3C"/>
            </w:tcBorders>
            <w:shd w:val="clear" w:color="auto" w:fill="auto"/>
            <w:vAlign w:val="center"/>
            <w:hideMark/>
          </w:tcPr>
          <w:p w14:paraId="164AEA2D" w14:textId="77777777" w:rsidR="006C7F31" w:rsidRPr="00534EE5" w:rsidRDefault="006C7F31" w:rsidP="006C7F31">
            <w:pPr>
              <w:tabs>
                <w:tab w:val="clear" w:pos="426"/>
              </w:tabs>
              <w:spacing w:before="0" w:after="0" w:line="240" w:lineRule="auto"/>
              <w:ind w:left="0" w:right="0"/>
              <w:rPr>
                <w:rFonts w:cs="Arial"/>
                <w:color w:val="1C3158"/>
                <w:sz w:val="18"/>
                <w:lang w:eastAsia="ja-JP"/>
              </w:rPr>
            </w:pPr>
            <w:r w:rsidRPr="00534EE5">
              <w:rPr>
                <w:rFonts w:cs="Arial"/>
                <w:color w:val="1C3158"/>
                <w:sz w:val="18"/>
                <w:lang w:eastAsia="ja-JP"/>
              </w:rPr>
              <w:t>Problem Gambling</w:t>
            </w:r>
          </w:p>
        </w:tc>
        <w:tc>
          <w:tcPr>
            <w:tcW w:w="992" w:type="dxa"/>
            <w:tcBorders>
              <w:top w:val="nil"/>
              <w:left w:val="nil"/>
              <w:bottom w:val="single" w:sz="12" w:space="0" w:color="FF9E3C"/>
              <w:right w:val="single" w:sz="12" w:space="0" w:color="FF9E3C"/>
            </w:tcBorders>
            <w:shd w:val="clear" w:color="000000" w:fill="FFFFFF"/>
            <w:vAlign w:val="center"/>
            <w:hideMark/>
          </w:tcPr>
          <w:p w14:paraId="53068847"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0.54</w:t>
            </w:r>
          </w:p>
        </w:tc>
        <w:tc>
          <w:tcPr>
            <w:tcW w:w="1560" w:type="dxa"/>
            <w:tcBorders>
              <w:top w:val="nil"/>
              <w:left w:val="nil"/>
              <w:bottom w:val="single" w:sz="12" w:space="0" w:color="FF9E3C"/>
              <w:right w:val="single" w:sz="12" w:space="0" w:color="FF9E3C"/>
            </w:tcBorders>
            <w:shd w:val="clear" w:color="000000" w:fill="FFFFFF"/>
            <w:vAlign w:val="center"/>
            <w:hideMark/>
          </w:tcPr>
          <w:p w14:paraId="3CA6F405"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0.64</w:t>
            </w:r>
          </w:p>
        </w:tc>
        <w:tc>
          <w:tcPr>
            <w:tcW w:w="1275" w:type="dxa"/>
            <w:tcBorders>
              <w:top w:val="nil"/>
              <w:left w:val="nil"/>
              <w:bottom w:val="single" w:sz="12" w:space="0" w:color="FF9E3C"/>
              <w:right w:val="single" w:sz="12" w:space="0" w:color="FF9E3C"/>
            </w:tcBorders>
            <w:shd w:val="clear" w:color="000000" w:fill="FFFFFF"/>
            <w:vAlign w:val="center"/>
            <w:hideMark/>
          </w:tcPr>
          <w:p w14:paraId="6BEC30B1"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23,029</w:t>
            </w:r>
          </w:p>
        </w:tc>
        <w:tc>
          <w:tcPr>
            <w:tcW w:w="1276" w:type="dxa"/>
            <w:tcBorders>
              <w:top w:val="nil"/>
              <w:left w:val="nil"/>
              <w:bottom w:val="single" w:sz="12" w:space="0" w:color="FF9E3C"/>
              <w:right w:val="single" w:sz="12" w:space="0" w:color="FF9E3C"/>
            </w:tcBorders>
            <w:shd w:val="clear" w:color="000000" w:fill="FFFFFF"/>
            <w:vAlign w:val="center"/>
            <w:hideMark/>
          </w:tcPr>
          <w:p w14:paraId="5F14DE13"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12,341</w:t>
            </w:r>
          </w:p>
        </w:tc>
        <w:tc>
          <w:tcPr>
            <w:tcW w:w="1276" w:type="dxa"/>
            <w:tcBorders>
              <w:top w:val="nil"/>
              <w:left w:val="nil"/>
              <w:bottom w:val="single" w:sz="12" w:space="0" w:color="FF9E3C"/>
              <w:right w:val="single" w:sz="12" w:space="0" w:color="FF9E3C"/>
            </w:tcBorders>
            <w:shd w:val="clear" w:color="000000" w:fill="FFFFFF"/>
            <w:vAlign w:val="center"/>
            <w:hideMark/>
          </w:tcPr>
          <w:p w14:paraId="3E986EC5" w14:textId="77777777" w:rsidR="006C7F31" w:rsidRPr="00534EE5" w:rsidRDefault="006C7F31" w:rsidP="006C7F31">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18.37</w:t>
            </w:r>
          </w:p>
        </w:tc>
      </w:tr>
      <w:tr w:rsidR="006C7F31" w:rsidRPr="00534EE5" w14:paraId="75DF0F75" w14:textId="77777777" w:rsidTr="002901C9">
        <w:trPr>
          <w:trHeight w:val="330"/>
        </w:trPr>
        <w:tc>
          <w:tcPr>
            <w:tcW w:w="2410" w:type="dxa"/>
            <w:tcBorders>
              <w:top w:val="nil"/>
              <w:left w:val="single" w:sz="12" w:space="0" w:color="FF9E3C"/>
              <w:bottom w:val="single" w:sz="12" w:space="0" w:color="FF9E3C"/>
              <w:right w:val="single" w:sz="12" w:space="0" w:color="FF9E3C"/>
            </w:tcBorders>
            <w:shd w:val="clear" w:color="000000" w:fill="FFFFFF"/>
            <w:vAlign w:val="center"/>
            <w:hideMark/>
          </w:tcPr>
          <w:p w14:paraId="05961BEA" w14:textId="77777777" w:rsidR="006C7F31" w:rsidRPr="00534EE5" w:rsidRDefault="006C7F31" w:rsidP="006C7F31">
            <w:pPr>
              <w:tabs>
                <w:tab w:val="clear" w:pos="426"/>
              </w:tabs>
              <w:spacing w:before="0" w:after="0" w:line="240" w:lineRule="auto"/>
              <w:ind w:left="0" w:right="0"/>
              <w:rPr>
                <w:rFonts w:cs="Arial"/>
                <w:b/>
                <w:bCs/>
                <w:color w:val="1C3158"/>
                <w:sz w:val="18"/>
                <w:lang w:eastAsia="ja-JP"/>
              </w:rPr>
            </w:pPr>
            <w:r w:rsidRPr="00534EE5">
              <w:rPr>
                <w:rFonts w:cs="Arial"/>
                <w:b/>
                <w:bCs/>
                <w:color w:val="1C3158"/>
                <w:sz w:val="18"/>
                <w:lang w:eastAsia="ja-JP"/>
              </w:rPr>
              <w:t>Total Gambling Problems</w:t>
            </w:r>
          </w:p>
        </w:tc>
        <w:tc>
          <w:tcPr>
            <w:tcW w:w="992" w:type="dxa"/>
            <w:tcBorders>
              <w:top w:val="nil"/>
              <w:left w:val="nil"/>
              <w:bottom w:val="single" w:sz="12" w:space="0" w:color="FF9E3C"/>
              <w:right w:val="single" w:sz="12" w:space="0" w:color="FF9E3C"/>
            </w:tcBorders>
            <w:shd w:val="clear" w:color="000000" w:fill="FFFFFF"/>
            <w:vAlign w:val="center"/>
            <w:hideMark/>
          </w:tcPr>
          <w:p w14:paraId="6AB982FF" w14:textId="77777777" w:rsidR="006C7F31" w:rsidRPr="00534EE5" w:rsidRDefault="006C7F31" w:rsidP="006C7F31">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 </w:t>
            </w:r>
          </w:p>
        </w:tc>
        <w:tc>
          <w:tcPr>
            <w:tcW w:w="1560" w:type="dxa"/>
            <w:tcBorders>
              <w:top w:val="nil"/>
              <w:left w:val="nil"/>
              <w:bottom w:val="single" w:sz="12" w:space="0" w:color="FF9E3C"/>
              <w:right w:val="single" w:sz="12" w:space="0" w:color="FF9E3C"/>
            </w:tcBorders>
            <w:shd w:val="clear" w:color="000000" w:fill="FFFFFF"/>
            <w:vAlign w:val="center"/>
            <w:hideMark/>
          </w:tcPr>
          <w:p w14:paraId="69E36A2B" w14:textId="77777777" w:rsidR="006C7F31" w:rsidRPr="00534EE5" w:rsidRDefault="006C7F31" w:rsidP="006C7F31">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7.28</w:t>
            </w:r>
          </w:p>
        </w:tc>
        <w:tc>
          <w:tcPr>
            <w:tcW w:w="1275" w:type="dxa"/>
            <w:tcBorders>
              <w:top w:val="nil"/>
              <w:left w:val="nil"/>
              <w:bottom w:val="single" w:sz="12" w:space="0" w:color="FF9E3C"/>
              <w:right w:val="single" w:sz="12" w:space="0" w:color="FF9E3C"/>
            </w:tcBorders>
            <w:shd w:val="clear" w:color="000000" w:fill="FFFFFF"/>
            <w:vAlign w:val="center"/>
            <w:hideMark/>
          </w:tcPr>
          <w:p w14:paraId="546CE549" w14:textId="77777777" w:rsidR="006C7F31" w:rsidRPr="00534EE5" w:rsidRDefault="006C7F31" w:rsidP="006C7F31">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260,011</w:t>
            </w:r>
          </w:p>
        </w:tc>
        <w:tc>
          <w:tcPr>
            <w:tcW w:w="1276" w:type="dxa"/>
            <w:tcBorders>
              <w:top w:val="nil"/>
              <w:left w:val="nil"/>
              <w:bottom w:val="single" w:sz="12" w:space="0" w:color="FF9E3C"/>
              <w:right w:val="single" w:sz="12" w:space="0" w:color="FF9E3C"/>
            </w:tcBorders>
            <w:shd w:val="clear" w:color="000000" w:fill="FFFFFF"/>
            <w:vAlign w:val="center"/>
            <w:hideMark/>
          </w:tcPr>
          <w:p w14:paraId="70A51069" w14:textId="77777777" w:rsidR="006C7F31" w:rsidRPr="00534EE5" w:rsidRDefault="006C7F31" w:rsidP="006C7F31">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67,199</w:t>
            </w:r>
          </w:p>
        </w:tc>
        <w:tc>
          <w:tcPr>
            <w:tcW w:w="1276" w:type="dxa"/>
            <w:tcBorders>
              <w:top w:val="nil"/>
              <w:left w:val="nil"/>
              <w:bottom w:val="single" w:sz="12" w:space="0" w:color="FF9E3C"/>
              <w:right w:val="single" w:sz="12" w:space="0" w:color="FF9E3C"/>
            </w:tcBorders>
            <w:shd w:val="clear" w:color="000000" w:fill="FFFFFF"/>
            <w:vAlign w:val="center"/>
            <w:hideMark/>
          </w:tcPr>
          <w:p w14:paraId="077385C2" w14:textId="77777777" w:rsidR="006C7F31" w:rsidRPr="00534EE5" w:rsidRDefault="006C7F31" w:rsidP="006C7F31">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100</w:t>
            </w:r>
          </w:p>
        </w:tc>
      </w:tr>
    </w:tbl>
    <w:p w14:paraId="0960ED40" w14:textId="77777777" w:rsidR="006C7F31" w:rsidRPr="00534EE5" w:rsidRDefault="006C7F31" w:rsidP="002901C9">
      <w:pPr>
        <w:spacing w:after="0" w:line="240" w:lineRule="auto"/>
        <w:ind w:left="0"/>
        <w:rPr>
          <w:rFonts w:eastAsia="MS Mincho" w:cs="Arial"/>
          <w:color w:val="1C3158"/>
          <w:sz w:val="16"/>
        </w:rPr>
      </w:pPr>
      <w:r w:rsidRPr="00534EE5">
        <w:rPr>
          <w:rFonts w:cs="Arial"/>
          <w:color w:val="1C3158"/>
          <w:sz w:val="16"/>
          <w:szCs w:val="16"/>
        </w:rPr>
        <w:t xml:space="preserve">Weighted population base: </w:t>
      </w:r>
      <w:r w:rsidRPr="00534EE5">
        <w:rPr>
          <w:rFonts w:eastAsia="MS Mincho" w:cs="Arial"/>
          <w:color w:val="1C3158"/>
          <w:sz w:val="16"/>
        </w:rPr>
        <w:t xml:space="preserve">Total New Zealand (n= 3,571,947). </w:t>
      </w:r>
    </w:p>
    <w:p w14:paraId="7EC9B9D4" w14:textId="6251E925" w:rsidR="006C7F31" w:rsidRDefault="006C7F31" w:rsidP="00C82A76">
      <w:pPr>
        <w:pStyle w:val="VRGFBodycontent"/>
        <w:spacing w:before="240"/>
        <w:rPr>
          <w:rFonts w:eastAsia="MS Mincho"/>
        </w:rPr>
      </w:pPr>
      <w:r w:rsidRPr="00534EE5">
        <w:rPr>
          <w:rFonts w:eastAsia="MS Mincho"/>
        </w:rPr>
        <w:t>As shown in</w:t>
      </w:r>
      <w:r w:rsidR="004C4E44" w:rsidRPr="00534EE5">
        <w:rPr>
          <w:rFonts w:eastAsia="MS Mincho"/>
        </w:rPr>
        <w:t xml:space="preserve"> </w:t>
      </w:r>
      <w:r w:rsidR="004C4E44" w:rsidRPr="00534EE5">
        <w:rPr>
          <w:rFonts w:eastAsia="MS Mincho"/>
        </w:rPr>
        <w:fldChar w:fldCharType="begin"/>
      </w:r>
      <w:r w:rsidR="004C4E44" w:rsidRPr="00534EE5">
        <w:rPr>
          <w:rFonts w:eastAsia="MS Mincho"/>
        </w:rPr>
        <w:instrText xml:space="preserve"> REF _Ref445565452 \h </w:instrText>
      </w:r>
      <w:r w:rsidR="00534EE5">
        <w:rPr>
          <w:rFonts w:eastAsia="MS Mincho"/>
        </w:rPr>
        <w:instrText xml:space="preserve"> \* MERGEFORMAT </w:instrText>
      </w:r>
      <w:r w:rsidR="004C4E44" w:rsidRPr="00534EE5">
        <w:rPr>
          <w:rFonts w:eastAsia="MS Mincho"/>
        </w:rPr>
      </w:r>
      <w:r w:rsidR="004C4E44" w:rsidRPr="00534EE5">
        <w:rPr>
          <w:rFonts w:eastAsia="MS Mincho"/>
        </w:rPr>
        <w:fldChar w:fldCharType="separate"/>
      </w:r>
      <w:r w:rsidR="0006479A">
        <w:t xml:space="preserve">Figure </w:t>
      </w:r>
      <w:r w:rsidR="0006479A">
        <w:rPr>
          <w:noProof/>
        </w:rPr>
        <w:t>15</w:t>
      </w:r>
      <w:r w:rsidR="004C4E44" w:rsidRPr="00534EE5">
        <w:rPr>
          <w:rFonts w:eastAsia="MS Mincho"/>
        </w:rPr>
        <w:fldChar w:fldCharType="end"/>
      </w:r>
      <w:r w:rsidRPr="00534EE5">
        <w:rPr>
          <w:rFonts w:eastAsia="MS Mincho"/>
        </w:rPr>
        <w:t>,</w:t>
      </w:r>
      <w:r w:rsidR="00BD1046" w:rsidRPr="00534EE5">
        <w:rPr>
          <w:rFonts w:eastAsia="MS Mincho"/>
        </w:rPr>
        <w:t xml:space="preserve"> almost</w:t>
      </w:r>
      <w:r w:rsidRPr="00534EE5">
        <w:rPr>
          <w:rFonts w:eastAsia="MS Mincho"/>
        </w:rPr>
        <w:t xml:space="preserve"> half of the total </w:t>
      </w:r>
      <w:r w:rsidR="00534EE5">
        <w:rPr>
          <w:rFonts w:eastAsia="MS Mincho"/>
        </w:rPr>
        <w:t>QALY</w:t>
      </w:r>
      <w:r w:rsidR="00534EE5" w:rsidRPr="00534EE5">
        <w:rPr>
          <w:rFonts w:eastAsia="MS Mincho"/>
          <w:vertAlign w:val="subscript"/>
        </w:rPr>
        <w:t>1</w:t>
      </w:r>
      <w:r w:rsidR="00534EE5" w:rsidRPr="00534EE5">
        <w:rPr>
          <w:rFonts w:eastAsia="MS Mincho"/>
        </w:rPr>
        <w:t xml:space="preserve"> </w:t>
      </w:r>
      <w:r w:rsidRPr="00534EE5">
        <w:rPr>
          <w:rFonts w:eastAsia="MS Mincho"/>
        </w:rPr>
        <w:t>due to one’s own gambling harms are attributable to the New Zealand adult population who are at low-risk for developing gambling problems (48.0%), followed by those at moderate-risk (33.6%) and problem gamblers (18.4%).</w:t>
      </w:r>
    </w:p>
    <w:p w14:paraId="1BEAEAC9" w14:textId="77777777" w:rsidR="006C7F31" w:rsidRPr="00D82AC4" w:rsidRDefault="006C7F31" w:rsidP="002901C9">
      <w:pPr>
        <w:tabs>
          <w:tab w:val="clear" w:pos="426"/>
        </w:tabs>
        <w:spacing w:before="0" w:after="120" w:line="240" w:lineRule="auto"/>
        <w:ind w:left="0" w:right="0"/>
        <w:rPr>
          <w:rFonts w:eastAsia="MS Mincho" w:cs="Arial"/>
          <w:sz w:val="24"/>
          <w:szCs w:val="24"/>
        </w:rPr>
      </w:pPr>
      <w:r>
        <w:rPr>
          <w:rFonts w:eastAsia="MS Mincho" w:cs="Arial"/>
          <w:noProof/>
          <w:sz w:val="24"/>
          <w:szCs w:val="24"/>
          <w:lang w:val="en-NZ" w:eastAsia="en-NZ"/>
        </w:rPr>
        <w:lastRenderedPageBreak/>
        <w:drawing>
          <wp:inline distT="0" distB="0" distL="0" distR="0" wp14:anchorId="78C642B3" wp14:editId="68F9C5F6">
            <wp:extent cx="5692280" cy="3515183"/>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8162" cy="3531166"/>
                    </a:xfrm>
                    <a:prstGeom prst="rect">
                      <a:avLst/>
                    </a:prstGeom>
                    <a:noFill/>
                  </pic:spPr>
                </pic:pic>
              </a:graphicData>
            </a:graphic>
          </wp:inline>
        </w:drawing>
      </w:r>
    </w:p>
    <w:p w14:paraId="1E3DE2BC" w14:textId="093C6A8D" w:rsidR="006C7F31" w:rsidRPr="00D010EF" w:rsidRDefault="004C4E44" w:rsidP="004C4E44">
      <w:pPr>
        <w:pStyle w:val="Caption"/>
        <w:rPr>
          <w:color w:val="1C3158"/>
        </w:rPr>
      </w:pPr>
      <w:bookmarkStart w:id="333" w:name="_Ref445565452"/>
      <w:bookmarkStart w:id="334" w:name="_Ref429650801"/>
      <w:bookmarkStart w:id="335" w:name="_Toc440900318"/>
      <w:bookmarkStart w:id="336" w:name="_Toc462738098"/>
      <w:r>
        <w:t xml:space="preserve">Figure </w:t>
      </w:r>
      <w:fldSimple w:instr=" SEQ Figure \* ARABIC ">
        <w:r w:rsidR="0006479A">
          <w:rPr>
            <w:noProof/>
          </w:rPr>
          <w:t>15</w:t>
        </w:r>
      </w:fldSimple>
      <w:bookmarkEnd w:id="333"/>
      <w:r>
        <w:t xml:space="preserve">. </w:t>
      </w:r>
      <w:bookmarkEnd w:id="334"/>
      <w:r w:rsidR="006C7F31" w:rsidRPr="00D010EF">
        <w:rPr>
          <w:color w:val="1C3158"/>
        </w:rPr>
        <w:t xml:space="preserve">Proportion of harm in </w:t>
      </w:r>
      <w:r w:rsidR="006C7F31">
        <w:rPr>
          <w:color w:val="1C3158"/>
        </w:rPr>
        <w:t xml:space="preserve">New Zealand </w:t>
      </w:r>
      <w:r w:rsidR="006C7F31" w:rsidRPr="00D010EF">
        <w:rPr>
          <w:color w:val="1C3158"/>
        </w:rPr>
        <w:t>population by PGSI risk category</w:t>
      </w:r>
      <w:bookmarkEnd w:id="335"/>
      <w:bookmarkEnd w:id="336"/>
    </w:p>
    <w:p w14:paraId="4730053D" w14:textId="77777777" w:rsidR="006C7F31" w:rsidRPr="006766D8" w:rsidRDefault="006C7F31" w:rsidP="006C7F31">
      <w:pPr>
        <w:spacing w:after="0" w:line="240" w:lineRule="auto"/>
        <w:ind w:left="567"/>
      </w:pPr>
      <w:r>
        <w:rPr>
          <w:rFonts w:cs="Arial"/>
          <w:color w:val="1C3158"/>
          <w:sz w:val="16"/>
          <w:szCs w:val="16"/>
        </w:rPr>
        <w:tab/>
      </w:r>
    </w:p>
    <w:p w14:paraId="1845BED1" w14:textId="45D55690" w:rsidR="006C7F31" w:rsidRPr="00D302D0" w:rsidRDefault="00C55215" w:rsidP="006C7F31">
      <w:pPr>
        <w:pStyle w:val="VRGFHead3"/>
      </w:pPr>
      <w:bookmarkStart w:id="337" w:name="_Toc462738071"/>
      <w:r>
        <w:t>Harm to o</w:t>
      </w:r>
      <w:r w:rsidR="006C7F31" w:rsidRPr="00D302D0">
        <w:t>thers</w:t>
      </w:r>
      <w:bookmarkEnd w:id="337"/>
    </w:p>
    <w:p w14:paraId="7EFA766F" w14:textId="10D355F0" w:rsidR="00BD4592" w:rsidRPr="00534EE5" w:rsidRDefault="006C7F31" w:rsidP="00BD4592">
      <w:pPr>
        <w:pStyle w:val="VRGFBodycontent"/>
        <w:rPr>
          <w:rFonts w:eastAsia="MS Mincho"/>
        </w:rPr>
      </w:pPr>
      <w:r w:rsidRPr="00534EE5">
        <w:rPr>
          <w:rFonts w:eastAsia="MS Mincho"/>
        </w:rPr>
        <w:t xml:space="preserve">The </w:t>
      </w:r>
      <w:r w:rsidR="00534EE5">
        <w:rPr>
          <w:rFonts w:eastAsia="MS Mincho"/>
        </w:rPr>
        <w:t>QALY</w:t>
      </w:r>
      <w:r w:rsidR="00534EE5" w:rsidRPr="00534EE5">
        <w:rPr>
          <w:rFonts w:eastAsia="MS Mincho"/>
          <w:vertAlign w:val="subscript"/>
        </w:rPr>
        <w:t>1</w:t>
      </w:r>
      <w:r w:rsidR="00534EE5" w:rsidRPr="00534EE5">
        <w:rPr>
          <w:rFonts w:eastAsia="MS Mincho"/>
        </w:rPr>
        <w:t xml:space="preserve"> </w:t>
      </w:r>
      <w:r w:rsidRPr="00534EE5">
        <w:rPr>
          <w:rFonts w:eastAsia="MS Mincho"/>
        </w:rPr>
        <w:t xml:space="preserve">measure of harm caused by another’s gambling in the New Zealand adult population is estimated at </w:t>
      </w:r>
      <w:r w:rsidR="000068DE" w:rsidRPr="00534EE5">
        <w:rPr>
          <w:rFonts w:eastAsia="MS Mincho"/>
        </w:rPr>
        <w:t>94</w:t>
      </w:r>
      <w:r w:rsidR="006946F7" w:rsidRPr="00534EE5">
        <w:rPr>
          <w:rFonts w:eastAsia="MS Mincho"/>
        </w:rPr>
        <w:t>,730</w:t>
      </w:r>
      <w:r w:rsidRPr="00534EE5">
        <w:rPr>
          <w:rFonts w:eastAsia="MS Mincho"/>
        </w:rPr>
        <w:t xml:space="preserve"> years</w:t>
      </w:r>
      <w:r w:rsidR="00E832B0" w:rsidRPr="00534EE5">
        <w:rPr>
          <w:rFonts w:eastAsia="MS Mincho"/>
        </w:rPr>
        <w:t>.</w:t>
      </w:r>
      <w:r w:rsidR="008610D3" w:rsidRPr="00534EE5">
        <w:rPr>
          <w:rFonts w:eastAsia="MS Mincho"/>
        </w:rPr>
        <w:t xml:space="preserve"> </w:t>
      </w:r>
      <w:r w:rsidRPr="00534EE5">
        <w:rPr>
          <w:rFonts w:eastAsia="MS Mincho"/>
        </w:rPr>
        <w:t>As described in the analysis section above, the figure assumes (conservatively) that the person causing the harm had a PGSI score randomly selected from the population-representative sample of non-zero PGSI scores</w:t>
      </w:r>
      <w:r w:rsidR="00E832B0" w:rsidRPr="00534EE5">
        <w:rPr>
          <w:rFonts w:eastAsia="MS Mincho"/>
        </w:rPr>
        <w:t>.</w:t>
      </w:r>
      <w:r w:rsidR="008610D3" w:rsidRPr="00534EE5">
        <w:rPr>
          <w:rFonts w:eastAsia="MS Mincho"/>
        </w:rPr>
        <w:t xml:space="preserve"> </w:t>
      </w:r>
      <w:r w:rsidRPr="00534EE5">
        <w:rPr>
          <w:rFonts w:eastAsia="MS Mincho"/>
        </w:rPr>
        <w:t>Thus, the HRQL utility weight estimated from our sample with respect to PGSI was weighted similarly, giving a utility decrement of 0.195</w:t>
      </w:r>
      <w:r w:rsidR="00E832B0" w:rsidRPr="00534EE5">
        <w:rPr>
          <w:rFonts w:eastAsia="MS Mincho"/>
        </w:rPr>
        <w:t>.</w:t>
      </w:r>
      <w:r w:rsidR="008610D3" w:rsidRPr="00534EE5">
        <w:rPr>
          <w:rFonts w:eastAsia="MS Mincho"/>
        </w:rPr>
        <w:t xml:space="preserve"> </w:t>
      </w:r>
      <w:r w:rsidRPr="00534EE5">
        <w:rPr>
          <w:rFonts w:eastAsia="MS Mincho"/>
        </w:rPr>
        <w:t>The 2012 New Zealand National Gambling Study (</w:t>
      </w:r>
      <w:r w:rsidR="00263368" w:rsidRPr="00534EE5">
        <w:rPr>
          <w:rFonts w:eastAsia="MS Mincho"/>
        </w:rPr>
        <w:t>Abbott et al., 2014a</w:t>
      </w:r>
      <w:r w:rsidRPr="00534EE5">
        <w:rPr>
          <w:rFonts w:eastAsia="MS Mincho"/>
        </w:rPr>
        <w:t>) ask</w:t>
      </w:r>
      <w:r w:rsidR="00A51EB6" w:rsidRPr="00534EE5">
        <w:rPr>
          <w:rFonts w:eastAsia="MS Mincho"/>
        </w:rPr>
        <w:t>ed</w:t>
      </w:r>
      <w:r w:rsidRPr="00534EE5">
        <w:rPr>
          <w:rFonts w:eastAsia="MS Mincho"/>
        </w:rPr>
        <w:t xml:space="preserve"> respondents who know someone who may have gambling problems whether they have been harmed by that person’s gambling</w:t>
      </w:r>
      <w:r w:rsidR="00E832B0" w:rsidRPr="00534EE5">
        <w:rPr>
          <w:rFonts w:eastAsia="MS Mincho"/>
        </w:rPr>
        <w:t>.</w:t>
      </w:r>
      <w:r w:rsidR="008610D3" w:rsidRPr="00534EE5">
        <w:rPr>
          <w:rFonts w:eastAsia="MS Mincho"/>
        </w:rPr>
        <w:t xml:space="preserve"> </w:t>
      </w:r>
      <w:r w:rsidRPr="00534EE5">
        <w:rPr>
          <w:rFonts w:eastAsia="MS Mincho"/>
        </w:rPr>
        <w:t xml:space="preserve">Weighted to the NZ population, a total of </w:t>
      </w:r>
      <w:r w:rsidR="00A32063" w:rsidRPr="00534EE5">
        <w:rPr>
          <w:rFonts w:eastAsia="MS Mincho"/>
        </w:rPr>
        <w:t>14</w:t>
      </w:r>
      <w:r w:rsidRPr="00534EE5">
        <w:rPr>
          <w:rFonts w:eastAsia="MS Mincho"/>
        </w:rPr>
        <w:t>.</w:t>
      </w:r>
      <w:r w:rsidR="00A32063" w:rsidRPr="00534EE5">
        <w:rPr>
          <w:rFonts w:eastAsia="MS Mincho"/>
        </w:rPr>
        <w:t>4</w:t>
      </w:r>
      <w:r w:rsidRPr="00534EE5">
        <w:rPr>
          <w:rFonts w:eastAsia="MS Mincho"/>
        </w:rPr>
        <w:t xml:space="preserve">% </w:t>
      </w:r>
      <w:r w:rsidR="00A51EB6" w:rsidRPr="00534EE5">
        <w:rPr>
          <w:rFonts w:eastAsia="MS Mincho"/>
        </w:rPr>
        <w:t xml:space="preserve">was </w:t>
      </w:r>
      <w:r w:rsidRPr="00534EE5">
        <w:rPr>
          <w:rFonts w:eastAsia="MS Mincho"/>
        </w:rPr>
        <w:t xml:space="preserve">negatively </w:t>
      </w:r>
      <w:r w:rsidR="00A51EB6" w:rsidRPr="00534EE5">
        <w:rPr>
          <w:rFonts w:eastAsia="MS Mincho"/>
        </w:rPr>
        <w:t xml:space="preserve">affected </w:t>
      </w:r>
      <w:r w:rsidRPr="00534EE5">
        <w:rPr>
          <w:rFonts w:eastAsia="MS Mincho"/>
        </w:rPr>
        <w:t>by someone else’s gambling</w:t>
      </w:r>
      <w:r w:rsidR="00E832B0" w:rsidRPr="00534EE5">
        <w:rPr>
          <w:rFonts w:eastAsia="MS Mincho"/>
        </w:rPr>
        <w:t>.</w:t>
      </w:r>
      <w:r w:rsidR="008610D3" w:rsidRPr="00534EE5">
        <w:rPr>
          <w:rFonts w:eastAsia="MS Mincho"/>
        </w:rPr>
        <w:t xml:space="preserve"> </w:t>
      </w:r>
    </w:p>
    <w:p w14:paraId="257517BC" w14:textId="27ACFE4A" w:rsidR="00FE0DBA" w:rsidRPr="00534EE5" w:rsidRDefault="00FE0DBA" w:rsidP="00A21C7B">
      <w:pPr>
        <w:pStyle w:val="VRGFBodycontent"/>
        <w:rPr>
          <w:rFonts w:eastAsia="MS Mincho"/>
        </w:rPr>
      </w:pPr>
      <w:r w:rsidRPr="00534EE5">
        <w:rPr>
          <w:rFonts w:eastAsia="MS Mincho"/>
        </w:rPr>
        <w:t xml:space="preserve">This 14.4% prevalence of harm to others </w:t>
      </w:r>
      <w:r w:rsidR="006946F7" w:rsidRPr="00534EE5">
        <w:rPr>
          <w:rFonts w:eastAsia="MS Mincho"/>
        </w:rPr>
        <w:t xml:space="preserve">was </w:t>
      </w:r>
      <w:r w:rsidRPr="00534EE5">
        <w:rPr>
          <w:rFonts w:eastAsia="MS Mincho"/>
        </w:rPr>
        <w:t>applied to th</w:t>
      </w:r>
      <w:r w:rsidR="006946F7" w:rsidRPr="00534EE5">
        <w:rPr>
          <w:rFonts w:eastAsia="MS Mincho"/>
        </w:rPr>
        <w:t>e</w:t>
      </w:r>
      <w:r w:rsidRPr="00534EE5">
        <w:rPr>
          <w:rFonts w:eastAsia="MS Mincho"/>
        </w:rPr>
        <w:t xml:space="preserve"> analysis of years of </w:t>
      </w:r>
      <w:r w:rsidR="00534EE5">
        <w:rPr>
          <w:rFonts w:eastAsia="MS Mincho"/>
        </w:rPr>
        <w:t xml:space="preserve">healthy </w:t>
      </w:r>
      <w:r w:rsidRPr="00534EE5">
        <w:rPr>
          <w:rFonts w:eastAsia="MS Mincho"/>
        </w:rPr>
        <w:t>life lost due to others gambling</w:t>
      </w:r>
      <w:r w:rsidR="00A21C7B" w:rsidRPr="00534EE5">
        <w:rPr>
          <w:rFonts w:eastAsia="MS Mincho"/>
        </w:rPr>
        <w:t>, factoring in problematic gambling severity status of the individual impacted by the others’ gambling. For individuals who have a greater risk of gambling problems (therefore greater harm from one’s own gambling) there may be a</w:t>
      </w:r>
      <w:r w:rsidRPr="00534EE5">
        <w:rPr>
          <w:rFonts w:eastAsia="MS Mincho"/>
        </w:rPr>
        <w:t xml:space="preserve"> co-morbidity of experiencing harm from </w:t>
      </w:r>
      <w:r w:rsidR="00A21C7B" w:rsidRPr="00534EE5">
        <w:rPr>
          <w:rFonts w:eastAsia="MS Mincho"/>
        </w:rPr>
        <w:t xml:space="preserve">their </w:t>
      </w:r>
      <w:r w:rsidRPr="00534EE5">
        <w:rPr>
          <w:rFonts w:eastAsia="MS Mincho"/>
        </w:rPr>
        <w:t>own gambling</w:t>
      </w:r>
      <w:r w:rsidR="00A21C7B" w:rsidRPr="00534EE5">
        <w:rPr>
          <w:rFonts w:eastAsia="MS Mincho"/>
        </w:rPr>
        <w:t xml:space="preserve"> and</w:t>
      </w:r>
      <w:r w:rsidRPr="00534EE5">
        <w:rPr>
          <w:rFonts w:eastAsia="MS Mincho"/>
        </w:rPr>
        <w:t xml:space="preserve"> harm from another’s gambling.</w:t>
      </w:r>
      <w:r w:rsidR="008610D3" w:rsidRPr="00534EE5">
        <w:rPr>
          <w:rFonts w:eastAsia="MS Mincho"/>
        </w:rPr>
        <w:t xml:space="preserve"> </w:t>
      </w:r>
      <w:r w:rsidRPr="00534EE5">
        <w:rPr>
          <w:rFonts w:eastAsia="MS Mincho"/>
        </w:rPr>
        <w:t xml:space="preserve">For co-morbid individuals, it </w:t>
      </w:r>
      <w:r w:rsidR="00A21C7B" w:rsidRPr="00534EE5">
        <w:rPr>
          <w:rFonts w:eastAsia="MS Mincho"/>
        </w:rPr>
        <w:t xml:space="preserve">therefore </w:t>
      </w:r>
      <w:r w:rsidRPr="00534EE5">
        <w:rPr>
          <w:rFonts w:eastAsia="MS Mincho"/>
        </w:rPr>
        <w:t>not possible to assume that these two sources of harms are additive. Given that we do not have information to accommodate this increased co-occurrence, a slight positive bias is likely to be introduced in treating harm to self and others as independent components of population level harm.</w:t>
      </w:r>
    </w:p>
    <w:p w14:paraId="31814DEA" w14:textId="28F3B35F" w:rsidR="00FE0DBA" w:rsidRDefault="004C3613" w:rsidP="00FE0DBA">
      <w:pPr>
        <w:pStyle w:val="VRGFBodycontent"/>
        <w:rPr>
          <w:rFonts w:cs="Arial"/>
          <w:b/>
          <w:bCs/>
          <w:color w:val="1C3158"/>
          <w:sz w:val="18"/>
          <w:lang w:eastAsia="ja-JP"/>
        </w:rPr>
      </w:pPr>
      <w:r w:rsidRPr="00534EE5">
        <w:rPr>
          <w:rFonts w:eastAsia="MS Mincho"/>
        </w:rPr>
        <w:t xml:space="preserve">As shown in </w:t>
      </w:r>
      <w:r w:rsidRPr="00534EE5">
        <w:rPr>
          <w:rFonts w:eastAsia="MS Mincho"/>
        </w:rPr>
        <w:fldChar w:fldCharType="begin"/>
      </w:r>
      <w:r w:rsidRPr="00534EE5">
        <w:rPr>
          <w:rFonts w:eastAsia="MS Mincho"/>
        </w:rPr>
        <w:instrText xml:space="preserve"> REF _Ref447829606 \h </w:instrText>
      </w:r>
      <w:r w:rsidR="00534EE5">
        <w:rPr>
          <w:rFonts w:eastAsia="MS Mincho"/>
        </w:rPr>
        <w:instrText xml:space="preserve"> \* MERGEFORMAT </w:instrText>
      </w:r>
      <w:r w:rsidRPr="00534EE5">
        <w:rPr>
          <w:rFonts w:eastAsia="MS Mincho"/>
        </w:rPr>
      </w:r>
      <w:r w:rsidRPr="00534EE5">
        <w:rPr>
          <w:rFonts w:eastAsia="MS Mincho"/>
        </w:rPr>
        <w:fldChar w:fldCharType="separate"/>
      </w:r>
      <w:r w:rsidR="0006479A">
        <w:t xml:space="preserve">Table </w:t>
      </w:r>
      <w:r w:rsidR="0006479A">
        <w:rPr>
          <w:noProof/>
        </w:rPr>
        <w:t>24</w:t>
      </w:r>
      <w:r w:rsidRPr="00534EE5">
        <w:rPr>
          <w:rFonts w:eastAsia="MS Mincho"/>
        </w:rPr>
        <w:fldChar w:fldCharType="end"/>
      </w:r>
      <w:r w:rsidRPr="00534EE5">
        <w:rPr>
          <w:rFonts w:eastAsia="MS Mincho"/>
        </w:rPr>
        <w:t>,</w:t>
      </w:r>
      <w:r w:rsidR="00FE0DBA" w:rsidRPr="00534EE5">
        <w:rPr>
          <w:rFonts w:eastAsia="MS Mincho"/>
        </w:rPr>
        <w:t xml:space="preserve"> the majority of harm to others occur to persons who</w:t>
      </w:r>
      <w:r w:rsidRPr="00534EE5">
        <w:rPr>
          <w:rFonts w:eastAsia="MS Mincho"/>
        </w:rPr>
        <w:t xml:space="preserve"> fall in the non problem gambling category</w:t>
      </w:r>
      <w:r w:rsidR="00FE0DBA" w:rsidRPr="00534EE5">
        <w:rPr>
          <w:rFonts w:eastAsia="MS Mincho"/>
        </w:rPr>
        <w:t xml:space="preserve">. In assessing the </w:t>
      </w:r>
      <w:r w:rsidR="00534EE5">
        <w:rPr>
          <w:rFonts w:eastAsia="MS Mincho"/>
        </w:rPr>
        <w:t>QALY</w:t>
      </w:r>
      <w:r w:rsidR="00534EE5" w:rsidRPr="00534EE5">
        <w:rPr>
          <w:rFonts w:eastAsia="MS Mincho"/>
          <w:vertAlign w:val="subscript"/>
        </w:rPr>
        <w:t>1</w:t>
      </w:r>
      <w:r w:rsidR="00534EE5" w:rsidRPr="00534EE5">
        <w:rPr>
          <w:rFonts w:eastAsia="MS Mincho"/>
        </w:rPr>
        <w:t xml:space="preserve"> </w:t>
      </w:r>
      <w:r w:rsidR="00FE0DBA" w:rsidRPr="00534EE5">
        <w:rPr>
          <w:rFonts w:eastAsia="MS Mincho"/>
        </w:rPr>
        <w:t>due to harm from others, one should take into account whether or not the person being harmed is also experiencing harm from their own gambling. If harm from one’s own gambling is moderate or severe, then it would be anti-conservative to assume that the two HRQL components are additive. Therefore, as detailed in</w:t>
      </w:r>
      <w:r w:rsidRPr="00534EE5">
        <w:rPr>
          <w:rFonts w:eastAsia="MS Mincho"/>
        </w:rPr>
        <w:t xml:space="preserve"> </w:t>
      </w:r>
      <w:r w:rsidRPr="00534EE5">
        <w:rPr>
          <w:rFonts w:eastAsia="MS Mincho"/>
        </w:rPr>
        <w:fldChar w:fldCharType="begin"/>
      </w:r>
      <w:r w:rsidRPr="00534EE5">
        <w:rPr>
          <w:rFonts w:eastAsia="MS Mincho"/>
        </w:rPr>
        <w:instrText xml:space="preserve"> REF _Ref447829606 \h </w:instrText>
      </w:r>
      <w:r w:rsidR="00430920" w:rsidRPr="00534EE5">
        <w:rPr>
          <w:rFonts w:eastAsia="MS Mincho"/>
        </w:rPr>
        <w:instrText xml:space="preserve"> \* MERGEFORMAT </w:instrText>
      </w:r>
      <w:r w:rsidRPr="00534EE5">
        <w:rPr>
          <w:rFonts w:eastAsia="MS Mincho"/>
        </w:rPr>
      </w:r>
      <w:r w:rsidRPr="00534EE5">
        <w:rPr>
          <w:rFonts w:eastAsia="MS Mincho"/>
        </w:rPr>
        <w:fldChar w:fldCharType="separate"/>
      </w:r>
      <w:r w:rsidR="0006479A">
        <w:t xml:space="preserve">Table </w:t>
      </w:r>
      <w:r w:rsidR="0006479A">
        <w:rPr>
          <w:noProof/>
        </w:rPr>
        <w:t>24</w:t>
      </w:r>
      <w:r w:rsidRPr="00534EE5">
        <w:rPr>
          <w:rFonts w:eastAsia="MS Mincho"/>
        </w:rPr>
        <w:fldChar w:fldCharType="end"/>
      </w:r>
      <w:r w:rsidR="00FE0DBA" w:rsidRPr="00534EE5">
        <w:rPr>
          <w:rFonts w:eastAsia="MS Mincho"/>
        </w:rPr>
        <w:t xml:space="preserve">, these two contributions are excluded from the </w:t>
      </w:r>
      <w:r w:rsidR="00534EE5">
        <w:rPr>
          <w:rFonts w:eastAsia="MS Mincho"/>
        </w:rPr>
        <w:t>QALY</w:t>
      </w:r>
      <w:r w:rsidR="00534EE5" w:rsidRPr="00534EE5">
        <w:rPr>
          <w:rFonts w:eastAsia="MS Mincho"/>
          <w:vertAlign w:val="subscript"/>
        </w:rPr>
        <w:t>1</w:t>
      </w:r>
      <w:r w:rsidR="00534EE5" w:rsidRPr="00534EE5">
        <w:rPr>
          <w:rFonts w:eastAsia="MS Mincho"/>
        </w:rPr>
        <w:t xml:space="preserve"> </w:t>
      </w:r>
      <w:r w:rsidR="00FE0DBA" w:rsidRPr="00534EE5">
        <w:rPr>
          <w:rFonts w:eastAsia="MS Mincho"/>
        </w:rPr>
        <w:t>total.</w:t>
      </w:r>
    </w:p>
    <w:p w14:paraId="41627970" w14:textId="684E9B58" w:rsidR="004C3613" w:rsidRDefault="004C3613" w:rsidP="004C3613">
      <w:pPr>
        <w:pStyle w:val="Caption"/>
        <w:rPr>
          <w:rFonts w:cs="Arial"/>
          <w:b w:val="0"/>
          <w:bCs/>
          <w:color w:val="1C3158"/>
          <w:lang w:eastAsia="ja-JP"/>
        </w:rPr>
      </w:pPr>
      <w:bookmarkStart w:id="338" w:name="_Ref447829606"/>
      <w:bookmarkStart w:id="339" w:name="_Toc462738127"/>
      <w:r>
        <w:lastRenderedPageBreak/>
        <w:t xml:space="preserve">Table </w:t>
      </w:r>
      <w:fldSimple w:instr=" SEQ Table \* ARABIC ">
        <w:r w:rsidR="0006479A">
          <w:rPr>
            <w:noProof/>
          </w:rPr>
          <w:t>24</w:t>
        </w:r>
      </w:fldSimple>
      <w:bookmarkEnd w:id="338"/>
      <w:r>
        <w:t xml:space="preserve">. </w:t>
      </w:r>
      <w:r w:rsidR="00534EE5">
        <w:t xml:space="preserve">Gambling-related </w:t>
      </w:r>
      <w:r>
        <w:t>Harms from someone else’s gambling and PGSI category to the New Zealand adult population in the last 12 months</w:t>
      </w:r>
      <w:bookmarkEnd w:id="339"/>
    </w:p>
    <w:tbl>
      <w:tblPr>
        <w:tblW w:w="8647" w:type="dxa"/>
        <w:tblInd w:w="-10" w:type="dxa"/>
        <w:tblBorders>
          <w:top w:val="single" w:sz="12" w:space="0" w:color="FF9E3C"/>
          <w:left w:val="single" w:sz="12" w:space="0" w:color="FF9E3C"/>
          <w:bottom w:val="single" w:sz="12" w:space="0" w:color="FF9E3C"/>
          <w:right w:val="single" w:sz="12" w:space="0" w:color="FF9E3C"/>
          <w:insideH w:val="single" w:sz="12" w:space="0" w:color="FF9E3C"/>
          <w:insideV w:val="single" w:sz="12" w:space="0" w:color="FF9E3C"/>
        </w:tblBorders>
        <w:tblLook w:val="04A0" w:firstRow="1" w:lastRow="0" w:firstColumn="1" w:lastColumn="0" w:noHBand="0" w:noVBand="1"/>
      </w:tblPr>
      <w:tblGrid>
        <w:gridCol w:w="3686"/>
        <w:gridCol w:w="850"/>
        <w:gridCol w:w="1559"/>
        <w:gridCol w:w="1276"/>
        <w:gridCol w:w="1276"/>
      </w:tblGrid>
      <w:tr w:rsidR="000068DE" w:rsidRPr="00534EE5" w14:paraId="745C7196" w14:textId="77777777" w:rsidTr="000068DE">
        <w:trPr>
          <w:trHeight w:val="834"/>
        </w:trPr>
        <w:tc>
          <w:tcPr>
            <w:tcW w:w="3686" w:type="dxa"/>
            <w:shd w:val="clear" w:color="000000" w:fill="FFBC64"/>
            <w:vAlign w:val="center"/>
            <w:hideMark/>
          </w:tcPr>
          <w:p w14:paraId="3B8C7A25" w14:textId="77777777" w:rsidR="00BD4592" w:rsidRPr="00534EE5" w:rsidRDefault="00BD4592" w:rsidP="00BD4592">
            <w:pPr>
              <w:tabs>
                <w:tab w:val="clear" w:pos="426"/>
              </w:tabs>
              <w:spacing w:before="0" w:after="0" w:line="240" w:lineRule="auto"/>
              <w:ind w:left="0" w:right="0"/>
              <w:rPr>
                <w:rFonts w:cs="Arial"/>
                <w:b/>
                <w:bCs/>
                <w:color w:val="1C3158"/>
                <w:sz w:val="18"/>
                <w:lang w:eastAsia="ja-JP"/>
              </w:rPr>
            </w:pPr>
            <w:r w:rsidRPr="00534EE5">
              <w:rPr>
                <w:rFonts w:cs="Arial"/>
                <w:b/>
                <w:bCs/>
                <w:color w:val="1C3158"/>
                <w:sz w:val="18"/>
                <w:lang w:eastAsia="ja-JP"/>
              </w:rPr>
              <w:t>PGSI Category</w:t>
            </w:r>
          </w:p>
        </w:tc>
        <w:tc>
          <w:tcPr>
            <w:tcW w:w="850" w:type="dxa"/>
            <w:shd w:val="clear" w:color="000000" w:fill="FFBC64"/>
            <w:vAlign w:val="center"/>
            <w:hideMark/>
          </w:tcPr>
          <w:p w14:paraId="1736A334"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Harm</w:t>
            </w:r>
          </w:p>
        </w:tc>
        <w:tc>
          <w:tcPr>
            <w:tcW w:w="1559" w:type="dxa"/>
            <w:shd w:val="clear" w:color="000000" w:fill="FFBC64"/>
            <w:vAlign w:val="center"/>
            <w:hideMark/>
          </w:tcPr>
          <w:p w14:paraId="261FB97D" w14:textId="023B1C68"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Prevalence (%) in NZ Adult Population Harmed</w:t>
            </w:r>
          </w:p>
        </w:tc>
        <w:tc>
          <w:tcPr>
            <w:tcW w:w="1276" w:type="dxa"/>
            <w:shd w:val="clear" w:color="000000" w:fill="FFBC64"/>
            <w:vAlign w:val="center"/>
            <w:hideMark/>
          </w:tcPr>
          <w:p w14:paraId="2A1BC1B6"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Total NZ Adult Population Harmed</w:t>
            </w:r>
          </w:p>
        </w:tc>
        <w:tc>
          <w:tcPr>
            <w:tcW w:w="1276" w:type="dxa"/>
            <w:shd w:val="clear" w:color="000000" w:fill="FFBC64"/>
            <w:vAlign w:val="center"/>
            <w:hideMark/>
          </w:tcPr>
          <w:p w14:paraId="05E319AB" w14:textId="2CE5C711" w:rsidR="00BD4592" w:rsidRPr="00534EE5" w:rsidRDefault="00BD4592" w:rsidP="00534EE5">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 xml:space="preserve">Years of </w:t>
            </w:r>
            <w:r w:rsidR="00534EE5">
              <w:rPr>
                <w:rFonts w:cs="Arial"/>
                <w:b/>
                <w:bCs/>
                <w:color w:val="1C3158"/>
                <w:sz w:val="18"/>
                <w:lang w:eastAsia="ja-JP"/>
              </w:rPr>
              <w:t xml:space="preserve">Healthy </w:t>
            </w:r>
            <w:r w:rsidRPr="00534EE5">
              <w:rPr>
                <w:rFonts w:cs="Arial"/>
                <w:b/>
                <w:bCs/>
                <w:color w:val="1C3158"/>
                <w:sz w:val="18"/>
                <w:lang w:eastAsia="ja-JP"/>
              </w:rPr>
              <w:t>Life Lost (</w:t>
            </w:r>
            <w:r w:rsidR="00534EE5">
              <w:rPr>
                <w:rFonts w:cs="Arial"/>
                <w:b/>
                <w:bCs/>
                <w:color w:val="1C3158"/>
                <w:sz w:val="18"/>
                <w:lang w:eastAsia="ja-JP"/>
              </w:rPr>
              <w:t>QALY</w:t>
            </w:r>
            <w:r w:rsidR="00534EE5" w:rsidRPr="00534EE5">
              <w:rPr>
                <w:rFonts w:cs="Arial"/>
                <w:b/>
                <w:bCs/>
                <w:color w:val="1C3158"/>
                <w:sz w:val="18"/>
                <w:vertAlign w:val="subscript"/>
                <w:lang w:eastAsia="ja-JP"/>
              </w:rPr>
              <w:t>1</w:t>
            </w:r>
            <w:r w:rsidRPr="00534EE5">
              <w:rPr>
                <w:rFonts w:cs="Arial"/>
                <w:b/>
                <w:bCs/>
                <w:color w:val="1C3158"/>
                <w:sz w:val="18"/>
                <w:lang w:eastAsia="ja-JP"/>
              </w:rPr>
              <w:t>)</w:t>
            </w:r>
          </w:p>
        </w:tc>
      </w:tr>
      <w:tr w:rsidR="00BD4592" w:rsidRPr="00534EE5" w14:paraId="204E5076" w14:textId="77777777" w:rsidTr="000068DE">
        <w:trPr>
          <w:trHeight w:val="315"/>
        </w:trPr>
        <w:tc>
          <w:tcPr>
            <w:tcW w:w="3686" w:type="dxa"/>
            <w:shd w:val="clear" w:color="auto" w:fill="auto"/>
            <w:vAlign w:val="center"/>
            <w:hideMark/>
          </w:tcPr>
          <w:p w14:paraId="197E77BD" w14:textId="77777777" w:rsidR="00BD4592" w:rsidRPr="00534EE5" w:rsidRDefault="00BD4592" w:rsidP="00BD4592">
            <w:pPr>
              <w:tabs>
                <w:tab w:val="clear" w:pos="426"/>
              </w:tabs>
              <w:spacing w:before="0" w:after="0" w:line="240" w:lineRule="auto"/>
              <w:ind w:left="0" w:right="0"/>
              <w:rPr>
                <w:rFonts w:cs="Arial"/>
                <w:color w:val="1C3158"/>
                <w:sz w:val="18"/>
                <w:lang w:eastAsia="ja-JP"/>
              </w:rPr>
            </w:pPr>
            <w:r w:rsidRPr="00534EE5">
              <w:rPr>
                <w:rFonts w:cs="Arial"/>
                <w:color w:val="1C3158"/>
                <w:sz w:val="18"/>
                <w:lang w:eastAsia="ja-JP"/>
              </w:rPr>
              <w:t>Non gamblers</w:t>
            </w:r>
          </w:p>
        </w:tc>
        <w:tc>
          <w:tcPr>
            <w:tcW w:w="850" w:type="dxa"/>
            <w:shd w:val="clear" w:color="auto" w:fill="auto"/>
            <w:vAlign w:val="center"/>
            <w:hideMark/>
          </w:tcPr>
          <w:p w14:paraId="23C44509"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0.195</w:t>
            </w:r>
          </w:p>
        </w:tc>
        <w:tc>
          <w:tcPr>
            <w:tcW w:w="1559" w:type="dxa"/>
            <w:shd w:val="clear" w:color="auto" w:fill="auto"/>
            <w:vAlign w:val="center"/>
            <w:hideMark/>
          </w:tcPr>
          <w:p w14:paraId="3B9926AA"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1.9%</w:t>
            </w:r>
          </w:p>
        </w:tc>
        <w:tc>
          <w:tcPr>
            <w:tcW w:w="1276" w:type="dxa"/>
            <w:shd w:val="clear" w:color="auto" w:fill="auto"/>
            <w:vAlign w:val="center"/>
            <w:hideMark/>
          </w:tcPr>
          <w:p w14:paraId="7D6D0AAA"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67,867</w:t>
            </w:r>
          </w:p>
        </w:tc>
        <w:tc>
          <w:tcPr>
            <w:tcW w:w="1276" w:type="dxa"/>
            <w:shd w:val="clear" w:color="auto" w:fill="auto"/>
            <w:vAlign w:val="center"/>
            <w:hideMark/>
          </w:tcPr>
          <w:p w14:paraId="5B3F23D4"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13,234</w:t>
            </w:r>
          </w:p>
        </w:tc>
      </w:tr>
      <w:tr w:rsidR="00BD4592" w:rsidRPr="00534EE5" w14:paraId="7D789FB6" w14:textId="77777777" w:rsidTr="000068DE">
        <w:trPr>
          <w:trHeight w:val="315"/>
        </w:trPr>
        <w:tc>
          <w:tcPr>
            <w:tcW w:w="3686" w:type="dxa"/>
            <w:shd w:val="clear" w:color="auto" w:fill="auto"/>
            <w:vAlign w:val="center"/>
            <w:hideMark/>
          </w:tcPr>
          <w:p w14:paraId="77718D8A" w14:textId="77777777" w:rsidR="00BD4592" w:rsidRPr="00534EE5" w:rsidRDefault="00BD4592" w:rsidP="00BD4592">
            <w:pPr>
              <w:tabs>
                <w:tab w:val="clear" w:pos="426"/>
              </w:tabs>
              <w:spacing w:before="0" w:after="0" w:line="240" w:lineRule="auto"/>
              <w:ind w:left="0" w:right="0"/>
              <w:rPr>
                <w:rFonts w:cs="Arial"/>
                <w:color w:val="1C3158"/>
                <w:sz w:val="18"/>
                <w:lang w:eastAsia="ja-JP"/>
              </w:rPr>
            </w:pPr>
            <w:r w:rsidRPr="00534EE5">
              <w:rPr>
                <w:rFonts w:cs="Arial"/>
                <w:color w:val="1C3158"/>
                <w:sz w:val="18"/>
                <w:lang w:eastAsia="ja-JP"/>
              </w:rPr>
              <w:t>Non problem gamblers</w:t>
            </w:r>
          </w:p>
        </w:tc>
        <w:tc>
          <w:tcPr>
            <w:tcW w:w="850" w:type="dxa"/>
            <w:shd w:val="clear" w:color="auto" w:fill="auto"/>
            <w:vAlign w:val="center"/>
            <w:hideMark/>
          </w:tcPr>
          <w:p w14:paraId="5A4FDCB2"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0.195</w:t>
            </w:r>
          </w:p>
        </w:tc>
        <w:tc>
          <w:tcPr>
            <w:tcW w:w="1559" w:type="dxa"/>
            <w:shd w:val="clear" w:color="auto" w:fill="auto"/>
            <w:vAlign w:val="center"/>
            <w:hideMark/>
          </w:tcPr>
          <w:p w14:paraId="44D2725A"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10.6%</w:t>
            </w:r>
          </w:p>
        </w:tc>
        <w:tc>
          <w:tcPr>
            <w:tcW w:w="1276" w:type="dxa"/>
            <w:shd w:val="clear" w:color="auto" w:fill="auto"/>
            <w:vAlign w:val="center"/>
            <w:hideMark/>
          </w:tcPr>
          <w:p w14:paraId="5879D0CB"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378,626</w:t>
            </w:r>
          </w:p>
        </w:tc>
        <w:tc>
          <w:tcPr>
            <w:tcW w:w="1276" w:type="dxa"/>
            <w:shd w:val="clear" w:color="auto" w:fill="auto"/>
            <w:vAlign w:val="center"/>
            <w:hideMark/>
          </w:tcPr>
          <w:p w14:paraId="544BDD60"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73,833</w:t>
            </w:r>
          </w:p>
        </w:tc>
      </w:tr>
      <w:tr w:rsidR="00BD4592" w:rsidRPr="00534EE5" w14:paraId="01111416" w14:textId="77777777" w:rsidTr="000068DE">
        <w:trPr>
          <w:trHeight w:val="315"/>
        </w:trPr>
        <w:tc>
          <w:tcPr>
            <w:tcW w:w="3686" w:type="dxa"/>
            <w:shd w:val="clear" w:color="auto" w:fill="auto"/>
            <w:vAlign w:val="center"/>
            <w:hideMark/>
          </w:tcPr>
          <w:p w14:paraId="17940247" w14:textId="77777777" w:rsidR="00BD4592" w:rsidRPr="00534EE5" w:rsidRDefault="00BD4592" w:rsidP="00BD4592">
            <w:pPr>
              <w:tabs>
                <w:tab w:val="clear" w:pos="426"/>
              </w:tabs>
              <w:spacing w:before="0" w:after="0" w:line="240" w:lineRule="auto"/>
              <w:ind w:left="0" w:right="0"/>
              <w:rPr>
                <w:rFonts w:cs="Arial"/>
                <w:color w:val="1C3158"/>
                <w:sz w:val="18"/>
                <w:lang w:eastAsia="ja-JP"/>
              </w:rPr>
            </w:pPr>
            <w:r w:rsidRPr="00534EE5">
              <w:rPr>
                <w:rFonts w:cs="Arial"/>
                <w:color w:val="1C3158"/>
                <w:sz w:val="18"/>
                <w:lang w:eastAsia="ja-JP"/>
              </w:rPr>
              <w:t>Low risk gamblers</w:t>
            </w:r>
          </w:p>
        </w:tc>
        <w:tc>
          <w:tcPr>
            <w:tcW w:w="850" w:type="dxa"/>
            <w:shd w:val="clear" w:color="auto" w:fill="auto"/>
            <w:vAlign w:val="center"/>
            <w:hideMark/>
          </w:tcPr>
          <w:p w14:paraId="24282CB2"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0.195</w:t>
            </w:r>
          </w:p>
        </w:tc>
        <w:tc>
          <w:tcPr>
            <w:tcW w:w="1559" w:type="dxa"/>
            <w:shd w:val="clear" w:color="auto" w:fill="auto"/>
            <w:vAlign w:val="center"/>
            <w:hideMark/>
          </w:tcPr>
          <w:p w14:paraId="34476668"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1.1%</w:t>
            </w:r>
          </w:p>
        </w:tc>
        <w:tc>
          <w:tcPr>
            <w:tcW w:w="1276" w:type="dxa"/>
            <w:shd w:val="clear" w:color="auto" w:fill="auto"/>
            <w:vAlign w:val="center"/>
            <w:hideMark/>
          </w:tcPr>
          <w:p w14:paraId="32307109"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39,291</w:t>
            </w:r>
          </w:p>
        </w:tc>
        <w:tc>
          <w:tcPr>
            <w:tcW w:w="1276" w:type="dxa"/>
            <w:shd w:val="clear" w:color="auto" w:fill="auto"/>
            <w:vAlign w:val="center"/>
            <w:hideMark/>
          </w:tcPr>
          <w:p w14:paraId="076D242A"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7,662</w:t>
            </w:r>
          </w:p>
        </w:tc>
      </w:tr>
      <w:tr w:rsidR="00BD4592" w:rsidRPr="00534EE5" w14:paraId="131A3683" w14:textId="77777777" w:rsidTr="000068DE">
        <w:trPr>
          <w:trHeight w:val="315"/>
        </w:trPr>
        <w:tc>
          <w:tcPr>
            <w:tcW w:w="3686" w:type="dxa"/>
            <w:shd w:val="clear" w:color="auto" w:fill="auto"/>
            <w:vAlign w:val="center"/>
            <w:hideMark/>
          </w:tcPr>
          <w:p w14:paraId="073C45A5" w14:textId="77777777" w:rsidR="00BD4592" w:rsidRPr="00534EE5" w:rsidRDefault="00BD4592" w:rsidP="00BD4592">
            <w:pPr>
              <w:tabs>
                <w:tab w:val="clear" w:pos="426"/>
              </w:tabs>
              <w:spacing w:before="0" w:after="0" w:line="240" w:lineRule="auto"/>
              <w:ind w:left="0" w:right="0"/>
              <w:rPr>
                <w:rFonts w:cs="Arial"/>
                <w:color w:val="1C3158"/>
                <w:sz w:val="18"/>
                <w:lang w:eastAsia="ja-JP"/>
              </w:rPr>
            </w:pPr>
            <w:r w:rsidRPr="00534EE5">
              <w:rPr>
                <w:rFonts w:cs="Arial"/>
                <w:color w:val="1C3158"/>
                <w:sz w:val="18"/>
                <w:lang w:eastAsia="ja-JP"/>
              </w:rPr>
              <w:t>Moderate risk gamblers</w:t>
            </w:r>
          </w:p>
        </w:tc>
        <w:tc>
          <w:tcPr>
            <w:tcW w:w="850" w:type="dxa"/>
            <w:shd w:val="clear" w:color="auto" w:fill="auto"/>
            <w:vAlign w:val="center"/>
            <w:hideMark/>
          </w:tcPr>
          <w:p w14:paraId="2E488085"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0.195</w:t>
            </w:r>
          </w:p>
        </w:tc>
        <w:tc>
          <w:tcPr>
            <w:tcW w:w="1559" w:type="dxa"/>
            <w:shd w:val="clear" w:color="auto" w:fill="auto"/>
            <w:vAlign w:val="center"/>
            <w:hideMark/>
          </w:tcPr>
          <w:p w14:paraId="2E77286D"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0.5%</w:t>
            </w:r>
          </w:p>
        </w:tc>
        <w:tc>
          <w:tcPr>
            <w:tcW w:w="1276" w:type="dxa"/>
            <w:shd w:val="clear" w:color="auto" w:fill="auto"/>
            <w:vAlign w:val="center"/>
            <w:hideMark/>
          </w:tcPr>
          <w:p w14:paraId="2C569EF9"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17,860</w:t>
            </w:r>
          </w:p>
        </w:tc>
        <w:tc>
          <w:tcPr>
            <w:tcW w:w="1276" w:type="dxa"/>
            <w:shd w:val="clear" w:color="000000" w:fill="D9D9D9"/>
            <w:vAlign w:val="center"/>
            <w:hideMark/>
          </w:tcPr>
          <w:p w14:paraId="121D8F96"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3,483</w:t>
            </w:r>
          </w:p>
        </w:tc>
      </w:tr>
      <w:tr w:rsidR="00BD4592" w:rsidRPr="00534EE5" w14:paraId="03C2052E" w14:textId="77777777" w:rsidTr="000068DE">
        <w:trPr>
          <w:trHeight w:val="315"/>
        </w:trPr>
        <w:tc>
          <w:tcPr>
            <w:tcW w:w="3686" w:type="dxa"/>
            <w:shd w:val="clear" w:color="auto" w:fill="auto"/>
            <w:vAlign w:val="center"/>
            <w:hideMark/>
          </w:tcPr>
          <w:p w14:paraId="6FAA0695" w14:textId="77777777" w:rsidR="00BD4592" w:rsidRPr="00534EE5" w:rsidRDefault="00BD4592" w:rsidP="00BD4592">
            <w:pPr>
              <w:tabs>
                <w:tab w:val="clear" w:pos="426"/>
              </w:tabs>
              <w:spacing w:before="0" w:after="0" w:line="240" w:lineRule="auto"/>
              <w:ind w:left="0" w:right="0"/>
              <w:rPr>
                <w:rFonts w:cs="Arial"/>
                <w:color w:val="1C3158"/>
                <w:sz w:val="18"/>
                <w:lang w:eastAsia="ja-JP"/>
              </w:rPr>
            </w:pPr>
            <w:r w:rsidRPr="00534EE5">
              <w:rPr>
                <w:rFonts w:cs="Arial"/>
                <w:color w:val="1C3158"/>
                <w:sz w:val="18"/>
                <w:lang w:eastAsia="ja-JP"/>
              </w:rPr>
              <w:t>Problem gamblers</w:t>
            </w:r>
          </w:p>
        </w:tc>
        <w:tc>
          <w:tcPr>
            <w:tcW w:w="850" w:type="dxa"/>
            <w:shd w:val="clear" w:color="auto" w:fill="auto"/>
            <w:vAlign w:val="center"/>
            <w:hideMark/>
          </w:tcPr>
          <w:p w14:paraId="68CB7328"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0.195</w:t>
            </w:r>
          </w:p>
        </w:tc>
        <w:tc>
          <w:tcPr>
            <w:tcW w:w="1559" w:type="dxa"/>
            <w:shd w:val="clear" w:color="auto" w:fill="auto"/>
            <w:vAlign w:val="center"/>
            <w:hideMark/>
          </w:tcPr>
          <w:p w14:paraId="600DB2DA"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0.3%</w:t>
            </w:r>
          </w:p>
        </w:tc>
        <w:tc>
          <w:tcPr>
            <w:tcW w:w="1276" w:type="dxa"/>
            <w:shd w:val="clear" w:color="auto" w:fill="auto"/>
            <w:vAlign w:val="center"/>
            <w:hideMark/>
          </w:tcPr>
          <w:p w14:paraId="08932F90"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10,716</w:t>
            </w:r>
          </w:p>
        </w:tc>
        <w:tc>
          <w:tcPr>
            <w:tcW w:w="1276" w:type="dxa"/>
            <w:shd w:val="clear" w:color="000000" w:fill="D9D9D9"/>
            <w:vAlign w:val="center"/>
            <w:hideMark/>
          </w:tcPr>
          <w:p w14:paraId="11945D0A" w14:textId="77777777" w:rsidR="00BD4592" w:rsidRPr="00534EE5" w:rsidRDefault="00BD4592" w:rsidP="00BD4592">
            <w:pPr>
              <w:tabs>
                <w:tab w:val="clear" w:pos="426"/>
              </w:tabs>
              <w:spacing w:before="0" w:after="0" w:line="240" w:lineRule="auto"/>
              <w:ind w:left="0" w:right="0"/>
              <w:jc w:val="center"/>
              <w:rPr>
                <w:rFonts w:cs="Arial"/>
                <w:color w:val="1C3158"/>
                <w:sz w:val="18"/>
                <w:lang w:eastAsia="ja-JP"/>
              </w:rPr>
            </w:pPr>
            <w:r w:rsidRPr="00534EE5">
              <w:rPr>
                <w:rFonts w:cs="Arial"/>
                <w:color w:val="1C3158"/>
                <w:sz w:val="18"/>
                <w:lang w:eastAsia="ja-JP"/>
              </w:rPr>
              <w:t>2,090</w:t>
            </w:r>
          </w:p>
        </w:tc>
      </w:tr>
      <w:tr w:rsidR="00BD4592" w:rsidRPr="00534EE5" w14:paraId="1DF639AC" w14:textId="77777777" w:rsidTr="000068DE">
        <w:trPr>
          <w:trHeight w:val="315"/>
        </w:trPr>
        <w:tc>
          <w:tcPr>
            <w:tcW w:w="3686" w:type="dxa"/>
            <w:shd w:val="clear" w:color="auto" w:fill="auto"/>
            <w:vAlign w:val="center"/>
            <w:hideMark/>
          </w:tcPr>
          <w:p w14:paraId="454D6032" w14:textId="77777777" w:rsidR="00BD4592" w:rsidRPr="00534EE5" w:rsidRDefault="00BD4592" w:rsidP="00BD4592">
            <w:pPr>
              <w:tabs>
                <w:tab w:val="clear" w:pos="426"/>
              </w:tabs>
              <w:spacing w:before="0" w:after="0" w:line="240" w:lineRule="auto"/>
              <w:ind w:left="0" w:right="0"/>
              <w:rPr>
                <w:rFonts w:cs="Arial"/>
                <w:b/>
                <w:bCs/>
                <w:color w:val="1C3158"/>
                <w:sz w:val="18"/>
                <w:lang w:eastAsia="ja-JP"/>
              </w:rPr>
            </w:pPr>
            <w:r w:rsidRPr="00534EE5">
              <w:rPr>
                <w:rFonts w:cs="Arial"/>
                <w:b/>
                <w:bCs/>
                <w:color w:val="1C3158"/>
                <w:sz w:val="18"/>
                <w:lang w:eastAsia="ja-JP"/>
              </w:rPr>
              <w:t>Total</w:t>
            </w:r>
          </w:p>
        </w:tc>
        <w:tc>
          <w:tcPr>
            <w:tcW w:w="850" w:type="dxa"/>
            <w:shd w:val="clear" w:color="auto" w:fill="auto"/>
            <w:vAlign w:val="center"/>
            <w:hideMark/>
          </w:tcPr>
          <w:p w14:paraId="447037A1"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0.195</w:t>
            </w:r>
          </w:p>
        </w:tc>
        <w:tc>
          <w:tcPr>
            <w:tcW w:w="1559" w:type="dxa"/>
            <w:shd w:val="clear" w:color="auto" w:fill="auto"/>
            <w:vAlign w:val="center"/>
            <w:hideMark/>
          </w:tcPr>
          <w:p w14:paraId="2012F0AF"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14.4%</w:t>
            </w:r>
          </w:p>
        </w:tc>
        <w:tc>
          <w:tcPr>
            <w:tcW w:w="1276" w:type="dxa"/>
            <w:shd w:val="clear" w:color="auto" w:fill="auto"/>
            <w:vAlign w:val="center"/>
            <w:hideMark/>
          </w:tcPr>
          <w:p w14:paraId="11A83135"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514,360</w:t>
            </w:r>
          </w:p>
        </w:tc>
        <w:tc>
          <w:tcPr>
            <w:tcW w:w="1276" w:type="dxa"/>
            <w:shd w:val="clear" w:color="auto" w:fill="auto"/>
            <w:vAlign w:val="center"/>
            <w:hideMark/>
          </w:tcPr>
          <w:p w14:paraId="7C748A9A"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100,302</w:t>
            </w:r>
          </w:p>
        </w:tc>
      </w:tr>
      <w:tr w:rsidR="000068DE" w:rsidRPr="00534EE5" w14:paraId="3836FF08" w14:textId="77777777" w:rsidTr="000068DE">
        <w:trPr>
          <w:trHeight w:val="315"/>
        </w:trPr>
        <w:tc>
          <w:tcPr>
            <w:tcW w:w="3686" w:type="dxa"/>
            <w:shd w:val="clear" w:color="000000" w:fill="FFCF8F"/>
            <w:vAlign w:val="center"/>
            <w:hideMark/>
          </w:tcPr>
          <w:p w14:paraId="0A0F3B8D" w14:textId="321FC205" w:rsidR="00BD4592" w:rsidRPr="00534EE5" w:rsidRDefault="00BD4592" w:rsidP="00BD4592">
            <w:pPr>
              <w:tabs>
                <w:tab w:val="clear" w:pos="426"/>
              </w:tabs>
              <w:spacing w:before="0" w:after="0" w:line="240" w:lineRule="auto"/>
              <w:ind w:left="0" w:right="0"/>
              <w:rPr>
                <w:rFonts w:cs="Arial"/>
                <w:b/>
                <w:bCs/>
                <w:color w:val="1C3158"/>
                <w:sz w:val="18"/>
                <w:lang w:eastAsia="ja-JP"/>
              </w:rPr>
            </w:pPr>
            <w:r w:rsidRPr="00534EE5">
              <w:rPr>
                <w:rFonts w:cs="Arial"/>
                <w:b/>
                <w:bCs/>
                <w:color w:val="1C3158"/>
                <w:sz w:val="18"/>
                <w:lang w:eastAsia="ja-JP"/>
              </w:rPr>
              <w:t>Adjusted Total*</w:t>
            </w:r>
          </w:p>
        </w:tc>
        <w:tc>
          <w:tcPr>
            <w:tcW w:w="850" w:type="dxa"/>
            <w:shd w:val="clear" w:color="000000" w:fill="FFCF8F"/>
            <w:vAlign w:val="center"/>
            <w:hideMark/>
          </w:tcPr>
          <w:p w14:paraId="056C4F51"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0.195</w:t>
            </w:r>
          </w:p>
        </w:tc>
        <w:tc>
          <w:tcPr>
            <w:tcW w:w="1559" w:type="dxa"/>
            <w:shd w:val="clear" w:color="000000" w:fill="FFCF8F"/>
            <w:vAlign w:val="center"/>
            <w:hideMark/>
          </w:tcPr>
          <w:p w14:paraId="272B87A8"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13.6%</w:t>
            </w:r>
          </w:p>
        </w:tc>
        <w:tc>
          <w:tcPr>
            <w:tcW w:w="1276" w:type="dxa"/>
            <w:shd w:val="clear" w:color="000000" w:fill="FFCF8F"/>
            <w:vAlign w:val="center"/>
            <w:hideMark/>
          </w:tcPr>
          <w:p w14:paraId="4BFFF878"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485,785</w:t>
            </w:r>
          </w:p>
        </w:tc>
        <w:tc>
          <w:tcPr>
            <w:tcW w:w="1276" w:type="dxa"/>
            <w:shd w:val="clear" w:color="000000" w:fill="FFCF8F"/>
            <w:vAlign w:val="center"/>
            <w:hideMark/>
          </w:tcPr>
          <w:p w14:paraId="35EBF587" w14:textId="77777777" w:rsidR="00BD4592" w:rsidRPr="00534EE5" w:rsidRDefault="00BD4592" w:rsidP="00BD4592">
            <w:pPr>
              <w:tabs>
                <w:tab w:val="clear" w:pos="426"/>
              </w:tabs>
              <w:spacing w:before="0" w:after="0" w:line="240" w:lineRule="auto"/>
              <w:ind w:left="0" w:right="0"/>
              <w:jc w:val="center"/>
              <w:rPr>
                <w:rFonts w:cs="Arial"/>
                <w:b/>
                <w:bCs/>
                <w:color w:val="1C3158"/>
                <w:sz w:val="18"/>
                <w:lang w:eastAsia="ja-JP"/>
              </w:rPr>
            </w:pPr>
            <w:r w:rsidRPr="00534EE5">
              <w:rPr>
                <w:rFonts w:cs="Arial"/>
                <w:b/>
                <w:bCs/>
                <w:color w:val="1C3158"/>
                <w:sz w:val="18"/>
                <w:lang w:eastAsia="ja-JP"/>
              </w:rPr>
              <w:t>94,730</w:t>
            </w:r>
          </w:p>
        </w:tc>
      </w:tr>
    </w:tbl>
    <w:p w14:paraId="07631528" w14:textId="384B79FD" w:rsidR="00BD4592" w:rsidRPr="00534EE5" w:rsidRDefault="00BD4592" w:rsidP="00C82A76">
      <w:pPr>
        <w:pStyle w:val="VRGFBodycontent"/>
        <w:spacing w:after="0" w:line="240" w:lineRule="auto"/>
        <w:rPr>
          <w:rFonts w:eastAsia="MS Mincho" w:cs="Arial"/>
          <w:color w:val="1C3158"/>
          <w:sz w:val="16"/>
        </w:rPr>
      </w:pPr>
      <w:r w:rsidRPr="00534EE5">
        <w:rPr>
          <w:rFonts w:eastAsia="MS Mincho" w:cs="Arial"/>
          <w:color w:val="1C3158"/>
          <w:sz w:val="16"/>
        </w:rPr>
        <w:t xml:space="preserve">* Total </w:t>
      </w:r>
      <w:r w:rsidR="00534EE5">
        <w:rPr>
          <w:rFonts w:eastAsia="MS Mincho" w:cs="Arial"/>
          <w:color w:val="1C3158"/>
          <w:sz w:val="16"/>
        </w:rPr>
        <w:t>QALY</w:t>
      </w:r>
      <w:r w:rsidRPr="00534EE5">
        <w:rPr>
          <w:rFonts w:eastAsia="MS Mincho" w:cs="Arial"/>
          <w:color w:val="1C3158"/>
          <w:sz w:val="16"/>
          <w:vertAlign w:val="subscript"/>
        </w:rPr>
        <w:t>1</w:t>
      </w:r>
      <w:r w:rsidRPr="00534EE5">
        <w:rPr>
          <w:rFonts w:eastAsia="MS Mincho" w:cs="Arial"/>
          <w:color w:val="1C3158"/>
          <w:sz w:val="16"/>
        </w:rPr>
        <w:t xml:space="preserve"> excludes </w:t>
      </w:r>
      <w:r w:rsidR="00534EE5">
        <w:rPr>
          <w:rFonts w:eastAsia="MS Mincho" w:cs="Arial"/>
          <w:color w:val="1C3158"/>
          <w:sz w:val="16"/>
        </w:rPr>
        <w:t>QALY</w:t>
      </w:r>
      <w:r w:rsidR="00534EE5" w:rsidRPr="00534EE5">
        <w:rPr>
          <w:rFonts w:eastAsia="MS Mincho" w:cs="Arial"/>
          <w:color w:val="1C3158"/>
          <w:sz w:val="16"/>
          <w:vertAlign w:val="subscript"/>
        </w:rPr>
        <w:t>1</w:t>
      </w:r>
      <w:r w:rsidR="00534EE5" w:rsidRPr="00534EE5">
        <w:rPr>
          <w:rFonts w:eastAsia="MS Mincho" w:cs="Arial"/>
          <w:color w:val="1C3158"/>
          <w:sz w:val="16"/>
        </w:rPr>
        <w:t xml:space="preserve"> </w:t>
      </w:r>
      <w:r w:rsidRPr="00534EE5">
        <w:rPr>
          <w:rFonts w:eastAsia="MS Mincho" w:cs="Arial"/>
          <w:color w:val="1C3158"/>
          <w:sz w:val="16"/>
        </w:rPr>
        <w:t>attributable to moderate-risk and problem gamblers.</w:t>
      </w:r>
    </w:p>
    <w:p w14:paraId="5AB9AAB4" w14:textId="77564380" w:rsidR="00BD4592" w:rsidRPr="00534EE5" w:rsidRDefault="00BD4592" w:rsidP="00BD4592">
      <w:pPr>
        <w:pStyle w:val="VRGFBodycontent"/>
        <w:spacing w:before="0" w:after="0" w:line="240" w:lineRule="auto"/>
        <w:rPr>
          <w:rFonts w:eastAsia="MS Mincho" w:cs="Arial"/>
          <w:color w:val="1C3158"/>
          <w:sz w:val="16"/>
        </w:rPr>
      </w:pPr>
      <w:r w:rsidRPr="00534EE5">
        <w:rPr>
          <w:rFonts w:eastAsia="MS Mincho" w:cs="Arial"/>
          <w:color w:val="1C3158"/>
          <w:sz w:val="16"/>
        </w:rPr>
        <w:t>Prevalence figures sourced from the 2012 New Zealand National Gambling Study (</w:t>
      </w:r>
      <w:r w:rsidR="00263368" w:rsidRPr="00534EE5">
        <w:rPr>
          <w:rFonts w:eastAsia="MS Mincho" w:cs="Arial"/>
          <w:color w:val="1C3158"/>
          <w:sz w:val="16"/>
        </w:rPr>
        <w:t>Abbott et al., 2014a</w:t>
      </w:r>
      <w:r w:rsidRPr="00534EE5">
        <w:rPr>
          <w:rFonts w:eastAsia="MS Mincho" w:cs="Arial"/>
          <w:color w:val="1C3158"/>
          <w:sz w:val="16"/>
        </w:rPr>
        <w:t xml:space="preserve">). </w:t>
      </w:r>
      <w:r w:rsidRPr="00534EE5">
        <w:rPr>
          <w:rFonts w:cs="Arial"/>
          <w:color w:val="1C3158"/>
          <w:sz w:val="16"/>
          <w:szCs w:val="16"/>
        </w:rPr>
        <w:t xml:space="preserve">Weighted population base: </w:t>
      </w:r>
      <w:r w:rsidRPr="00534EE5">
        <w:rPr>
          <w:rFonts w:eastAsia="MS Mincho" w:cs="Arial"/>
          <w:color w:val="1C3158"/>
          <w:sz w:val="16"/>
        </w:rPr>
        <w:t>Total New Zealand (n= 3,571,947).</w:t>
      </w:r>
    </w:p>
    <w:p w14:paraId="540DBB7D" w14:textId="612FC7F0" w:rsidR="006C7F31" w:rsidRDefault="006C7F31" w:rsidP="00C82A76">
      <w:pPr>
        <w:pStyle w:val="VRGFBodycontent"/>
        <w:spacing w:before="240"/>
        <w:rPr>
          <w:rFonts w:eastAsia="MS Mincho"/>
          <w:lang w:eastAsia="ja-JP"/>
        </w:rPr>
      </w:pPr>
      <w:r w:rsidRPr="00534EE5">
        <w:rPr>
          <w:rFonts w:eastAsia="MS Mincho"/>
          <w:lang w:eastAsia="ja-JP"/>
        </w:rPr>
        <w:t xml:space="preserve">The combined total of </w:t>
      </w:r>
      <w:r w:rsidR="00534EE5">
        <w:rPr>
          <w:rFonts w:eastAsia="MS Mincho"/>
          <w:lang w:eastAsia="ja-JP"/>
        </w:rPr>
        <w:t>QALY</w:t>
      </w:r>
      <w:r w:rsidR="00534EE5" w:rsidRPr="00534EE5">
        <w:rPr>
          <w:rFonts w:eastAsia="MS Mincho"/>
          <w:vertAlign w:val="subscript"/>
        </w:rPr>
        <w:t>1</w:t>
      </w:r>
      <w:r w:rsidR="00534EE5" w:rsidRPr="00534EE5">
        <w:rPr>
          <w:rFonts w:eastAsia="MS Mincho"/>
          <w:lang w:eastAsia="ja-JP"/>
        </w:rPr>
        <w:t xml:space="preserve"> </w:t>
      </w:r>
      <w:r w:rsidRPr="00534EE5">
        <w:rPr>
          <w:rFonts w:eastAsia="MS Mincho"/>
          <w:lang w:eastAsia="ja-JP"/>
        </w:rPr>
        <w:t>to the New Zealand adult population due to harms from someone else’s gambling and one’s own gambling is 1</w:t>
      </w:r>
      <w:r w:rsidR="000068DE" w:rsidRPr="00534EE5">
        <w:rPr>
          <w:rFonts w:eastAsia="MS Mincho"/>
          <w:lang w:eastAsia="ja-JP"/>
        </w:rPr>
        <w:t>61,928</w:t>
      </w:r>
      <w:r w:rsidRPr="00534EE5">
        <w:rPr>
          <w:rFonts w:eastAsia="MS Mincho"/>
          <w:lang w:eastAsia="ja-JP"/>
        </w:rPr>
        <w:t xml:space="preserve"> years</w:t>
      </w:r>
      <w:r w:rsidR="00E832B0" w:rsidRPr="00534EE5">
        <w:rPr>
          <w:rFonts w:eastAsia="MS Mincho"/>
          <w:lang w:eastAsia="ja-JP"/>
        </w:rPr>
        <w:t>.</w:t>
      </w:r>
      <w:r w:rsidR="008610D3" w:rsidRPr="00534EE5">
        <w:rPr>
          <w:rFonts w:eastAsia="MS Mincho"/>
          <w:lang w:eastAsia="ja-JP"/>
        </w:rPr>
        <w:t xml:space="preserve"> </w:t>
      </w:r>
      <w:r w:rsidR="004C4E44" w:rsidRPr="00534EE5">
        <w:rPr>
          <w:rFonts w:eastAsia="MS Mincho"/>
          <w:lang w:eastAsia="ja-JP"/>
        </w:rPr>
        <w:fldChar w:fldCharType="begin"/>
      </w:r>
      <w:r w:rsidR="004C4E44" w:rsidRPr="00534EE5">
        <w:rPr>
          <w:rFonts w:eastAsia="MS Mincho"/>
          <w:lang w:eastAsia="ja-JP"/>
        </w:rPr>
        <w:instrText xml:space="preserve"> REF _Ref445565530 \h </w:instrText>
      </w:r>
      <w:r w:rsidR="00534EE5">
        <w:rPr>
          <w:rFonts w:eastAsia="MS Mincho"/>
          <w:lang w:eastAsia="ja-JP"/>
        </w:rPr>
        <w:instrText xml:space="preserve"> \* MERGEFORMAT </w:instrText>
      </w:r>
      <w:r w:rsidR="004C4E44" w:rsidRPr="00534EE5">
        <w:rPr>
          <w:rFonts w:eastAsia="MS Mincho"/>
          <w:lang w:eastAsia="ja-JP"/>
        </w:rPr>
      </w:r>
      <w:r w:rsidR="004C4E44" w:rsidRPr="00534EE5">
        <w:rPr>
          <w:rFonts w:eastAsia="MS Mincho"/>
          <w:lang w:eastAsia="ja-JP"/>
        </w:rPr>
        <w:fldChar w:fldCharType="separate"/>
      </w:r>
      <w:r w:rsidR="0006479A">
        <w:t xml:space="preserve">Figure </w:t>
      </w:r>
      <w:r w:rsidR="0006479A">
        <w:rPr>
          <w:noProof/>
        </w:rPr>
        <w:t>16</w:t>
      </w:r>
      <w:r w:rsidR="004C4E44" w:rsidRPr="00534EE5">
        <w:rPr>
          <w:rFonts w:eastAsia="MS Mincho"/>
          <w:lang w:eastAsia="ja-JP"/>
        </w:rPr>
        <w:fldChar w:fldCharType="end"/>
      </w:r>
      <w:r w:rsidR="004C4E44" w:rsidRPr="00534EE5">
        <w:rPr>
          <w:rFonts w:eastAsia="MS Mincho"/>
          <w:lang w:eastAsia="ja-JP"/>
        </w:rPr>
        <w:t xml:space="preserve"> </w:t>
      </w:r>
      <w:r w:rsidRPr="00534EE5">
        <w:rPr>
          <w:rFonts w:eastAsia="MS Mincho"/>
          <w:lang w:eastAsia="ja-JP"/>
        </w:rPr>
        <w:t xml:space="preserve">below displays the proportion of the total harm to self and others, with the nearly 60% of </w:t>
      </w:r>
      <w:r w:rsidR="00534EE5">
        <w:rPr>
          <w:rFonts w:eastAsia="MS Mincho"/>
          <w:lang w:eastAsia="ja-JP"/>
        </w:rPr>
        <w:t>QALY</w:t>
      </w:r>
      <w:r w:rsidR="00534EE5" w:rsidRPr="00534EE5">
        <w:rPr>
          <w:rFonts w:eastAsia="MS Mincho"/>
          <w:vertAlign w:val="subscript"/>
        </w:rPr>
        <w:t>1</w:t>
      </w:r>
      <w:r w:rsidR="00534EE5" w:rsidRPr="00534EE5">
        <w:rPr>
          <w:rFonts w:eastAsia="MS Mincho"/>
          <w:lang w:eastAsia="ja-JP"/>
        </w:rPr>
        <w:t xml:space="preserve"> </w:t>
      </w:r>
      <w:r w:rsidRPr="00534EE5">
        <w:rPr>
          <w:rFonts w:eastAsia="MS Mincho"/>
          <w:lang w:eastAsia="ja-JP"/>
        </w:rPr>
        <w:t xml:space="preserve">being attributable to </w:t>
      </w:r>
      <w:r w:rsidR="000068DE" w:rsidRPr="00534EE5">
        <w:rPr>
          <w:rFonts w:eastAsia="MS Mincho"/>
          <w:lang w:eastAsia="ja-JP"/>
        </w:rPr>
        <w:t xml:space="preserve">harm from someone else’s </w:t>
      </w:r>
      <w:r w:rsidRPr="00534EE5">
        <w:rPr>
          <w:rFonts w:eastAsia="MS Mincho"/>
          <w:lang w:eastAsia="ja-JP"/>
        </w:rPr>
        <w:t>gambling.</w:t>
      </w:r>
      <w:r w:rsidRPr="00D82AC4">
        <w:rPr>
          <w:rFonts w:eastAsia="MS Mincho"/>
          <w:lang w:eastAsia="ja-JP"/>
        </w:rPr>
        <w:t xml:space="preserve"> </w:t>
      </w:r>
    </w:p>
    <w:p w14:paraId="2DDE9ACE" w14:textId="72AADA6A" w:rsidR="006C7F31" w:rsidRPr="00D82AC4" w:rsidRDefault="000068DE" w:rsidP="002901C9">
      <w:pPr>
        <w:spacing w:before="0" w:after="120"/>
        <w:ind w:left="0"/>
        <w:rPr>
          <w:rFonts w:cs="Arial"/>
          <w:b/>
          <w:color w:val="4E84C4"/>
          <w:szCs w:val="19"/>
        </w:rPr>
      </w:pPr>
      <w:r>
        <w:rPr>
          <w:rFonts w:cs="Arial"/>
          <w:b/>
          <w:noProof/>
          <w:color w:val="4E84C4"/>
          <w:szCs w:val="19"/>
          <w:lang w:val="en-NZ" w:eastAsia="en-NZ"/>
        </w:rPr>
        <w:drawing>
          <wp:inline distT="0" distB="0" distL="0" distR="0" wp14:anchorId="170D1DDF" wp14:editId="5C85976C">
            <wp:extent cx="5609187" cy="34638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0156" cy="3476820"/>
                    </a:xfrm>
                    <a:prstGeom prst="rect">
                      <a:avLst/>
                    </a:prstGeom>
                    <a:noFill/>
                  </pic:spPr>
                </pic:pic>
              </a:graphicData>
            </a:graphic>
          </wp:inline>
        </w:drawing>
      </w:r>
    </w:p>
    <w:p w14:paraId="4FE595FE" w14:textId="6870762D" w:rsidR="006C7F31" w:rsidRPr="007C4325" w:rsidRDefault="004C4E44" w:rsidP="004C4E44">
      <w:pPr>
        <w:pStyle w:val="Caption"/>
        <w:rPr>
          <w:rFonts w:cs="Arial"/>
          <w:color w:val="1C3158"/>
          <w:sz w:val="17"/>
          <w:szCs w:val="19"/>
        </w:rPr>
      </w:pPr>
      <w:bookmarkStart w:id="340" w:name="_Ref445565530"/>
      <w:bookmarkStart w:id="341" w:name="_Ref429651433"/>
      <w:bookmarkStart w:id="342" w:name="_Toc440900319"/>
      <w:bookmarkStart w:id="343" w:name="_Toc462738099"/>
      <w:r>
        <w:t xml:space="preserve">Figure </w:t>
      </w:r>
      <w:fldSimple w:instr=" SEQ Figure \* ARABIC ">
        <w:r w:rsidR="0006479A">
          <w:rPr>
            <w:noProof/>
          </w:rPr>
          <w:t>16</w:t>
        </w:r>
      </w:fldSimple>
      <w:bookmarkEnd w:id="340"/>
      <w:r w:rsidR="00E832B0">
        <w:t>.</w:t>
      </w:r>
      <w:r w:rsidR="008610D3">
        <w:t xml:space="preserve"> </w:t>
      </w:r>
      <w:bookmarkEnd w:id="341"/>
      <w:r w:rsidR="006C7F31">
        <w:rPr>
          <w:color w:val="1C3158"/>
        </w:rPr>
        <w:t xml:space="preserve">Proportion of total </w:t>
      </w:r>
      <w:r w:rsidR="00534EE5">
        <w:rPr>
          <w:color w:val="1C3158"/>
        </w:rPr>
        <w:t xml:space="preserve">gambling-related </w:t>
      </w:r>
      <w:r w:rsidR="006C7F31">
        <w:rPr>
          <w:color w:val="1C3158"/>
        </w:rPr>
        <w:t xml:space="preserve">harm to New Zealand </w:t>
      </w:r>
      <w:r w:rsidR="006C7F31" w:rsidRPr="007C4325">
        <w:rPr>
          <w:color w:val="1C3158"/>
        </w:rPr>
        <w:t>adult population - harm to self and others</w:t>
      </w:r>
      <w:bookmarkEnd w:id="342"/>
      <w:bookmarkEnd w:id="343"/>
    </w:p>
    <w:p w14:paraId="35B82437" w14:textId="77777777" w:rsidR="006C7F31" w:rsidRDefault="006C7F31" w:rsidP="006C7F31">
      <w:pPr>
        <w:pStyle w:val="VRGFBodycontent"/>
        <w:rPr>
          <w:rFonts w:eastAsia="MS Mincho"/>
        </w:rPr>
      </w:pPr>
    </w:p>
    <w:p w14:paraId="1F53DF6B" w14:textId="77777777" w:rsidR="00C82A76" w:rsidRDefault="00C82A76" w:rsidP="006C7F31">
      <w:pPr>
        <w:pStyle w:val="VRGFBodycontent"/>
        <w:rPr>
          <w:rFonts w:eastAsia="MS Mincho"/>
        </w:rPr>
      </w:pPr>
    </w:p>
    <w:p w14:paraId="6FAECC4F" w14:textId="77777777" w:rsidR="00C82A76" w:rsidRPr="00D82AC4" w:rsidRDefault="00C82A76" w:rsidP="006C7F31">
      <w:pPr>
        <w:pStyle w:val="VRGFBodycontent"/>
        <w:rPr>
          <w:rFonts w:eastAsia="MS Mincho"/>
        </w:rPr>
      </w:pPr>
    </w:p>
    <w:p w14:paraId="74521DE1" w14:textId="77777777" w:rsidR="006C7F31" w:rsidRPr="00D302D0" w:rsidRDefault="006C7F31" w:rsidP="006C7F31">
      <w:pPr>
        <w:pStyle w:val="VRGFHead3"/>
      </w:pPr>
      <w:bookmarkStart w:id="344" w:name="_Toc462738072"/>
      <w:r w:rsidRPr="00D302D0">
        <w:lastRenderedPageBreak/>
        <w:t>Assessing relative impact of the domains of harm</w:t>
      </w:r>
      <w:bookmarkEnd w:id="344"/>
    </w:p>
    <w:p w14:paraId="2EBEF6E1" w14:textId="7487FE51" w:rsidR="00127B0A" w:rsidRPr="00534EE5" w:rsidRDefault="006C7F31" w:rsidP="00127B0A">
      <w:pPr>
        <w:pStyle w:val="VRGFBodycontent"/>
        <w:rPr>
          <w:rFonts w:eastAsia="MS Mincho"/>
        </w:rPr>
      </w:pPr>
      <w:r w:rsidRPr="00183C56">
        <w:rPr>
          <w:rFonts w:eastAsia="MS Mincho"/>
        </w:rPr>
        <w:t>In the item-response</w:t>
      </w:r>
      <w:r w:rsidR="004C3613">
        <w:rPr>
          <w:rFonts w:eastAsia="MS Mincho"/>
        </w:rPr>
        <w:t xml:space="preserve"> theoretic analyses of the </w:t>
      </w:r>
      <w:r w:rsidR="000068DE">
        <w:rPr>
          <w:rFonts w:eastAsia="MS Mincho"/>
        </w:rPr>
        <w:t>national</w:t>
      </w:r>
      <w:r w:rsidR="004C3613">
        <w:rPr>
          <w:rFonts w:eastAsia="MS Mincho"/>
        </w:rPr>
        <w:t xml:space="preserve"> </w:t>
      </w:r>
      <w:r w:rsidR="0025042D">
        <w:rPr>
          <w:rFonts w:eastAsia="MS Mincho"/>
        </w:rPr>
        <w:t xml:space="preserve">gambling-related </w:t>
      </w:r>
      <w:r w:rsidR="004C3613">
        <w:rPr>
          <w:rFonts w:eastAsia="MS Mincho"/>
        </w:rPr>
        <w:t>harms</w:t>
      </w:r>
      <w:r w:rsidR="000068DE">
        <w:rPr>
          <w:rFonts w:eastAsia="MS Mincho"/>
        </w:rPr>
        <w:t xml:space="preserve"> </w:t>
      </w:r>
      <w:r w:rsidRPr="00183C56">
        <w:rPr>
          <w:rFonts w:eastAsia="MS Mincho"/>
        </w:rPr>
        <w:t>survey data reported in the previous chapter, we found that the extracted latent scores correlated very highly (&gt;90% shared variance) with simple counts of harm indicators across each of the domains of harm</w:t>
      </w:r>
      <w:r w:rsidR="00E832B0">
        <w:rPr>
          <w:rFonts w:eastAsia="MS Mincho"/>
        </w:rPr>
        <w:t>.</w:t>
      </w:r>
      <w:r w:rsidR="008610D3">
        <w:rPr>
          <w:rFonts w:eastAsia="MS Mincho"/>
        </w:rPr>
        <w:t xml:space="preserve"> </w:t>
      </w:r>
      <w:r w:rsidRPr="00183C56">
        <w:rPr>
          <w:rFonts w:eastAsia="MS Mincho"/>
        </w:rPr>
        <w:t xml:space="preserve">Therefore, for a given vignette, we considered counts of indicators within each domain to be an acceptable measure for the degree of harm in that </w:t>
      </w:r>
      <w:r w:rsidRPr="00534EE5">
        <w:rPr>
          <w:rFonts w:eastAsia="MS Mincho"/>
        </w:rPr>
        <w:t>domain</w:t>
      </w:r>
      <w:r w:rsidR="00E832B0" w:rsidRPr="00534EE5">
        <w:rPr>
          <w:rFonts w:eastAsia="MS Mincho"/>
        </w:rPr>
        <w:t>.</w:t>
      </w:r>
      <w:r w:rsidR="008610D3" w:rsidRPr="00534EE5">
        <w:rPr>
          <w:rFonts w:eastAsia="MS Mincho"/>
        </w:rPr>
        <w:t xml:space="preserve"> </w:t>
      </w:r>
      <w:r w:rsidRPr="00534EE5">
        <w:rPr>
          <w:rFonts w:eastAsia="MS Mincho"/>
        </w:rPr>
        <w:t xml:space="preserve">Although </w:t>
      </w:r>
      <w:r w:rsidR="0025042D">
        <w:rPr>
          <w:rFonts w:eastAsia="MS Mincho"/>
        </w:rPr>
        <w:t xml:space="preserve">gambling-related </w:t>
      </w:r>
      <w:r w:rsidRPr="00534EE5">
        <w:rPr>
          <w:rFonts w:eastAsia="MS Mincho"/>
        </w:rPr>
        <w:t>harm-counts were reasonably highly correlated across domains, a simultaneous regression model has the potential to reveal the unique contributions of the different domains of harm</w:t>
      </w:r>
      <w:r w:rsidR="00E832B0" w:rsidRPr="00534EE5">
        <w:rPr>
          <w:rFonts w:eastAsia="MS Mincho"/>
        </w:rPr>
        <w:t>.</w:t>
      </w:r>
      <w:r w:rsidR="008610D3" w:rsidRPr="00534EE5">
        <w:rPr>
          <w:rFonts w:eastAsia="MS Mincho"/>
        </w:rPr>
        <w:t xml:space="preserve"> </w:t>
      </w:r>
      <w:r w:rsidRPr="00534EE5">
        <w:rPr>
          <w:rFonts w:eastAsia="MS Mincho"/>
        </w:rPr>
        <w:t>Consistent with our other analyses, the response variable was a logit-transformation of the HRQL utility valuations</w:t>
      </w:r>
      <w:r w:rsidR="00E832B0" w:rsidRPr="00534EE5">
        <w:rPr>
          <w:rFonts w:eastAsia="MS Mincho"/>
        </w:rPr>
        <w:t>.</w:t>
      </w:r>
      <w:r w:rsidR="008610D3" w:rsidRPr="00534EE5">
        <w:rPr>
          <w:rFonts w:eastAsia="MS Mincho"/>
        </w:rPr>
        <w:t xml:space="preserve"> </w:t>
      </w:r>
      <w:r w:rsidRPr="00534EE5">
        <w:rPr>
          <w:rFonts w:eastAsia="MS Mincho"/>
        </w:rPr>
        <w:t xml:space="preserve">The regression model was significant (F(941) = 32.81, p &lt; .001). </w:t>
      </w:r>
    </w:p>
    <w:p w14:paraId="01380F19" w14:textId="01163847" w:rsidR="006C7F31" w:rsidRPr="00AF621D" w:rsidRDefault="00127B0A" w:rsidP="006C7F31">
      <w:pPr>
        <w:pStyle w:val="VRGFBodycontent"/>
        <w:rPr>
          <w:rFonts w:eastAsia="MS Mincho"/>
        </w:rPr>
      </w:pPr>
      <w:r w:rsidRPr="00534EE5">
        <w:rPr>
          <w:rFonts w:eastAsia="MS Mincho"/>
        </w:rPr>
        <w:fldChar w:fldCharType="begin"/>
      </w:r>
      <w:r w:rsidRPr="00534EE5">
        <w:rPr>
          <w:rFonts w:eastAsia="MS Mincho"/>
        </w:rPr>
        <w:instrText xml:space="preserve"> REF _Ref445565694 \h </w:instrText>
      </w:r>
      <w:r w:rsidR="00534EE5">
        <w:rPr>
          <w:rFonts w:eastAsia="MS Mincho"/>
        </w:rPr>
        <w:instrText xml:space="preserve"> \* MERGEFORMAT </w:instrText>
      </w:r>
      <w:r w:rsidRPr="00534EE5">
        <w:rPr>
          <w:rFonts w:eastAsia="MS Mincho"/>
        </w:rPr>
      </w:r>
      <w:r w:rsidRPr="00534EE5">
        <w:rPr>
          <w:rFonts w:eastAsia="MS Mincho"/>
        </w:rPr>
        <w:fldChar w:fldCharType="separate"/>
      </w:r>
      <w:r w:rsidR="0006479A" w:rsidRPr="00AF621D">
        <w:t xml:space="preserve">Table </w:t>
      </w:r>
      <w:r w:rsidR="0006479A">
        <w:rPr>
          <w:noProof/>
        </w:rPr>
        <w:t>25</w:t>
      </w:r>
      <w:r w:rsidRPr="00534EE5">
        <w:rPr>
          <w:rFonts w:eastAsia="MS Mincho"/>
        </w:rPr>
        <w:fldChar w:fldCharType="end"/>
      </w:r>
      <w:r w:rsidRPr="00534EE5">
        <w:rPr>
          <w:rFonts w:eastAsia="MS Mincho"/>
        </w:rPr>
        <w:t xml:space="preserve"> </w:t>
      </w:r>
      <w:r w:rsidR="006C7F31" w:rsidRPr="00534EE5">
        <w:rPr>
          <w:rFonts w:eastAsia="MS Mincho"/>
        </w:rPr>
        <w:t>summarises the beta coefficients of the model, which provide a guide to the relative contribution of each domain of harm to quality of life decrements, on the logit scale</w:t>
      </w:r>
      <w:r w:rsidR="00E832B0" w:rsidRPr="00534EE5">
        <w:rPr>
          <w:rFonts w:eastAsia="MS Mincho"/>
        </w:rPr>
        <w:t>.</w:t>
      </w:r>
      <w:r w:rsidR="008610D3" w:rsidRPr="00534EE5">
        <w:rPr>
          <w:rFonts w:eastAsia="MS Mincho"/>
        </w:rPr>
        <w:t xml:space="preserve"> </w:t>
      </w:r>
      <w:r w:rsidR="006C7F31" w:rsidRPr="00534EE5">
        <w:rPr>
          <w:rFonts w:eastAsia="MS Mincho"/>
        </w:rPr>
        <w:t>As shown in the table, financial and emotional/psychological harms appeared to be the most instrumental in driving HRQL valuations, followed by work/study, relationship, and ‘other’ harms</w:t>
      </w:r>
      <w:r w:rsidR="00E832B0" w:rsidRPr="00534EE5">
        <w:rPr>
          <w:rFonts w:eastAsia="MS Mincho"/>
        </w:rPr>
        <w:t>.</w:t>
      </w:r>
      <w:r w:rsidR="008610D3" w:rsidRPr="00534EE5">
        <w:rPr>
          <w:rFonts w:eastAsia="MS Mincho"/>
        </w:rPr>
        <w:t xml:space="preserve"> </w:t>
      </w:r>
      <w:r w:rsidR="0025042D">
        <w:rPr>
          <w:rFonts w:eastAsia="MS Mincho"/>
        </w:rPr>
        <w:t>Gambling-related h</w:t>
      </w:r>
      <w:r w:rsidR="006C7F31" w:rsidRPr="00534EE5">
        <w:rPr>
          <w:rFonts w:eastAsia="MS Mincho"/>
        </w:rPr>
        <w:t>arms on health did not significantly contribute to the HRQL utility</w:t>
      </w:r>
      <w:r w:rsidR="00E832B0" w:rsidRPr="00534EE5">
        <w:rPr>
          <w:rFonts w:eastAsia="MS Mincho"/>
        </w:rPr>
        <w:t>.</w:t>
      </w:r>
      <w:r w:rsidR="008610D3" w:rsidRPr="00534EE5">
        <w:rPr>
          <w:rFonts w:eastAsia="MS Mincho"/>
        </w:rPr>
        <w:t xml:space="preserve"> </w:t>
      </w:r>
      <w:r w:rsidR="006C7F31" w:rsidRPr="00534EE5">
        <w:rPr>
          <w:rFonts w:eastAsia="MS Mincho"/>
        </w:rPr>
        <w:t>However, the topic of attributing importance to correlated predictor variables is a complex one (</w:t>
      </w:r>
      <w:r w:rsidR="006C7F31" w:rsidRPr="00534EE5">
        <w:t>Grömping</w:t>
      </w:r>
      <w:r w:rsidR="006C7F31" w:rsidRPr="00534EE5">
        <w:rPr>
          <w:rFonts w:eastAsia="MS Mincho"/>
        </w:rPr>
        <w:t>, 2009) and interpretation must be made keeping in mind the manner in which simultaneous regression handles correlations between predictors</w:t>
      </w:r>
      <w:r w:rsidR="00E832B0" w:rsidRPr="00534EE5">
        <w:rPr>
          <w:rFonts w:eastAsia="MS Mincho"/>
        </w:rPr>
        <w:t>.</w:t>
      </w:r>
      <w:r w:rsidR="008610D3" w:rsidRPr="00534EE5">
        <w:rPr>
          <w:rFonts w:eastAsia="MS Mincho"/>
        </w:rPr>
        <w:t xml:space="preserve"> </w:t>
      </w:r>
      <w:r w:rsidR="006C7F31" w:rsidRPr="00534EE5">
        <w:rPr>
          <w:rFonts w:eastAsia="MS Mincho"/>
        </w:rPr>
        <w:t xml:space="preserve">An alternative is available via the use of Random Forests (RFs), which represent an alternative robust non-linear regression </w:t>
      </w:r>
      <w:r w:rsidR="006C7F31" w:rsidRPr="00AF621D">
        <w:rPr>
          <w:rFonts w:eastAsia="MS Mincho"/>
        </w:rPr>
        <w:t>technique</w:t>
      </w:r>
      <w:r w:rsidR="00E832B0" w:rsidRPr="00AF621D">
        <w:rPr>
          <w:rFonts w:eastAsia="MS Mincho"/>
        </w:rPr>
        <w:t>.</w:t>
      </w:r>
      <w:r w:rsidR="008610D3" w:rsidRPr="00AF621D">
        <w:rPr>
          <w:rFonts w:eastAsia="MS Mincho"/>
        </w:rPr>
        <w:t xml:space="preserve"> </w:t>
      </w:r>
      <w:r w:rsidR="006C7F31" w:rsidRPr="00AF621D">
        <w:rPr>
          <w:rFonts w:eastAsia="MS Mincho"/>
        </w:rPr>
        <w:t xml:space="preserve">RFs attribute variable importance via random permutation of each predictor and assessing the decrease in model fit as a result of this destruction of information. </w:t>
      </w:r>
    </w:p>
    <w:p w14:paraId="696F1882" w14:textId="373F323D" w:rsidR="006C7F31" w:rsidRPr="00D010EF" w:rsidRDefault="00127B0A" w:rsidP="00127B0A">
      <w:pPr>
        <w:pStyle w:val="Caption"/>
        <w:rPr>
          <w:rFonts w:cs="Arial"/>
          <w:iCs w:val="0"/>
          <w:color w:val="1C3158"/>
        </w:rPr>
      </w:pPr>
      <w:bookmarkStart w:id="345" w:name="_Ref445565694"/>
      <w:bookmarkStart w:id="346" w:name="_Ref429651466"/>
      <w:bookmarkStart w:id="347" w:name="_Toc440900347"/>
      <w:bookmarkStart w:id="348" w:name="_Toc462738128"/>
      <w:r w:rsidRPr="00AF621D">
        <w:t xml:space="preserve">Table </w:t>
      </w:r>
      <w:fldSimple w:instr=" SEQ Table \* ARABIC ">
        <w:r w:rsidR="0006479A">
          <w:rPr>
            <w:noProof/>
          </w:rPr>
          <w:t>25</w:t>
        </w:r>
      </w:fldSimple>
      <w:bookmarkEnd w:id="345"/>
      <w:r w:rsidR="00E832B0" w:rsidRPr="00AF621D">
        <w:t>.</w:t>
      </w:r>
      <w:r w:rsidR="008610D3" w:rsidRPr="00AF621D">
        <w:t xml:space="preserve"> </w:t>
      </w:r>
      <w:bookmarkEnd w:id="346"/>
      <w:r w:rsidR="006C7F31" w:rsidRPr="00AF621D">
        <w:rPr>
          <w:color w:val="1C3158"/>
        </w:rPr>
        <w:t xml:space="preserve">Contribution of </w:t>
      </w:r>
      <w:r w:rsidR="00AF621D">
        <w:rPr>
          <w:color w:val="1C3158"/>
        </w:rPr>
        <w:t xml:space="preserve">gambling-related </w:t>
      </w:r>
      <w:r w:rsidR="006C7F31" w:rsidRPr="00AF621D">
        <w:rPr>
          <w:color w:val="1C3158"/>
        </w:rPr>
        <w:t>harm domains to HRQL utility</w:t>
      </w:r>
      <w:bookmarkEnd w:id="347"/>
      <w:bookmarkEnd w:id="348"/>
    </w:p>
    <w:tbl>
      <w:tblPr>
        <w:tblW w:w="6789" w:type="dxa"/>
        <w:tblLayout w:type="fixed"/>
        <w:tblLook w:val="04A0" w:firstRow="1" w:lastRow="0" w:firstColumn="1" w:lastColumn="0" w:noHBand="0" w:noVBand="1"/>
      </w:tblPr>
      <w:tblGrid>
        <w:gridCol w:w="3093"/>
        <w:gridCol w:w="992"/>
        <w:gridCol w:w="850"/>
        <w:gridCol w:w="993"/>
        <w:gridCol w:w="861"/>
      </w:tblGrid>
      <w:tr w:rsidR="006C7F31" w:rsidRPr="009C17A2" w14:paraId="6CB55567" w14:textId="77777777" w:rsidTr="00A354FE">
        <w:trPr>
          <w:trHeight w:val="330"/>
        </w:trPr>
        <w:tc>
          <w:tcPr>
            <w:tcW w:w="3093" w:type="dxa"/>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660C2D48" w14:textId="77777777" w:rsidR="006C7F31" w:rsidRPr="009C17A2" w:rsidRDefault="006C7F31" w:rsidP="006C7F31">
            <w:pPr>
              <w:tabs>
                <w:tab w:val="clear" w:pos="426"/>
              </w:tabs>
              <w:spacing w:before="0" w:after="0" w:line="240" w:lineRule="auto"/>
              <w:ind w:left="0" w:right="0"/>
              <w:rPr>
                <w:rFonts w:cs="Arial"/>
                <w:b/>
                <w:bCs/>
                <w:color w:val="1C3158"/>
                <w:sz w:val="18"/>
                <w:lang w:eastAsia="ja-JP"/>
              </w:rPr>
            </w:pPr>
            <w:r w:rsidRPr="009C17A2">
              <w:rPr>
                <w:rFonts w:cs="Arial"/>
                <w:b/>
                <w:bCs/>
                <w:color w:val="1C3158"/>
                <w:sz w:val="18"/>
                <w:lang w:eastAsia="ja-JP"/>
              </w:rPr>
              <w:t>Predictors</w:t>
            </w:r>
          </w:p>
        </w:tc>
        <w:tc>
          <w:tcPr>
            <w:tcW w:w="992" w:type="dxa"/>
            <w:tcBorders>
              <w:top w:val="single" w:sz="12" w:space="0" w:color="FF9E3C"/>
              <w:left w:val="nil"/>
              <w:bottom w:val="single" w:sz="12" w:space="0" w:color="FF9E3C"/>
              <w:right w:val="single" w:sz="12" w:space="0" w:color="FF9E3C"/>
            </w:tcBorders>
            <w:shd w:val="clear" w:color="000000" w:fill="FFBC64"/>
            <w:noWrap/>
            <w:vAlign w:val="center"/>
            <w:hideMark/>
          </w:tcPr>
          <w:p w14:paraId="7C321F3C" w14:textId="77777777" w:rsidR="006C7F31" w:rsidRPr="009C17A2" w:rsidRDefault="006C7F31" w:rsidP="006C7F31">
            <w:pPr>
              <w:tabs>
                <w:tab w:val="clear" w:pos="426"/>
              </w:tabs>
              <w:spacing w:before="0" w:after="0" w:line="240" w:lineRule="auto"/>
              <w:ind w:left="0" w:right="0"/>
              <w:jc w:val="center"/>
              <w:rPr>
                <w:rFonts w:cs="Arial"/>
                <w:b/>
                <w:bCs/>
                <w:color w:val="1C3158"/>
                <w:sz w:val="18"/>
                <w:lang w:eastAsia="ja-JP"/>
              </w:rPr>
            </w:pPr>
            <w:r w:rsidRPr="009C17A2">
              <w:rPr>
                <w:rFonts w:cs="Arial"/>
                <w:b/>
                <w:bCs/>
                <w:color w:val="1C3158"/>
                <w:sz w:val="18"/>
                <w:lang w:eastAsia="ja-JP"/>
              </w:rPr>
              <w:t>β</w:t>
            </w:r>
          </w:p>
        </w:tc>
        <w:tc>
          <w:tcPr>
            <w:tcW w:w="850" w:type="dxa"/>
            <w:tcBorders>
              <w:top w:val="single" w:sz="12" w:space="0" w:color="FF9E3C"/>
              <w:left w:val="nil"/>
              <w:bottom w:val="single" w:sz="12" w:space="0" w:color="FF9E3C"/>
              <w:right w:val="single" w:sz="12" w:space="0" w:color="FF9E3C"/>
            </w:tcBorders>
            <w:shd w:val="clear" w:color="000000" w:fill="FFBC64"/>
            <w:noWrap/>
            <w:vAlign w:val="center"/>
            <w:hideMark/>
          </w:tcPr>
          <w:p w14:paraId="29E53935" w14:textId="77777777" w:rsidR="006C7F31" w:rsidRPr="009C17A2" w:rsidRDefault="006C7F31" w:rsidP="006C7F31">
            <w:pPr>
              <w:tabs>
                <w:tab w:val="clear" w:pos="426"/>
              </w:tabs>
              <w:spacing w:before="0" w:after="0" w:line="240" w:lineRule="auto"/>
              <w:ind w:left="0" w:right="0"/>
              <w:jc w:val="center"/>
              <w:rPr>
                <w:rFonts w:cs="Arial"/>
                <w:b/>
                <w:bCs/>
                <w:color w:val="1C3158"/>
                <w:sz w:val="18"/>
                <w:lang w:eastAsia="ja-JP"/>
              </w:rPr>
            </w:pPr>
            <w:r w:rsidRPr="009C17A2">
              <w:rPr>
                <w:rFonts w:cs="Arial"/>
                <w:b/>
                <w:bCs/>
                <w:color w:val="1C3158"/>
                <w:sz w:val="18"/>
                <w:lang w:eastAsia="ja-JP"/>
              </w:rPr>
              <w:t>SE β</w:t>
            </w:r>
          </w:p>
        </w:tc>
        <w:tc>
          <w:tcPr>
            <w:tcW w:w="993" w:type="dxa"/>
            <w:tcBorders>
              <w:top w:val="single" w:sz="12" w:space="0" w:color="FF9E3C"/>
              <w:left w:val="nil"/>
              <w:bottom w:val="single" w:sz="12" w:space="0" w:color="FF9E3C"/>
              <w:right w:val="single" w:sz="12" w:space="0" w:color="FF9E3C"/>
            </w:tcBorders>
            <w:shd w:val="clear" w:color="000000" w:fill="FFBC64"/>
            <w:noWrap/>
            <w:vAlign w:val="center"/>
            <w:hideMark/>
          </w:tcPr>
          <w:p w14:paraId="59D07C32" w14:textId="77777777" w:rsidR="006C7F31" w:rsidRPr="009C17A2" w:rsidRDefault="006C7F31" w:rsidP="006C7F31">
            <w:pPr>
              <w:tabs>
                <w:tab w:val="clear" w:pos="426"/>
              </w:tabs>
              <w:spacing w:before="0" w:after="0" w:line="240" w:lineRule="auto"/>
              <w:ind w:left="0" w:right="0"/>
              <w:jc w:val="center"/>
              <w:rPr>
                <w:rFonts w:cs="Arial"/>
                <w:b/>
                <w:bCs/>
                <w:color w:val="1C3158"/>
                <w:sz w:val="18"/>
                <w:lang w:eastAsia="ja-JP"/>
              </w:rPr>
            </w:pPr>
            <w:r w:rsidRPr="009C17A2">
              <w:rPr>
                <w:rFonts w:cs="Arial"/>
                <w:b/>
                <w:bCs/>
                <w:color w:val="1C3158"/>
                <w:sz w:val="18"/>
                <w:lang w:eastAsia="ja-JP"/>
              </w:rPr>
              <w:t>t</w:t>
            </w:r>
          </w:p>
        </w:tc>
        <w:tc>
          <w:tcPr>
            <w:tcW w:w="861" w:type="dxa"/>
            <w:tcBorders>
              <w:top w:val="single" w:sz="12" w:space="0" w:color="FF9E3C"/>
              <w:left w:val="nil"/>
              <w:bottom w:val="single" w:sz="12" w:space="0" w:color="FF9E3C"/>
              <w:right w:val="single" w:sz="12" w:space="0" w:color="FF9E3C"/>
            </w:tcBorders>
            <w:shd w:val="clear" w:color="000000" w:fill="FFBC64"/>
            <w:noWrap/>
            <w:vAlign w:val="center"/>
            <w:hideMark/>
          </w:tcPr>
          <w:p w14:paraId="2E39711E" w14:textId="77777777" w:rsidR="006C7F31" w:rsidRPr="009C17A2" w:rsidRDefault="006C7F31" w:rsidP="006C7F31">
            <w:pPr>
              <w:tabs>
                <w:tab w:val="clear" w:pos="426"/>
              </w:tabs>
              <w:spacing w:before="0" w:after="0" w:line="240" w:lineRule="auto"/>
              <w:ind w:left="0" w:right="0"/>
              <w:jc w:val="center"/>
              <w:rPr>
                <w:rFonts w:cs="Arial"/>
                <w:b/>
                <w:bCs/>
                <w:color w:val="1C3158"/>
                <w:sz w:val="18"/>
                <w:lang w:eastAsia="ja-JP"/>
              </w:rPr>
            </w:pPr>
            <w:r w:rsidRPr="009C17A2">
              <w:rPr>
                <w:rFonts w:cs="Arial"/>
                <w:b/>
                <w:bCs/>
                <w:color w:val="1C3158"/>
                <w:sz w:val="18"/>
                <w:lang w:eastAsia="ja-JP"/>
              </w:rPr>
              <w:t>p</w:t>
            </w:r>
          </w:p>
        </w:tc>
      </w:tr>
      <w:tr w:rsidR="006C7F31" w:rsidRPr="009C17A2" w14:paraId="53B8E608" w14:textId="77777777" w:rsidTr="00A354FE">
        <w:trPr>
          <w:trHeight w:val="330"/>
        </w:trPr>
        <w:tc>
          <w:tcPr>
            <w:tcW w:w="3093" w:type="dxa"/>
            <w:tcBorders>
              <w:top w:val="nil"/>
              <w:left w:val="single" w:sz="12" w:space="0" w:color="FF9E3C"/>
              <w:bottom w:val="single" w:sz="12" w:space="0" w:color="FF9E3C"/>
              <w:right w:val="single" w:sz="12" w:space="0" w:color="FF9E3C"/>
            </w:tcBorders>
            <w:shd w:val="clear" w:color="auto" w:fill="auto"/>
            <w:vAlign w:val="center"/>
            <w:hideMark/>
          </w:tcPr>
          <w:p w14:paraId="039A3187" w14:textId="77777777" w:rsidR="006C7F31" w:rsidRPr="009C17A2" w:rsidRDefault="006C7F31" w:rsidP="006C7F31">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Intercept</w:t>
            </w:r>
          </w:p>
        </w:tc>
        <w:tc>
          <w:tcPr>
            <w:tcW w:w="992" w:type="dxa"/>
            <w:tcBorders>
              <w:top w:val="nil"/>
              <w:left w:val="nil"/>
              <w:bottom w:val="single" w:sz="12" w:space="0" w:color="FF9E3C"/>
              <w:right w:val="single" w:sz="12" w:space="0" w:color="FF9E3C"/>
            </w:tcBorders>
            <w:shd w:val="clear" w:color="auto" w:fill="auto"/>
            <w:vAlign w:val="center"/>
            <w:hideMark/>
          </w:tcPr>
          <w:p w14:paraId="4D6ACB1A"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0.248</w:t>
            </w:r>
          </w:p>
        </w:tc>
        <w:tc>
          <w:tcPr>
            <w:tcW w:w="850" w:type="dxa"/>
            <w:tcBorders>
              <w:top w:val="nil"/>
              <w:left w:val="nil"/>
              <w:bottom w:val="single" w:sz="12" w:space="0" w:color="FF9E3C"/>
              <w:right w:val="single" w:sz="12" w:space="0" w:color="FF9E3C"/>
            </w:tcBorders>
            <w:shd w:val="clear" w:color="auto" w:fill="auto"/>
            <w:vAlign w:val="center"/>
            <w:hideMark/>
          </w:tcPr>
          <w:p w14:paraId="14FE9417"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0.014</w:t>
            </w:r>
          </w:p>
        </w:tc>
        <w:tc>
          <w:tcPr>
            <w:tcW w:w="993" w:type="dxa"/>
            <w:tcBorders>
              <w:top w:val="nil"/>
              <w:left w:val="nil"/>
              <w:bottom w:val="single" w:sz="12" w:space="0" w:color="FF9E3C"/>
              <w:right w:val="single" w:sz="12" w:space="0" w:color="FF9E3C"/>
            </w:tcBorders>
            <w:shd w:val="clear" w:color="auto" w:fill="auto"/>
            <w:vAlign w:val="center"/>
            <w:hideMark/>
          </w:tcPr>
          <w:p w14:paraId="05840290"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17.191</w:t>
            </w:r>
          </w:p>
        </w:tc>
        <w:tc>
          <w:tcPr>
            <w:tcW w:w="861" w:type="dxa"/>
            <w:tcBorders>
              <w:top w:val="nil"/>
              <w:left w:val="nil"/>
              <w:bottom w:val="single" w:sz="12" w:space="0" w:color="FF9E3C"/>
              <w:right w:val="single" w:sz="12" w:space="0" w:color="FF9E3C"/>
            </w:tcBorders>
            <w:shd w:val="clear" w:color="auto" w:fill="auto"/>
            <w:vAlign w:val="center"/>
            <w:hideMark/>
          </w:tcPr>
          <w:p w14:paraId="3462F760" w14:textId="77777777" w:rsidR="006C7F31" w:rsidRPr="009C17A2" w:rsidRDefault="006C7F31" w:rsidP="00A354FE">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.000***</w:t>
            </w:r>
          </w:p>
        </w:tc>
      </w:tr>
      <w:tr w:rsidR="006C7F31" w:rsidRPr="009C17A2" w14:paraId="346614DE" w14:textId="77777777" w:rsidTr="00A354FE">
        <w:trPr>
          <w:trHeight w:val="330"/>
        </w:trPr>
        <w:tc>
          <w:tcPr>
            <w:tcW w:w="3093" w:type="dxa"/>
            <w:tcBorders>
              <w:top w:val="nil"/>
              <w:left w:val="single" w:sz="12" w:space="0" w:color="FF9E3C"/>
              <w:bottom w:val="single" w:sz="12" w:space="0" w:color="FF9E3C"/>
              <w:right w:val="single" w:sz="12" w:space="0" w:color="FF9E3C"/>
            </w:tcBorders>
            <w:shd w:val="clear" w:color="auto" w:fill="auto"/>
            <w:vAlign w:val="center"/>
            <w:hideMark/>
          </w:tcPr>
          <w:p w14:paraId="775D97AC" w14:textId="164C560D" w:rsidR="006C7F31" w:rsidRPr="009C17A2" w:rsidRDefault="006C7F31" w:rsidP="00C27DBC">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Financial Harms</w:t>
            </w:r>
          </w:p>
        </w:tc>
        <w:tc>
          <w:tcPr>
            <w:tcW w:w="992" w:type="dxa"/>
            <w:tcBorders>
              <w:top w:val="nil"/>
              <w:left w:val="nil"/>
              <w:bottom w:val="single" w:sz="12" w:space="0" w:color="FF9E3C"/>
              <w:right w:val="single" w:sz="12" w:space="0" w:color="FF9E3C"/>
            </w:tcBorders>
            <w:shd w:val="clear" w:color="auto" w:fill="auto"/>
            <w:vAlign w:val="center"/>
            <w:hideMark/>
          </w:tcPr>
          <w:p w14:paraId="5C90885C"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0.019</w:t>
            </w:r>
          </w:p>
        </w:tc>
        <w:tc>
          <w:tcPr>
            <w:tcW w:w="850" w:type="dxa"/>
            <w:tcBorders>
              <w:top w:val="nil"/>
              <w:left w:val="nil"/>
              <w:bottom w:val="single" w:sz="12" w:space="0" w:color="FF9E3C"/>
              <w:right w:val="single" w:sz="12" w:space="0" w:color="FF9E3C"/>
            </w:tcBorders>
            <w:shd w:val="clear" w:color="auto" w:fill="auto"/>
            <w:vAlign w:val="center"/>
            <w:hideMark/>
          </w:tcPr>
          <w:p w14:paraId="2FCC1A66"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0.005</w:t>
            </w:r>
          </w:p>
        </w:tc>
        <w:tc>
          <w:tcPr>
            <w:tcW w:w="993" w:type="dxa"/>
            <w:tcBorders>
              <w:top w:val="nil"/>
              <w:left w:val="nil"/>
              <w:bottom w:val="single" w:sz="12" w:space="0" w:color="FF9E3C"/>
              <w:right w:val="single" w:sz="12" w:space="0" w:color="FF9E3C"/>
            </w:tcBorders>
            <w:shd w:val="clear" w:color="auto" w:fill="auto"/>
            <w:vAlign w:val="center"/>
            <w:hideMark/>
          </w:tcPr>
          <w:p w14:paraId="441D80E3"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3.656</w:t>
            </w:r>
          </w:p>
        </w:tc>
        <w:tc>
          <w:tcPr>
            <w:tcW w:w="861" w:type="dxa"/>
            <w:tcBorders>
              <w:top w:val="nil"/>
              <w:left w:val="nil"/>
              <w:bottom w:val="single" w:sz="12" w:space="0" w:color="FF9E3C"/>
              <w:right w:val="single" w:sz="12" w:space="0" w:color="FF9E3C"/>
            </w:tcBorders>
            <w:shd w:val="clear" w:color="auto" w:fill="auto"/>
            <w:vAlign w:val="center"/>
            <w:hideMark/>
          </w:tcPr>
          <w:p w14:paraId="3AE66965" w14:textId="77777777" w:rsidR="006C7F31" w:rsidRPr="009C17A2" w:rsidRDefault="006C7F31" w:rsidP="00A354FE">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.000***</w:t>
            </w:r>
          </w:p>
        </w:tc>
      </w:tr>
      <w:tr w:rsidR="006C7F31" w:rsidRPr="009C17A2" w14:paraId="5005B42A" w14:textId="77777777" w:rsidTr="00A354FE">
        <w:trPr>
          <w:trHeight w:val="330"/>
        </w:trPr>
        <w:tc>
          <w:tcPr>
            <w:tcW w:w="3093" w:type="dxa"/>
            <w:tcBorders>
              <w:top w:val="nil"/>
              <w:left w:val="single" w:sz="12" w:space="0" w:color="FF9E3C"/>
              <w:bottom w:val="single" w:sz="12" w:space="0" w:color="FF9E3C"/>
              <w:right w:val="single" w:sz="12" w:space="0" w:color="FF9E3C"/>
            </w:tcBorders>
            <w:shd w:val="clear" w:color="auto" w:fill="auto"/>
            <w:vAlign w:val="center"/>
            <w:hideMark/>
          </w:tcPr>
          <w:p w14:paraId="4B3B65EF" w14:textId="77777777" w:rsidR="006C7F31" w:rsidRPr="009C17A2" w:rsidRDefault="006C7F31" w:rsidP="006C7F31">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Relationship Harms</w:t>
            </w:r>
          </w:p>
        </w:tc>
        <w:tc>
          <w:tcPr>
            <w:tcW w:w="992" w:type="dxa"/>
            <w:tcBorders>
              <w:top w:val="nil"/>
              <w:left w:val="nil"/>
              <w:bottom w:val="single" w:sz="12" w:space="0" w:color="FF9E3C"/>
              <w:right w:val="single" w:sz="12" w:space="0" w:color="FF9E3C"/>
            </w:tcBorders>
            <w:shd w:val="clear" w:color="auto" w:fill="auto"/>
            <w:vAlign w:val="center"/>
            <w:hideMark/>
          </w:tcPr>
          <w:p w14:paraId="40C26122"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0.017</w:t>
            </w:r>
          </w:p>
        </w:tc>
        <w:tc>
          <w:tcPr>
            <w:tcW w:w="850" w:type="dxa"/>
            <w:tcBorders>
              <w:top w:val="nil"/>
              <w:left w:val="nil"/>
              <w:bottom w:val="single" w:sz="12" w:space="0" w:color="FF9E3C"/>
              <w:right w:val="single" w:sz="12" w:space="0" w:color="FF9E3C"/>
            </w:tcBorders>
            <w:shd w:val="clear" w:color="auto" w:fill="auto"/>
            <w:vAlign w:val="center"/>
            <w:hideMark/>
          </w:tcPr>
          <w:p w14:paraId="7C1530FC"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0.006</w:t>
            </w:r>
          </w:p>
        </w:tc>
        <w:tc>
          <w:tcPr>
            <w:tcW w:w="993" w:type="dxa"/>
            <w:tcBorders>
              <w:top w:val="nil"/>
              <w:left w:val="nil"/>
              <w:bottom w:val="single" w:sz="12" w:space="0" w:color="FF9E3C"/>
              <w:right w:val="single" w:sz="12" w:space="0" w:color="FF9E3C"/>
            </w:tcBorders>
            <w:shd w:val="clear" w:color="auto" w:fill="auto"/>
            <w:vAlign w:val="center"/>
            <w:hideMark/>
          </w:tcPr>
          <w:p w14:paraId="5405395E"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2.91</w:t>
            </w:r>
          </w:p>
        </w:tc>
        <w:tc>
          <w:tcPr>
            <w:tcW w:w="861" w:type="dxa"/>
            <w:tcBorders>
              <w:top w:val="nil"/>
              <w:left w:val="nil"/>
              <w:bottom w:val="single" w:sz="12" w:space="0" w:color="FF9E3C"/>
              <w:right w:val="single" w:sz="12" w:space="0" w:color="FF9E3C"/>
            </w:tcBorders>
            <w:shd w:val="clear" w:color="auto" w:fill="auto"/>
            <w:vAlign w:val="center"/>
            <w:hideMark/>
          </w:tcPr>
          <w:p w14:paraId="6776B4DF" w14:textId="4C6015BA" w:rsidR="006C7F31" w:rsidRPr="009C17A2" w:rsidRDefault="006C7F31" w:rsidP="00A354FE">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.004**</w:t>
            </w:r>
          </w:p>
        </w:tc>
      </w:tr>
      <w:tr w:rsidR="006C7F31" w:rsidRPr="009C17A2" w14:paraId="2010FCDC" w14:textId="77777777" w:rsidTr="00A354FE">
        <w:trPr>
          <w:trHeight w:val="285"/>
        </w:trPr>
        <w:tc>
          <w:tcPr>
            <w:tcW w:w="3093" w:type="dxa"/>
            <w:tcBorders>
              <w:top w:val="nil"/>
              <w:left w:val="single" w:sz="12" w:space="0" w:color="FF9E3C"/>
              <w:bottom w:val="single" w:sz="12" w:space="0" w:color="FF9E3C"/>
              <w:right w:val="single" w:sz="12" w:space="0" w:color="FF9E3C"/>
            </w:tcBorders>
            <w:shd w:val="clear" w:color="auto" w:fill="auto"/>
            <w:vAlign w:val="center"/>
            <w:hideMark/>
          </w:tcPr>
          <w:p w14:paraId="05DD9158" w14:textId="77777777" w:rsidR="006C7F31" w:rsidRPr="009C17A2" w:rsidRDefault="006C7F31" w:rsidP="006C7F31">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Emotional / Psychological Harms</w:t>
            </w:r>
          </w:p>
        </w:tc>
        <w:tc>
          <w:tcPr>
            <w:tcW w:w="992" w:type="dxa"/>
            <w:tcBorders>
              <w:top w:val="nil"/>
              <w:left w:val="nil"/>
              <w:bottom w:val="single" w:sz="12" w:space="0" w:color="FF9E3C"/>
              <w:right w:val="single" w:sz="12" w:space="0" w:color="FF9E3C"/>
            </w:tcBorders>
            <w:shd w:val="clear" w:color="auto" w:fill="auto"/>
            <w:vAlign w:val="center"/>
            <w:hideMark/>
          </w:tcPr>
          <w:p w14:paraId="201D8788"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0.016</w:t>
            </w:r>
          </w:p>
        </w:tc>
        <w:tc>
          <w:tcPr>
            <w:tcW w:w="850" w:type="dxa"/>
            <w:tcBorders>
              <w:top w:val="nil"/>
              <w:left w:val="nil"/>
              <w:bottom w:val="single" w:sz="12" w:space="0" w:color="FF9E3C"/>
              <w:right w:val="single" w:sz="12" w:space="0" w:color="FF9E3C"/>
            </w:tcBorders>
            <w:shd w:val="clear" w:color="auto" w:fill="auto"/>
            <w:vAlign w:val="center"/>
            <w:hideMark/>
          </w:tcPr>
          <w:p w14:paraId="27E5267A"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0.005</w:t>
            </w:r>
          </w:p>
        </w:tc>
        <w:tc>
          <w:tcPr>
            <w:tcW w:w="993" w:type="dxa"/>
            <w:tcBorders>
              <w:top w:val="nil"/>
              <w:left w:val="nil"/>
              <w:bottom w:val="single" w:sz="12" w:space="0" w:color="FF9E3C"/>
              <w:right w:val="single" w:sz="12" w:space="0" w:color="FF9E3C"/>
            </w:tcBorders>
            <w:shd w:val="clear" w:color="auto" w:fill="auto"/>
            <w:vAlign w:val="center"/>
            <w:hideMark/>
          </w:tcPr>
          <w:p w14:paraId="1D01E765"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3.284</w:t>
            </w:r>
          </w:p>
        </w:tc>
        <w:tc>
          <w:tcPr>
            <w:tcW w:w="861" w:type="dxa"/>
            <w:tcBorders>
              <w:top w:val="nil"/>
              <w:left w:val="nil"/>
              <w:bottom w:val="single" w:sz="12" w:space="0" w:color="FF9E3C"/>
              <w:right w:val="single" w:sz="12" w:space="0" w:color="FF9E3C"/>
            </w:tcBorders>
            <w:shd w:val="clear" w:color="auto" w:fill="auto"/>
            <w:vAlign w:val="center"/>
            <w:hideMark/>
          </w:tcPr>
          <w:p w14:paraId="6D16D5B2" w14:textId="1D2E66ED" w:rsidR="006C7F31" w:rsidRPr="009C17A2" w:rsidRDefault="006C7F31" w:rsidP="00A354FE">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.001**</w:t>
            </w:r>
          </w:p>
        </w:tc>
      </w:tr>
      <w:tr w:rsidR="006C7F31" w:rsidRPr="009C17A2" w14:paraId="236A9C0D" w14:textId="77777777" w:rsidTr="00A354FE">
        <w:trPr>
          <w:trHeight w:val="330"/>
        </w:trPr>
        <w:tc>
          <w:tcPr>
            <w:tcW w:w="3093" w:type="dxa"/>
            <w:tcBorders>
              <w:top w:val="nil"/>
              <w:left w:val="single" w:sz="12" w:space="0" w:color="FF9E3C"/>
              <w:bottom w:val="single" w:sz="12" w:space="0" w:color="FF9E3C"/>
              <w:right w:val="single" w:sz="12" w:space="0" w:color="FF9E3C"/>
            </w:tcBorders>
            <w:shd w:val="clear" w:color="auto" w:fill="auto"/>
            <w:vAlign w:val="center"/>
            <w:hideMark/>
          </w:tcPr>
          <w:p w14:paraId="46C14CAD" w14:textId="77777777" w:rsidR="006C7F31" w:rsidRPr="009C17A2" w:rsidRDefault="006C7F31" w:rsidP="006C7F31">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Health Harms</w:t>
            </w:r>
          </w:p>
        </w:tc>
        <w:tc>
          <w:tcPr>
            <w:tcW w:w="992" w:type="dxa"/>
            <w:tcBorders>
              <w:top w:val="nil"/>
              <w:left w:val="nil"/>
              <w:bottom w:val="single" w:sz="12" w:space="0" w:color="FF9E3C"/>
              <w:right w:val="single" w:sz="12" w:space="0" w:color="FF9E3C"/>
            </w:tcBorders>
            <w:shd w:val="clear" w:color="auto" w:fill="auto"/>
            <w:vAlign w:val="center"/>
            <w:hideMark/>
          </w:tcPr>
          <w:p w14:paraId="00A77101"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0.008</w:t>
            </w:r>
          </w:p>
        </w:tc>
        <w:tc>
          <w:tcPr>
            <w:tcW w:w="850" w:type="dxa"/>
            <w:tcBorders>
              <w:top w:val="nil"/>
              <w:left w:val="nil"/>
              <w:bottom w:val="single" w:sz="12" w:space="0" w:color="FF9E3C"/>
              <w:right w:val="single" w:sz="12" w:space="0" w:color="FF9E3C"/>
            </w:tcBorders>
            <w:shd w:val="clear" w:color="auto" w:fill="auto"/>
            <w:vAlign w:val="center"/>
            <w:hideMark/>
          </w:tcPr>
          <w:p w14:paraId="32A6D2E9"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0.006</w:t>
            </w:r>
          </w:p>
        </w:tc>
        <w:tc>
          <w:tcPr>
            <w:tcW w:w="993" w:type="dxa"/>
            <w:tcBorders>
              <w:top w:val="nil"/>
              <w:left w:val="nil"/>
              <w:bottom w:val="single" w:sz="12" w:space="0" w:color="FF9E3C"/>
              <w:right w:val="single" w:sz="12" w:space="0" w:color="FF9E3C"/>
            </w:tcBorders>
            <w:shd w:val="clear" w:color="auto" w:fill="auto"/>
            <w:vAlign w:val="center"/>
            <w:hideMark/>
          </w:tcPr>
          <w:p w14:paraId="44F5FA2E"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1.267</w:t>
            </w:r>
          </w:p>
        </w:tc>
        <w:tc>
          <w:tcPr>
            <w:tcW w:w="861" w:type="dxa"/>
            <w:tcBorders>
              <w:top w:val="nil"/>
              <w:left w:val="nil"/>
              <w:bottom w:val="single" w:sz="12" w:space="0" w:color="FF9E3C"/>
              <w:right w:val="single" w:sz="12" w:space="0" w:color="FF9E3C"/>
            </w:tcBorders>
            <w:shd w:val="clear" w:color="auto" w:fill="auto"/>
            <w:vAlign w:val="center"/>
            <w:hideMark/>
          </w:tcPr>
          <w:p w14:paraId="2B8B8B45" w14:textId="77777777" w:rsidR="006C7F31" w:rsidRPr="009C17A2" w:rsidRDefault="006C7F31" w:rsidP="00A354FE">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.206</w:t>
            </w:r>
          </w:p>
        </w:tc>
      </w:tr>
      <w:tr w:rsidR="006C7F31" w:rsidRPr="009C17A2" w14:paraId="2B37CCF9" w14:textId="77777777" w:rsidTr="00A354FE">
        <w:trPr>
          <w:trHeight w:val="330"/>
        </w:trPr>
        <w:tc>
          <w:tcPr>
            <w:tcW w:w="3093" w:type="dxa"/>
            <w:tcBorders>
              <w:top w:val="nil"/>
              <w:left w:val="single" w:sz="12" w:space="0" w:color="FF9E3C"/>
              <w:bottom w:val="single" w:sz="12" w:space="0" w:color="FF9E3C"/>
              <w:right w:val="single" w:sz="12" w:space="0" w:color="FF9E3C"/>
            </w:tcBorders>
            <w:shd w:val="clear" w:color="auto" w:fill="auto"/>
            <w:vAlign w:val="center"/>
            <w:hideMark/>
          </w:tcPr>
          <w:p w14:paraId="4BF16B39" w14:textId="77777777" w:rsidR="006C7F31" w:rsidRPr="009C17A2" w:rsidRDefault="006C7F31" w:rsidP="006C7F31">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Work / Study Harms</w:t>
            </w:r>
          </w:p>
        </w:tc>
        <w:tc>
          <w:tcPr>
            <w:tcW w:w="992" w:type="dxa"/>
            <w:tcBorders>
              <w:top w:val="nil"/>
              <w:left w:val="nil"/>
              <w:bottom w:val="single" w:sz="12" w:space="0" w:color="FF9E3C"/>
              <w:right w:val="single" w:sz="12" w:space="0" w:color="FF9E3C"/>
            </w:tcBorders>
            <w:shd w:val="clear" w:color="auto" w:fill="auto"/>
            <w:vAlign w:val="center"/>
            <w:hideMark/>
          </w:tcPr>
          <w:p w14:paraId="07AB5502"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0.031</w:t>
            </w:r>
          </w:p>
        </w:tc>
        <w:tc>
          <w:tcPr>
            <w:tcW w:w="850" w:type="dxa"/>
            <w:tcBorders>
              <w:top w:val="nil"/>
              <w:left w:val="nil"/>
              <w:bottom w:val="single" w:sz="12" w:space="0" w:color="FF9E3C"/>
              <w:right w:val="single" w:sz="12" w:space="0" w:color="FF9E3C"/>
            </w:tcBorders>
            <w:shd w:val="clear" w:color="auto" w:fill="auto"/>
            <w:vAlign w:val="center"/>
            <w:hideMark/>
          </w:tcPr>
          <w:p w14:paraId="52E8E566"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0.011</w:t>
            </w:r>
          </w:p>
        </w:tc>
        <w:tc>
          <w:tcPr>
            <w:tcW w:w="993" w:type="dxa"/>
            <w:tcBorders>
              <w:top w:val="nil"/>
              <w:left w:val="nil"/>
              <w:bottom w:val="single" w:sz="12" w:space="0" w:color="FF9E3C"/>
              <w:right w:val="single" w:sz="12" w:space="0" w:color="FF9E3C"/>
            </w:tcBorders>
            <w:shd w:val="clear" w:color="auto" w:fill="auto"/>
            <w:vAlign w:val="center"/>
            <w:hideMark/>
          </w:tcPr>
          <w:p w14:paraId="4BB55252"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2.929</w:t>
            </w:r>
          </w:p>
        </w:tc>
        <w:tc>
          <w:tcPr>
            <w:tcW w:w="861" w:type="dxa"/>
            <w:tcBorders>
              <w:top w:val="nil"/>
              <w:left w:val="nil"/>
              <w:bottom w:val="single" w:sz="12" w:space="0" w:color="FF9E3C"/>
              <w:right w:val="single" w:sz="12" w:space="0" w:color="FF9E3C"/>
            </w:tcBorders>
            <w:shd w:val="clear" w:color="auto" w:fill="auto"/>
            <w:vAlign w:val="center"/>
            <w:hideMark/>
          </w:tcPr>
          <w:p w14:paraId="0623EC95" w14:textId="182811BB" w:rsidR="006C7F31" w:rsidRPr="009C17A2" w:rsidRDefault="006C7F31" w:rsidP="00A354FE">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.003**</w:t>
            </w:r>
          </w:p>
        </w:tc>
      </w:tr>
      <w:tr w:rsidR="006C7F31" w:rsidRPr="009C17A2" w14:paraId="6FDBE5B0" w14:textId="77777777" w:rsidTr="00A354FE">
        <w:trPr>
          <w:trHeight w:val="330"/>
        </w:trPr>
        <w:tc>
          <w:tcPr>
            <w:tcW w:w="3093" w:type="dxa"/>
            <w:tcBorders>
              <w:top w:val="nil"/>
              <w:left w:val="single" w:sz="12" w:space="0" w:color="FF9E3C"/>
              <w:bottom w:val="single" w:sz="12" w:space="0" w:color="FF9E3C"/>
              <w:right w:val="single" w:sz="12" w:space="0" w:color="FF9E3C"/>
            </w:tcBorders>
            <w:shd w:val="clear" w:color="auto" w:fill="auto"/>
            <w:vAlign w:val="center"/>
            <w:hideMark/>
          </w:tcPr>
          <w:p w14:paraId="16BF32D1" w14:textId="77777777" w:rsidR="006C7F31" w:rsidRPr="009C17A2" w:rsidRDefault="006C7F31" w:rsidP="006C7F31">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Other Harms</w:t>
            </w:r>
          </w:p>
        </w:tc>
        <w:tc>
          <w:tcPr>
            <w:tcW w:w="992" w:type="dxa"/>
            <w:tcBorders>
              <w:top w:val="nil"/>
              <w:left w:val="nil"/>
              <w:bottom w:val="single" w:sz="12" w:space="0" w:color="FF9E3C"/>
              <w:right w:val="single" w:sz="12" w:space="0" w:color="FF9E3C"/>
            </w:tcBorders>
            <w:shd w:val="clear" w:color="auto" w:fill="auto"/>
            <w:vAlign w:val="center"/>
            <w:hideMark/>
          </w:tcPr>
          <w:p w14:paraId="400D44E8"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0.025</w:t>
            </w:r>
          </w:p>
        </w:tc>
        <w:tc>
          <w:tcPr>
            <w:tcW w:w="850" w:type="dxa"/>
            <w:tcBorders>
              <w:top w:val="nil"/>
              <w:left w:val="nil"/>
              <w:bottom w:val="single" w:sz="12" w:space="0" w:color="FF9E3C"/>
              <w:right w:val="single" w:sz="12" w:space="0" w:color="FF9E3C"/>
            </w:tcBorders>
            <w:shd w:val="clear" w:color="auto" w:fill="auto"/>
            <w:vAlign w:val="center"/>
            <w:hideMark/>
          </w:tcPr>
          <w:p w14:paraId="58194EF9"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0.011</w:t>
            </w:r>
          </w:p>
        </w:tc>
        <w:tc>
          <w:tcPr>
            <w:tcW w:w="993" w:type="dxa"/>
            <w:tcBorders>
              <w:top w:val="nil"/>
              <w:left w:val="nil"/>
              <w:bottom w:val="single" w:sz="12" w:space="0" w:color="FF9E3C"/>
              <w:right w:val="single" w:sz="12" w:space="0" w:color="FF9E3C"/>
            </w:tcBorders>
            <w:shd w:val="clear" w:color="auto" w:fill="auto"/>
            <w:vAlign w:val="center"/>
            <w:hideMark/>
          </w:tcPr>
          <w:p w14:paraId="5DF7865D" w14:textId="77777777" w:rsidR="006C7F31" w:rsidRPr="009C17A2" w:rsidRDefault="006C7F31" w:rsidP="006C7F31">
            <w:pPr>
              <w:tabs>
                <w:tab w:val="clear" w:pos="426"/>
              </w:tabs>
              <w:spacing w:before="0" w:after="0" w:line="240" w:lineRule="auto"/>
              <w:ind w:left="0" w:right="0"/>
              <w:jc w:val="center"/>
              <w:rPr>
                <w:rFonts w:cs="Arial"/>
                <w:color w:val="1C3158"/>
                <w:sz w:val="18"/>
                <w:lang w:eastAsia="ja-JP"/>
              </w:rPr>
            </w:pPr>
            <w:r w:rsidRPr="009C17A2">
              <w:rPr>
                <w:rFonts w:cs="Arial"/>
                <w:color w:val="1C3158"/>
                <w:sz w:val="18"/>
                <w:lang w:eastAsia="ja-JP"/>
              </w:rPr>
              <w:t>2.277</w:t>
            </w:r>
          </w:p>
        </w:tc>
        <w:tc>
          <w:tcPr>
            <w:tcW w:w="861" w:type="dxa"/>
            <w:tcBorders>
              <w:top w:val="nil"/>
              <w:left w:val="nil"/>
              <w:bottom w:val="single" w:sz="12" w:space="0" w:color="FF9E3C"/>
              <w:right w:val="single" w:sz="12" w:space="0" w:color="FF9E3C"/>
            </w:tcBorders>
            <w:shd w:val="clear" w:color="auto" w:fill="auto"/>
            <w:vAlign w:val="center"/>
            <w:hideMark/>
          </w:tcPr>
          <w:p w14:paraId="7BEA8ACD" w14:textId="6D24B3E3" w:rsidR="006C7F31" w:rsidRPr="009C17A2" w:rsidRDefault="006C7F31" w:rsidP="00A354FE">
            <w:pPr>
              <w:tabs>
                <w:tab w:val="clear" w:pos="426"/>
              </w:tabs>
              <w:spacing w:before="0" w:after="0" w:line="240" w:lineRule="auto"/>
              <w:ind w:left="0" w:right="0"/>
              <w:rPr>
                <w:rFonts w:cs="Arial"/>
                <w:color w:val="1C3158"/>
                <w:sz w:val="18"/>
                <w:lang w:eastAsia="ja-JP"/>
              </w:rPr>
            </w:pPr>
            <w:r w:rsidRPr="009C17A2">
              <w:rPr>
                <w:rFonts w:cs="Arial"/>
                <w:color w:val="1C3158"/>
                <w:sz w:val="18"/>
                <w:lang w:eastAsia="ja-JP"/>
              </w:rPr>
              <w:t>.023*</w:t>
            </w:r>
          </w:p>
        </w:tc>
      </w:tr>
    </w:tbl>
    <w:p w14:paraId="62077DA8" w14:textId="4C279926" w:rsidR="006C7F31" w:rsidRDefault="006C7F31" w:rsidP="002901C9">
      <w:pPr>
        <w:pStyle w:val="VRGFBodycontent"/>
        <w:rPr>
          <w:rFonts w:eastAsia="MS Mincho"/>
        </w:rPr>
      </w:pPr>
      <w:r w:rsidRPr="00D010EF">
        <w:rPr>
          <w:rFonts w:eastAsia="MS Mincho" w:cs="Arial"/>
          <w:color w:val="1C3158"/>
          <w:sz w:val="16"/>
          <w:szCs w:val="16"/>
          <w:lang w:val="en-US"/>
        </w:rPr>
        <w:t>*p &lt; .05, **p &lt; .01, ***p &lt; .001</w:t>
      </w:r>
    </w:p>
    <w:p w14:paraId="62486A70" w14:textId="2F72BDD0" w:rsidR="006C7F31" w:rsidRDefault="00127B0A" w:rsidP="006C7F31">
      <w:pPr>
        <w:pStyle w:val="VRGFBodycontent"/>
        <w:rPr>
          <w:rFonts w:eastAsia="MS Mincho"/>
        </w:rPr>
      </w:pPr>
      <w:r>
        <w:rPr>
          <w:rFonts w:eastAsia="MS Mincho"/>
        </w:rPr>
        <w:fldChar w:fldCharType="begin"/>
      </w:r>
      <w:r>
        <w:rPr>
          <w:rFonts w:eastAsia="MS Mincho"/>
        </w:rPr>
        <w:instrText xml:space="preserve"> REF _Ref445565811 \h </w:instrText>
      </w:r>
      <w:r>
        <w:rPr>
          <w:rFonts w:eastAsia="MS Mincho"/>
        </w:rPr>
      </w:r>
      <w:r>
        <w:rPr>
          <w:rFonts w:eastAsia="MS Mincho"/>
        </w:rPr>
        <w:fldChar w:fldCharType="separate"/>
      </w:r>
      <w:r w:rsidR="0006479A">
        <w:t xml:space="preserve">Figure </w:t>
      </w:r>
      <w:r w:rsidR="0006479A">
        <w:rPr>
          <w:noProof/>
        </w:rPr>
        <w:t>17</w:t>
      </w:r>
      <w:r>
        <w:rPr>
          <w:rFonts w:eastAsia="MS Mincho"/>
        </w:rPr>
        <w:fldChar w:fldCharType="end"/>
      </w:r>
      <w:r>
        <w:rPr>
          <w:rFonts w:eastAsia="MS Mincho"/>
        </w:rPr>
        <w:t xml:space="preserve"> </w:t>
      </w:r>
      <w:r w:rsidR="006C7F31" w:rsidRPr="00D82AC4">
        <w:rPr>
          <w:rFonts w:eastAsia="MS Mincho"/>
        </w:rPr>
        <w:t xml:space="preserve">shows </w:t>
      </w:r>
      <w:r w:rsidR="006C7F31" w:rsidRPr="0025042D">
        <w:rPr>
          <w:rFonts w:eastAsia="MS Mincho"/>
        </w:rPr>
        <w:t xml:space="preserve">the relative contribution of harm domains to HRQL </w:t>
      </w:r>
      <w:r w:rsidR="0025042D">
        <w:rPr>
          <w:rFonts w:eastAsia="MS Mincho"/>
        </w:rPr>
        <w:t xml:space="preserve">utility </w:t>
      </w:r>
      <w:r w:rsidR="006C7F31" w:rsidRPr="0025042D">
        <w:rPr>
          <w:rFonts w:eastAsia="MS Mincho"/>
        </w:rPr>
        <w:t>using the RF method</w:t>
      </w:r>
      <w:r w:rsidR="00E832B0" w:rsidRPr="0025042D">
        <w:rPr>
          <w:rFonts w:eastAsia="MS Mincho"/>
        </w:rPr>
        <w:t>.</w:t>
      </w:r>
      <w:r w:rsidR="008610D3" w:rsidRPr="0025042D">
        <w:rPr>
          <w:rFonts w:eastAsia="MS Mincho"/>
        </w:rPr>
        <w:t xml:space="preserve"> </w:t>
      </w:r>
      <w:r w:rsidR="006C7F31" w:rsidRPr="0025042D">
        <w:rPr>
          <w:rFonts w:eastAsia="MS Mincho"/>
        </w:rPr>
        <w:t>Compared to the regression approach, it tends to allocate more harm from the health domain and less from the work/study and ‘other’ domains</w:t>
      </w:r>
      <w:r w:rsidR="00E832B0" w:rsidRPr="0025042D">
        <w:rPr>
          <w:rFonts w:eastAsia="MS Mincho"/>
        </w:rPr>
        <w:t>.</w:t>
      </w:r>
      <w:r w:rsidR="008610D3" w:rsidRPr="0025042D">
        <w:rPr>
          <w:rFonts w:eastAsia="MS Mincho"/>
        </w:rPr>
        <w:t xml:space="preserve"> </w:t>
      </w:r>
      <w:r w:rsidR="006C7F31" w:rsidRPr="0025042D">
        <w:rPr>
          <w:rFonts w:eastAsia="MS Mincho"/>
        </w:rPr>
        <w:t>However, in common</w:t>
      </w:r>
      <w:r w:rsidR="006C7F31" w:rsidRPr="00D82AC4">
        <w:rPr>
          <w:rFonts w:eastAsia="MS Mincho"/>
        </w:rPr>
        <w:t xml:space="preserve"> with the regression approach, the RF method also suggests that </w:t>
      </w:r>
      <w:r w:rsidR="006C7F31">
        <w:rPr>
          <w:rFonts w:eastAsia="MS Mincho"/>
        </w:rPr>
        <w:t>financial</w:t>
      </w:r>
      <w:r w:rsidR="003E6648">
        <w:rPr>
          <w:rFonts w:eastAsia="MS Mincho"/>
        </w:rPr>
        <w:t xml:space="preserve"> and</w:t>
      </w:r>
      <w:r w:rsidR="006C7F31">
        <w:rPr>
          <w:rFonts w:eastAsia="MS Mincho"/>
        </w:rPr>
        <w:t xml:space="preserve"> </w:t>
      </w:r>
      <w:r w:rsidR="006C7F31" w:rsidRPr="00D82AC4">
        <w:rPr>
          <w:rFonts w:eastAsia="MS Mincho"/>
        </w:rPr>
        <w:t>emotional/psychological harms tend to be most important</w:t>
      </w:r>
      <w:r w:rsidR="006C7F31">
        <w:rPr>
          <w:rFonts w:eastAsia="MS Mincho"/>
        </w:rPr>
        <w:t xml:space="preserve"> in influencing assessments of harm</w:t>
      </w:r>
      <w:r w:rsidR="006C7F31" w:rsidRPr="00D82AC4">
        <w:rPr>
          <w:rFonts w:eastAsia="MS Mincho"/>
        </w:rPr>
        <w:t xml:space="preserve">. </w:t>
      </w:r>
    </w:p>
    <w:p w14:paraId="0F28267A" w14:textId="25A4AE08" w:rsidR="006C7F31" w:rsidRDefault="00A354FE" w:rsidP="002901C9">
      <w:pPr>
        <w:tabs>
          <w:tab w:val="clear" w:pos="426"/>
        </w:tabs>
        <w:spacing w:before="0" w:after="120" w:line="240" w:lineRule="auto"/>
        <w:ind w:left="0" w:right="0"/>
        <w:rPr>
          <w:rFonts w:eastAsia="MS Mincho" w:cs="Arial"/>
          <w:sz w:val="24"/>
          <w:szCs w:val="24"/>
        </w:rPr>
      </w:pPr>
      <w:r>
        <w:rPr>
          <w:rFonts w:eastAsia="MS Mincho" w:cs="Arial"/>
          <w:noProof/>
          <w:sz w:val="24"/>
          <w:szCs w:val="24"/>
          <w:lang w:val="en-NZ" w:eastAsia="en-NZ"/>
        </w:rPr>
        <w:lastRenderedPageBreak/>
        <w:drawing>
          <wp:inline distT="0" distB="0" distL="0" distR="0" wp14:anchorId="31A5ACB9" wp14:editId="2D7192D6">
            <wp:extent cx="5488018" cy="338638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7452" cy="3392201"/>
                    </a:xfrm>
                    <a:prstGeom prst="rect">
                      <a:avLst/>
                    </a:prstGeom>
                    <a:noFill/>
                  </pic:spPr>
                </pic:pic>
              </a:graphicData>
            </a:graphic>
          </wp:inline>
        </w:drawing>
      </w:r>
    </w:p>
    <w:p w14:paraId="1258DD5B" w14:textId="5FE89C6B" w:rsidR="006C7F31" w:rsidRPr="00D65A93" w:rsidRDefault="00127B0A" w:rsidP="00127B0A">
      <w:pPr>
        <w:pStyle w:val="Caption"/>
        <w:rPr>
          <w:rFonts w:eastAsia="MS Mincho"/>
          <w:color w:val="1C3158"/>
        </w:rPr>
      </w:pPr>
      <w:bookmarkStart w:id="349" w:name="_Ref445565811"/>
      <w:bookmarkStart w:id="350" w:name="_Ref429651515"/>
      <w:bookmarkStart w:id="351" w:name="_Toc440900320"/>
      <w:bookmarkStart w:id="352" w:name="_Toc462738100"/>
      <w:r>
        <w:t xml:space="preserve">Figure </w:t>
      </w:r>
      <w:fldSimple w:instr=" SEQ Figure \* ARABIC ">
        <w:r w:rsidR="0006479A">
          <w:rPr>
            <w:noProof/>
          </w:rPr>
          <w:t>17</w:t>
        </w:r>
      </w:fldSimple>
      <w:bookmarkEnd w:id="349"/>
      <w:r w:rsidR="00E832B0">
        <w:t>.</w:t>
      </w:r>
      <w:r w:rsidR="008610D3">
        <w:t xml:space="preserve"> </w:t>
      </w:r>
      <w:bookmarkEnd w:id="350"/>
      <w:r w:rsidR="006C7F31" w:rsidRPr="00D65A93">
        <w:rPr>
          <w:color w:val="1C3158"/>
        </w:rPr>
        <w:t xml:space="preserve">Proportion of </w:t>
      </w:r>
      <w:r w:rsidR="0025042D">
        <w:rPr>
          <w:color w:val="1C3158"/>
        </w:rPr>
        <w:t xml:space="preserve">gambling-related </w:t>
      </w:r>
      <w:r w:rsidR="006C7F31" w:rsidRPr="00D65A93">
        <w:rPr>
          <w:color w:val="1C3158"/>
        </w:rPr>
        <w:t>harm contributed by each domain, as calculated by random forest variable importance measure</w:t>
      </w:r>
      <w:bookmarkEnd w:id="351"/>
      <w:bookmarkEnd w:id="352"/>
    </w:p>
    <w:p w14:paraId="7630A706" w14:textId="77777777" w:rsidR="006C7F31" w:rsidRPr="00D82AC4" w:rsidRDefault="006C7F31" w:rsidP="006C7F31">
      <w:pPr>
        <w:pStyle w:val="VRGFBodycontent"/>
        <w:rPr>
          <w:rFonts w:eastAsia="MS Mincho"/>
        </w:rPr>
      </w:pPr>
    </w:p>
    <w:p w14:paraId="43848F82" w14:textId="77777777" w:rsidR="006C7F31" w:rsidRPr="00D302D0" w:rsidRDefault="006C7F31" w:rsidP="006C7F31">
      <w:pPr>
        <w:pStyle w:val="VRGFHead3"/>
      </w:pPr>
      <w:bookmarkStart w:id="353" w:name="_Toc462738073"/>
      <w:r w:rsidRPr="00D302D0">
        <w:t>Harm compared to other health states</w:t>
      </w:r>
      <w:bookmarkEnd w:id="353"/>
    </w:p>
    <w:p w14:paraId="4F8251A8" w14:textId="7C47F29A" w:rsidR="006C7F31" w:rsidRPr="0025042D" w:rsidRDefault="006C7F31" w:rsidP="006C7F31">
      <w:pPr>
        <w:pStyle w:val="VRGFBodycontent"/>
        <w:rPr>
          <w:rFonts w:eastAsia="MS Mincho"/>
        </w:rPr>
      </w:pPr>
      <w:r w:rsidRPr="0025042D">
        <w:rPr>
          <w:rFonts w:eastAsia="MS Mincho"/>
        </w:rPr>
        <w:t xml:space="preserve">The annual </w:t>
      </w:r>
      <w:r w:rsidR="0025042D">
        <w:rPr>
          <w:rFonts w:eastAsia="MS Mincho"/>
        </w:rPr>
        <w:t>QALY</w:t>
      </w:r>
      <w:r w:rsidR="0025042D" w:rsidRPr="0025042D">
        <w:rPr>
          <w:rFonts w:eastAsia="MS Mincho"/>
          <w:vertAlign w:val="subscript"/>
        </w:rPr>
        <w:t>1</w:t>
      </w:r>
      <w:r w:rsidR="0025042D" w:rsidRPr="0025042D">
        <w:rPr>
          <w:rFonts w:eastAsia="MS Mincho"/>
        </w:rPr>
        <w:t xml:space="preserve"> </w:t>
      </w:r>
      <w:r w:rsidRPr="0025042D">
        <w:rPr>
          <w:rFonts w:eastAsia="MS Mincho"/>
        </w:rPr>
        <w:t xml:space="preserve">in the New Zealand adult population </w:t>
      </w:r>
      <w:r w:rsidR="004A30E1" w:rsidRPr="0025042D">
        <w:rPr>
          <w:rFonts w:eastAsia="MS Mincho"/>
        </w:rPr>
        <w:t xml:space="preserve">was </w:t>
      </w:r>
      <w:r w:rsidRPr="0025042D">
        <w:rPr>
          <w:rFonts w:eastAsia="MS Mincho"/>
        </w:rPr>
        <w:t>calculated for other health states using a similar method of combining utility weights and prevalence data</w:t>
      </w:r>
      <w:r w:rsidR="00E832B0" w:rsidRPr="0025042D">
        <w:rPr>
          <w:rFonts w:eastAsia="MS Mincho"/>
        </w:rPr>
        <w:t>.</w:t>
      </w:r>
      <w:r w:rsidR="008610D3" w:rsidRPr="0025042D">
        <w:rPr>
          <w:rFonts w:eastAsia="MS Mincho"/>
        </w:rPr>
        <w:t xml:space="preserve"> </w:t>
      </w:r>
      <w:r w:rsidRPr="0025042D">
        <w:rPr>
          <w:rFonts w:eastAsia="MS Mincho"/>
        </w:rPr>
        <w:t>Since the information available for other health states did not include information regarding loss of utility or prevalence of harm other than to the individual, gambling harm to others was excluded for these comparisons</w:t>
      </w:r>
      <w:r w:rsidR="00E832B0" w:rsidRPr="0025042D">
        <w:rPr>
          <w:rFonts w:eastAsia="MS Mincho"/>
        </w:rPr>
        <w:t>.</w:t>
      </w:r>
      <w:r w:rsidR="008610D3" w:rsidRPr="0025042D">
        <w:rPr>
          <w:rFonts w:eastAsia="MS Mincho"/>
        </w:rPr>
        <w:t xml:space="preserve"> </w:t>
      </w:r>
      <w:r w:rsidRPr="0025042D">
        <w:rPr>
          <w:rFonts w:eastAsia="MS Mincho"/>
        </w:rPr>
        <w:t>See</w:t>
      </w:r>
      <w:r w:rsidR="00320D9A" w:rsidRPr="0025042D">
        <w:rPr>
          <w:rFonts w:eastAsia="MS Mincho"/>
        </w:rPr>
        <w:t xml:space="preserve"> </w:t>
      </w:r>
      <w:r w:rsidR="00320D9A" w:rsidRPr="0025042D">
        <w:rPr>
          <w:rFonts w:eastAsia="MS Mincho"/>
        </w:rPr>
        <w:fldChar w:fldCharType="begin"/>
      </w:r>
      <w:r w:rsidR="00320D9A" w:rsidRPr="0025042D">
        <w:rPr>
          <w:rFonts w:eastAsia="MS Mincho"/>
        </w:rPr>
        <w:instrText xml:space="preserve"> REF _Ref445565230 \h </w:instrText>
      </w:r>
      <w:r w:rsidR="0025042D">
        <w:rPr>
          <w:rFonts w:eastAsia="MS Mincho"/>
        </w:rPr>
        <w:instrText xml:space="preserve"> \* MERGEFORMAT </w:instrText>
      </w:r>
      <w:r w:rsidR="00320D9A" w:rsidRPr="0025042D">
        <w:rPr>
          <w:rFonts w:eastAsia="MS Mincho"/>
        </w:rPr>
      </w:r>
      <w:r w:rsidR="00320D9A" w:rsidRPr="0025042D">
        <w:rPr>
          <w:rFonts w:eastAsia="MS Mincho"/>
        </w:rPr>
        <w:fldChar w:fldCharType="separate"/>
      </w:r>
      <w:r w:rsidR="0006479A">
        <w:t xml:space="preserve">Appendix </w:t>
      </w:r>
      <w:r w:rsidR="0006479A">
        <w:rPr>
          <w:noProof/>
        </w:rPr>
        <w:t>11</w:t>
      </w:r>
      <w:r w:rsidR="00320D9A" w:rsidRPr="0025042D">
        <w:rPr>
          <w:rFonts w:eastAsia="MS Mincho"/>
        </w:rPr>
        <w:fldChar w:fldCharType="end"/>
      </w:r>
      <w:r w:rsidR="00320D9A" w:rsidRPr="0025042D">
        <w:rPr>
          <w:rFonts w:eastAsia="MS Mincho"/>
        </w:rPr>
        <w:t xml:space="preserve"> </w:t>
      </w:r>
      <w:r w:rsidRPr="0025042D">
        <w:rPr>
          <w:rFonts w:eastAsia="MS Mincho"/>
        </w:rPr>
        <w:t>for a summary of these calculations and data sources</w:t>
      </w:r>
      <w:r w:rsidR="00E832B0" w:rsidRPr="0025042D">
        <w:rPr>
          <w:rFonts w:eastAsia="MS Mincho"/>
        </w:rPr>
        <w:t>.</w:t>
      </w:r>
      <w:r w:rsidR="008610D3" w:rsidRPr="0025042D">
        <w:rPr>
          <w:rFonts w:eastAsia="MS Mincho"/>
        </w:rPr>
        <w:t xml:space="preserve"> </w:t>
      </w:r>
      <w:r w:rsidR="00320D9A" w:rsidRPr="0025042D">
        <w:rPr>
          <w:rFonts w:eastAsia="MS Mincho"/>
        </w:rPr>
        <w:fldChar w:fldCharType="begin"/>
      </w:r>
      <w:r w:rsidR="00320D9A" w:rsidRPr="0025042D">
        <w:rPr>
          <w:rFonts w:eastAsia="MS Mincho"/>
        </w:rPr>
        <w:instrText xml:space="preserve"> REF _Ref445565983 \h </w:instrText>
      </w:r>
      <w:r w:rsidR="00AE4FEB" w:rsidRPr="0025042D">
        <w:rPr>
          <w:rFonts w:eastAsia="MS Mincho"/>
        </w:rPr>
        <w:instrText xml:space="preserve"> \* MERGEFORMAT </w:instrText>
      </w:r>
      <w:r w:rsidR="00320D9A" w:rsidRPr="0025042D">
        <w:rPr>
          <w:rFonts w:eastAsia="MS Mincho"/>
        </w:rPr>
      </w:r>
      <w:r w:rsidR="00320D9A" w:rsidRPr="0025042D">
        <w:rPr>
          <w:rFonts w:eastAsia="MS Mincho"/>
        </w:rPr>
        <w:fldChar w:fldCharType="separate"/>
      </w:r>
      <w:r w:rsidR="0006479A" w:rsidRPr="00AF621D">
        <w:t xml:space="preserve">Figure </w:t>
      </w:r>
      <w:r w:rsidR="0006479A">
        <w:rPr>
          <w:noProof/>
        </w:rPr>
        <w:t>18</w:t>
      </w:r>
      <w:r w:rsidR="00320D9A" w:rsidRPr="0025042D">
        <w:rPr>
          <w:rFonts w:eastAsia="MS Mincho"/>
        </w:rPr>
        <w:fldChar w:fldCharType="end"/>
      </w:r>
      <w:r w:rsidR="00320D9A" w:rsidRPr="0025042D">
        <w:rPr>
          <w:rFonts w:eastAsia="MS Mincho"/>
        </w:rPr>
        <w:t xml:space="preserve"> </w:t>
      </w:r>
      <w:r w:rsidRPr="0025042D">
        <w:rPr>
          <w:rFonts w:eastAsia="MS Mincho"/>
        </w:rPr>
        <w:t xml:space="preserve">plots </w:t>
      </w:r>
      <w:r w:rsidR="0025042D">
        <w:rPr>
          <w:rFonts w:eastAsia="MS Mincho"/>
        </w:rPr>
        <w:t>QALY</w:t>
      </w:r>
      <w:r w:rsidR="0025042D" w:rsidRPr="0025042D">
        <w:rPr>
          <w:rFonts w:eastAsia="MS Mincho"/>
          <w:vertAlign w:val="subscript"/>
        </w:rPr>
        <w:t>1</w:t>
      </w:r>
      <w:r w:rsidR="0025042D" w:rsidRPr="0025042D">
        <w:rPr>
          <w:rFonts w:eastAsia="MS Mincho"/>
        </w:rPr>
        <w:t xml:space="preserve"> </w:t>
      </w:r>
      <w:r w:rsidRPr="0025042D">
        <w:rPr>
          <w:rFonts w:eastAsia="MS Mincho"/>
        </w:rPr>
        <w:t>for other health conditions against harm from one’s own gambling problems</w:t>
      </w:r>
      <w:r w:rsidR="00E832B0" w:rsidRPr="0025042D">
        <w:rPr>
          <w:rFonts w:eastAsia="MS Mincho"/>
        </w:rPr>
        <w:t>.</w:t>
      </w:r>
      <w:r w:rsidR="008610D3" w:rsidRPr="0025042D">
        <w:rPr>
          <w:rFonts w:eastAsia="MS Mincho"/>
        </w:rPr>
        <w:t xml:space="preserve"> </w:t>
      </w:r>
      <w:r w:rsidRPr="0025042D">
        <w:rPr>
          <w:rFonts w:eastAsia="MS Mincho"/>
        </w:rPr>
        <w:t xml:space="preserve">The </w:t>
      </w:r>
      <w:r w:rsidR="0025042D">
        <w:rPr>
          <w:rFonts w:eastAsia="MS Mincho"/>
        </w:rPr>
        <w:t>QALY</w:t>
      </w:r>
      <w:r w:rsidR="0025042D" w:rsidRPr="0025042D">
        <w:rPr>
          <w:rFonts w:eastAsia="MS Mincho"/>
          <w:vertAlign w:val="subscript"/>
        </w:rPr>
        <w:t>1</w:t>
      </w:r>
      <w:r w:rsidR="0025042D" w:rsidRPr="0025042D">
        <w:rPr>
          <w:rFonts w:eastAsia="MS Mincho"/>
        </w:rPr>
        <w:t xml:space="preserve"> </w:t>
      </w:r>
      <w:r w:rsidRPr="0025042D">
        <w:rPr>
          <w:rFonts w:eastAsia="MS Mincho"/>
        </w:rPr>
        <w:t xml:space="preserve">in the New Zealand adult population due to gambling problems (low-risk, moderate-risk and problem gambling combined) was </w:t>
      </w:r>
      <w:r w:rsidR="008C6CBB" w:rsidRPr="0025042D">
        <w:rPr>
          <w:rFonts w:eastAsia="MS Mincho"/>
        </w:rPr>
        <w:t xml:space="preserve">just over </w:t>
      </w:r>
      <w:r w:rsidRPr="0025042D">
        <w:rPr>
          <w:rFonts w:eastAsia="MS Mincho"/>
        </w:rPr>
        <w:t>three-quarters the harm of hazardous drinking of alcohol and</w:t>
      </w:r>
      <w:r w:rsidR="00D6749F" w:rsidRPr="0025042D">
        <w:rPr>
          <w:rFonts w:eastAsia="MS Mincho"/>
        </w:rPr>
        <w:t xml:space="preserve"> nearly</w:t>
      </w:r>
      <w:r w:rsidRPr="0025042D">
        <w:rPr>
          <w:rFonts w:eastAsia="MS Mincho"/>
        </w:rPr>
        <w:t xml:space="preserve"> two-thirds of the harm of anxiety and depressive disorders.</w:t>
      </w:r>
    </w:p>
    <w:p w14:paraId="5583754B" w14:textId="714B8585" w:rsidR="006C7F31" w:rsidRPr="0025042D" w:rsidRDefault="006C7F31" w:rsidP="006C7F31">
      <w:pPr>
        <w:pStyle w:val="VRGFBodycontent"/>
        <w:rPr>
          <w:rFonts w:eastAsia="MS Mincho"/>
        </w:rPr>
      </w:pPr>
      <w:r w:rsidRPr="0025042D">
        <w:rPr>
          <w:rFonts w:eastAsia="MS Mincho"/>
        </w:rPr>
        <w:t>Annually</w:t>
      </w:r>
      <w:r w:rsidR="004A30E1" w:rsidRPr="0025042D">
        <w:rPr>
          <w:rFonts w:eastAsia="MS Mincho"/>
        </w:rPr>
        <w:t>,</w:t>
      </w:r>
      <w:r w:rsidRPr="0025042D">
        <w:rPr>
          <w:rFonts w:eastAsia="MS Mincho"/>
        </w:rPr>
        <w:t xml:space="preserve"> gambling problems generate significantly more ongoing harm </w:t>
      </w:r>
      <w:r w:rsidR="0025042D">
        <w:rPr>
          <w:rFonts w:eastAsia="MS Mincho"/>
        </w:rPr>
        <w:t xml:space="preserve">(years of healthy life lost) </w:t>
      </w:r>
      <w:r w:rsidRPr="0025042D">
        <w:rPr>
          <w:rFonts w:eastAsia="MS Mincho"/>
        </w:rPr>
        <w:t>tha</w:t>
      </w:r>
      <w:r w:rsidR="004A30E1" w:rsidRPr="0025042D">
        <w:rPr>
          <w:rFonts w:eastAsia="MS Mincho"/>
        </w:rPr>
        <w:t>n</w:t>
      </w:r>
      <w:r w:rsidRPr="0025042D">
        <w:rPr>
          <w:rFonts w:eastAsia="MS Mincho"/>
        </w:rPr>
        <w:t xml:space="preserve"> other key health conditions such as osteoarthritis, diabetes, and drug use disorders</w:t>
      </w:r>
      <w:r w:rsidR="00E832B0" w:rsidRPr="0025042D">
        <w:rPr>
          <w:rFonts w:eastAsia="MS Mincho"/>
        </w:rPr>
        <w:t>.</w:t>
      </w:r>
      <w:r w:rsidR="008610D3" w:rsidRPr="0025042D">
        <w:rPr>
          <w:rFonts w:eastAsia="MS Mincho"/>
        </w:rPr>
        <w:t xml:space="preserve"> </w:t>
      </w:r>
      <w:r w:rsidRPr="0025042D">
        <w:rPr>
          <w:rFonts w:eastAsia="MS Mincho"/>
        </w:rPr>
        <w:t>Furthermore, the aggregate harm of gambling problems is close to double that of drug use disorders, bipolar affective disorder, eating disorders and schizophrenia combined</w:t>
      </w:r>
      <w:r w:rsidR="00E832B0" w:rsidRPr="0025042D">
        <w:rPr>
          <w:rFonts w:eastAsia="MS Mincho"/>
        </w:rPr>
        <w:t>.</w:t>
      </w:r>
      <w:r w:rsidR="008610D3" w:rsidRPr="0025042D">
        <w:rPr>
          <w:rFonts w:eastAsia="MS Mincho"/>
        </w:rPr>
        <w:t xml:space="preserve"> </w:t>
      </w:r>
      <w:r w:rsidRPr="0025042D">
        <w:rPr>
          <w:rFonts w:eastAsia="MS Mincho"/>
        </w:rPr>
        <w:t>Problem gamblers, which account for less than 1% of the NZ population, accumulate more harm per year than those suffering from COPD and asthma, as well as mental health conditions of bipolar affective disorder and schizophrenia</w:t>
      </w:r>
      <w:r w:rsidR="00E832B0" w:rsidRPr="0025042D">
        <w:rPr>
          <w:rFonts w:eastAsia="MS Mincho"/>
        </w:rPr>
        <w:t>.</w:t>
      </w:r>
      <w:r w:rsidR="008610D3" w:rsidRPr="0025042D">
        <w:rPr>
          <w:rFonts w:eastAsia="MS Mincho"/>
        </w:rPr>
        <w:t xml:space="preserve"> </w:t>
      </w:r>
    </w:p>
    <w:p w14:paraId="2F37A13A" w14:textId="1D38955C" w:rsidR="006C7F31" w:rsidRDefault="006C7F31" w:rsidP="006C7F31">
      <w:pPr>
        <w:pStyle w:val="VRGFBodycontent"/>
        <w:rPr>
          <w:rFonts w:eastAsia="MS Mincho"/>
        </w:rPr>
      </w:pPr>
      <w:r w:rsidRPr="0025042D">
        <w:rPr>
          <w:rFonts w:eastAsia="MS Mincho"/>
        </w:rPr>
        <w:t xml:space="preserve">Alcohol and depression have similar utility decrements to low-risk gambling, but yield a higher aggregate </w:t>
      </w:r>
      <w:r w:rsidR="0025042D">
        <w:rPr>
          <w:rFonts w:eastAsia="MS Mincho"/>
        </w:rPr>
        <w:t>QALY</w:t>
      </w:r>
      <w:r w:rsidR="0025042D" w:rsidRPr="0025042D">
        <w:rPr>
          <w:rFonts w:eastAsia="MS Mincho"/>
          <w:vertAlign w:val="subscript"/>
        </w:rPr>
        <w:t>1</w:t>
      </w:r>
      <w:r w:rsidR="0025042D" w:rsidRPr="0025042D">
        <w:rPr>
          <w:rFonts w:eastAsia="MS Mincho"/>
        </w:rPr>
        <w:t xml:space="preserve"> </w:t>
      </w:r>
      <w:r w:rsidRPr="0025042D">
        <w:rPr>
          <w:rFonts w:eastAsia="MS Mincho"/>
        </w:rPr>
        <w:t>due to th</w:t>
      </w:r>
      <w:r w:rsidR="001A3F83" w:rsidRPr="0025042D">
        <w:rPr>
          <w:rFonts w:eastAsia="MS Mincho"/>
        </w:rPr>
        <w:t>e relatively higher prevalence.</w:t>
      </w:r>
    </w:p>
    <w:p w14:paraId="2177BD20" w14:textId="77777777" w:rsidR="002901C9" w:rsidRDefault="002901C9" w:rsidP="006C7F31">
      <w:pPr>
        <w:pStyle w:val="VRGFBodycontent"/>
        <w:rPr>
          <w:rFonts w:eastAsia="MS Mincho"/>
        </w:rPr>
      </w:pPr>
    </w:p>
    <w:p w14:paraId="043105E4" w14:textId="36BB730E" w:rsidR="006C7F31" w:rsidRDefault="006C7F31" w:rsidP="006C7F31">
      <w:pPr>
        <w:pStyle w:val="Caption"/>
      </w:pPr>
    </w:p>
    <w:p w14:paraId="49999F13" w14:textId="1EC6BAE6" w:rsidR="008C6CBB" w:rsidRPr="008C6CBB" w:rsidRDefault="00AF621D" w:rsidP="00B109E5">
      <w:pPr>
        <w:tabs>
          <w:tab w:val="clear" w:pos="426"/>
        </w:tabs>
        <w:spacing w:after="0"/>
        <w:ind w:left="0"/>
      </w:pPr>
      <w:r w:rsidRPr="00AF621D">
        <w:rPr>
          <w:noProof/>
          <w:lang w:val="en-NZ" w:eastAsia="en-NZ"/>
        </w:rPr>
        <w:lastRenderedPageBreak/>
        <w:drawing>
          <wp:inline distT="0" distB="0" distL="0" distR="0" wp14:anchorId="56906DDD" wp14:editId="743F4ECC">
            <wp:extent cx="5781675" cy="37577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2708" cy="3764964"/>
                    </a:xfrm>
                    <a:prstGeom prst="rect">
                      <a:avLst/>
                    </a:prstGeom>
                    <a:noFill/>
                    <a:ln>
                      <a:noFill/>
                    </a:ln>
                  </pic:spPr>
                </pic:pic>
              </a:graphicData>
            </a:graphic>
          </wp:inline>
        </w:drawing>
      </w:r>
      <w:r w:rsidRPr="00AF621D">
        <w:t xml:space="preserve"> </w:t>
      </w:r>
    </w:p>
    <w:p w14:paraId="67BBAACE" w14:textId="04593F91" w:rsidR="006C7F31" w:rsidRPr="00AF621D" w:rsidRDefault="00320D9A" w:rsidP="00320D9A">
      <w:pPr>
        <w:pStyle w:val="Caption"/>
        <w:rPr>
          <w:color w:val="1C3158"/>
        </w:rPr>
      </w:pPr>
      <w:bookmarkStart w:id="354" w:name="_Ref445565983"/>
      <w:bookmarkStart w:id="355" w:name="_Ref429651569"/>
      <w:bookmarkStart w:id="356" w:name="_Toc440900321"/>
      <w:bookmarkStart w:id="357" w:name="_Toc462738101"/>
      <w:r w:rsidRPr="00AF621D">
        <w:t xml:space="preserve">Figure </w:t>
      </w:r>
      <w:fldSimple w:instr=" SEQ Figure \* ARABIC ">
        <w:r w:rsidR="0006479A">
          <w:rPr>
            <w:noProof/>
          </w:rPr>
          <w:t>18</w:t>
        </w:r>
      </w:fldSimple>
      <w:bookmarkEnd w:id="354"/>
      <w:r w:rsidR="00E832B0" w:rsidRPr="00AF621D">
        <w:t>.</w:t>
      </w:r>
      <w:r w:rsidR="008610D3" w:rsidRPr="00AF621D">
        <w:t xml:space="preserve"> </w:t>
      </w:r>
      <w:bookmarkEnd w:id="355"/>
      <w:r w:rsidR="00E3060C">
        <w:rPr>
          <w:color w:val="1C3158"/>
        </w:rPr>
        <w:t>QALY</w:t>
      </w:r>
      <w:r w:rsidR="00E3060C" w:rsidRPr="00AF621D">
        <w:rPr>
          <w:rFonts w:eastAsia="MS Mincho"/>
          <w:color w:val="1C3158"/>
          <w:vertAlign w:val="subscript"/>
        </w:rPr>
        <w:t>1</w:t>
      </w:r>
      <w:r w:rsidR="00E3060C" w:rsidRPr="00AF621D">
        <w:rPr>
          <w:color w:val="1C3158"/>
        </w:rPr>
        <w:t xml:space="preserve"> </w:t>
      </w:r>
      <w:r w:rsidR="006C7F31" w:rsidRPr="00AF621D">
        <w:rPr>
          <w:color w:val="1C3158"/>
        </w:rPr>
        <w:t>in the New Zealand adult population - gambling problems versus other health states</w:t>
      </w:r>
      <w:bookmarkEnd w:id="356"/>
      <w:bookmarkEnd w:id="357"/>
    </w:p>
    <w:p w14:paraId="25949CC5" w14:textId="77777777" w:rsidR="006C7F31" w:rsidRPr="00AF621D" w:rsidRDefault="006C7F31" w:rsidP="006C7F31">
      <w:pPr>
        <w:pStyle w:val="VRGFBodycontent"/>
        <w:rPr>
          <w:rFonts w:eastAsia="MS Mincho"/>
        </w:rPr>
      </w:pPr>
    </w:p>
    <w:p w14:paraId="514EF5AD" w14:textId="11BD091F" w:rsidR="006C7F31" w:rsidRPr="00AF621D" w:rsidRDefault="00C55215" w:rsidP="006C7F31">
      <w:pPr>
        <w:pStyle w:val="VRGFHead3"/>
      </w:pPr>
      <w:bookmarkStart w:id="358" w:name="_Toc462738074"/>
      <w:r w:rsidRPr="00AF621D">
        <w:t>Harm and d</w:t>
      </w:r>
      <w:r w:rsidR="006C7F31" w:rsidRPr="00AF621D">
        <w:t xml:space="preserve">emographic </w:t>
      </w:r>
      <w:r w:rsidRPr="00AF621D">
        <w:t>d</w:t>
      </w:r>
      <w:r w:rsidR="006C7F31" w:rsidRPr="00AF621D">
        <w:t>ifferences</w:t>
      </w:r>
      <w:bookmarkEnd w:id="358"/>
    </w:p>
    <w:p w14:paraId="5D33CBF5" w14:textId="46CE6A3E" w:rsidR="006C7F31" w:rsidRPr="00AF621D" w:rsidRDefault="006C7F31" w:rsidP="006C7F31">
      <w:pPr>
        <w:pStyle w:val="VRGFBodycontent"/>
        <w:rPr>
          <w:rFonts w:eastAsia="MS Mincho"/>
        </w:rPr>
      </w:pPr>
      <w:r w:rsidRPr="00AF621D">
        <w:rPr>
          <w:rFonts w:eastAsia="MS Mincho"/>
        </w:rPr>
        <w:t>A descriptive analysis was conducted to identify the relative contribution of total years of</w:t>
      </w:r>
      <w:r w:rsidR="00AF621D">
        <w:rPr>
          <w:rFonts w:eastAsia="MS Mincho"/>
        </w:rPr>
        <w:t xml:space="preserve"> healthy</w:t>
      </w:r>
      <w:r w:rsidRPr="00AF621D">
        <w:rPr>
          <w:rFonts w:eastAsia="MS Mincho"/>
        </w:rPr>
        <w:t xml:space="preserve"> life lost annually in the New Zealand adult population due to own gambling problems by demographic characteristics and PGSI category</w:t>
      </w:r>
      <w:r w:rsidR="00E832B0" w:rsidRPr="00AF621D">
        <w:rPr>
          <w:rFonts w:eastAsia="MS Mincho"/>
        </w:rPr>
        <w:t>.</w:t>
      </w:r>
      <w:r w:rsidR="008610D3" w:rsidRPr="00AF621D">
        <w:rPr>
          <w:rFonts w:eastAsia="MS Mincho"/>
        </w:rPr>
        <w:t xml:space="preserve"> </w:t>
      </w:r>
      <w:r w:rsidRPr="00AF621D">
        <w:rPr>
          <w:rFonts w:eastAsia="MS Mincho"/>
        </w:rPr>
        <w:t>For analysis</w:t>
      </w:r>
      <w:r w:rsidR="009A65C5" w:rsidRPr="00AF621D">
        <w:rPr>
          <w:rFonts w:eastAsia="MS Mincho"/>
        </w:rPr>
        <w:t>,</w:t>
      </w:r>
      <w:r w:rsidRPr="00AF621D">
        <w:rPr>
          <w:rFonts w:eastAsia="MS Mincho"/>
        </w:rPr>
        <w:t xml:space="preserve"> the </w:t>
      </w:r>
      <w:r w:rsidR="00AE4FEB" w:rsidRPr="00AF621D">
        <w:rPr>
          <w:rFonts w:eastAsia="MS Mincho"/>
        </w:rPr>
        <w:t>gambling</w:t>
      </w:r>
      <w:r w:rsidR="00AF621D">
        <w:rPr>
          <w:rFonts w:eastAsia="MS Mincho"/>
        </w:rPr>
        <w:t>-related</w:t>
      </w:r>
      <w:r w:rsidR="00AE4FEB" w:rsidRPr="00AF621D">
        <w:rPr>
          <w:rFonts w:eastAsia="MS Mincho"/>
        </w:rPr>
        <w:t xml:space="preserve"> </w:t>
      </w:r>
      <w:r w:rsidRPr="00AF621D">
        <w:rPr>
          <w:rFonts w:eastAsia="MS Mincho"/>
        </w:rPr>
        <w:t>harm utility weights were added to the dataset from the New Zealand 2012 National Gambling Study (</w:t>
      </w:r>
      <w:r w:rsidR="00263368" w:rsidRPr="00AF621D">
        <w:rPr>
          <w:rFonts w:eastAsia="MS Mincho"/>
        </w:rPr>
        <w:t>Abbott et al., 2014a</w:t>
      </w:r>
      <w:r w:rsidRPr="00AF621D">
        <w:rPr>
          <w:rFonts w:eastAsia="MS Mincho"/>
        </w:rPr>
        <w:t>) by PGSI category (Low-Risk = 0.18; Moderate-Risk = 0.37; Problem Gambler = 0.54) and cross</w:t>
      </w:r>
      <w:r w:rsidR="009A65C5" w:rsidRPr="00AF621D">
        <w:rPr>
          <w:rFonts w:eastAsia="MS Mincho"/>
        </w:rPr>
        <w:t>-</w:t>
      </w:r>
      <w:r w:rsidRPr="00AF621D">
        <w:rPr>
          <w:rFonts w:eastAsia="MS Mincho"/>
        </w:rPr>
        <w:t>tabulations run by utility weight (count, mean) x PGSI x demographic</w:t>
      </w:r>
      <w:r w:rsidR="00E832B0" w:rsidRPr="00AF621D">
        <w:rPr>
          <w:rFonts w:eastAsia="MS Mincho"/>
        </w:rPr>
        <w:t>.</w:t>
      </w:r>
      <w:r w:rsidR="008610D3" w:rsidRPr="00AF621D">
        <w:rPr>
          <w:rFonts w:eastAsia="MS Mincho"/>
        </w:rPr>
        <w:t xml:space="preserve"> </w:t>
      </w:r>
      <w:r w:rsidRPr="00AF621D">
        <w:rPr>
          <w:rFonts w:eastAsia="MS Mincho"/>
        </w:rPr>
        <w:t xml:space="preserve">Annual </w:t>
      </w:r>
      <w:r w:rsidR="00AF621D">
        <w:rPr>
          <w:rFonts w:eastAsia="MS Mincho"/>
        </w:rPr>
        <w:t>QALY</w:t>
      </w:r>
      <w:r w:rsidR="00AF621D" w:rsidRPr="00AF621D">
        <w:rPr>
          <w:rFonts w:eastAsia="MS Mincho"/>
          <w:vertAlign w:val="subscript"/>
        </w:rPr>
        <w:t>1</w:t>
      </w:r>
      <w:r w:rsidR="00AF621D" w:rsidRPr="00AF621D">
        <w:rPr>
          <w:rFonts w:eastAsia="MS Mincho"/>
        </w:rPr>
        <w:t xml:space="preserve"> </w:t>
      </w:r>
      <w:r w:rsidRPr="00AF621D">
        <w:rPr>
          <w:rFonts w:eastAsia="MS Mincho"/>
        </w:rPr>
        <w:t xml:space="preserve">were then calculated for each cell, as well as the percentages of the overall </w:t>
      </w:r>
      <w:r w:rsidR="00AF621D">
        <w:rPr>
          <w:rFonts w:eastAsia="MS Mincho"/>
        </w:rPr>
        <w:t>QALY</w:t>
      </w:r>
      <w:r w:rsidR="00AF621D" w:rsidRPr="00AF621D">
        <w:rPr>
          <w:rFonts w:eastAsia="MS Mincho"/>
          <w:vertAlign w:val="subscript"/>
        </w:rPr>
        <w:t>1</w:t>
      </w:r>
      <w:r w:rsidRPr="00AF621D">
        <w:rPr>
          <w:rFonts w:eastAsia="MS Mincho"/>
        </w:rPr>
        <w:t xml:space="preserve">. </w:t>
      </w:r>
    </w:p>
    <w:p w14:paraId="2724553D" w14:textId="4D94B22C" w:rsidR="006C7F31" w:rsidRPr="00951FF3" w:rsidRDefault="006C7F31" w:rsidP="006C7F31">
      <w:pPr>
        <w:pStyle w:val="VRGFBodycontent"/>
      </w:pPr>
      <w:r w:rsidRPr="00AF621D">
        <w:rPr>
          <w:rFonts w:eastAsia="MS Mincho"/>
        </w:rPr>
        <w:t xml:space="preserve">Males in the low-risk category contribute a quarter (25.7%) of the </w:t>
      </w:r>
      <w:r w:rsidR="00AF621D">
        <w:rPr>
          <w:rFonts w:eastAsia="MS Mincho"/>
        </w:rPr>
        <w:t>QALY</w:t>
      </w:r>
      <w:r w:rsidR="00AF621D" w:rsidRPr="00AF621D">
        <w:rPr>
          <w:rFonts w:eastAsia="MS Mincho"/>
          <w:vertAlign w:val="subscript"/>
        </w:rPr>
        <w:t>1</w:t>
      </w:r>
      <w:r w:rsidRPr="00AF621D">
        <w:rPr>
          <w:rFonts w:eastAsia="MS Mincho"/>
        </w:rPr>
        <w:t>, followed by females at low-risk (22.4%)</w:t>
      </w:r>
      <w:r w:rsidR="00E832B0" w:rsidRPr="00AF621D">
        <w:rPr>
          <w:rFonts w:eastAsia="MS Mincho"/>
        </w:rPr>
        <w:t>.</w:t>
      </w:r>
      <w:r w:rsidR="008610D3" w:rsidRPr="00AF621D">
        <w:rPr>
          <w:rFonts w:eastAsia="MS Mincho"/>
        </w:rPr>
        <w:t xml:space="preserve"> </w:t>
      </w:r>
      <w:r w:rsidRPr="00AF621D">
        <w:rPr>
          <w:rFonts w:eastAsia="MS Mincho"/>
        </w:rPr>
        <w:t>See</w:t>
      </w:r>
      <w:r w:rsidR="00320D9A" w:rsidRPr="00AF621D">
        <w:rPr>
          <w:rFonts w:eastAsia="MS Mincho"/>
        </w:rPr>
        <w:t xml:space="preserve"> </w:t>
      </w:r>
      <w:r w:rsidR="00320D9A" w:rsidRPr="00AF621D">
        <w:rPr>
          <w:rFonts w:eastAsia="MS Mincho"/>
        </w:rPr>
        <w:fldChar w:fldCharType="begin"/>
      </w:r>
      <w:r w:rsidR="00320D9A" w:rsidRPr="00AF621D">
        <w:rPr>
          <w:rFonts w:eastAsia="MS Mincho"/>
        </w:rPr>
        <w:instrText xml:space="preserve"> REF _Ref445566131 \h </w:instrText>
      </w:r>
      <w:r w:rsidR="00AF621D">
        <w:rPr>
          <w:rFonts w:eastAsia="MS Mincho"/>
        </w:rPr>
        <w:instrText xml:space="preserve"> \* MERGEFORMAT </w:instrText>
      </w:r>
      <w:r w:rsidR="00320D9A" w:rsidRPr="00AF621D">
        <w:rPr>
          <w:rFonts w:eastAsia="MS Mincho"/>
        </w:rPr>
      </w:r>
      <w:r w:rsidR="00320D9A" w:rsidRPr="00AF621D">
        <w:rPr>
          <w:rFonts w:eastAsia="MS Mincho"/>
        </w:rPr>
        <w:fldChar w:fldCharType="separate"/>
      </w:r>
      <w:r w:rsidR="0006479A">
        <w:t xml:space="preserve">Table </w:t>
      </w:r>
      <w:r w:rsidR="0006479A">
        <w:rPr>
          <w:noProof/>
        </w:rPr>
        <w:t>26</w:t>
      </w:r>
      <w:r w:rsidR="00320D9A" w:rsidRPr="00AF621D">
        <w:rPr>
          <w:rFonts w:eastAsia="MS Mincho"/>
        </w:rPr>
        <w:fldChar w:fldCharType="end"/>
      </w:r>
      <w:r w:rsidRPr="00AF621D">
        <w:rPr>
          <w:rFonts w:eastAsia="MS Mincho"/>
        </w:rPr>
        <w:t xml:space="preserve"> for calculations and</w:t>
      </w:r>
      <w:r w:rsidR="00320D9A" w:rsidRPr="00AF621D">
        <w:rPr>
          <w:rFonts w:eastAsia="MS Mincho"/>
        </w:rPr>
        <w:t xml:space="preserve"> </w:t>
      </w:r>
      <w:r w:rsidR="00320D9A" w:rsidRPr="00AF621D">
        <w:rPr>
          <w:rFonts w:eastAsia="MS Mincho"/>
        </w:rPr>
        <w:fldChar w:fldCharType="begin"/>
      </w:r>
      <w:r w:rsidR="00320D9A" w:rsidRPr="00AF621D">
        <w:rPr>
          <w:rFonts w:eastAsia="MS Mincho"/>
        </w:rPr>
        <w:instrText xml:space="preserve"> REF _Ref445566169 \h </w:instrText>
      </w:r>
      <w:r w:rsidR="00AF621D">
        <w:rPr>
          <w:rFonts w:eastAsia="MS Mincho"/>
        </w:rPr>
        <w:instrText xml:space="preserve"> \* MERGEFORMAT </w:instrText>
      </w:r>
      <w:r w:rsidR="00320D9A" w:rsidRPr="00AF621D">
        <w:rPr>
          <w:rFonts w:eastAsia="MS Mincho"/>
        </w:rPr>
      </w:r>
      <w:r w:rsidR="00320D9A" w:rsidRPr="00AF621D">
        <w:rPr>
          <w:rFonts w:eastAsia="MS Mincho"/>
        </w:rPr>
        <w:fldChar w:fldCharType="separate"/>
      </w:r>
      <w:r w:rsidR="0006479A">
        <w:t xml:space="preserve">Figure </w:t>
      </w:r>
      <w:r w:rsidR="0006479A">
        <w:rPr>
          <w:noProof/>
        </w:rPr>
        <w:t>19</w:t>
      </w:r>
      <w:r w:rsidR="00320D9A" w:rsidRPr="00AF621D">
        <w:rPr>
          <w:rFonts w:eastAsia="MS Mincho"/>
        </w:rPr>
        <w:fldChar w:fldCharType="end"/>
      </w:r>
      <w:r w:rsidR="00320D9A" w:rsidRPr="00AF621D">
        <w:rPr>
          <w:rFonts w:eastAsia="MS Mincho"/>
        </w:rPr>
        <w:t xml:space="preserve"> </w:t>
      </w:r>
      <w:r w:rsidRPr="00AF621D">
        <w:rPr>
          <w:rFonts w:eastAsia="MS Mincho"/>
        </w:rPr>
        <w:t>for a graphical representation.</w:t>
      </w:r>
    </w:p>
    <w:p w14:paraId="37E6D9D4" w14:textId="5C842543" w:rsidR="006C7F31" w:rsidRDefault="00320D9A" w:rsidP="00320D9A">
      <w:pPr>
        <w:pStyle w:val="Caption"/>
        <w:rPr>
          <w:color w:val="1C3158"/>
        </w:rPr>
      </w:pPr>
      <w:bookmarkStart w:id="359" w:name="_Ref445566131"/>
      <w:bookmarkStart w:id="360" w:name="_Ref429651606"/>
      <w:bookmarkStart w:id="361" w:name="_Toc440900348"/>
      <w:bookmarkStart w:id="362" w:name="_Toc462738129"/>
      <w:r>
        <w:t xml:space="preserve">Table </w:t>
      </w:r>
      <w:fldSimple w:instr=" SEQ Table \* ARABIC ">
        <w:r w:rsidR="0006479A">
          <w:rPr>
            <w:noProof/>
          </w:rPr>
          <w:t>26</w:t>
        </w:r>
      </w:fldSimple>
      <w:bookmarkEnd w:id="359"/>
      <w:r w:rsidR="00E832B0">
        <w:t>.</w:t>
      </w:r>
      <w:r w:rsidR="008610D3">
        <w:t xml:space="preserve"> </w:t>
      </w:r>
      <w:bookmarkEnd w:id="360"/>
      <w:r w:rsidR="006C7F31" w:rsidRPr="004602B5">
        <w:rPr>
          <w:color w:val="1C3158"/>
        </w:rPr>
        <w:t>Gambling</w:t>
      </w:r>
      <w:r w:rsidR="00AF621D">
        <w:rPr>
          <w:color w:val="1C3158"/>
        </w:rPr>
        <w:t xml:space="preserve">-related </w:t>
      </w:r>
      <w:r w:rsidR="006C7F31" w:rsidRPr="004602B5">
        <w:rPr>
          <w:color w:val="1C3158"/>
        </w:rPr>
        <w:t>harms to the New Zealand adult population by gender and PGSI category</w:t>
      </w:r>
      <w:bookmarkEnd w:id="361"/>
      <w:bookmarkEnd w:id="362"/>
    </w:p>
    <w:tbl>
      <w:tblPr>
        <w:tblW w:w="8618" w:type="dxa"/>
        <w:tblLook w:val="04A0" w:firstRow="1" w:lastRow="0" w:firstColumn="1" w:lastColumn="0" w:noHBand="0" w:noVBand="1"/>
      </w:tblPr>
      <w:tblGrid>
        <w:gridCol w:w="2537"/>
        <w:gridCol w:w="1134"/>
        <w:gridCol w:w="1418"/>
        <w:gridCol w:w="1133"/>
        <w:gridCol w:w="1418"/>
        <w:gridCol w:w="978"/>
      </w:tblGrid>
      <w:tr w:rsidR="006C7F31" w:rsidRPr="00D010EF" w14:paraId="384C5F76" w14:textId="77777777" w:rsidTr="004C3613">
        <w:trPr>
          <w:trHeight w:val="330"/>
        </w:trPr>
        <w:tc>
          <w:tcPr>
            <w:tcW w:w="2537" w:type="dxa"/>
            <w:vMerge w:val="restart"/>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2E3F7D99" w14:textId="77777777" w:rsidR="006C7F31" w:rsidRPr="00D010EF" w:rsidRDefault="006C7F31" w:rsidP="006C7F31">
            <w:pPr>
              <w:tabs>
                <w:tab w:val="clear" w:pos="426"/>
              </w:tabs>
              <w:spacing w:before="0" w:after="0" w:line="240" w:lineRule="auto"/>
              <w:ind w:left="0" w:right="0"/>
              <w:rPr>
                <w:rFonts w:cs="Arial"/>
                <w:b/>
                <w:bCs/>
                <w:color w:val="1C3158"/>
                <w:sz w:val="18"/>
                <w:lang w:eastAsia="ja-JP"/>
              </w:rPr>
            </w:pPr>
            <w:r w:rsidRPr="00D010EF">
              <w:rPr>
                <w:rFonts w:cs="Arial"/>
                <w:b/>
                <w:bCs/>
                <w:color w:val="1C3158"/>
                <w:sz w:val="18"/>
                <w:lang w:eastAsia="ja-JP"/>
              </w:rPr>
              <w:t>PGSI Category</w:t>
            </w:r>
          </w:p>
        </w:tc>
        <w:tc>
          <w:tcPr>
            <w:tcW w:w="2552"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54C2196B"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Males</w:t>
            </w:r>
          </w:p>
        </w:tc>
        <w:tc>
          <w:tcPr>
            <w:tcW w:w="2551"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555F89C"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Females</w:t>
            </w:r>
          </w:p>
        </w:tc>
        <w:tc>
          <w:tcPr>
            <w:tcW w:w="978" w:type="dxa"/>
            <w:vMerge w:val="restart"/>
            <w:tcBorders>
              <w:top w:val="single" w:sz="12" w:space="0" w:color="FF9E3C"/>
              <w:left w:val="single" w:sz="12" w:space="0" w:color="FF9E3C"/>
              <w:bottom w:val="single" w:sz="12" w:space="0" w:color="FF9E3C"/>
              <w:right w:val="single" w:sz="12" w:space="0" w:color="FF9E3C"/>
            </w:tcBorders>
            <w:shd w:val="clear" w:color="000000" w:fill="FFBC64"/>
            <w:noWrap/>
            <w:vAlign w:val="center"/>
            <w:hideMark/>
          </w:tcPr>
          <w:p w14:paraId="3E2F513D"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Total</w:t>
            </w:r>
          </w:p>
        </w:tc>
      </w:tr>
      <w:tr w:rsidR="006C7F31" w:rsidRPr="00D010EF" w14:paraId="6C648EA7" w14:textId="77777777" w:rsidTr="004C3613">
        <w:trPr>
          <w:trHeight w:val="330"/>
        </w:trPr>
        <w:tc>
          <w:tcPr>
            <w:tcW w:w="2537" w:type="dxa"/>
            <w:vMerge/>
            <w:tcBorders>
              <w:top w:val="single" w:sz="12" w:space="0" w:color="FF9E3C"/>
              <w:left w:val="single" w:sz="12" w:space="0" w:color="FF9E3C"/>
              <w:bottom w:val="single" w:sz="12" w:space="0" w:color="FF9E3C"/>
              <w:right w:val="single" w:sz="12" w:space="0" w:color="FF9E3C"/>
            </w:tcBorders>
            <w:vAlign w:val="center"/>
            <w:hideMark/>
          </w:tcPr>
          <w:p w14:paraId="64F70496" w14:textId="77777777" w:rsidR="006C7F31" w:rsidRPr="00D010EF" w:rsidRDefault="006C7F31" w:rsidP="006C7F31">
            <w:pPr>
              <w:tabs>
                <w:tab w:val="clear" w:pos="426"/>
              </w:tabs>
              <w:spacing w:before="0" w:after="0" w:line="240" w:lineRule="auto"/>
              <w:ind w:left="0" w:right="0"/>
              <w:rPr>
                <w:rFonts w:cs="Arial"/>
                <w:b/>
                <w:bCs/>
                <w:color w:val="1C3158"/>
                <w:sz w:val="18"/>
                <w:lang w:eastAsia="ja-JP"/>
              </w:rPr>
            </w:pPr>
          </w:p>
        </w:tc>
        <w:tc>
          <w:tcPr>
            <w:tcW w:w="1134" w:type="dxa"/>
            <w:tcBorders>
              <w:top w:val="nil"/>
              <w:left w:val="nil"/>
              <w:bottom w:val="single" w:sz="12" w:space="0" w:color="FF9E3C"/>
              <w:right w:val="single" w:sz="12" w:space="0" w:color="FF9E3C"/>
            </w:tcBorders>
            <w:shd w:val="clear" w:color="000000" w:fill="FFBC64"/>
            <w:vAlign w:val="center"/>
            <w:hideMark/>
          </w:tcPr>
          <w:p w14:paraId="7377DCB5" w14:textId="2A2E4AC4" w:rsidR="006C7F31" w:rsidRPr="00D010EF" w:rsidRDefault="00AF621D"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D010EF">
              <w:rPr>
                <w:rFonts w:cs="Arial"/>
                <w:b/>
                <w:bCs/>
                <w:color w:val="1C3158"/>
                <w:szCs w:val="20"/>
                <w:vertAlign w:val="subscript"/>
                <w:lang w:eastAsia="ja-JP"/>
              </w:rPr>
              <w:t>1</w:t>
            </w:r>
          </w:p>
        </w:tc>
        <w:tc>
          <w:tcPr>
            <w:tcW w:w="1418" w:type="dxa"/>
            <w:tcBorders>
              <w:top w:val="nil"/>
              <w:left w:val="nil"/>
              <w:bottom w:val="single" w:sz="12" w:space="0" w:color="FF9E3C"/>
              <w:right w:val="single" w:sz="12" w:space="0" w:color="FF9E3C"/>
            </w:tcBorders>
            <w:shd w:val="clear" w:color="000000" w:fill="FFBC64"/>
            <w:vAlign w:val="center"/>
            <w:hideMark/>
          </w:tcPr>
          <w:p w14:paraId="585B135F"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 Pop. Harm</w:t>
            </w:r>
          </w:p>
        </w:tc>
        <w:tc>
          <w:tcPr>
            <w:tcW w:w="1133" w:type="dxa"/>
            <w:tcBorders>
              <w:top w:val="nil"/>
              <w:left w:val="nil"/>
              <w:bottom w:val="single" w:sz="12" w:space="0" w:color="FF9E3C"/>
              <w:right w:val="single" w:sz="12" w:space="0" w:color="FF9E3C"/>
            </w:tcBorders>
            <w:shd w:val="clear" w:color="000000" w:fill="FFBC64"/>
            <w:vAlign w:val="center"/>
            <w:hideMark/>
          </w:tcPr>
          <w:p w14:paraId="39031B06" w14:textId="3E6AEB74" w:rsidR="006C7F31" w:rsidRPr="00D010EF" w:rsidRDefault="00AF621D"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D010EF">
              <w:rPr>
                <w:rFonts w:cs="Arial"/>
                <w:b/>
                <w:bCs/>
                <w:color w:val="1C3158"/>
                <w:szCs w:val="20"/>
                <w:vertAlign w:val="subscript"/>
                <w:lang w:eastAsia="ja-JP"/>
              </w:rPr>
              <w:t>1</w:t>
            </w:r>
          </w:p>
        </w:tc>
        <w:tc>
          <w:tcPr>
            <w:tcW w:w="1418" w:type="dxa"/>
            <w:tcBorders>
              <w:top w:val="nil"/>
              <w:left w:val="nil"/>
              <w:bottom w:val="single" w:sz="12" w:space="0" w:color="FF9E3C"/>
              <w:right w:val="single" w:sz="12" w:space="0" w:color="FF9E3C"/>
            </w:tcBorders>
            <w:shd w:val="clear" w:color="000000" w:fill="FFBC64"/>
            <w:vAlign w:val="center"/>
            <w:hideMark/>
          </w:tcPr>
          <w:p w14:paraId="47308427"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 Pop. Harm</w:t>
            </w:r>
          </w:p>
        </w:tc>
        <w:tc>
          <w:tcPr>
            <w:tcW w:w="978" w:type="dxa"/>
            <w:vMerge/>
            <w:tcBorders>
              <w:top w:val="single" w:sz="12" w:space="0" w:color="FF9E3C"/>
              <w:left w:val="single" w:sz="12" w:space="0" w:color="FF9E3C"/>
              <w:bottom w:val="single" w:sz="12" w:space="0" w:color="FF9E3C"/>
              <w:right w:val="single" w:sz="12" w:space="0" w:color="FF9E3C"/>
            </w:tcBorders>
            <w:vAlign w:val="center"/>
            <w:hideMark/>
          </w:tcPr>
          <w:p w14:paraId="2B4AB73E" w14:textId="77777777" w:rsidR="006C7F31" w:rsidRPr="00D010EF" w:rsidRDefault="006C7F31" w:rsidP="006C7F31">
            <w:pPr>
              <w:tabs>
                <w:tab w:val="clear" w:pos="426"/>
              </w:tabs>
              <w:spacing w:before="0" w:after="0" w:line="240" w:lineRule="auto"/>
              <w:ind w:left="0" w:right="0"/>
              <w:rPr>
                <w:rFonts w:cs="Arial"/>
                <w:b/>
                <w:bCs/>
                <w:color w:val="1C3158"/>
                <w:sz w:val="18"/>
                <w:lang w:eastAsia="ja-JP"/>
              </w:rPr>
            </w:pPr>
          </w:p>
        </w:tc>
      </w:tr>
      <w:tr w:rsidR="006C7F31" w:rsidRPr="00D010EF" w14:paraId="449D942A" w14:textId="77777777" w:rsidTr="004C3613">
        <w:trPr>
          <w:trHeight w:val="330"/>
        </w:trPr>
        <w:tc>
          <w:tcPr>
            <w:tcW w:w="2537" w:type="dxa"/>
            <w:tcBorders>
              <w:top w:val="nil"/>
              <w:left w:val="single" w:sz="12" w:space="0" w:color="FF9E3C"/>
              <w:bottom w:val="single" w:sz="12" w:space="0" w:color="FF9E3C"/>
              <w:right w:val="single" w:sz="12" w:space="0" w:color="FF9E3C"/>
            </w:tcBorders>
            <w:shd w:val="clear" w:color="auto" w:fill="auto"/>
            <w:vAlign w:val="center"/>
            <w:hideMark/>
          </w:tcPr>
          <w:p w14:paraId="68C1814B" w14:textId="77777777" w:rsidR="006C7F31" w:rsidRPr="00D010EF" w:rsidRDefault="006C7F31" w:rsidP="006C7F31">
            <w:pPr>
              <w:tabs>
                <w:tab w:val="clear" w:pos="426"/>
              </w:tabs>
              <w:spacing w:before="0" w:after="0" w:line="240" w:lineRule="auto"/>
              <w:ind w:left="0" w:right="0"/>
              <w:rPr>
                <w:rFonts w:cs="Arial"/>
                <w:color w:val="1C3158"/>
                <w:sz w:val="18"/>
                <w:lang w:eastAsia="ja-JP"/>
              </w:rPr>
            </w:pPr>
            <w:r w:rsidRPr="00D010EF">
              <w:rPr>
                <w:rFonts w:cs="Arial"/>
                <w:color w:val="1C3158"/>
                <w:sz w:val="18"/>
                <w:lang w:eastAsia="ja-JP"/>
              </w:rPr>
              <w:t>Low Risk</w:t>
            </w:r>
          </w:p>
        </w:tc>
        <w:tc>
          <w:tcPr>
            <w:tcW w:w="1134" w:type="dxa"/>
            <w:tcBorders>
              <w:top w:val="nil"/>
              <w:left w:val="nil"/>
              <w:bottom w:val="single" w:sz="12" w:space="0" w:color="FF9E3C"/>
              <w:right w:val="single" w:sz="12" w:space="0" w:color="FF9E3C"/>
            </w:tcBorders>
            <w:shd w:val="clear" w:color="auto" w:fill="auto"/>
            <w:vAlign w:val="center"/>
            <w:hideMark/>
          </w:tcPr>
          <w:p w14:paraId="628A1859"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17,256</w:t>
            </w:r>
          </w:p>
        </w:tc>
        <w:tc>
          <w:tcPr>
            <w:tcW w:w="1418" w:type="dxa"/>
            <w:tcBorders>
              <w:top w:val="nil"/>
              <w:left w:val="nil"/>
              <w:bottom w:val="single" w:sz="12" w:space="0" w:color="FF9E3C"/>
              <w:right w:val="single" w:sz="12" w:space="0" w:color="FF9E3C"/>
            </w:tcBorders>
            <w:shd w:val="clear" w:color="auto" w:fill="auto"/>
            <w:vAlign w:val="center"/>
            <w:hideMark/>
          </w:tcPr>
          <w:p w14:paraId="66D50311"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25.7%</w:t>
            </w:r>
          </w:p>
        </w:tc>
        <w:tc>
          <w:tcPr>
            <w:tcW w:w="1133" w:type="dxa"/>
            <w:tcBorders>
              <w:top w:val="nil"/>
              <w:left w:val="nil"/>
              <w:bottom w:val="single" w:sz="12" w:space="0" w:color="FF9E3C"/>
              <w:right w:val="single" w:sz="12" w:space="0" w:color="FF9E3C"/>
            </w:tcBorders>
            <w:shd w:val="clear" w:color="auto" w:fill="auto"/>
            <w:vAlign w:val="center"/>
            <w:hideMark/>
          </w:tcPr>
          <w:p w14:paraId="14E3A33B"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15,024</w:t>
            </w:r>
          </w:p>
        </w:tc>
        <w:tc>
          <w:tcPr>
            <w:tcW w:w="1418" w:type="dxa"/>
            <w:tcBorders>
              <w:top w:val="nil"/>
              <w:left w:val="nil"/>
              <w:bottom w:val="single" w:sz="12" w:space="0" w:color="FF9E3C"/>
              <w:right w:val="single" w:sz="12" w:space="0" w:color="FF9E3C"/>
            </w:tcBorders>
            <w:shd w:val="clear" w:color="auto" w:fill="auto"/>
            <w:vAlign w:val="center"/>
            <w:hideMark/>
          </w:tcPr>
          <w:p w14:paraId="7BF9D22A"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22.4%</w:t>
            </w:r>
          </w:p>
        </w:tc>
        <w:tc>
          <w:tcPr>
            <w:tcW w:w="978" w:type="dxa"/>
            <w:tcBorders>
              <w:top w:val="nil"/>
              <w:left w:val="nil"/>
              <w:bottom w:val="single" w:sz="12" w:space="0" w:color="FF9E3C"/>
              <w:right w:val="single" w:sz="12" w:space="0" w:color="FF9E3C"/>
            </w:tcBorders>
            <w:shd w:val="clear" w:color="auto" w:fill="auto"/>
            <w:vAlign w:val="center"/>
            <w:hideMark/>
          </w:tcPr>
          <w:p w14:paraId="3A009D41"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32,280</w:t>
            </w:r>
          </w:p>
        </w:tc>
      </w:tr>
      <w:tr w:rsidR="006C7F31" w:rsidRPr="00D010EF" w14:paraId="5DFB12C5" w14:textId="77777777" w:rsidTr="004C3613">
        <w:trPr>
          <w:trHeight w:val="330"/>
        </w:trPr>
        <w:tc>
          <w:tcPr>
            <w:tcW w:w="2537" w:type="dxa"/>
            <w:tcBorders>
              <w:top w:val="nil"/>
              <w:left w:val="single" w:sz="12" w:space="0" w:color="FF9E3C"/>
              <w:bottom w:val="single" w:sz="12" w:space="0" w:color="FF9E3C"/>
              <w:right w:val="single" w:sz="12" w:space="0" w:color="FF9E3C"/>
            </w:tcBorders>
            <w:shd w:val="clear" w:color="auto" w:fill="auto"/>
            <w:vAlign w:val="center"/>
            <w:hideMark/>
          </w:tcPr>
          <w:p w14:paraId="6C49E905" w14:textId="77777777" w:rsidR="006C7F31" w:rsidRPr="00D010EF" w:rsidRDefault="006C7F31" w:rsidP="006C7F31">
            <w:pPr>
              <w:tabs>
                <w:tab w:val="clear" w:pos="426"/>
              </w:tabs>
              <w:spacing w:before="0" w:after="0" w:line="240" w:lineRule="auto"/>
              <w:ind w:left="0" w:right="0"/>
              <w:rPr>
                <w:rFonts w:cs="Arial"/>
                <w:color w:val="1C3158"/>
                <w:sz w:val="18"/>
                <w:lang w:eastAsia="ja-JP"/>
              </w:rPr>
            </w:pPr>
            <w:r w:rsidRPr="00D010EF">
              <w:rPr>
                <w:rFonts w:cs="Arial"/>
                <w:color w:val="1C3158"/>
                <w:sz w:val="18"/>
                <w:lang w:eastAsia="ja-JP"/>
              </w:rPr>
              <w:t>Moderate Risk</w:t>
            </w:r>
          </w:p>
        </w:tc>
        <w:tc>
          <w:tcPr>
            <w:tcW w:w="1134" w:type="dxa"/>
            <w:tcBorders>
              <w:top w:val="nil"/>
              <w:left w:val="nil"/>
              <w:bottom w:val="single" w:sz="12" w:space="0" w:color="FF9E3C"/>
              <w:right w:val="single" w:sz="12" w:space="0" w:color="FF9E3C"/>
            </w:tcBorders>
            <w:shd w:val="clear" w:color="auto" w:fill="auto"/>
            <w:vAlign w:val="center"/>
            <w:hideMark/>
          </w:tcPr>
          <w:p w14:paraId="6A7D55E2"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11,962</w:t>
            </w:r>
          </w:p>
        </w:tc>
        <w:tc>
          <w:tcPr>
            <w:tcW w:w="1418" w:type="dxa"/>
            <w:tcBorders>
              <w:top w:val="nil"/>
              <w:left w:val="nil"/>
              <w:bottom w:val="single" w:sz="12" w:space="0" w:color="FF9E3C"/>
              <w:right w:val="single" w:sz="12" w:space="0" w:color="FF9E3C"/>
            </w:tcBorders>
            <w:shd w:val="clear" w:color="auto" w:fill="auto"/>
            <w:vAlign w:val="center"/>
            <w:hideMark/>
          </w:tcPr>
          <w:p w14:paraId="65549CAF"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17.8%</w:t>
            </w:r>
          </w:p>
        </w:tc>
        <w:tc>
          <w:tcPr>
            <w:tcW w:w="1133" w:type="dxa"/>
            <w:tcBorders>
              <w:top w:val="nil"/>
              <w:left w:val="nil"/>
              <w:bottom w:val="single" w:sz="12" w:space="0" w:color="FF9E3C"/>
              <w:right w:val="single" w:sz="12" w:space="0" w:color="FF9E3C"/>
            </w:tcBorders>
            <w:shd w:val="clear" w:color="auto" w:fill="auto"/>
            <w:vAlign w:val="center"/>
            <w:hideMark/>
          </w:tcPr>
          <w:p w14:paraId="7A0BE0C1"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10,615</w:t>
            </w:r>
          </w:p>
        </w:tc>
        <w:tc>
          <w:tcPr>
            <w:tcW w:w="1418" w:type="dxa"/>
            <w:tcBorders>
              <w:top w:val="nil"/>
              <w:left w:val="nil"/>
              <w:bottom w:val="single" w:sz="12" w:space="0" w:color="FF9E3C"/>
              <w:right w:val="single" w:sz="12" w:space="0" w:color="FF9E3C"/>
            </w:tcBorders>
            <w:shd w:val="clear" w:color="auto" w:fill="auto"/>
            <w:vAlign w:val="center"/>
            <w:hideMark/>
          </w:tcPr>
          <w:p w14:paraId="34BA3DA1"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15.8%</w:t>
            </w:r>
          </w:p>
        </w:tc>
        <w:tc>
          <w:tcPr>
            <w:tcW w:w="978" w:type="dxa"/>
            <w:tcBorders>
              <w:top w:val="nil"/>
              <w:left w:val="nil"/>
              <w:bottom w:val="single" w:sz="12" w:space="0" w:color="FF9E3C"/>
              <w:right w:val="single" w:sz="12" w:space="0" w:color="FF9E3C"/>
            </w:tcBorders>
            <w:shd w:val="clear" w:color="auto" w:fill="auto"/>
            <w:vAlign w:val="center"/>
            <w:hideMark/>
          </w:tcPr>
          <w:p w14:paraId="67DB2A85"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22,577</w:t>
            </w:r>
          </w:p>
        </w:tc>
      </w:tr>
      <w:tr w:rsidR="006C7F31" w:rsidRPr="00D010EF" w14:paraId="3BB7E8B7" w14:textId="77777777" w:rsidTr="004C3613">
        <w:trPr>
          <w:trHeight w:val="330"/>
        </w:trPr>
        <w:tc>
          <w:tcPr>
            <w:tcW w:w="2537" w:type="dxa"/>
            <w:tcBorders>
              <w:top w:val="nil"/>
              <w:left w:val="single" w:sz="12" w:space="0" w:color="FF9E3C"/>
              <w:bottom w:val="single" w:sz="12" w:space="0" w:color="FF9E3C"/>
              <w:right w:val="single" w:sz="12" w:space="0" w:color="FF9E3C"/>
            </w:tcBorders>
            <w:shd w:val="clear" w:color="auto" w:fill="auto"/>
            <w:vAlign w:val="center"/>
            <w:hideMark/>
          </w:tcPr>
          <w:p w14:paraId="040C0356" w14:textId="77777777" w:rsidR="006C7F31" w:rsidRPr="00D010EF" w:rsidRDefault="006C7F31" w:rsidP="006C7F31">
            <w:pPr>
              <w:tabs>
                <w:tab w:val="clear" w:pos="426"/>
              </w:tabs>
              <w:spacing w:before="0" w:after="0" w:line="240" w:lineRule="auto"/>
              <w:ind w:left="0" w:right="0"/>
              <w:rPr>
                <w:rFonts w:cs="Arial"/>
                <w:color w:val="1C3158"/>
                <w:sz w:val="18"/>
                <w:lang w:eastAsia="ja-JP"/>
              </w:rPr>
            </w:pPr>
            <w:r w:rsidRPr="00D010EF">
              <w:rPr>
                <w:rFonts w:cs="Arial"/>
                <w:color w:val="1C3158"/>
                <w:sz w:val="18"/>
                <w:lang w:eastAsia="ja-JP"/>
              </w:rPr>
              <w:t>Problem Gambler</w:t>
            </w:r>
          </w:p>
        </w:tc>
        <w:tc>
          <w:tcPr>
            <w:tcW w:w="1134" w:type="dxa"/>
            <w:tcBorders>
              <w:top w:val="nil"/>
              <w:left w:val="nil"/>
              <w:bottom w:val="single" w:sz="12" w:space="0" w:color="FF9E3C"/>
              <w:right w:val="single" w:sz="12" w:space="0" w:color="FF9E3C"/>
            </w:tcBorders>
            <w:shd w:val="clear" w:color="auto" w:fill="auto"/>
            <w:vAlign w:val="center"/>
            <w:hideMark/>
          </w:tcPr>
          <w:p w14:paraId="5BE89FB4"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8,608</w:t>
            </w:r>
          </w:p>
        </w:tc>
        <w:tc>
          <w:tcPr>
            <w:tcW w:w="1418" w:type="dxa"/>
            <w:tcBorders>
              <w:top w:val="nil"/>
              <w:left w:val="nil"/>
              <w:bottom w:val="single" w:sz="12" w:space="0" w:color="FF9E3C"/>
              <w:right w:val="single" w:sz="12" w:space="0" w:color="FF9E3C"/>
            </w:tcBorders>
            <w:shd w:val="clear" w:color="auto" w:fill="auto"/>
            <w:vAlign w:val="center"/>
            <w:hideMark/>
          </w:tcPr>
          <w:p w14:paraId="0643B5B4"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12.8%</w:t>
            </w:r>
          </w:p>
        </w:tc>
        <w:tc>
          <w:tcPr>
            <w:tcW w:w="1133" w:type="dxa"/>
            <w:tcBorders>
              <w:top w:val="nil"/>
              <w:left w:val="nil"/>
              <w:bottom w:val="single" w:sz="12" w:space="0" w:color="FF9E3C"/>
              <w:right w:val="single" w:sz="12" w:space="0" w:color="FF9E3C"/>
            </w:tcBorders>
            <w:shd w:val="clear" w:color="auto" w:fill="auto"/>
            <w:vAlign w:val="center"/>
            <w:hideMark/>
          </w:tcPr>
          <w:p w14:paraId="6E9E70C9"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3,733</w:t>
            </w:r>
          </w:p>
        </w:tc>
        <w:tc>
          <w:tcPr>
            <w:tcW w:w="1418" w:type="dxa"/>
            <w:tcBorders>
              <w:top w:val="nil"/>
              <w:left w:val="nil"/>
              <w:bottom w:val="single" w:sz="12" w:space="0" w:color="FF9E3C"/>
              <w:right w:val="single" w:sz="12" w:space="0" w:color="FF9E3C"/>
            </w:tcBorders>
            <w:shd w:val="clear" w:color="auto" w:fill="auto"/>
            <w:vAlign w:val="center"/>
            <w:hideMark/>
          </w:tcPr>
          <w:p w14:paraId="4F59CA47"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5.6%</w:t>
            </w:r>
          </w:p>
        </w:tc>
        <w:tc>
          <w:tcPr>
            <w:tcW w:w="978" w:type="dxa"/>
            <w:tcBorders>
              <w:top w:val="nil"/>
              <w:left w:val="nil"/>
              <w:bottom w:val="single" w:sz="12" w:space="0" w:color="FF9E3C"/>
              <w:right w:val="single" w:sz="12" w:space="0" w:color="FF9E3C"/>
            </w:tcBorders>
            <w:shd w:val="clear" w:color="auto" w:fill="auto"/>
            <w:vAlign w:val="center"/>
            <w:hideMark/>
          </w:tcPr>
          <w:p w14:paraId="42B1D7FD" w14:textId="77777777" w:rsidR="006C7F31" w:rsidRPr="00D010EF" w:rsidRDefault="006C7F31" w:rsidP="006C7F31">
            <w:pPr>
              <w:tabs>
                <w:tab w:val="clear" w:pos="426"/>
              </w:tabs>
              <w:spacing w:before="0" w:after="0" w:line="240" w:lineRule="auto"/>
              <w:ind w:left="0" w:right="0"/>
              <w:jc w:val="center"/>
              <w:rPr>
                <w:rFonts w:cs="Arial"/>
                <w:color w:val="1C3158"/>
                <w:sz w:val="18"/>
                <w:lang w:eastAsia="ja-JP"/>
              </w:rPr>
            </w:pPr>
            <w:r w:rsidRPr="00D010EF">
              <w:rPr>
                <w:rFonts w:cs="Arial"/>
                <w:color w:val="1C3158"/>
                <w:sz w:val="18"/>
                <w:lang w:eastAsia="ja-JP"/>
              </w:rPr>
              <w:t>12,341</w:t>
            </w:r>
          </w:p>
        </w:tc>
      </w:tr>
      <w:tr w:rsidR="006C7F31" w:rsidRPr="00D010EF" w14:paraId="1CE78A15" w14:textId="77777777" w:rsidTr="004C3613">
        <w:trPr>
          <w:trHeight w:val="330"/>
        </w:trPr>
        <w:tc>
          <w:tcPr>
            <w:tcW w:w="2537" w:type="dxa"/>
            <w:tcBorders>
              <w:top w:val="nil"/>
              <w:left w:val="single" w:sz="12" w:space="0" w:color="FF9E3C"/>
              <w:bottom w:val="single" w:sz="12" w:space="0" w:color="FF9E3C"/>
              <w:right w:val="single" w:sz="12" w:space="0" w:color="FF9E3C"/>
            </w:tcBorders>
            <w:shd w:val="clear" w:color="auto" w:fill="auto"/>
            <w:vAlign w:val="center"/>
            <w:hideMark/>
          </w:tcPr>
          <w:p w14:paraId="19678C39" w14:textId="249F7161" w:rsidR="006C7F31" w:rsidRPr="00D010EF" w:rsidRDefault="006C7F31" w:rsidP="006C7F31">
            <w:pPr>
              <w:tabs>
                <w:tab w:val="clear" w:pos="426"/>
              </w:tabs>
              <w:spacing w:before="0" w:after="0" w:line="240" w:lineRule="auto"/>
              <w:ind w:left="0" w:right="0"/>
              <w:rPr>
                <w:rFonts w:cs="Arial"/>
                <w:b/>
                <w:bCs/>
                <w:color w:val="1C3158"/>
                <w:sz w:val="18"/>
                <w:lang w:eastAsia="ja-JP"/>
              </w:rPr>
            </w:pPr>
            <w:r w:rsidRPr="00D010EF">
              <w:rPr>
                <w:rFonts w:cs="Arial"/>
                <w:b/>
                <w:bCs/>
                <w:color w:val="1C3158"/>
                <w:sz w:val="18"/>
                <w:lang w:eastAsia="ja-JP"/>
              </w:rPr>
              <w:t>Total</w:t>
            </w:r>
            <w:r w:rsidR="00A354FE">
              <w:rPr>
                <w:rFonts w:cs="Arial"/>
                <w:b/>
                <w:bCs/>
                <w:color w:val="1C3158"/>
                <w:sz w:val="18"/>
                <w:lang w:eastAsia="ja-JP"/>
              </w:rPr>
              <w:t xml:space="preserve"> Gambling Problems</w:t>
            </w:r>
          </w:p>
        </w:tc>
        <w:tc>
          <w:tcPr>
            <w:tcW w:w="1134" w:type="dxa"/>
            <w:tcBorders>
              <w:top w:val="nil"/>
              <w:left w:val="nil"/>
              <w:bottom w:val="single" w:sz="12" w:space="0" w:color="FF9E3C"/>
              <w:right w:val="single" w:sz="12" w:space="0" w:color="FF9E3C"/>
            </w:tcBorders>
            <w:shd w:val="clear" w:color="auto" w:fill="auto"/>
            <w:vAlign w:val="center"/>
            <w:hideMark/>
          </w:tcPr>
          <w:p w14:paraId="347B3515"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37,827</w:t>
            </w:r>
          </w:p>
        </w:tc>
        <w:tc>
          <w:tcPr>
            <w:tcW w:w="1418" w:type="dxa"/>
            <w:tcBorders>
              <w:top w:val="nil"/>
              <w:left w:val="nil"/>
              <w:bottom w:val="single" w:sz="12" w:space="0" w:color="FF9E3C"/>
              <w:right w:val="single" w:sz="12" w:space="0" w:color="FF9E3C"/>
            </w:tcBorders>
            <w:shd w:val="clear" w:color="auto" w:fill="auto"/>
            <w:vAlign w:val="center"/>
            <w:hideMark/>
          </w:tcPr>
          <w:p w14:paraId="75B04051"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56.3%</w:t>
            </w:r>
          </w:p>
        </w:tc>
        <w:tc>
          <w:tcPr>
            <w:tcW w:w="1133" w:type="dxa"/>
            <w:tcBorders>
              <w:top w:val="nil"/>
              <w:left w:val="nil"/>
              <w:bottom w:val="single" w:sz="12" w:space="0" w:color="FF9E3C"/>
              <w:right w:val="single" w:sz="12" w:space="0" w:color="FF9E3C"/>
            </w:tcBorders>
            <w:shd w:val="clear" w:color="auto" w:fill="auto"/>
            <w:vAlign w:val="center"/>
            <w:hideMark/>
          </w:tcPr>
          <w:p w14:paraId="05A04D87"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29,371</w:t>
            </w:r>
          </w:p>
        </w:tc>
        <w:tc>
          <w:tcPr>
            <w:tcW w:w="1418" w:type="dxa"/>
            <w:tcBorders>
              <w:top w:val="nil"/>
              <w:left w:val="nil"/>
              <w:bottom w:val="single" w:sz="12" w:space="0" w:color="FF9E3C"/>
              <w:right w:val="single" w:sz="12" w:space="0" w:color="FF9E3C"/>
            </w:tcBorders>
            <w:shd w:val="clear" w:color="auto" w:fill="auto"/>
            <w:vAlign w:val="center"/>
            <w:hideMark/>
          </w:tcPr>
          <w:p w14:paraId="71CAEF4F"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43.7%</w:t>
            </w:r>
          </w:p>
        </w:tc>
        <w:tc>
          <w:tcPr>
            <w:tcW w:w="978" w:type="dxa"/>
            <w:tcBorders>
              <w:top w:val="nil"/>
              <w:left w:val="nil"/>
              <w:bottom w:val="single" w:sz="12" w:space="0" w:color="FF9E3C"/>
              <w:right w:val="single" w:sz="12" w:space="0" w:color="FF9E3C"/>
            </w:tcBorders>
            <w:shd w:val="clear" w:color="auto" w:fill="auto"/>
            <w:vAlign w:val="center"/>
            <w:hideMark/>
          </w:tcPr>
          <w:p w14:paraId="114B9D8B" w14:textId="77777777" w:rsidR="006C7F31" w:rsidRPr="00D010EF" w:rsidRDefault="006C7F31" w:rsidP="006C7F31">
            <w:pPr>
              <w:tabs>
                <w:tab w:val="clear" w:pos="426"/>
              </w:tabs>
              <w:spacing w:before="0" w:after="0" w:line="240" w:lineRule="auto"/>
              <w:ind w:left="0" w:right="0"/>
              <w:jc w:val="center"/>
              <w:rPr>
                <w:rFonts w:cs="Arial"/>
                <w:b/>
                <w:bCs/>
                <w:color w:val="1C3158"/>
                <w:sz w:val="18"/>
                <w:lang w:eastAsia="ja-JP"/>
              </w:rPr>
            </w:pPr>
            <w:r w:rsidRPr="00D010EF">
              <w:rPr>
                <w:rFonts w:cs="Arial"/>
                <w:b/>
                <w:bCs/>
                <w:color w:val="1C3158"/>
                <w:sz w:val="18"/>
                <w:lang w:eastAsia="ja-JP"/>
              </w:rPr>
              <w:t>67,199</w:t>
            </w:r>
          </w:p>
        </w:tc>
      </w:tr>
    </w:tbl>
    <w:p w14:paraId="79A8FE06" w14:textId="209C1649" w:rsidR="006C7F31" w:rsidRPr="00CA1F28" w:rsidRDefault="006C7F31" w:rsidP="002901C9">
      <w:pPr>
        <w:tabs>
          <w:tab w:val="clear" w:pos="426"/>
          <w:tab w:val="left" w:pos="567"/>
        </w:tabs>
        <w:spacing w:after="0" w:line="240" w:lineRule="auto"/>
        <w:ind w:left="0"/>
        <w:rPr>
          <w:rFonts w:eastAsia="MS Mincho" w:cs="Arial"/>
          <w:color w:val="1C3158"/>
          <w:sz w:val="16"/>
        </w:rPr>
      </w:pPr>
      <w:r w:rsidRPr="00CA1F28">
        <w:rPr>
          <w:rFonts w:cs="Arial"/>
          <w:color w:val="1C3158"/>
          <w:sz w:val="16"/>
          <w:szCs w:val="16"/>
        </w:rPr>
        <w:t xml:space="preserve">Weighted population bases: </w:t>
      </w:r>
      <w:r w:rsidRPr="00CA1F28">
        <w:rPr>
          <w:rFonts w:eastAsia="MS Mincho" w:cs="Arial"/>
          <w:color w:val="1C3158"/>
          <w:sz w:val="16"/>
        </w:rPr>
        <w:t>Total New Zealand PGSI 1+ (n=260,011)</w:t>
      </w:r>
      <w:r w:rsidR="00E832B0">
        <w:rPr>
          <w:rFonts w:eastAsia="MS Mincho" w:cs="Arial"/>
          <w:color w:val="1C3158"/>
          <w:sz w:val="16"/>
        </w:rPr>
        <w:t>.</w:t>
      </w:r>
      <w:r w:rsidR="008610D3">
        <w:rPr>
          <w:rFonts w:eastAsia="MS Mincho" w:cs="Arial"/>
          <w:color w:val="1C3158"/>
          <w:sz w:val="16"/>
        </w:rPr>
        <w:t xml:space="preserve"> </w:t>
      </w:r>
      <w:r w:rsidRPr="00CA1F28">
        <w:rPr>
          <w:rFonts w:eastAsia="MS Mincho" w:cs="Arial"/>
          <w:color w:val="1C3158"/>
          <w:sz w:val="16"/>
        </w:rPr>
        <w:t>PGSI: low-risk (n=175,511), moderate-risk (n=</w:t>
      </w:r>
      <w:r w:rsidRPr="00CA1F28">
        <w:rPr>
          <w:color w:val="1C3158"/>
        </w:rPr>
        <w:t xml:space="preserve"> </w:t>
      </w:r>
      <w:r w:rsidRPr="00CA1F28">
        <w:rPr>
          <w:rFonts w:eastAsia="MS Mincho" w:cs="Arial"/>
          <w:color w:val="1C3158"/>
          <w:sz w:val="16"/>
        </w:rPr>
        <w:t>61,470), problem gambling (n=23,029)</w:t>
      </w:r>
      <w:r w:rsidR="00E832B0">
        <w:rPr>
          <w:rFonts w:eastAsia="MS Mincho" w:cs="Arial"/>
          <w:color w:val="1C3158"/>
          <w:sz w:val="16"/>
        </w:rPr>
        <w:t>.</w:t>
      </w:r>
      <w:r w:rsidR="008610D3">
        <w:rPr>
          <w:rFonts w:eastAsia="MS Mincho" w:cs="Arial"/>
          <w:color w:val="1C3158"/>
          <w:sz w:val="16"/>
        </w:rPr>
        <w:t xml:space="preserve"> </w:t>
      </w:r>
      <w:r w:rsidRPr="00CA1F28">
        <w:rPr>
          <w:rFonts w:eastAsia="MS Mincho" w:cs="Arial"/>
          <w:color w:val="1C3158"/>
          <w:sz w:val="16"/>
        </w:rPr>
        <w:t>Gender: males PGSI 1+ (n=142,458), females PGSI 1+ (n=117,553).</w:t>
      </w:r>
    </w:p>
    <w:p w14:paraId="6326276F" w14:textId="77777777" w:rsidR="006C7F31" w:rsidRDefault="006C7F31" w:rsidP="006C7F31">
      <w:pPr>
        <w:pStyle w:val="VRGFBodycontent"/>
        <w:rPr>
          <w:rFonts w:eastAsia="MS Mincho"/>
        </w:rPr>
      </w:pPr>
    </w:p>
    <w:p w14:paraId="49C3C5E2" w14:textId="26D7998F" w:rsidR="006C7F31" w:rsidRDefault="00A91BC1" w:rsidP="00B109E5">
      <w:pPr>
        <w:spacing w:before="0" w:after="0"/>
        <w:ind w:left="0"/>
        <w:rPr>
          <w:rFonts w:cs="Arial"/>
          <w:color w:val="4E84C4"/>
          <w:szCs w:val="19"/>
        </w:rPr>
      </w:pPr>
      <w:r w:rsidRPr="00A91BC1">
        <w:rPr>
          <w:noProof/>
          <w:lang w:val="en-NZ" w:eastAsia="en-NZ"/>
        </w:rPr>
        <w:lastRenderedPageBreak/>
        <w:drawing>
          <wp:inline distT="0" distB="0" distL="0" distR="0" wp14:anchorId="6577E4EB" wp14:editId="6671A58C">
            <wp:extent cx="5731510" cy="3726988"/>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726988"/>
                    </a:xfrm>
                    <a:prstGeom prst="rect">
                      <a:avLst/>
                    </a:prstGeom>
                    <a:noFill/>
                    <a:ln>
                      <a:noFill/>
                    </a:ln>
                  </pic:spPr>
                </pic:pic>
              </a:graphicData>
            </a:graphic>
          </wp:inline>
        </w:drawing>
      </w:r>
    </w:p>
    <w:p w14:paraId="768B52E7" w14:textId="107EEB2A" w:rsidR="006C7F31" w:rsidRPr="00251108" w:rsidRDefault="00320D9A" w:rsidP="00320D9A">
      <w:pPr>
        <w:pStyle w:val="Caption"/>
        <w:rPr>
          <w:color w:val="1C3158"/>
        </w:rPr>
      </w:pPr>
      <w:bookmarkStart w:id="363" w:name="_Ref445566169"/>
      <w:bookmarkStart w:id="364" w:name="_Ref429651629"/>
      <w:bookmarkStart w:id="365" w:name="_Toc440900322"/>
      <w:bookmarkStart w:id="366" w:name="_Toc462738102"/>
      <w:r>
        <w:t xml:space="preserve">Figure </w:t>
      </w:r>
      <w:fldSimple w:instr=" SEQ Figure \* ARABIC ">
        <w:r w:rsidR="0006479A">
          <w:rPr>
            <w:noProof/>
          </w:rPr>
          <w:t>19</w:t>
        </w:r>
      </w:fldSimple>
      <w:bookmarkEnd w:id="363"/>
      <w:r w:rsidR="00E832B0">
        <w:t>.</w:t>
      </w:r>
      <w:r w:rsidR="008610D3">
        <w:t xml:space="preserve"> </w:t>
      </w:r>
      <w:bookmarkEnd w:id="364"/>
      <w:r w:rsidR="006C7F31" w:rsidRPr="00251108">
        <w:rPr>
          <w:color w:val="1C3158"/>
        </w:rPr>
        <w:t>Gambling</w:t>
      </w:r>
      <w:r w:rsidR="00AF621D">
        <w:rPr>
          <w:color w:val="1C3158"/>
        </w:rPr>
        <w:t xml:space="preserve">-related </w:t>
      </w:r>
      <w:r w:rsidR="006C7F31" w:rsidRPr="00251108">
        <w:rPr>
          <w:color w:val="1C3158"/>
        </w:rPr>
        <w:t xml:space="preserve">harms to the </w:t>
      </w:r>
      <w:r w:rsidR="006C7F31">
        <w:rPr>
          <w:color w:val="1C3158"/>
        </w:rPr>
        <w:t>New Zealand</w:t>
      </w:r>
      <w:r w:rsidR="006C7F31" w:rsidRPr="00251108">
        <w:rPr>
          <w:color w:val="1C3158"/>
        </w:rPr>
        <w:t xml:space="preserve"> adult population by gender and PGSI category</w:t>
      </w:r>
      <w:bookmarkEnd w:id="365"/>
      <w:bookmarkEnd w:id="366"/>
    </w:p>
    <w:p w14:paraId="296EC2A2" w14:textId="77777777" w:rsidR="006C7F31" w:rsidRPr="00AF621D" w:rsidRDefault="006C7F31" w:rsidP="00C82A76">
      <w:pPr>
        <w:pStyle w:val="VRGFBodycontent"/>
        <w:spacing w:before="240"/>
        <w:rPr>
          <w:rFonts w:eastAsia="MS Mincho"/>
        </w:rPr>
      </w:pPr>
      <w:r>
        <w:rPr>
          <w:rFonts w:eastAsia="MS Mincho"/>
        </w:rPr>
        <w:t xml:space="preserve">Whilst male problem gamblers contribute more than twice the harm than females in the same category, the bulk of </w:t>
      </w:r>
      <w:r w:rsidRPr="00AF621D">
        <w:rPr>
          <w:rFonts w:eastAsia="MS Mincho"/>
        </w:rPr>
        <w:t xml:space="preserve">harm is accruing to less acute categories, in which the contribution of males and females is quite similar. </w:t>
      </w:r>
    </w:p>
    <w:p w14:paraId="192D7B26" w14:textId="2C0B6003" w:rsidR="006C7F31" w:rsidRPr="00AF621D" w:rsidRDefault="006C7F31" w:rsidP="006C7F31">
      <w:pPr>
        <w:pStyle w:val="VRGFBodycontent"/>
        <w:rPr>
          <w:rFonts w:eastAsia="MS Mincho"/>
        </w:rPr>
      </w:pPr>
      <w:r w:rsidRPr="00AF621D">
        <w:rPr>
          <w:rFonts w:eastAsia="MS Mincho"/>
        </w:rPr>
        <w:t>Descriptive statistics for gambling harms to the NZ population were calculated by age categories and PGSI (</w:t>
      </w:r>
      <w:r w:rsidR="00320D9A" w:rsidRPr="00AF621D">
        <w:rPr>
          <w:rFonts w:eastAsia="MS Mincho"/>
        </w:rPr>
        <w:fldChar w:fldCharType="begin"/>
      </w:r>
      <w:r w:rsidR="00320D9A" w:rsidRPr="00AF621D">
        <w:rPr>
          <w:rFonts w:eastAsia="MS Mincho"/>
        </w:rPr>
        <w:instrText xml:space="preserve"> REF _Ref445566268 \h </w:instrText>
      </w:r>
      <w:r w:rsidR="00AF621D">
        <w:rPr>
          <w:rFonts w:eastAsia="MS Mincho"/>
        </w:rPr>
        <w:instrText xml:space="preserve"> \* MERGEFORMAT </w:instrText>
      </w:r>
      <w:r w:rsidR="00320D9A" w:rsidRPr="00AF621D">
        <w:rPr>
          <w:rFonts w:eastAsia="MS Mincho"/>
        </w:rPr>
      </w:r>
      <w:r w:rsidR="00320D9A" w:rsidRPr="00AF621D">
        <w:rPr>
          <w:rFonts w:eastAsia="MS Mincho"/>
        </w:rPr>
        <w:fldChar w:fldCharType="separate"/>
      </w:r>
      <w:r w:rsidR="0006479A" w:rsidRPr="00AF621D">
        <w:t xml:space="preserve">Table </w:t>
      </w:r>
      <w:r w:rsidR="0006479A">
        <w:rPr>
          <w:noProof/>
        </w:rPr>
        <w:t>27</w:t>
      </w:r>
      <w:r w:rsidR="00320D9A" w:rsidRPr="00AF621D">
        <w:rPr>
          <w:rFonts w:eastAsia="MS Mincho"/>
        </w:rPr>
        <w:fldChar w:fldCharType="end"/>
      </w:r>
      <w:r w:rsidRPr="00AF621D">
        <w:rPr>
          <w:rFonts w:eastAsia="MS Mincho"/>
        </w:rPr>
        <w:t>)</w:t>
      </w:r>
      <w:r w:rsidR="009A65C5" w:rsidRPr="00AF621D">
        <w:rPr>
          <w:rFonts w:eastAsia="MS Mincho"/>
        </w:rPr>
        <w:t>,</w:t>
      </w:r>
      <w:r w:rsidRPr="00AF621D">
        <w:rPr>
          <w:rFonts w:eastAsia="MS Mincho"/>
        </w:rPr>
        <w:t xml:space="preserve"> and age </w:t>
      </w:r>
      <w:r w:rsidR="00C67AA3" w:rsidRPr="00AF621D">
        <w:rPr>
          <w:rFonts w:eastAsia="MS Mincho"/>
        </w:rPr>
        <w:t xml:space="preserve">categories </w:t>
      </w:r>
      <w:r w:rsidRPr="00AF621D">
        <w:rPr>
          <w:rFonts w:eastAsia="MS Mincho"/>
        </w:rPr>
        <w:t xml:space="preserve">by gender </w:t>
      </w:r>
      <w:r w:rsidR="00C67AA3" w:rsidRPr="00AF621D">
        <w:rPr>
          <w:rFonts w:eastAsia="MS Mincho"/>
        </w:rPr>
        <w:t xml:space="preserve">and </w:t>
      </w:r>
      <w:r w:rsidRPr="00AF621D">
        <w:rPr>
          <w:rFonts w:eastAsia="MS Mincho"/>
        </w:rPr>
        <w:t>PGSI (</w:t>
      </w:r>
      <w:r w:rsidR="00320D9A" w:rsidRPr="00AF621D">
        <w:rPr>
          <w:rFonts w:eastAsia="MS Mincho"/>
        </w:rPr>
        <w:fldChar w:fldCharType="begin"/>
      </w:r>
      <w:r w:rsidR="00320D9A" w:rsidRPr="00AF621D">
        <w:rPr>
          <w:rFonts w:eastAsia="MS Mincho"/>
        </w:rPr>
        <w:instrText xml:space="preserve"> REF _Ref445566337 \h </w:instrText>
      </w:r>
      <w:r w:rsidR="00AF621D">
        <w:rPr>
          <w:rFonts w:eastAsia="MS Mincho"/>
        </w:rPr>
        <w:instrText xml:space="preserve"> \* MERGEFORMAT </w:instrText>
      </w:r>
      <w:r w:rsidR="00320D9A" w:rsidRPr="00AF621D">
        <w:rPr>
          <w:rFonts w:eastAsia="MS Mincho"/>
        </w:rPr>
      </w:r>
      <w:r w:rsidR="00320D9A" w:rsidRPr="00AF621D">
        <w:rPr>
          <w:rFonts w:eastAsia="MS Mincho"/>
        </w:rPr>
        <w:fldChar w:fldCharType="separate"/>
      </w:r>
      <w:r w:rsidR="0006479A" w:rsidRPr="00AF621D">
        <w:t xml:space="preserve">Table </w:t>
      </w:r>
      <w:r w:rsidR="0006479A">
        <w:rPr>
          <w:noProof/>
        </w:rPr>
        <w:t>28</w:t>
      </w:r>
      <w:r w:rsidR="00320D9A" w:rsidRPr="00AF621D">
        <w:rPr>
          <w:rFonts w:eastAsia="MS Mincho"/>
        </w:rPr>
        <w:fldChar w:fldCharType="end"/>
      </w:r>
      <w:r w:rsidRPr="00AF621D">
        <w:rPr>
          <w:rFonts w:eastAsia="MS Mincho"/>
        </w:rPr>
        <w:t>)</w:t>
      </w:r>
      <w:r w:rsidR="00E832B0" w:rsidRPr="00AF621D">
        <w:rPr>
          <w:rFonts w:eastAsia="MS Mincho"/>
        </w:rPr>
        <w:t>.</w:t>
      </w:r>
      <w:r w:rsidR="008610D3" w:rsidRPr="00AF621D">
        <w:rPr>
          <w:rFonts w:eastAsia="MS Mincho"/>
        </w:rPr>
        <w:t xml:space="preserve"> </w:t>
      </w:r>
      <w:r w:rsidRPr="00AF621D">
        <w:rPr>
          <w:rFonts w:eastAsia="MS Mincho"/>
        </w:rPr>
        <w:t xml:space="preserve">Overall, 25-34 year olds contributed the largest proportion of the total </w:t>
      </w:r>
      <w:r w:rsidR="00AF621D">
        <w:rPr>
          <w:rFonts w:eastAsia="MS Mincho"/>
        </w:rPr>
        <w:t>QALY</w:t>
      </w:r>
      <w:r w:rsidR="00AF621D" w:rsidRPr="00AF621D">
        <w:rPr>
          <w:rFonts w:eastAsia="MS Mincho"/>
          <w:sz w:val="12"/>
        </w:rPr>
        <w:t>1</w:t>
      </w:r>
      <w:r w:rsidR="00AF621D" w:rsidRPr="00AF621D">
        <w:rPr>
          <w:rFonts w:eastAsia="MS Mincho"/>
          <w:sz w:val="18"/>
        </w:rPr>
        <w:t xml:space="preserve"> </w:t>
      </w:r>
      <w:r w:rsidRPr="00AF621D">
        <w:rPr>
          <w:rFonts w:eastAsia="MS Mincho"/>
        </w:rPr>
        <w:t>(26.3%) while the oldest group (65+ years) contributed the lowest (8.5%)</w:t>
      </w:r>
      <w:r w:rsidR="00E832B0" w:rsidRPr="00AF621D">
        <w:rPr>
          <w:rFonts w:eastAsia="MS Mincho"/>
        </w:rPr>
        <w:t>.</w:t>
      </w:r>
      <w:r w:rsidR="008610D3" w:rsidRPr="00AF621D">
        <w:rPr>
          <w:rFonts w:eastAsia="MS Mincho"/>
        </w:rPr>
        <w:t xml:space="preserve"> </w:t>
      </w:r>
      <w:r w:rsidRPr="00AF621D">
        <w:rPr>
          <w:rFonts w:eastAsia="MS Mincho"/>
        </w:rPr>
        <w:t xml:space="preserve">Combined, 18-44 year olds accounted for approximately two-thirds of the </w:t>
      </w:r>
      <w:r w:rsidR="00AF621D">
        <w:rPr>
          <w:rFonts w:eastAsia="MS Mincho"/>
        </w:rPr>
        <w:t>QALY</w:t>
      </w:r>
      <w:r w:rsidR="00AF621D" w:rsidRPr="00AF621D">
        <w:rPr>
          <w:rFonts w:eastAsia="MS Mincho"/>
          <w:sz w:val="12"/>
        </w:rPr>
        <w:t>1</w:t>
      </w:r>
      <w:r w:rsidR="00AF621D" w:rsidRPr="00AF621D">
        <w:rPr>
          <w:rFonts w:eastAsia="MS Mincho"/>
          <w:sz w:val="18"/>
        </w:rPr>
        <w:t xml:space="preserve"> </w:t>
      </w:r>
      <w:r w:rsidRPr="00AF621D">
        <w:rPr>
          <w:rFonts w:eastAsia="MS Mincho"/>
        </w:rPr>
        <w:t>(63.4%)</w:t>
      </w:r>
      <w:r w:rsidR="00E832B0" w:rsidRPr="00AF621D">
        <w:rPr>
          <w:rFonts w:eastAsia="MS Mincho"/>
        </w:rPr>
        <w:t>.</w:t>
      </w:r>
      <w:r w:rsidR="008610D3" w:rsidRPr="00AF621D">
        <w:rPr>
          <w:rFonts w:eastAsia="MS Mincho"/>
        </w:rPr>
        <w:t xml:space="preserve"> </w:t>
      </w:r>
      <w:r w:rsidRPr="00AF621D">
        <w:rPr>
          <w:rFonts w:eastAsia="MS Mincho"/>
        </w:rPr>
        <w:t>Low-risk gamblers aged 18-34 years account</w:t>
      </w:r>
      <w:r w:rsidR="009A65C5" w:rsidRPr="00AF621D">
        <w:rPr>
          <w:rFonts w:eastAsia="MS Mincho"/>
        </w:rPr>
        <w:t>ed</w:t>
      </w:r>
      <w:r w:rsidRPr="00AF621D">
        <w:rPr>
          <w:rFonts w:eastAsia="MS Mincho"/>
        </w:rPr>
        <w:t xml:space="preserve"> for one-fifth (20.7%) of the </w:t>
      </w:r>
      <w:r w:rsidR="00AF621D">
        <w:rPr>
          <w:rFonts w:eastAsia="MS Mincho"/>
        </w:rPr>
        <w:t>QALY</w:t>
      </w:r>
      <w:r w:rsidR="00AF621D" w:rsidRPr="00AF621D">
        <w:rPr>
          <w:rFonts w:eastAsia="MS Mincho"/>
          <w:sz w:val="12"/>
        </w:rPr>
        <w:t>1</w:t>
      </w:r>
      <w:r w:rsidRPr="00AF621D">
        <w:rPr>
          <w:rFonts w:eastAsia="MS Mincho"/>
        </w:rPr>
        <w:t xml:space="preserve">. </w:t>
      </w:r>
    </w:p>
    <w:p w14:paraId="4B1A8AE0" w14:textId="78B2DFB3" w:rsidR="006C7F31" w:rsidRPr="00AF621D" w:rsidRDefault="00320D9A" w:rsidP="00320D9A">
      <w:pPr>
        <w:pStyle w:val="Caption"/>
        <w:rPr>
          <w:rFonts w:cs="Arial"/>
          <w:color w:val="1C3158"/>
        </w:rPr>
      </w:pPr>
      <w:bookmarkStart w:id="367" w:name="_Ref445566268"/>
      <w:bookmarkStart w:id="368" w:name="_Toc462738130"/>
      <w:r w:rsidRPr="00AF621D">
        <w:t xml:space="preserve">Table </w:t>
      </w:r>
      <w:fldSimple w:instr=" SEQ Table \* ARABIC ">
        <w:r w:rsidR="0006479A">
          <w:rPr>
            <w:noProof/>
          </w:rPr>
          <w:t>27</w:t>
        </w:r>
      </w:fldSimple>
      <w:bookmarkEnd w:id="367"/>
      <w:r w:rsidR="00E832B0" w:rsidRPr="00AF621D">
        <w:t>.</w:t>
      </w:r>
      <w:r w:rsidR="008610D3" w:rsidRPr="00AF621D">
        <w:t xml:space="preserve"> </w:t>
      </w:r>
      <w:bookmarkStart w:id="369" w:name="_Toc440900349"/>
      <w:r w:rsidR="006C7F31" w:rsidRPr="00AF621D">
        <w:rPr>
          <w:color w:val="1C3158"/>
        </w:rPr>
        <w:t>Gambling harms to the New Zealand adult population by age range and PGSI category</w:t>
      </w:r>
      <w:bookmarkEnd w:id="368"/>
      <w:bookmarkEnd w:id="369"/>
    </w:p>
    <w:tbl>
      <w:tblPr>
        <w:tblW w:w="8774" w:type="dxa"/>
        <w:tblLayout w:type="fixed"/>
        <w:tblLook w:val="04A0" w:firstRow="1" w:lastRow="0" w:firstColumn="1" w:lastColumn="0" w:noHBand="0" w:noVBand="1"/>
      </w:tblPr>
      <w:tblGrid>
        <w:gridCol w:w="1261"/>
        <w:gridCol w:w="931"/>
        <w:gridCol w:w="912"/>
        <w:gridCol w:w="902"/>
        <w:gridCol w:w="941"/>
        <w:gridCol w:w="1044"/>
        <w:gridCol w:w="940"/>
        <w:gridCol w:w="925"/>
        <w:gridCol w:w="918"/>
      </w:tblGrid>
      <w:tr w:rsidR="006C7F31" w:rsidRPr="00AF621D" w14:paraId="5A22344F" w14:textId="77777777" w:rsidTr="00AF621D">
        <w:trPr>
          <w:trHeight w:val="330"/>
        </w:trPr>
        <w:tc>
          <w:tcPr>
            <w:tcW w:w="1261"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544EA3B1"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Age Range</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67EAAD5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107EB79"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984"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17E13BC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6BF0B5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AF621D" w:rsidRPr="00AF621D" w14:paraId="4EE11C9A" w14:textId="77777777" w:rsidTr="00AF621D">
        <w:trPr>
          <w:trHeight w:val="330"/>
        </w:trPr>
        <w:tc>
          <w:tcPr>
            <w:tcW w:w="1261" w:type="dxa"/>
            <w:vMerge/>
            <w:tcBorders>
              <w:top w:val="single" w:sz="12" w:space="0" w:color="FF9E3C"/>
              <w:left w:val="single" w:sz="12" w:space="0" w:color="FF9E3C"/>
              <w:bottom w:val="single" w:sz="12" w:space="0" w:color="FF9E3C"/>
              <w:right w:val="single" w:sz="12" w:space="0" w:color="FF9E3C"/>
            </w:tcBorders>
            <w:vAlign w:val="center"/>
            <w:hideMark/>
          </w:tcPr>
          <w:p w14:paraId="6D3DADA3"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931" w:type="dxa"/>
            <w:tcBorders>
              <w:top w:val="nil"/>
              <w:left w:val="nil"/>
              <w:bottom w:val="single" w:sz="12" w:space="0" w:color="FF9E3C"/>
              <w:right w:val="single" w:sz="12" w:space="0" w:color="FF9E3C"/>
            </w:tcBorders>
            <w:shd w:val="clear" w:color="000000" w:fill="FFBC64"/>
            <w:vAlign w:val="center"/>
            <w:hideMark/>
          </w:tcPr>
          <w:p w14:paraId="723B387A" w14:textId="0307590B" w:rsidR="006C7F31" w:rsidRPr="00AF621D" w:rsidRDefault="00AF621D"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12" w:type="dxa"/>
            <w:tcBorders>
              <w:top w:val="nil"/>
              <w:left w:val="nil"/>
              <w:bottom w:val="single" w:sz="12" w:space="0" w:color="FF9E3C"/>
              <w:right w:val="single" w:sz="12" w:space="0" w:color="FF9E3C"/>
            </w:tcBorders>
            <w:shd w:val="clear" w:color="000000" w:fill="FFBC64"/>
            <w:vAlign w:val="center"/>
            <w:hideMark/>
          </w:tcPr>
          <w:p w14:paraId="64F2A0AC"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02" w:type="dxa"/>
            <w:tcBorders>
              <w:top w:val="nil"/>
              <w:left w:val="nil"/>
              <w:bottom w:val="single" w:sz="12" w:space="0" w:color="FF9E3C"/>
              <w:right w:val="single" w:sz="12" w:space="0" w:color="FF9E3C"/>
            </w:tcBorders>
            <w:shd w:val="clear" w:color="000000" w:fill="FFBC64"/>
            <w:vAlign w:val="center"/>
            <w:hideMark/>
          </w:tcPr>
          <w:p w14:paraId="4B0AC62B" w14:textId="4386DAD5" w:rsidR="006C7F31" w:rsidRPr="00AF621D" w:rsidRDefault="00AF621D"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41" w:type="dxa"/>
            <w:tcBorders>
              <w:top w:val="nil"/>
              <w:left w:val="nil"/>
              <w:bottom w:val="single" w:sz="12" w:space="0" w:color="FF9E3C"/>
              <w:right w:val="single" w:sz="12" w:space="0" w:color="FF9E3C"/>
            </w:tcBorders>
            <w:shd w:val="clear" w:color="000000" w:fill="FFBC64"/>
            <w:vAlign w:val="center"/>
            <w:hideMark/>
          </w:tcPr>
          <w:p w14:paraId="776137BC"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1044" w:type="dxa"/>
            <w:tcBorders>
              <w:top w:val="nil"/>
              <w:left w:val="nil"/>
              <w:bottom w:val="single" w:sz="12" w:space="0" w:color="FF9E3C"/>
              <w:right w:val="single" w:sz="12" w:space="0" w:color="FF9E3C"/>
            </w:tcBorders>
            <w:shd w:val="clear" w:color="000000" w:fill="FFBC64"/>
            <w:vAlign w:val="center"/>
            <w:hideMark/>
          </w:tcPr>
          <w:p w14:paraId="67A41883" w14:textId="58B1F94B" w:rsidR="006C7F31" w:rsidRPr="00AF621D" w:rsidRDefault="00AF621D"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40" w:type="dxa"/>
            <w:tcBorders>
              <w:top w:val="nil"/>
              <w:left w:val="nil"/>
              <w:bottom w:val="single" w:sz="12" w:space="0" w:color="FF9E3C"/>
              <w:right w:val="single" w:sz="12" w:space="0" w:color="FF9E3C"/>
            </w:tcBorders>
            <w:shd w:val="clear" w:color="000000" w:fill="FFBC64"/>
            <w:vAlign w:val="center"/>
            <w:hideMark/>
          </w:tcPr>
          <w:p w14:paraId="1D4D451D"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25" w:type="dxa"/>
            <w:tcBorders>
              <w:top w:val="nil"/>
              <w:left w:val="nil"/>
              <w:bottom w:val="single" w:sz="12" w:space="0" w:color="FF9E3C"/>
              <w:right w:val="single" w:sz="12" w:space="0" w:color="FF9E3C"/>
            </w:tcBorders>
            <w:shd w:val="clear" w:color="000000" w:fill="FFBC64"/>
            <w:vAlign w:val="center"/>
            <w:hideMark/>
          </w:tcPr>
          <w:p w14:paraId="3861361D" w14:textId="5502C2B7" w:rsidR="006C7F31" w:rsidRPr="00AF621D" w:rsidRDefault="00AF621D"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18" w:type="dxa"/>
            <w:tcBorders>
              <w:top w:val="nil"/>
              <w:left w:val="nil"/>
              <w:bottom w:val="single" w:sz="12" w:space="0" w:color="FF9E3C"/>
              <w:right w:val="single" w:sz="12" w:space="0" w:color="FF9E3C"/>
            </w:tcBorders>
            <w:shd w:val="clear" w:color="000000" w:fill="FFBC64"/>
            <w:vAlign w:val="center"/>
            <w:hideMark/>
          </w:tcPr>
          <w:p w14:paraId="0465C27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AF621D" w:rsidRPr="00AF621D" w14:paraId="7D677C36" w14:textId="77777777" w:rsidTr="00AF621D">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hideMark/>
          </w:tcPr>
          <w:p w14:paraId="2D131896"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18-24 years</w:t>
            </w:r>
          </w:p>
        </w:tc>
        <w:tc>
          <w:tcPr>
            <w:tcW w:w="931" w:type="dxa"/>
            <w:tcBorders>
              <w:top w:val="nil"/>
              <w:left w:val="nil"/>
              <w:bottom w:val="single" w:sz="12" w:space="0" w:color="FF9E3C"/>
              <w:right w:val="single" w:sz="12" w:space="0" w:color="FF9E3C"/>
            </w:tcBorders>
            <w:shd w:val="clear" w:color="auto" w:fill="auto"/>
            <w:vAlign w:val="center"/>
            <w:hideMark/>
          </w:tcPr>
          <w:p w14:paraId="50A307C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5,051</w:t>
            </w:r>
          </w:p>
        </w:tc>
        <w:tc>
          <w:tcPr>
            <w:tcW w:w="912" w:type="dxa"/>
            <w:tcBorders>
              <w:top w:val="nil"/>
              <w:left w:val="nil"/>
              <w:bottom w:val="single" w:sz="12" w:space="0" w:color="FF9E3C"/>
              <w:right w:val="single" w:sz="12" w:space="0" w:color="FF9E3C"/>
            </w:tcBorders>
            <w:shd w:val="clear" w:color="auto" w:fill="auto"/>
            <w:vAlign w:val="center"/>
            <w:hideMark/>
          </w:tcPr>
          <w:p w14:paraId="196D927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7.5</w:t>
            </w:r>
          </w:p>
        </w:tc>
        <w:tc>
          <w:tcPr>
            <w:tcW w:w="902" w:type="dxa"/>
            <w:tcBorders>
              <w:top w:val="nil"/>
              <w:left w:val="nil"/>
              <w:bottom w:val="single" w:sz="12" w:space="0" w:color="FF9E3C"/>
              <w:right w:val="single" w:sz="12" w:space="0" w:color="FF9E3C"/>
            </w:tcBorders>
            <w:shd w:val="clear" w:color="auto" w:fill="auto"/>
            <w:vAlign w:val="center"/>
            <w:hideMark/>
          </w:tcPr>
          <w:p w14:paraId="1B97C14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6,186</w:t>
            </w:r>
          </w:p>
        </w:tc>
        <w:tc>
          <w:tcPr>
            <w:tcW w:w="941" w:type="dxa"/>
            <w:tcBorders>
              <w:top w:val="nil"/>
              <w:left w:val="nil"/>
              <w:bottom w:val="single" w:sz="12" w:space="0" w:color="FF9E3C"/>
              <w:right w:val="single" w:sz="12" w:space="0" w:color="FF9E3C"/>
            </w:tcBorders>
            <w:shd w:val="clear" w:color="auto" w:fill="auto"/>
            <w:vAlign w:val="center"/>
            <w:hideMark/>
          </w:tcPr>
          <w:p w14:paraId="27DEC4E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9.2</w:t>
            </w:r>
          </w:p>
        </w:tc>
        <w:tc>
          <w:tcPr>
            <w:tcW w:w="1044" w:type="dxa"/>
            <w:tcBorders>
              <w:top w:val="nil"/>
              <w:left w:val="nil"/>
              <w:bottom w:val="single" w:sz="12" w:space="0" w:color="FF9E3C"/>
              <w:right w:val="single" w:sz="12" w:space="0" w:color="FF9E3C"/>
            </w:tcBorders>
            <w:shd w:val="clear" w:color="auto" w:fill="auto"/>
            <w:vAlign w:val="center"/>
            <w:hideMark/>
          </w:tcPr>
          <w:p w14:paraId="2834419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798</w:t>
            </w:r>
          </w:p>
        </w:tc>
        <w:tc>
          <w:tcPr>
            <w:tcW w:w="940" w:type="dxa"/>
            <w:tcBorders>
              <w:top w:val="nil"/>
              <w:left w:val="nil"/>
              <w:bottom w:val="single" w:sz="12" w:space="0" w:color="FF9E3C"/>
              <w:right w:val="single" w:sz="12" w:space="0" w:color="FF9E3C"/>
            </w:tcBorders>
            <w:shd w:val="clear" w:color="auto" w:fill="auto"/>
            <w:vAlign w:val="center"/>
            <w:hideMark/>
          </w:tcPr>
          <w:p w14:paraId="77C4DA6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w:t>
            </w:r>
          </w:p>
        </w:tc>
        <w:tc>
          <w:tcPr>
            <w:tcW w:w="925" w:type="dxa"/>
            <w:tcBorders>
              <w:top w:val="nil"/>
              <w:left w:val="nil"/>
              <w:bottom w:val="single" w:sz="12" w:space="0" w:color="FF9E3C"/>
              <w:right w:val="single" w:sz="12" w:space="0" w:color="FF9E3C"/>
            </w:tcBorders>
            <w:shd w:val="clear" w:color="auto" w:fill="auto"/>
            <w:vAlign w:val="center"/>
            <w:hideMark/>
          </w:tcPr>
          <w:p w14:paraId="55FB832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12,036</w:t>
            </w:r>
          </w:p>
        </w:tc>
        <w:tc>
          <w:tcPr>
            <w:tcW w:w="918" w:type="dxa"/>
            <w:tcBorders>
              <w:top w:val="nil"/>
              <w:left w:val="nil"/>
              <w:bottom w:val="single" w:sz="12" w:space="0" w:color="FF9E3C"/>
              <w:right w:val="single" w:sz="12" w:space="0" w:color="FF9E3C"/>
            </w:tcBorders>
            <w:shd w:val="clear" w:color="auto" w:fill="auto"/>
            <w:vAlign w:val="center"/>
            <w:hideMark/>
          </w:tcPr>
          <w:p w14:paraId="2CE2371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17.9</w:t>
            </w:r>
          </w:p>
        </w:tc>
      </w:tr>
      <w:tr w:rsidR="00AF621D" w:rsidRPr="00AF621D" w14:paraId="5D5FA7AD" w14:textId="77777777" w:rsidTr="00AF621D">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hideMark/>
          </w:tcPr>
          <w:p w14:paraId="0615192F"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25-34 years</w:t>
            </w:r>
          </w:p>
        </w:tc>
        <w:tc>
          <w:tcPr>
            <w:tcW w:w="931" w:type="dxa"/>
            <w:tcBorders>
              <w:top w:val="nil"/>
              <w:left w:val="nil"/>
              <w:bottom w:val="single" w:sz="12" w:space="0" w:color="FF9E3C"/>
              <w:right w:val="single" w:sz="12" w:space="0" w:color="FF9E3C"/>
            </w:tcBorders>
            <w:shd w:val="clear" w:color="auto" w:fill="auto"/>
            <w:vAlign w:val="center"/>
            <w:hideMark/>
          </w:tcPr>
          <w:p w14:paraId="7273D36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8,854</w:t>
            </w:r>
          </w:p>
        </w:tc>
        <w:tc>
          <w:tcPr>
            <w:tcW w:w="912" w:type="dxa"/>
            <w:tcBorders>
              <w:top w:val="nil"/>
              <w:left w:val="nil"/>
              <w:bottom w:val="single" w:sz="12" w:space="0" w:color="FF9E3C"/>
              <w:right w:val="single" w:sz="12" w:space="0" w:color="FF9E3C"/>
            </w:tcBorders>
            <w:shd w:val="clear" w:color="auto" w:fill="auto"/>
            <w:vAlign w:val="center"/>
            <w:hideMark/>
          </w:tcPr>
          <w:p w14:paraId="6081DA2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13.2</w:t>
            </w:r>
          </w:p>
        </w:tc>
        <w:tc>
          <w:tcPr>
            <w:tcW w:w="902" w:type="dxa"/>
            <w:tcBorders>
              <w:top w:val="nil"/>
              <w:left w:val="nil"/>
              <w:bottom w:val="single" w:sz="12" w:space="0" w:color="FF9E3C"/>
              <w:right w:val="single" w:sz="12" w:space="0" w:color="FF9E3C"/>
            </w:tcBorders>
            <w:shd w:val="clear" w:color="auto" w:fill="auto"/>
            <w:vAlign w:val="center"/>
            <w:hideMark/>
          </w:tcPr>
          <w:p w14:paraId="709AEBC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5,610</w:t>
            </w:r>
          </w:p>
        </w:tc>
        <w:tc>
          <w:tcPr>
            <w:tcW w:w="941" w:type="dxa"/>
            <w:tcBorders>
              <w:top w:val="nil"/>
              <w:left w:val="nil"/>
              <w:bottom w:val="single" w:sz="12" w:space="0" w:color="FF9E3C"/>
              <w:right w:val="single" w:sz="12" w:space="0" w:color="FF9E3C"/>
            </w:tcBorders>
            <w:shd w:val="clear" w:color="auto" w:fill="auto"/>
            <w:vAlign w:val="center"/>
            <w:hideMark/>
          </w:tcPr>
          <w:p w14:paraId="0254E4F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8.3</w:t>
            </w:r>
          </w:p>
        </w:tc>
        <w:tc>
          <w:tcPr>
            <w:tcW w:w="1044" w:type="dxa"/>
            <w:tcBorders>
              <w:top w:val="nil"/>
              <w:left w:val="nil"/>
              <w:bottom w:val="single" w:sz="12" w:space="0" w:color="FF9E3C"/>
              <w:right w:val="single" w:sz="12" w:space="0" w:color="FF9E3C"/>
            </w:tcBorders>
            <w:shd w:val="clear" w:color="auto" w:fill="auto"/>
            <w:vAlign w:val="center"/>
            <w:hideMark/>
          </w:tcPr>
          <w:p w14:paraId="0DE0113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3,232</w:t>
            </w:r>
          </w:p>
        </w:tc>
        <w:tc>
          <w:tcPr>
            <w:tcW w:w="940" w:type="dxa"/>
            <w:tcBorders>
              <w:top w:val="nil"/>
              <w:left w:val="nil"/>
              <w:bottom w:val="single" w:sz="12" w:space="0" w:color="FF9E3C"/>
              <w:right w:val="single" w:sz="12" w:space="0" w:color="FF9E3C"/>
            </w:tcBorders>
            <w:shd w:val="clear" w:color="auto" w:fill="auto"/>
            <w:vAlign w:val="center"/>
            <w:hideMark/>
          </w:tcPr>
          <w:p w14:paraId="6801947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4.8</w:t>
            </w:r>
          </w:p>
        </w:tc>
        <w:tc>
          <w:tcPr>
            <w:tcW w:w="925" w:type="dxa"/>
            <w:tcBorders>
              <w:top w:val="nil"/>
              <w:left w:val="nil"/>
              <w:bottom w:val="single" w:sz="12" w:space="0" w:color="FF9E3C"/>
              <w:right w:val="single" w:sz="12" w:space="0" w:color="FF9E3C"/>
            </w:tcBorders>
            <w:shd w:val="clear" w:color="auto" w:fill="auto"/>
            <w:vAlign w:val="center"/>
            <w:hideMark/>
          </w:tcPr>
          <w:p w14:paraId="1FA9AB7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17,696</w:t>
            </w:r>
          </w:p>
        </w:tc>
        <w:tc>
          <w:tcPr>
            <w:tcW w:w="918" w:type="dxa"/>
            <w:tcBorders>
              <w:top w:val="nil"/>
              <w:left w:val="nil"/>
              <w:bottom w:val="single" w:sz="12" w:space="0" w:color="FF9E3C"/>
              <w:right w:val="single" w:sz="12" w:space="0" w:color="FF9E3C"/>
            </w:tcBorders>
            <w:shd w:val="clear" w:color="auto" w:fill="auto"/>
            <w:vAlign w:val="center"/>
            <w:hideMark/>
          </w:tcPr>
          <w:p w14:paraId="4B24C9D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26.3</w:t>
            </w:r>
          </w:p>
        </w:tc>
      </w:tr>
      <w:tr w:rsidR="00AF621D" w:rsidRPr="00AF621D" w14:paraId="17AEDBB8" w14:textId="77777777" w:rsidTr="00AF621D">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hideMark/>
          </w:tcPr>
          <w:p w14:paraId="39B073A3"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35-44 years</w:t>
            </w:r>
          </w:p>
        </w:tc>
        <w:tc>
          <w:tcPr>
            <w:tcW w:w="931" w:type="dxa"/>
            <w:tcBorders>
              <w:top w:val="nil"/>
              <w:left w:val="nil"/>
              <w:bottom w:val="single" w:sz="12" w:space="0" w:color="FF9E3C"/>
              <w:right w:val="single" w:sz="12" w:space="0" w:color="FF9E3C"/>
            </w:tcBorders>
            <w:shd w:val="clear" w:color="auto" w:fill="auto"/>
            <w:vAlign w:val="center"/>
            <w:hideMark/>
          </w:tcPr>
          <w:p w14:paraId="4150FB3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4,650</w:t>
            </w:r>
          </w:p>
        </w:tc>
        <w:tc>
          <w:tcPr>
            <w:tcW w:w="912" w:type="dxa"/>
            <w:tcBorders>
              <w:top w:val="nil"/>
              <w:left w:val="nil"/>
              <w:bottom w:val="single" w:sz="12" w:space="0" w:color="FF9E3C"/>
              <w:right w:val="single" w:sz="12" w:space="0" w:color="FF9E3C"/>
            </w:tcBorders>
            <w:shd w:val="clear" w:color="auto" w:fill="auto"/>
            <w:vAlign w:val="center"/>
            <w:hideMark/>
          </w:tcPr>
          <w:p w14:paraId="5AC3813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6.9</w:t>
            </w:r>
          </w:p>
        </w:tc>
        <w:tc>
          <w:tcPr>
            <w:tcW w:w="902" w:type="dxa"/>
            <w:tcBorders>
              <w:top w:val="nil"/>
              <w:left w:val="nil"/>
              <w:bottom w:val="single" w:sz="12" w:space="0" w:color="FF9E3C"/>
              <w:right w:val="single" w:sz="12" w:space="0" w:color="FF9E3C"/>
            </w:tcBorders>
            <w:shd w:val="clear" w:color="auto" w:fill="auto"/>
            <w:vAlign w:val="center"/>
            <w:hideMark/>
          </w:tcPr>
          <w:p w14:paraId="1941195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4,366</w:t>
            </w:r>
          </w:p>
        </w:tc>
        <w:tc>
          <w:tcPr>
            <w:tcW w:w="941" w:type="dxa"/>
            <w:tcBorders>
              <w:top w:val="nil"/>
              <w:left w:val="nil"/>
              <w:bottom w:val="single" w:sz="12" w:space="0" w:color="FF9E3C"/>
              <w:right w:val="single" w:sz="12" w:space="0" w:color="FF9E3C"/>
            </w:tcBorders>
            <w:shd w:val="clear" w:color="auto" w:fill="auto"/>
            <w:vAlign w:val="center"/>
            <w:hideMark/>
          </w:tcPr>
          <w:p w14:paraId="7174CEF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6.5</w:t>
            </w:r>
          </w:p>
        </w:tc>
        <w:tc>
          <w:tcPr>
            <w:tcW w:w="1044" w:type="dxa"/>
            <w:tcBorders>
              <w:top w:val="nil"/>
              <w:left w:val="nil"/>
              <w:bottom w:val="single" w:sz="12" w:space="0" w:color="FF9E3C"/>
              <w:right w:val="single" w:sz="12" w:space="0" w:color="FF9E3C"/>
            </w:tcBorders>
            <w:shd w:val="clear" w:color="auto" w:fill="auto"/>
            <w:vAlign w:val="center"/>
            <w:hideMark/>
          </w:tcPr>
          <w:p w14:paraId="2935408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3,831</w:t>
            </w:r>
          </w:p>
        </w:tc>
        <w:tc>
          <w:tcPr>
            <w:tcW w:w="940" w:type="dxa"/>
            <w:tcBorders>
              <w:top w:val="nil"/>
              <w:left w:val="nil"/>
              <w:bottom w:val="single" w:sz="12" w:space="0" w:color="FF9E3C"/>
              <w:right w:val="single" w:sz="12" w:space="0" w:color="FF9E3C"/>
            </w:tcBorders>
            <w:shd w:val="clear" w:color="auto" w:fill="auto"/>
            <w:vAlign w:val="center"/>
            <w:hideMark/>
          </w:tcPr>
          <w:p w14:paraId="7AF8A67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5.7</w:t>
            </w:r>
          </w:p>
        </w:tc>
        <w:tc>
          <w:tcPr>
            <w:tcW w:w="925" w:type="dxa"/>
            <w:tcBorders>
              <w:top w:val="nil"/>
              <w:left w:val="nil"/>
              <w:bottom w:val="single" w:sz="12" w:space="0" w:color="FF9E3C"/>
              <w:right w:val="single" w:sz="12" w:space="0" w:color="FF9E3C"/>
            </w:tcBorders>
            <w:shd w:val="clear" w:color="auto" w:fill="auto"/>
            <w:vAlign w:val="center"/>
            <w:hideMark/>
          </w:tcPr>
          <w:p w14:paraId="301660D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12,847</w:t>
            </w:r>
          </w:p>
        </w:tc>
        <w:tc>
          <w:tcPr>
            <w:tcW w:w="918" w:type="dxa"/>
            <w:tcBorders>
              <w:top w:val="nil"/>
              <w:left w:val="nil"/>
              <w:bottom w:val="single" w:sz="12" w:space="0" w:color="FF9E3C"/>
              <w:right w:val="single" w:sz="12" w:space="0" w:color="FF9E3C"/>
            </w:tcBorders>
            <w:shd w:val="clear" w:color="auto" w:fill="auto"/>
            <w:vAlign w:val="center"/>
            <w:hideMark/>
          </w:tcPr>
          <w:p w14:paraId="658E1B0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19.1</w:t>
            </w:r>
          </w:p>
        </w:tc>
      </w:tr>
      <w:tr w:rsidR="00AF621D" w:rsidRPr="00AF621D" w14:paraId="5150DAD6" w14:textId="77777777" w:rsidTr="00AF621D">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hideMark/>
          </w:tcPr>
          <w:p w14:paraId="2A2FD9F7"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45-54 years</w:t>
            </w:r>
          </w:p>
        </w:tc>
        <w:tc>
          <w:tcPr>
            <w:tcW w:w="931" w:type="dxa"/>
            <w:tcBorders>
              <w:top w:val="nil"/>
              <w:left w:val="nil"/>
              <w:bottom w:val="single" w:sz="12" w:space="0" w:color="FF9E3C"/>
              <w:right w:val="single" w:sz="12" w:space="0" w:color="FF9E3C"/>
            </w:tcBorders>
            <w:shd w:val="clear" w:color="auto" w:fill="auto"/>
            <w:vAlign w:val="center"/>
            <w:hideMark/>
          </w:tcPr>
          <w:p w14:paraId="08C9B47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5,505</w:t>
            </w:r>
          </w:p>
        </w:tc>
        <w:tc>
          <w:tcPr>
            <w:tcW w:w="912" w:type="dxa"/>
            <w:tcBorders>
              <w:top w:val="nil"/>
              <w:left w:val="nil"/>
              <w:bottom w:val="single" w:sz="12" w:space="0" w:color="FF9E3C"/>
              <w:right w:val="single" w:sz="12" w:space="0" w:color="FF9E3C"/>
            </w:tcBorders>
            <w:shd w:val="clear" w:color="auto" w:fill="auto"/>
            <w:vAlign w:val="center"/>
            <w:hideMark/>
          </w:tcPr>
          <w:p w14:paraId="3D1C397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8.2</w:t>
            </w:r>
          </w:p>
        </w:tc>
        <w:tc>
          <w:tcPr>
            <w:tcW w:w="902" w:type="dxa"/>
            <w:tcBorders>
              <w:top w:val="nil"/>
              <w:left w:val="nil"/>
              <w:bottom w:val="single" w:sz="12" w:space="0" w:color="FF9E3C"/>
              <w:right w:val="single" w:sz="12" w:space="0" w:color="FF9E3C"/>
            </w:tcBorders>
            <w:shd w:val="clear" w:color="auto" w:fill="auto"/>
            <w:vAlign w:val="center"/>
            <w:hideMark/>
          </w:tcPr>
          <w:p w14:paraId="7ED5E2C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2,506</w:t>
            </w:r>
          </w:p>
        </w:tc>
        <w:tc>
          <w:tcPr>
            <w:tcW w:w="941" w:type="dxa"/>
            <w:tcBorders>
              <w:top w:val="nil"/>
              <w:left w:val="nil"/>
              <w:bottom w:val="single" w:sz="12" w:space="0" w:color="FF9E3C"/>
              <w:right w:val="single" w:sz="12" w:space="0" w:color="FF9E3C"/>
            </w:tcBorders>
            <w:shd w:val="clear" w:color="auto" w:fill="auto"/>
            <w:vAlign w:val="center"/>
            <w:hideMark/>
          </w:tcPr>
          <w:p w14:paraId="6E699D8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3.7</w:t>
            </w:r>
          </w:p>
        </w:tc>
        <w:tc>
          <w:tcPr>
            <w:tcW w:w="1044" w:type="dxa"/>
            <w:tcBorders>
              <w:top w:val="nil"/>
              <w:left w:val="nil"/>
              <w:bottom w:val="single" w:sz="12" w:space="0" w:color="FF9E3C"/>
              <w:right w:val="single" w:sz="12" w:space="0" w:color="FF9E3C"/>
            </w:tcBorders>
            <w:shd w:val="clear" w:color="auto" w:fill="auto"/>
            <w:vAlign w:val="center"/>
            <w:hideMark/>
          </w:tcPr>
          <w:p w14:paraId="64CCDE3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3,352</w:t>
            </w:r>
          </w:p>
        </w:tc>
        <w:tc>
          <w:tcPr>
            <w:tcW w:w="940" w:type="dxa"/>
            <w:tcBorders>
              <w:top w:val="nil"/>
              <w:left w:val="nil"/>
              <w:bottom w:val="single" w:sz="12" w:space="0" w:color="FF9E3C"/>
              <w:right w:val="single" w:sz="12" w:space="0" w:color="FF9E3C"/>
            </w:tcBorders>
            <w:shd w:val="clear" w:color="auto" w:fill="auto"/>
            <w:vAlign w:val="center"/>
            <w:hideMark/>
          </w:tcPr>
          <w:p w14:paraId="2274E6C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5.0</w:t>
            </w:r>
          </w:p>
        </w:tc>
        <w:tc>
          <w:tcPr>
            <w:tcW w:w="925" w:type="dxa"/>
            <w:tcBorders>
              <w:top w:val="nil"/>
              <w:left w:val="nil"/>
              <w:bottom w:val="single" w:sz="12" w:space="0" w:color="FF9E3C"/>
              <w:right w:val="single" w:sz="12" w:space="0" w:color="FF9E3C"/>
            </w:tcBorders>
            <w:shd w:val="clear" w:color="auto" w:fill="auto"/>
            <w:vAlign w:val="center"/>
            <w:hideMark/>
          </w:tcPr>
          <w:p w14:paraId="79C6261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11,363</w:t>
            </w:r>
          </w:p>
        </w:tc>
        <w:tc>
          <w:tcPr>
            <w:tcW w:w="918" w:type="dxa"/>
            <w:tcBorders>
              <w:top w:val="nil"/>
              <w:left w:val="nil"/>
              <w:bottom w:val="single" w:sz="12" w:space="0" w:color="FF9E3C"/>
              <w:right w:val="single" w:sz="12" w:space="0" w:color="FF9E3C"/>
            </w:tcBorders>
            <w:shd w:val="clear" w:color="auto" w:fill="auto"/>
            <w:vAlign w:val="center"/>
            <w:hideMark/>
          </w:tcPr>
          <w:p w14:paraId="41B17E8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16.9</w:t>
            </w:r>
          </w:p>
        </w:tc>
      </w:tr>
      <w:tr w:rsidR="00AF621D" w:rsidRPr="00AF621D" w14:paraId="1C844484" w14:textId="77777777" w:rsidTr="00AF621D">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hideMark/>
          </w:tcPr>
          <w:p w14:paraId="25E82800"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55-64 years</w:t>
            </w:r>
          </w:p>
        </w:tc>
        <w:tc>
          <w:tcPr>
            <w:tcW w:w="931" w:type="dxa"/>
            <w:tcBorders>
              <w:top w:val="nil"/>
              <w:left w:val="nil"/>
              <w:bottom w:val="single" w:sz="12" w:space="0" w:color="FF9E3C"/>
              <w:right w:val="single" w:sz="12" w:space="0" w:color="FF9E3C"/>
            </w:tcBorders>
            <w:shd w:val="clear" w:color="auto" w:fill="auto"/>
            <w:vAlign w:val="center"/>
            <w:hideMark/>
          </w:tcPr>
          <w:p w14:paraId="56533CD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3,948</w:t>
            </w:r>
          </w:p>
        </w:tc>
        <w:tc>
          <w:tcPr>
            <w:tcW w:w="912" w:type="dxa"/>
            <w:tcBorders>
              <w:top w:val="nil"/>
              <w:left w:val="nil"/>
              <w:bottom w:val="single" w:sz="12" w:space="0" w:color="FF9E3C"/>
              <w:right w:val="single" w:sz="12" w:space="0" w:color="FF9E3C"/>
            </w:tcBorders>
            <w:shd w:val="clear" w:color="auto" w:fill="auto"/>
            <w:vAlign w:val="center"/>
            <w:hideMark/>
          </w:tcPr>
          <w:p w14:paraId="525146A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5.9</w:t>
            </w:r>
          </w:p>
        </w:tc>
        <w:tc>
          <w:tcPr>
            <w:tcW w:w="902" w:type="dxa"/>
            <w:tcBorders>
              <w:top w:val="nil"/>
              <w:left w:val="nil"/>
              <w:bottom w:val="single" w:sz="12" w:space="0" w:color="FF9E3C"/>
              <w:right w:val="single" w:sz="12" w:space="0" w:color="FF9E3C"/>
            </w:tcBorders>
            <w:shd w:val="clear" w:color="auto" w:fill="auto"/>
            <w:vAlign w:val="center"/>
            <w:hideMark/>
          </w:tcPr>
          <w:p w14:paraId="1310C3B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2,496</w:t>
            </w:r>
          </w:p>
        </w:tc>
        <w:tc>
          <w:tcPr>
            <w:tcW w:w="941" w:type="dxa"/>
            <w:tcBorders>
              <w:top w:val="nil"/>
              <w:left w:val="nil"/>
              <w:bottom w:val="single" w:sz="12" w:space="0" w:color="FF9E3C"/>
              <w:right w:val="single" w:sz="12" w:space="0" w:color="FF9E3C"/>
            </w:tcBorders>
            <w:shd w:val="clear" w:color="auto" w:fill="auto"/>
            <w:vAlign w:val="center"/>
            <w:hideMark/>
          </w:tcPr>
          <w:p w14:paraId="053058A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3.7</w:t>
            </w:r>
          </w:p>
        </w:tc>
        <w:tc>
          <w:tcPr>
            <w:tcW w:w="1044" w:type="dxa"/>
            <w:tcBorders>
              <w:top w:val="nil"/>
              <w:left w:val="nil"/>
              <w:bottom w:val="single" w:sz="12" w:space="0" w:color="FF9E3C"/>
              <w:right w:val="single" w:sz="12" w:space="0" w:color="FF9E3C"/>
            </w:tcBorders>
            <w:shd w:val="clear" w:color="auto" w:fill="auto"/>
            <w:vAlign w:val="center"/>
            <w:hideMark/>
          </w:tcPr>
          <w:p w14:paraId="2AC517F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1,128</w:t>
            </w:r>
          </w:p>
        </w:tc>
        <w:tc>
          <w:tcPr>
            <w:tcW w:w="940" w:type="dxa"/>
            <w:tcBorders>
              <w:top w:val="nil"/>
              <w:left w:val="nil"/>
              <w:bottom w:val="single" w:sz="12" w:space="0" w:color="FF9E3C"/>
              <w:right w:val="single" w:sz="12" w:space="0" w:color="FF9E3C"/>
            </w:tcBorders>
            <w:shd w:val="clear" w:color="auto" w:fill="auto"/>
            <w:vAlign w:val="center"/>
            <w:hideMark/>
          </w:tcPr>
          <w:p w14:paraId="6634514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1.7</w:t>
            </w:r>
          </w:p>
        </w:tc>
        <w:tc>
          <w:tcPr>
            <w:tcW w:w="925" w:type="dxa"/>
            <w:tcBorders>
              <w:top w:val="nil"/>
              <w:left w:val="nil"/>
              <w:bottom w:val="single" w:sz="12" w:space="0" w:color="FF9E3C"/>
              <w:right w:val="single" w:sz="12" w:space="0" w:color="FF9E3C"/>
            </w:tcBorders>
            <w:shd w:val="clear" w:color="auto" w:fill="auto"/>
            <w:vAlign w:val="center"/>
            <w:hideMark/>
          </w:tcPr>
          <w:p w14:paraId="001E79F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7,572</w:t>
            </w:r>
          </w:p>
        </w:tc>
        <w:tc>
          <w:tcPr>
            <w:tcW w:w="918" w:type="dxa"/>
            <w:tcBorders>
              <w:top w:val="nil"/>
              <w:left w:val="nil"/>
              <w:bottom w:val="single" w:sz="12" w:space="0" w:color="FF9E3C"/>
              <w:right w:val="single" w:sz="12" w:space="0" w:color="FF9E3C"/>
            </w:tcBorders>
            <w:shd w:val="clear" w:color="auto" w:fill="auto"/>
            <w:vAlign w:val="center"/>
            <w:hideMark/>
          </w:tcPr>
          <w:p w14:paraId="2C38DD0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11.3</w:t>
            </w:r>
          </w:p>
        </w:tc>
      </w:tr>
      <w:tr w:rsidR="00AF621D" w:rsidRPr="00AF621D" w14:paraId="27FAFAD3" w14:textId="77777777" w:rsidTr="00AF621D">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hideMark/>
          </w:tcPr>
          <w:p w14:paraId="19453E31"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65+ years</w:t>
            </w:r>
          </w:p>
        </w:tc>
        <w:tc>
          <w:tcPr>
            <w:tcW w:w="931" w:type="dxa"/>
            <w:tcBorders>
              <w:top w:val="nil"/>
              <w:left w:val="nil"/>
              <w:bottom w:val="single" w:sz="12" w:space="0" w:color="FF9E3C"/>
              <w:right w:val="single" w:sz="12" w:space="0" w:color="FF9E3C"/>
            </w:tcBorders>
            <w:shd w:val="clear" w:color="auto" w:fill="auto"/>
            <w:vAlign w:val="center"/>
            <w:hideMark/>
          </w:tcPr>
          <w:p w14:paraId="106FA72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4,272</w:t>
            </w:r>
          </w:p>
        </w:tc>
        <w:tc>
          <w:tcPr>
            <w:tcW w:w="912" w:type="dxa"/>
            <w:tcBorders>
              <w:top w:val="nil"/>
              <w:left w:val="nil"/>
              <w:bottom w:val="single" w:sz="12" w:space="0" w:color="FF9E3C"/>
              <w:right w:val="single" w:sz="12" w:space="0" w:color="FF9E3C"/>
            </w:tcBorders>
            <w:shd w:val="clear" w:color="auto" w:fill="auto"/>
            <w:vAlign w:val="center"/>
            <w:hideMark/>
          </w:tcPr>
          <w:p w14:paraId="266C7CB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6.4</w:t>
            </w:r>
          </w:p>
        </w:tc>
        <w:tc>
          <w:tcPr>
            <w:tcW w:w="902" w:type="dxa"/>
            <w:tcBorders>
              <w:top w:val="nil"/>
              <w:left w:val="nil"/>
              <w:bottom w:val="single" w:sz="12" w:space="0" w:color="FF9E3C"/>
              <w:right w:val="single" w:sz="12" w:space="0" w:color="FF9E3C"/>
            </w:tcBorders>
            <w:shd w:val="clear" w:color="auto" w:fill="auto"/>
            <w:vAlign w:val="center"/>
            <w:hideMark/>
          </w:tcPr>
          <w:p w14:paraId="2AF8D0B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1,412</w:t>
            </w:r>
          </w:p>
        </w:tc>
        <w:tc>
          <w:tcPr>
            <w:tcW w:w="941" w:type="dxa"/>
            <w:tcBorders>
              <w:top w:val="nil"/>
              <w:left w:val="nil"/>
              <w:bottom w:val="single" w:sz="12" w:space="0" w:color="FF9E3C"/>
              <w:right w:val="single" w:sz="12" w:space="0" w:color="FF9E3C"/>
            </w:tcBorders>
            <w:shd w:val="clear" w:color="auto" w:fill="auto"/>
            <w:vAlign w:val="center"/>
            <w:hideMark/>
          </w:tcPr>
          <w:p w14:paraId="266B053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2.1</w:t>
            </w:r>
          </w:p>
        </w:tc>
        <w:tc>
          <w:tcPr>
            <w:tcW w:w="1044" w:type="dxa"/>
            <w:tcBorders>
              <w:top w:val="nil"/>
              <w:left w:val="nil"/>
              <w:bottom w:val="single" w:sz="12" w:space="0" w:color="FF9E3C"/>
              <w:right w:val="single" w:sz="12" w:space="0" w:color="FF9E3C"/>
            </w:tcBorders>
            <w:shd w:val="clear" w:color="auto" w:fill="auto"/>
            <w:vAlign w:val="center"/>
            <w:hideMark/>
          </w:tcPr>
          <w:p w14:paraId="72B3226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w:t>
            </w:r>
          </w:p>
        </w:tc>
        <w:tc>
          <w:tcPr>
            <w:tcW w:w="940" w:type="dxa"/>
            <w:tcBorders>
              <w:top w:val="nil"/>
              <w:left w:val="nil"/>
              <w:bottom w:val="single" w:sz="12" w:space="0" w:color="FF9E3C"/>
              <w:right w:val="single" w:sz="12" w:space="0" w:color="FF9E3C"/>
            </w:tcBorders>
            <w:shd w:val="clear" w:color="auto" w:fill="auto"/>
            <w:vAlign w:val="center"/>
            <w:hideMark/>
          </w:tcPr>
          <w:p w14:paraId="5D3BE86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0.0</w:t>
            </w:r>
          </w:p>
        </w:tc>
        <w:tc>
          <w:tcPr>
            <w:tcW w:w="925" w:type="dxa"/>
            <w:tcBorders>
              <w:top w:val="nil"/>
              <w:left w:val="nil"/>
              <w:bottom w:val="single" w:sz="12" w:space="0" w:color="FF9E3C"/>
              <w:right w:val="single" w:sz="12" w:space="0" w:color="FF9E3C"/>
            </w:tcBorders>
            <w:shd w:val="clear" w:color="auto" w:fill="auto"/>
            <w:vAlign w:val="center"/>
            <w:hideMark/>
          </w:tcPr>
          <w:p w14:paraId="5E50156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5,684</w:t>
            </w:r>
          </w:p>
        </w:tc>
        <w:tc>
          <w:tcPr>
            <w:tcW w:w="918" w:type="dxa"/>
            <w:tcBorders>
              <w:top w:val="nil"/>
              <w:left w:val="nil"/>
              <w:bottom w:val="single" w:sz="12" w:space="0" w:color="FF9E3C"/>
              <w:right w:val="single" w:sz="12" w:space="0" w:color="FF9E3C"/>
            </w:tcBorders>
            <w:shd w:val="clear" w:color="auto" w:fill="auto"/>
            <w:vAlign w:val="center"/>
            <w:hideMark/>
          </w:tcPr>
          <w:p w14:paraId="4152FE8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8.5</w:t>
            </w:r>
          </w:p>
        </w:tc>
      </w:tr>
      <w:tr w:rsidR="00AF621D" w:rsidRPr="00AF621D" w14:paraId="5772A090" w14:textId="77777777" w:rsidTr="00AF621D">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hideMark/>
          </w:tcPr>
          <w:p w14:paraId="62754791"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Total</w:t>
            </w:r>
          </w:p>
        </w:tc>
        <w:tc>
          <w:tcPr>
            <w:tcW w:w="931" w:type="dxa"/>
            <w:tcBorders>
              <w:top w:val="nil"/>
              <w:left w:val="nil"/>
              <w:bottom w:val="single" w:sz="12" w:space="0" w:color="FF9E3C"/>
              <w:right w:val="single" w:sz="12" w:space="0" w:color="FF9E3C"/>
            </w:tcBorders>
            <w:shd w:val="clear" w:color="auto" w:fill="auto"/>
            <w:vAlign w:val="center"/>
            <w:hideMark/>
          </w:tcPr>
          <w:p w14:paraId="48477A7D"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32,280</w:t>
            </w:r>
          </w:p>
        </w:tc>
        <w:tc>
          <w:tcPr>
            <w:tcW w:w="912" w:type="dxa"/>
            <w:tcBorders>
              <w:top w:val="nil"/>
              <w:left w:val="nil"/>
              <w:bottom w:val="single" w:sz="12" w:space="0" w:color="FF9E3C"/>
              <w:right w:val="single" w:sz="12" w:space="0" w:color="FF9E3C"/>
            </w:tcBorders>
            <w:shd w:val="clear" w:color="auto" w:fill="auto"/>
            <w:vAlign w:val="center"/>
            <w:hideMark/>
          </w:tcPr>
          <w:p w14:paraId="7932EE1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48.0</w:t>
            </w:r>
          </w:p>
        </w:tc>
        <w:tc>
          <w:tcPr>
            <w:tcW w:w="902" w:type="dxa"/>
            <w:tcBorders>
              <w:top w:val="nil"/>
              <w:left w:val="nil"/>
              <w:bottom w:val="single" w:sz="12" w:space="0" w:color="FF9E3C"/>
              <w:right w:val="single" w:sz="12" w:space="0" w:color="FF9E3C"/>
            </w:tcBorders>
            <w:shd w:val="clear" w:color="auto" w:fill="auto"/>
            <w:vAlign w:val="center"/>
            <w:hideMark/>
          </w:tcPr>
          <w:p w14:paraId="31E3E828"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22,577</w:t>
            </w:r>
          </w:p>
        </w:tc>
        <w:tc>
          <w:tcPr>
            <w:tcW w:w="941" w:type="dxa"/>
            <w:tcBorders>
              <w:top w:val="nil"/>
              <w:left w:val="nil"/>
              <w:bottom w:val="single" w:sz="12" w:space="0" w:color="FF9E3C"/>
              <w:right w:val="single" w:sz="12" w:space="0" w:color="FF9E3C"/>
            </w:tcBorders>
            <w:shd w:val="clear" w:color="auto" w:fill="auto"/>
            <w:vAlign w:val="center"/>
            <w:hideMark/>
          </w:tcPr>
          <w:p w14:paraId="0F4E024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33.6</w:t>
            </w:r>
          </w:p>
        </w:tc>
        <w:tc>
          <w:tcPr>
            <w:tcW w:w="1044" w:type="dxa"/>
            <w:tcBorders>
              <w:top w:val="nil"/>
              <w:left w:val="nil"/>
              <w:bottom w:val="single" w:sz="12" w:space="0" w:color="FF9E3C"/>
              <w:right w:val="single" w:sz="12" w:space="0" w:color="FF9E3C"/>
            </w:tcBorders>
            <w:shd w:val="clear" w:color="auto" w:fill="auto"/>
            <w:vAlign w:val="center"/>
            <w:hideMark/>
          </w:tcPr>
          <w:p w14:paraId="3EB9222C"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12,341</w:t>
            </w:r>
          </w:p>
        </w:tc>
        <w:tc>
          <w:tcPr>
            <w:tcW w:w="940" w:type="dxa"/>
            <w:tcBorders>
              <w:top w:val="nil"/>
              <w:left w:val="nil"/>
              <w:bottom w:val="single" w:sz="12" w:space="0" w:color="FF9E3C"/>
              <w:right w:val="single" w:sz="12" w:space="0" w:color="FF9E3C"/>
            </w:tcBorders>
            <w:shd w:val="clear" w:color="auto" w:fill="auto"/>
            <w:vAlign w:val="center"/>
            <w:hideMark/>
          </w:tcPr>
          <w:p w14:paraId="5F60D26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18.4</w:t>
            </w:r>
          </w:p>
        </w:tc>
        <w:tc>
          <w:tcPr>
            <w:tcW w:w="925" w:type="dxa"/>
            <w:tcBorders>
              <w:top w:val="nil"/>
              <w:left w:val="nil"/>
              <w:bottom w:val="single" w:sz="12" w:space="0" w:color="FF9E3C"/>
              <w:right w:val="single" w:sz="12" w:space="0" w:color="FF9E3C"/>
            </w:tcBorders>
            <w:shd w:val="clear" w:color="auto" w:fill="auto"/>
            <w:vAlign w:val="center"/>
            <w:hideMark/>
          </w:tcPr>
          <w:p w14:paraId="207523F2"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67,199</w:t>
            </w:r>
          </w:p>
        </w:tc>
        <w:tc>
          <w:tcPr>
            <w:tcW w:w="918" w:type="dxa"/>
            <w:tcBorders>
              <w:top w:val="nil"/>
              <w:left w:val="nil"/>
              <w:bottom w:val="single" w:sz="12" w:space="0" w:color="FF9E3C"/>
              <w:right w:val="single" w:sz="12" w:space="0" w:color="FF9E3C"/>
            </w:tcBorders>
            <w:shd w:val="clear" w:color="auto" w:fill="auto"/>
            <w:vAlign w:val="center"/>
            <w:hideMark/>
          </w:tcPr>
          <w:p w14:paraId="48F0C2EC"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100</w:t>
            </w:r>
          </w:p>
        </w:tc>
      </w:tr>
    </w:tbl>
    <w:p w14:paraId="6386A36E" w14:textId="25F865D4" w:rsidR="006C7F31" w:rsidRPr="00AF621D" w:rsidRDefault="006C7F31" w:rsidP="002901C9">
      <w:pPr>
        <w:tabs>
          <w:tab w:val="clear" w:pos="426"/>
          <w:tab w:val="left" w:pos="567"/>
        </w:tabs>
        <w:spacing w:after="0" w:line="240" w:lineRule="auto"/>
        <w:ind w:left="0"/>
        <w:rPr>
          <w:rFonts w:eastAsia="MS Mincho" w:cs="Arial"/>
          <w:color w:val="1C3158"/>
          <w:sz w:val="16"/>
        </w:rPr>
      </w:pPr>
      <w:r w:rsidRPr="00AF621D">
        <w:rPr>
          <w:rFonts w:cs="Arial"/>
          <w:color w:val="1C3158"/>
          <w:sz w:val="16"/>
          <w:szCs w:val="16"/>
        </w:rPr>
        <w:t xml:space="preserve">Weighted population bases: </w:t>
      </w:r>
      <w:r w:rsidRPr="00AF621D">
        <w:rPr>
          <w:rFonts w:eastAsia="MS Mincho" w:cs="Arial"/>
          <w:color w:val="1C3158"/>
          <w:sz w:val="16"/>
        </w:rPr>
        <w:t>Total New Zealand PGSI 1+ (n=260,011)</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PGSI: low-risk (n=175,511), moderate-risk (n=61,470), problem gambling (n=23,029)</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Age &amp; PGSI 1+: 18-24 years (n=45,798), 25-34 years (n=69,447), 35-44 years (n= 44,319), 45-54 years (n=43,010), 55-64 years (n=30,365), and 65+ years (n=27,072).</w:t>
      </w:r>
    </w:p>
    <w:p w14:paraId="3F389B1D" w14:textId="77777777" w:rsidR="006C7F31" w:rsidRPr="00AF621D" w:rsidRDefault="006C7F31" w:rsidP="006C7F31">
      <w:pPr>
        <w:tabs>
          <w:tab w:val="clear" w:pos="426"/>
          <w:tab w:val="left" w:pos="567"/>
        </w:tabs>
        <w:spacing w:after="0" w:line="240" w:lineRule="auto"/>
        <w:rPr>
          <w:rFonts w:eastAsia="MS Mincho" w:cs="Arial"/>
          <w:color w:val="1C3158"/>
          <w:sz w:val="16"/>
        </w:rPr>
      </w:pPr>
    </w:p>
    <w:p w14:paraId="79A36D71" w14:textId="7C6E39D5" w:rsidR="006C7F31" w:rsidRPr="00AF621D" w:rsidRDefault="006C7F31" w:rsidP="006C7F31">
      <w:pPr>
        <w:pStyle w:val="VRGFBodycontent"/>
        <w:rPr>
          <w:rFonts w:eastAsia="MS Mincho"/>
        </w:rPr>
      </w:pPr>
      <w:bookmarkStart w:id="370" w:name="_Ref429651676"/>
      <w:bookmarkStart w:id="371" w:name="_Toc440900350"/>
      <w:r w:rsidRPr="00AF621D">
        <w:rPr>
          <w:rFonts w:eastAsia="MS Mincho"/>
        </w:rPr>
        <w:t>A cross-tabulation by age, gender, and PGSI (</w:t>
      </w:r>
      <w:r w:rsidR="005F4B33" w:rsidRPr="00AF621D">
        <w:rPr>
          <w:rFonts w:eastAsia="MS Mincho"/>
        </w:rPr>
        <w:fldChar w:fldCharType="begin"/>
      </w:r>
      <w:r w:rsidR="005F4B33" w:rsidRPr="00AF621D">
        <w:rPr>
          <w:rFonts w:eastAsia="MS Mincho"/>
        </w:rPr>
        <w:instrText xml:space="preserve"> REF _Ref445566337 \h </w:instrText>
      </w:r>
      <w:r w:rsidR="00AF621D">
        <w:rPr>
          <w:rFonts w:eastAsia="MS Mincho"/>
        </w:rPr>
        <w:instrText xml:space="preserve"> \* MERGEFORMAT </w:instrText>
      </w:r>
      <w:r w:rsidR="005F4B33" w:rsidRPr="00AF621D">
        <w:rPr>
          <w:rFonts w:eastAsia="MS Mincho"/>
        </w:rPr>
      </w:r>
      <w:r w:rsidR="005F4B33" w:rsidRPr="00AF621D">
        <w:rPr>
          <w:rFonts w:eastAsia="MS Mincho"/>
        </w:rPr>
        <w:fldChar w:fldCharType="separate"/>
      </w:r>
      <w:r w:rsidR="0006479A" w:rsidRPr="00AF621D">
        <w:t xml:space="preserve">Table </w:t>
      </w:r>
      <w:r w:rsidR="0006479A">
        <w:rPr>
          <w:noProof/>
        </w:rPr>
        <w:t>28</w:t>
      </w:r>
      <w:r w:rsidR="005F4B33" w:rsidRPr="00AF621D">
        <w:rPr>
          <w:rFonts w:eastAsia="MS Mincho"/>
        </w:rPr>
        <w:fldChar w:fldCharType="end"/>
      </w:r>
      <w:r w:rsidRPr="00AF621D">
        <w:rPr>
          <w:rFonts w:eastAsia="MS Mincho"/>
        </w:rPr>
        <w:t>) shows that the largest proportion of the harms came from males aged 18-</w:t>
      </w:r>
      <w:r w:rsidR="009A65C5" w:rsidRPr="00AF621D">
        <w:rPr>
          <w:rFonts w:eastAsia="MS Mincho"/>
        </w:rPr>
        <w:t>3</w:t>
      </w:r>
      <w:r w:rsidRPr="00AF621D">
        <w:rPr>
          <w:rFonts w:eastAsia="MS Mincho"/>
        </w:rPr>
        <w:t xml:space="preserve">4 years with low-risk gambling problems (11.7%), followed by males </w:t>
      </w:r>
      <w:r w:rsidR="009A65C5" w:rsidRPr="00AF621D">
        <w:rPr>
          <w:rFonts w:eastAsia="MS Mincho"/>
        </w:rPr>
        <w:t xml:space="preserve">aged </w:t>
      </w:r>
      <w:r w:rsidRPr="00AF621D">
        <w:rPr>
          <w:rFonts w:eastAsia="MS Mincho"/>
        </w:rPr>
        <w:t>18-34 years with moderate-risk gambling problems (10.2%)</w:t>
      </w:r>
      <w:r w:rsidR="00E832B0" w:rsidRPr="00AF621D">
        <w:rPr>
          <w:rFonts w:eastAsia="MS Mincho"/>
        </w:rPr>
        <w:t>.</w:t>
      </w:r>
      <w:r w:rsidR="008610D3" w:rsidRPr="00AF621D">
        <w:rPr>
          <w:rFonts w:eastAsia="MS Mincho"/>
        </w:rPr>
        <w:t xml:space="preserve"> </w:t>
      </w:r>
      <w:r w:rsidRPr="00AF621D">
        <w:rPr>
          <w:rFonts w:eastAsia="MS Mincho"/>
        </w:rPr>
        <w:t xml:space="preserve">Overall, males </w:t>
      </w:r>
      <w:r w:rsidR="009A65C5" w:rsidRPr="00AF621D">
        <w:rPr>
          <w:rFonts w:eastAsia="MS Mincho"/>
        </w:rPr>
        <w:t xml:space="preserve">aged </w:t>
      </w:r>
      <w:r w:rsidRPr="00AF621D">
        <w:rPr>
          <w:rFonts w:eastAsia="MS Mincho"/>
        </w:rPr>
        <w:t xml:space="preserve">18-34 years accounted for just over one-quarter (27.1%) of the </w:t>
      </w:r>
      <w:r w:rsidR="00286F9C">
        <w:rPr>
          <w:rFonts w:eastAsia="MS Mincho"/>
        </w:rPr>
        <w:t>QALY</w:t>
      </w:r>
      <w:r w:rsidR="00286F9C" w:rsidRPr="00AF621D">
        <w:rPr>
          <w:rFonts w:eastAsia="MS Mincho"/>
          <w:sz w:val="12"/>
        </w:rPr>
        <w:t>1</w:t>
      </w:r>
      <w:r w:rsidRPr="00AF621D">
        <w:rPr>
          <w:rFonts w:eastAsia="MS Mincho"/>
        </w:rPr>
        <w:t>.</w:t>
      </w:r>
    </w:p>
    <w:p w14:paraId="0DAA73F3" w14:textId="695E24FF" w:rsidR="006C7F31" w:rsidRPr="00AF621D" w:rsidRDefault="00320D9A" w:rsidP="00320D9A">
      <w:pPr>
        <w:pStyle w:val="Caption"/>
        <w:rPr>
          <w:color w:val="1C3158"/>
        </w:rPr>
      </w:pPr>
      <w:bookmarkStart w:id="372" w:name="_Ref445566337"/>
      <w:bookmarkStart w:id="373" w:name="_Toc462738131"/>
      <w:r w:rsidRPr="00AF621D">
        <w:t xml:space="preserve">Table </w:t>
      </w:r>
      <w:fldSimple w:instr=" SEQ Table \* ARABIC ">
        <w:r w:rsidR="0006479A">
          <w:rPr>
            <w:noProof/>
          </w:rPr>
          <w:t>28</w:t>
        </w:r>
      </w:fldSimple>
      <w:bookmarkEnd w:id="372"/>
      <w:r w:rsidR="00E832B0" w:rsidRPr="00AF621D">
        <w:t>.</w:t>
      </w:r>
      <w:r w:rsidR="008610D3" w:rsidRPr="00AF621D">
        <w:t xml:space="preserve"> </w:t>
      </w:r>
      <w:bookmarkEnd w:id="370"/>
      <w:r w:rsidR="006C7F31" w:rsidRPr="00AF621D">
        <w:rPr>
          <w:color w:val="1C3158"/>
        </w:rPr>
        <w:t>Gambling</w:t>
      </w:r>
      <w:r w:rsidR="00286F9C">
        <w:rPr>
          <w:color w:val="1C3158"/>
        </w:rPr>
        <w:t>-related</w:t>
      </w:r>
      <w:r w:rsidR="006C7F31" w:rsidRPr="00AF621D">
        <w:rPr>
          <w:color w:val="1C3158"/>
        </w:rPr>
        <w:t xml:space="preserve"> harms to the New Zealand adult population by gender x age range and PGSI category</w:t>
      </w:r>
      <w:bookmarkEnd w:id="371"/>
      <w:bookmarkEnd w:id="373"/>
    </w:p>
    <w:tbl>
      <w:tblPr>
        <w:tblW w:w="8837" w:type="dxa"/>
        <w:tblLayout w:type="fixed"/>
        <w:tblLook w:val="04A0" w:firstRow="1" w:lastRow="0" w:firstColumn="1" w:lastColumn="0" w:noHBand="0" w:noVBand="1"/>
      </w:tblPr>
      <w:tblGrid>
        <w:gridCol w:w="1261"/>
        <w:gridCol w:w="914"/>
        <w:gridCol w:w="992"/>
        <w:gridCol w:w="907"/>
        <w:gridCol w:w="936"/>
        <w:gridCol w:w="1048"/>
        <w:gridCol w:w="936"/>
        <w:gridCol w:w="929"/>
        <w:gridCol w:w="914"/>
      </w:tblGrid>
      <w:tr w:rsidR="006C7F31" w:rsidRPr="00AF621D" w14:paraId="5AFCBCBC" w14:textId="77777777" w:rsidTr="00286F9C">
        <w:trPr>
          <w:trHeight w:val="330"/>
        </w:trPr>
        <w:tc>
          <w:tcPr>
            <w:tcW w:w="1261"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5F2EFA55"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Age Range</w:t>
            </w:r>
          </w:p>
        </w:tc>
        <w:tc>
          <w:tcPr>
            <w:tcW w:w="1906"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28466C8B"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0BEC5EC"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984"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21BBB5C5"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9390189"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6C7F31" w:rsidRPr="00AF621D" w14:paraId="73D7DBAA" w14:textId="77777777" w:rsidTr="00286F9C">
        <w:trPr>
          <w:trHeight w:val="330"/>
        </w:trPr>
        <w:tc>
          <w:tcPr>
            <w:tcW w:w="1261" w:type="dxa"/>
            <w:vMerge/>
            <w:tcBorders>
              <w:top w:val="single" w:sz="12" w:space="0" w:color="FF9E3C"/>
              <w:left w:val="single" w:sz="12" w:space="0" w:color="FF9E3C"/>
              <w:bottom w:val="single" w:sz="12" w:space="0" w:color="FF9E3C"/>
              <w:right w:val="single" w:sz="12" w:space="0" w:color="FF9E3C"/>
            </w:tcBorders>
            <w:vAlign w:val="center"/>
            <w:hideMark/>
          </w:tcPr>
          <w:p w14:paraId="2CE15B94"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914" w:type="dxa"/>
            <w:tcBorders>
              <w:top w:val="nil"/>
              <w:left w:val="nil"/>
              <w:bottom w:val="single" w:sz="12" w:space="0" w:color="FF9E3C"/>
              <w:right w:val="single" w:sz="12" w:space="0" w:color="FF9E3C"/>
            </w:tcBorders>
            <w:shd w:val="clear" w:color="000000" w:fill="FFBC64"/>
            <w:vAlign w:val="center"/>
            <w:hideMark/>
          </w:tcPr>
          <w:p w14:paraId="5C830A17" w14:textId="3F4C81FF"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92" w:type="dxa"/>
            <w:tcBorders>
              <w:top w:val="nil"/>
              <w:left w:val="nil"/>
              <w:bottom w:val="single" w:sz="12" w:space="0" w:color="FF9E3C"/>
              <w:right w:val="single" w:sz="12" w:space="0" w:color="FF9E3C"/>
            </w:tcBorders>
            <w:shd w:val="clear" w:color="000000" w:fill="FFBC64"/>
            <w:vAlign w:val="center"/>
            <w:hideMark/>
          </w:tcPr>
          <w:p w14:paraId="2A26FF94"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07" w:type="dxa"/>
            <w:tcBorders>
              <w:top w:val="nil"/>
              <w:left w:val="nil"/>
              <w:bottom w:val="single" w:sz="12" w:space="0" w:color="FF9E3C"/>
              <w:right w:val="single" w:sz="12" w:space="0" w:color="FF9E3C"/>
            </w:tcBorders>
            <w:shd w:val="clear" w:color="000000" w:fill="FFBC64"/>
            <w:vAlign w:val="center"/>
            <w:hideMark/>
          </w:tcPr>
          <w:p w14:paraId="3527A7D5" w14:textId="7E0C967B"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36" w:type="dxa"/>
            <w:tcBorders>
              <w:top w:val="nil"/>
              <w:left w:val="nil"/>
              <w:bottom w:val="single" w:sz="12" w:space="0" w:color="FF9E3C"/>
              <w:right w:val="single" w:sz="12" w:space="0" w:color="FF9E3C"/>
            </w:tcBorders>
            <w:shd w:val="clear" w:color="000000" w:fill="FFBC64"/>
            <w:vAlign w:val="center"/>
            <w:hideMark/>
          </w:tcPr>
          <w:p w14:paraId="4D5E72C4"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1048" w:type="dxa"/>
            <w:tcBorders>
              <w:top w:val="nil"/>
              <w:left w:val="nil"/>
              <w:bottom w:val="single" w:sz="12" w:space="0" w:color="FF9E3C"/>
              <w:right w:val="single" w:sz="12" w:space="0" w:color="FF9E3C"/>
            </w:tcBorders>
            <w:shd w:val="clear" w:color="000000" w:fill="FFBC64"/>
            <w:vAlign w:val="center"/>
            <w:hideMark/>
          </w:tcPr>
          <w:p w14:paraId="3B65A19E" w14:textId="4BEC9974"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36" w:type="dxa"/>
            <w:tcBorders>
              <w:top w:val="nil"/>
              <w:left w:val="nil"/>
              <w:bottom w:val="single" w:sz="12" w:space="0" w:color="FF9E3C"/>
              <w:right w:val="single" w:sz="12" w:space="0" w:color="FF9E3C"/>
            </w:tcBorders>
            <w:shd w:val="clear" w:color="000000" w:fill="FFBC64"/>
            <w:vAlign w:val="center"/>
            <w:hideMark/>
          </w:tcPr>
          <w:p w14:paraId="44F6112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29" w:type="dxa"/>
            <w:tcBorders>
              <w:top w:val="nil"/>
              <w:left w:val="nil"/>
              <w:bottom w:val="single" w:sz="12" w:space="0" w:color="FF9E3C"/>
              <w:right w:val="single" w:sz="12" w:space="0" w:color="FF9E3C"/>
            </w:tcBorders>
            <w:shd w:val="clear" w:color="000000" w:fill="FFBC64"/>
            <w:vAlign w:val="center"/>
            <w:hideMark/>
          </w:tcPr>
          <w:p w14:paraId="2EFBD397" w14:textId="63BA1291"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14" w:type="dxa"/>
            <w:tcBorders>
              <w:top w:val="nil"/>
              <w:left w:val="nil"/>
              <w:bottom w:val="single" w:sz="12" w:space="0" w:color="FF9E3C"/>
              <w:right w:val="single" w:sz="12" w:space="0" w:color="FF9E3C"/>
            </w:tcBorders>
            <w:shd w:val="clear" w:color="000000" w:fill="FFBC64"/>
            <w:vAlign w:val="center"/>
            <w:hideMark/>
          </w:tcPr>
          <w:p w14:paraId="0DF10EF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6C7F31" w:rsidRPr="00AF621D" w14:paraId="7507987C" w14:textId="77777777" w:rsidTr="00286F9C">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tcPr>
          <w:p w14:paraId="3B1302F7"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Male 18-34 years</w:t>
            </w:r>
          </w:p>
        </w:tc>
        <w:tc>
          <w:tcPr>
            <w:tcW w:w="914" w:type="dxa"/>
            <w:tcBorders>
              <w:top w:val="nil"/>
              <w:left w:val="nil"/>
              <w:bottom w:val="single" w:sz="12" w:space="0" w:color="FF9E3C"/>
              <w:right w:val="single" w:sz="12" w:space="0" w:color="FF9E3C"/>
            </w:tcBorders>
            <w:shd w:val="clear" w:color="auto" w:fill="auto"/>
            <w:vAlign w:val="center"/>
          </w:tcPr>
          <w:p w14:paraId="6365A17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7,877</w:t>
            </w:r>
          </w:p>
        </w:tc>
        <w:tc>
          <w:tcPr>
            <w:tcW w:w="992" w:type="dxa"/>
            <w:tcBorders>
              <w:top w:val="nil"/>
              <w:left w:val="nil"/>
              <w:bottom w:val="single" w:sz="12" w:space="0" w:color="FF9E3C"/>
              <w:right w:val="single" w:sz="12" w:space="0" w:color="FF9E3C"/>
            </w:tcBorders>
            <w:shd w:val="clear" w:color="auto" w:fill="auto"/>
            <w:vAlign w:val="center"/>
          </w:tcPr>
          <w:p w14:paraId="4CEFFCA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11.7</w:t>
            </w:r>
          </w:p>
        </w:tc>
        <w:tc>
          <w:tcPr>
            <w:tcW w:w="907" w:type="dxa"/>
            <w:tcBorders>
              <w:top w:val="nil"/>
              <w:left w:val="nil"/>
              <w:bottom w:val="single" w:sz="12" w:space="0" w:color="FF9E3C"/>
              <w:right w:val="single" w:sz="12" w:space="0" w:color="FF9E3C"/>
            </w:tcBorders>
            <w:shd w:val="clear" w:color="auto" w:fill="auto"/>
            <w:vAlign w:val="center"/>
          </w:tcPr>
          <w:p w14:paraId="2DBBF21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6,853</w:t>
            </w:r>
          </w:p>
        </w:tc>
        <w:tc>
          <w:tcPr>
            <w:tcW w:w="936" w:type="dxa"/>
            <w:tcBorders>
              <w:top w:val="nil"/>
              <w:left w:val="nil"/>
              <w:bottom w:val="single" w:sz="12" w:space="0" w:color="FF9E3C"/>
              <w:right w:val="single" w:sz="12" w:space="0" w:color="FF9E3C"/>
            </w:tcBorders>
            <w:shd w:val="clear" w:color="auto" w:fill="auto"/>
            <w:vAlign w:val="center"/>
          </w:tcPr>
          <w:p w14:paraId="1E429C3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10.2</w:t>
            </w:r>
          </w:p>
        </w:tc>
        <w:tc>
          <w:tcPr>
            <w:tcW w:w="1048" w:type="dxa"/>
            <w:tcBorders>
              <w:top w:val="nil"/>
              <w:left w:val="nil"/>
              <w:bottom w:val="single" w:sz="12" w:space="0" w:color="FF9E3C"/>
              <w:right w:val="single" w:sz="12" w:space="0" w:color="FF9E3C"/>
            </w:tcBorders>
            <w:shd w:val="clear" w:color="auto" w:fill="auto"/>
            <w:vAlign w:val="center"/>
          </w:tcPr>
          <w:p w14:paraId="7C6FD79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3,460</w:t>
            </w:r>
          </w:p>
        </w:tc>
        <w:tc>
          <w:tcPr>
            <w:tcW w:w="936" w:type="dxa"/>
            <w:tcBorders>
              <w:top w:val="nil"/>
              <w:left w:val="nil"/>
              <w:bottom w:val="single" w:sz="12" w:space="0" w:color="FF9E3C"/>
              <w:right w:val="single" w:sz="12" w:space="0" w:color="FF9E3C"/>
            </w:tcBorders>
            <w:shd w:val="clear" w:color="auto" w:fill="auto"/>
            <w:vAlign w:val="center"/>
          </w:tcPr>
          <w:p w14:paraId="69AEFED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5.1</w:t>
            </w:r>
          </w:p>
        </w:tc>
        <w:tc>
          <w:tcPr>
            <w:tcW w:w="929" w:type="dxa"/>
            <w:tcBorders>
              <w:top w:val="nil"/>
              <w:left w:val="nil"/>
              <w:bottom w:val="single" w:sz="12" w:space="0" w:color="FF9E3C"/>
              <w:right w:val="single" w:sz="12" w:space="0" w:color="FF9E3C"/>
            </w:tcBorders>
            <w:shd w:val="clear" w:color="auto" w:fill="auto"/>
            <w:vAlign w:val="center"/>
          </w:tcPr>
          <w:p w14:paraId="79728A0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18,189</w:t>
            </w:r>
          </w:p>
        </w:tc>
        <w:tc>
          <w:tcPr>
            <w:tcW w:w="914" w:type="dxa"/>
            <w:tcBorders>
              <w:top w:val="nil"/>
              <w:left w:val="nil"/>
              <w:bottom w:val="single" w:sz="12" w:space="0" w:color="FF9E3C"/>
              <w:right w:val="single" w:sz="12" w:space="0" w:color="FF9E3C"/>
            </w:tcBorders>
            <w:shd w:val="clear" w:color="auto" w:fill="auto"/>
            <w:vAlign w:val="center"/>
          </w:tcPr>
          <w:p w14:paraId="3A2693F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27.1</w:t>
            </w:r>
          </w:p>
        </w:tc>
      </w:tr>
      <w:tr w:rsidR="006C7F31" w:rsidRPr="00AF621D" w14:paraId="0DC84F9D" w14:textId="77777777" w:rsidTr="00286F9C">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tcPr>
          <w:p w14:paraId="3F71D5DE"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Female 18-34 years</w:t>
            </w:r>
          </w:p>
        </w:tc>
        <w:tc>
          <w:tcPr>
            <w:tcW w:w="914" w:type="dxa"/>
            <w:tcBorders>
              <w:top w:val="nil"/>
              <w:left w:val="nil"/>
              <w:bottom w:val="single" w:sz="12" w:space="0" w:color="FF9E3C"/>
              <w:right w:val="single" w:sz="12" w:space="0" w:color="FF9E3C"/>
            </w:tcBorders>
            <w:shd w:val="clear" w:color="auto" w:fill="auto"/>
            <w:vAlign w:val="center"/>
          </w:tcPr>
          <w:p w14:paraId="0D26733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6,029</w:t>
            </w:r>
          </w:p>
        </w:tc>
        <w:tc>
          <w:tcPr>
            <w:tcW w:w="992" w:type="dxa"/>
            <w:tcBorders>
              <w:top w:val="nil"/>
              <w:left w:val="nil"/>
              <w:bottom w:val="single" w:sz="12" w:space="0" w:color="FF9E3C"/>
              <w:right w:val="single" w:sz="12" w:space="0" w:color="FF9E3C"/>
            </w:tcBorders>
            <w:shd w:val="clear" w:color="auto" w:fill="auto"/>
            <w:vAlign w:val="center"/>
          </w:tcPr>
          <w:p w14:paraId="171E454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9.0</w:t>
            </w:r>
          </w:p>
        </w:tc>
        <w:tc>
          <w:tcPr>
            <w:tcW w:w="907" w:type="dxa"/>
            <w:tcBorders>
              <w:top w:val="nil"/>
              <w:left w:val="nil"/>
              <w:bottom w:val="single" w:sz="12" w:space="0" w:color="FF9E3C"/>
              <w:right w:val="single" w:sz="12" w:space="0" w:color="FF9E3C"/>
            </w:tcBorders>
            <w:shd w:val="clear" w:color="auto" w:fill="auto"/>
            <w:vAlign w:val="center"/>
          </w:tcPr>
          <w:p w14:paraId="7F5518F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4,943</w:t>
            </w:r>
          </w:p>
        </w:tc>
        <w:tc>
          <w:tcPr>
            <w:tcW w:w="936" w:type="dxa"/>
            <w:tcBorders>
              <w:top w:val="nil"/>
              <w:left w:val="nil"/>
              <w:bottom w:val="single" w:sz="12" w:space="0" w:color="FF9E3C"/>
              <w:right w:val="single" w:sz="12" w:space="0" w:color="FF9E3C"/>
            </w:tcBorders>
            <w:shd w:val="clear" w:color="auto" w:fill="auto"/>
            <w:vAlign w:val="center"/>
          </w:tcPr>
          <w:p w14:paraId="7EAAFFC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7.4</w:t>
            </w:r>
          </w:p>
        </w:tc>
        <w:tc>
          <w:tcPr>
            <w:tcW w:w="1048" w:type="dxa"/>
            <w:tcBorders>
              <w:top w:val="nil"/>
              <w:left w:val="nil"/>
              <w:bottom w:val="single" w:sz="12" w:space="0" w:color="FF9E3C"/>
              <w:right w:val="single" w:sz="12" w:space="0" w:color="FF9E3C"/>
            </w:tcBorders>
            <w:shd w:val="clear" w:color="auto" w:fill="auto"/>
            <w:vAlign w:val="center"/>
          </w:tcPr>
          <w:p w14:paraId="0123B63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571</w:t>
            </w:r>
          </w:p>
        </w:tc>
        <w:tc>
          <w:tcPr>
            <w:tcW w:w="936" w:type="dxa"/>
            <w:tcBorders>
              <w:top w:val="nil"/>
              <w:left w:val="nil"/>
              <w:bottom w:val="single" w:sz="12" w:space="0" w:color="FF9E3C"/>
              <w:right w:val="single" w:sz="12" w:space="0" w:color="FF9E3C"/>
            </w:tcBorders>
            <w:shd w:val="clear" w:color="auto" w:fill="auto"/>
            <w:vAlign w:val="center"/>
          </w:tcPr>
          <w:p w14:paraId="5212EB2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0.8</w:t>
            </w:r>
          </w:p>
        </w:tc>
        <w:tc>
          <w:tcPr>
            <w:tcW w:w="929" w:type="dxa"/>
            <w:tcBorders>
              <w:top w:val="nil"/>
              <w:left w:val="nil"/>
              <w:bottom w:val="single" w:sz="12" w:space="0" w:color="FF9E3C"/>
              <w:right w:val="single" w:sz="12" w:space="0" w:color="FF9E3C"/>
            </w:tcBorders>
            <w:shd w:val="clear" w:color="auto" w:fill="auto"/>
            <w:vAlign w:val="center"/>
          </w:tcPr>
          <w:p w14:paraId="3AD3D1F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11,543</w:t>
            </w:r>
          </w:p>
        </w:tc>
        <w:tc>
          <w:tcPr>
            <w:tcW w:w="914" w:type="dxa"/>
            <w:tcBorders>
              <w:top w:val="nil"/>
              <w:left w:val="nil"/>
              <w:bottom w:val="single" w:sz="12" w:space="0" w:color="FF9E3C"/>
              <w:right w:val="single" w:sz="12" w:space="0" w:color="FF9E3C"/>
            </w:tcBorders>
            <w:shd w:val="clear" w:color="auto" w:fill="auto"/>
            <w:vAlign w:val="center"/>
          </w:tcPr>
          <w:p w14:paraId="6B2BE3A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17.2</w:t>
            </w:r>
          </w:p>
        </w:tc>
      </w:tr>
      <w:tr w:rsidR="006C7F31" w:rsidRPr="00AF621D" w14:paraId="5746F5D2" w14:textId="77777777" w:rsidTr="00286F9C">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tcPr>
          <w:p w14:paraId="58A2EF75"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Male 35-54 years</w:t>
            </w:r>
          </w:p>
        </w:tc>
        <w:tc>
          <w:tcPr>
            <w:tcW w:w="914" w:type="dxa"/>
            <w:tcBorders>
              <w:top w:val="nil"/>
              <w:left w:val="nil"/>
              <w:bottom w:val="single" w:sz="12" w:space="0" w:color="FF9E3C"/>
              <w:right w:val="single" w:sz="12" w:space="0" w:color="FF9E3C"/>
            </w:tcBorders>
            <w:shd w:val="clear" w:color="auto" w:fill="auto"/>
            <w:vAlign w:val="center"/>
          </w:tcPr>
          <w:p w14:paraId="7DC948E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5,366</w:t>
            </w:r>
          </w:p>
        </w:tc>
        <w:tc>
          <w:tcPr>
            <w:tcW w:w="992" w:type="dxa"/>
            <w:tcBorders>
              <w:top w:val="nil"/>
              <w:left w:val="nil"/>
              <w:bottom w:val="single" w:sz="12" w:space="0" w:color="FF9E3C"/>
              <w:right w:val="single" w:sz="12" w:space="0" w:color="FF9E3C"/>
            </w:tcBorders>
            <w:shd w:val="clear" w:color="auto" w:fill="auto"/>
            <w:vAlign w:val="center"/>
          </w:tcPr>
          <w:p w14:paraId="2DFE80E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8.0</w:t>
            </w:r>
          </w:p>
        </w:tc>
        <w:tc>
          <w:tcPr>
            <w:tcW w:w="907" w:type="dxa"/>
            <w:tcBorders>
              <w:top w:val="nil"/>
              <w:left w:val="nil"/>
              <w:bottom w:val="single" w:sz="12" w:space="0" w:color="FF9E3C"/>
              <w:right w:val="single" w:sz="12" w:space="0" w:color="FF9E3C"/>
            </w:tcBorders>
            <w:shd w:val="clear" w:color="auto" w:fill="auto"/>
            <w:vAlign w:val="center"/>
          </w:tcPr>
          <w:p w14:paraId="17A35C8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3,425</w:t>
            </w:r>
          </w:p>
        </w:tc>
        <w:tc>
          <w:tcPr>
            <w:tcW w:w="936" w:type="dxa"/>
            <w:tcBorders>
              <w:top w:val="nil"/>
              <w:left w:val="nil"/>
              <w:bottom w:val="single" w:sz="12" w:space="0" w:color="FF9E3C"/>
              <w:right w:val="single" w:sz="12" w:space="0" w:color="FF9E3C"/>
            </w:tcBorders>
            <w:shd w:val="clear" w:color="auto" w:fill="auto"/>
            <w:vAlign w:val="center"/>
          </w:tcPr>
          <w:p w14:paraId="7120AB1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5.1</w:t>
            </w:r>
          </w:p>
        </w:tc>
        <w:tc>
          <w:tcPr>
            <w:tcW w:w="1048" w:type="dxa"/>
            <w:tcBorders>
              <w:top w:val="nil"/>
              <w:left w:val="nil"/>
              <w:bottom w:val="single" w:sz="12" w:space="0" w:color="FF9E3C"/>
              <w:right w:val="single" w:sz="12" w:space="0" w:color="FF9E3C"/>
            </w:tcBorders>
            <w:shd w:val="clear" w:color="auto" w:fill="auto"/>
            <w:vAlign w:val="center"/>
          </w:tcPr>
          <w:p w14:paraId="0D5140B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4,609</w:t>
            </w:r>
          </w:p>
        </w:tc>
        <w:tc>
          <w:tcPr>
            <w:tcW w:w="936" w:type="dxa"/>
            <w:tcBorders>
              <w:top w:val="nil"/>
              <w:left w:val="nil"/>
              <w:bottom w:val="single" w:sz="12" w:space="0" w:color="FF9E3C"/>
              <w:right w:val="single" w:sz="12" w:space="0" w:color="FF9E3C"/>
            </w:tcBorders>
            <w:shd w:val="clear" w:color="auto" w:fill="auto"/>
            <w:vAlign w:val="center"/>
          </w:tcPr>
          <w:p w14:paraId="012D7E5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6.9</w:t>
            </w:r>
          </w:p>
        </w:tc>
        <w:tc>
          <w:tcPr>
            <w:tcW w:w="929" w:type="dxa"/>
            <w:tcBorders>
              <w:top w:val="nil"/>
              <w:left w:val="nil"/>
              <w:bottom w:val="single" w:sz="12" w:space="0" w:color="FF9E3C"/>
              <w:right w:val="single" w:sz="12" w:space="0" w:color="FF9E3C"/>
            </w:tcBorders>
            <w:shd w:val="clear" w:color="auto" w:fill="auto"/>
            <w:vAlign w:val="center"/>
          </w:tcPr>
          <w:p w14:paraId="49545D6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13,400</w:t>
            </w:r>
          </w:p>
        </w:tc>
        <w:tc>
          <w:tcPr>
            <w:tcW w:w="914" w:type="dxa"/>
            <w:tcBorders>
              <w:top w:val="nil"/>
              <w:left w:val="nil"/>
              <w:bottom w:val="single" w:sz="12" w:space="0" w:color="FF9E3C"/>
              <w:right w:val="single" w:sz="12" w:space="0" w:color="FF9E3C"/>
            </w:tcBorders>
            <w:shd w:val="clear" w:color="auto" w:fill="auto"/>
            <w:vAlign w:val="center"/>
          </w:tcPr>
          <w:p w14:paraId="448FAF5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19.9</w:t>
            </w:r>
          </w:p>
        </w:tc>
      </w:tr>
      <w:tr w:rsidR="006C7F31" w:rsidRPr="00AF621D" w14:paraId="7CAA3E4F" w14:textId="77777777" w:rsidTr="00286F9C">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tcPr>
          <w:p w14:paraId="5851693B"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Female 35-54 years</w:t>
            </w:r>
          </w:p>
        </w:tc>
        <w:tc>
          <w:tcPr>
            <w:tcW w:w="914" w:type="dxa"/>
            <w:tcBorders>
              <w:top w:val="nil"/>
              <w:left w:val="nil"/>
              <w:bottom w:val="single" w:sz="12" w:space="0" w:color="FF9E3C"/>
              <w:right w:val="single" w:sz="12" w:space="0" w:color="FF9E3C"/>
            </w:tcBorders>
            <w:shd w:val="clear" w:color="auto" w:fill="auto"/>
            <w:vAlign w:val="center"/>
          </w:tcPr>
          <w:p w14:paraId="463EE48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4,789</w:t>
            </w:r>
          </w:p>
        </w:tc>
        <w:tc>
          <w:tcPr>
            <w:tcW w:w="992" w:type="dxa"/>
            <w:tcBorders>
              <w:top w:val="nil"/>
              <w:left w:val="nil"/>
              <w:bottom w:val="single" w:sz="12" w:space="0" w:color="FF9E3C"/>
              <w:right w:val="single" w:sz="12" w:space="0" w:color="FF9E3C"/>
            </w:tcBorders>
            <w:shd w:val="clear" w:color="auto" w:fill="auto"/>
            <w:vAlign w:val="center"/>
          </w:tcPr>
          <w:p w14:paraId="75D1348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7.1</w:t>
            </w:r>
          </w:p>
        </w:tc>
        <w:tc>
          <w:tcPr>
            <w:tcW w:w="907" w:type="dxa"/>
            <w:tcBorders>
              <w:top w:val="nil"/>
              <w:left w:val="nil"/>
              <w:bottom w:val="single" w:sz="12" w:space="0" w:color="FF9E3C"/>
              <w:right w:val="single" w:sz="12" w:space="0" w:color="FF9E3C"/>
            </w:tcBorders>
            <w:shd w:val="clear" w:color="auto" w:fill="auto"/>
            <w:vAlign w:val="center"/>
          </w:tcPr>
          <w:p w14:paraId="75D90F0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3,448</w:t>
            </w:r>
          </w:p>
        </w:tc>
        <w:tc>
          <w:tcPr>
            <w:tcW w:w="936" w:type="dxa"/>
            <w:tcBorders>
              <w:top w:val="nil"/>
              <w:left w:val="nil"/>
              <w:bottom w:val="single" w:sz="12" w:space="0" w:color="FF9E3C"/>
              <w:right w:val="single" w:sz="12" w:space="0" w:color="FF9E3C"/>
            </w:tcBorders>
            <w:shd w:val="clear" w:color="auto" w:fill="auto"/>
            <w:vAlign w:val="center"/>
          </w:tcPr>
          <w:p w14:paraId="2323A19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5.1</w:t>
            </w:r>
          </w:p>
        </w:tc>
        <w:tc>
          <w:tcPr>
            <w:tcW w:w="1048" w:type="dxa"/>
            <w:tcBorders>
              <w:top w:val="nil"/>
              <w:left w:val="nil"/>
              <w:bottom w:val="single" w:sz="12" w:space="0" w:color="FF9E3C"/>
              <w:right w:val="single" w:sz="12" w:space="0" w:color="FF9E3C"/>
            </w:tcBorders>
            <w:shd w:val="clear" w:color="auto" w:fill="auto"/>
            <w:vAlign w:val="center"/>
          </w:tcPr>
          <w:p w14:paraId="28FA1FE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2,573</w:t>
            </w:r>
          </w:p>
        </w:tc>
        <w:tc>
          <w:tcPr>
            <w:tcW w:w="936" w:type="dxa"/>
            <w:tcBorders>
              <w:top w:val="nil"/>
              <w:left w:val="nil"/>
              <w:bottom w:val="single" w:sz="12" w:space="0" w:color="FF9E3C"/>
              <w:right w:val="single" w:sz="12" w:space="0" w:color="FF9E3C"/>
            </w:tcBorders>
            <w:shd w:val="clear" w:color="auto" w:fill="auto"/>
            <w:vAlign w:val="center"/>
          </w:tcPr>
          <w:p w14:paraId="1EA6ADC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3.8</w:t>
            </w:r>
          </w:p>
        </w:tc>
        <w:tc>
          <w:tcPr>
            <w:tcW w:w="929" w:type="dxa"/>
            <w:tcBorders>
              <w:top w:val="nil"/>
              <w:left w:val="nil"/>
              <w:bottom w:val="single" w:sz="12" w:space="0" w:color="FF9E3C"/>
              <w:right w:val="single" w:sz="12" w:space="0" w:color="FF9E3C"/>
            </w:tcBorders>
            <w:shd w:val="clear" w:color="auto" w:fill="auto"/>
            <w:vAlign w:val="center"/>
          </w:tcPr>
          <w:p w14:paraId="7B662C8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10,810</w:t>
            </w:r>
          </w:p>
        </w:tc>
        <w:tc>
          <w:tcPr>
            <w:tcW w:w="914" w:type="dxa"/>
            <w:tcBorders>
              <w:top w:val="nil"/>
              <w:left w:val="nil"/>
              <w:bottom w:val="single" w:sz="12" w:space="0" w:color="FF9E3C"/>
              <w:right w:val="single" w:sz="12" w:space="0" w:color="FF9E3C"/>
            </w:tcBorders>
            <w:shd w:val="clear" w:color="auto" w:fill="auto"/>
            <w:vAlign w:val="center"/>
          </w:tcPr>
          <w:p w14:paraId="19C6DA1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16.1</w:t>
            </w:r>
          </w:p>
        </w:tc>
      </w:tr>
      <w:tr w:rsidR="006C7F31" w:rsidRPr="00AF621D" w14:paraId="51CC42FF" w14:textId="77777777" w:rsidTr="00286F9C">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tcPr>
          <w:p w14:paraId="2A254A3F"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Male 55+ years</w:t>
            </w:r>
          </w:p>
        </w:tc>
        <w:tc>
          <w:tcPr>
            <w:tcW w:w="914" w:type="dxa"/>
            <w:tcBorders>
              <w:top w:val="nil"/>
              <w:left w:val="nil"/>
              <w:bottom w:val="single" w:sz="12" w:space="0" w:color="FF9E3C"/>
              <w:right w:val="single" w:sz="12" w:space="0" w:color="FF9E3C"/>
            </w:tcBorders>
            <w:shd w:val="clear" w:color="auto" w:fill="auto"/>
            <w:vAlign w:val="center"/>
          </w:tcPr>
          <w:p w14:paraId="739E1BF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4,014</w:t>
            </w:r>
          </w:p>
        </w:tc>
        <w:tc>
          <w:tcPr>
            <w:tcW w:w="992" w:type="dxa"/>
            <w:tcBorders>
              <w:top w:val="nil"/>
              <w:left w:val="nil"/>
              <w:bottom w:val="single" w:sz="12" w:space="0" w:color="FF9E3C"/>
              <w:right w:val="single" w:sz="12" w:space="0" w:color="FF9E3C"/>
            </w:tcBorders>
            <w:shd w:val="clear" w:color="auto" w:fill="auto"/>
            <w:vAlign w:val="center"/>
          </w:tcPr>
          <w:p w14:paraId="13A2CA3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6.0</w:t>
            </w:r>
          </w:p>
        </w:tc>
        <w:tc>
          <w:tcPr>
            <w:tcW w:w="907" w:type="dxa"/>
            <w:tcBorders>
              <w:top w:val="nil"/>
              <w:left w:val="nil"/>
              <w:bottom w:val="single" w:sz="12" w:space="0" w:color="FF9E3C"/>
              <w:right w:val="single" w:sz="12" w:space="0" w:color="FF9E3C"/>
            </w:tcBorders>
            <w:shd w:val="clear" w:color="auto" w:fill="auto"/>
            <w:vAlign w:val="center"/>
          </w:tcPr>
          <w:p w14:paraId="6734558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1,685</w:t>
            </w:r>
          </w:p>
        </w:tc>
        <w:tc>
          <w:tcPr>
            <w:tcW w:w="936" w:type="dxa"/>
            <w:tcBorders>
              <w:top w:val="nil"/>
              <w:left w:val="nil"/>
              <w:bottom w:val="single" w:sz="12" w:space="0" w:color="FF9E3C"/>
              <w:right w:val="single" w:sz="12" w:space="0" w:color="FF9E3C"/>
            </w:tcBorders>
            <w:shd w:val="clear" w:color="auto" w:fill="auto"/>
            <w:vAlign w:val="center"/>
          </w:tcPr>
          <w:p w14:paraId="5DC2FD8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2.5</w:t>
            </w:r>
          </w:p>
        </w:tc>
        <w:tc>
          <w:tcPr>
            <w:tcW w:w="1048" w:type="dxa"/>
            <w:tcBorders>
              <w:top w:val="nil"/>
              <w:left w:val="nil"/>
              <w:bottom w:val="single" w:sz="12" w:space="0" w:color="FF9E3C"/>
              <w:right w:val="single" w:sz="12" w:space="0" w:color="FF9E3C"/>
            </w:tcBorders>
            <w:shd w:val="clear" w:color="auto" w:fill="auto"/>
            <w:vAlign w:val="center"/>
          </w:tcPr>
          <w:p w14:paraId="1C8609A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539</w:t>
            </w:r>
          </w:p>
        </w:tc>
        <w:tc>
          <w:tcPr>
            <w:tcW w:w="936" w:type="dxa"/>
            <w:tcBorders>
              <w:top w:val="nil"/>
              <w:left w:val="nil"/>
              <w:bottom w:val="single" w:sz="12" w:space="0" w:color="FF9E3C"/>
              <w:right w:val="single" w:sz="12" w:space="0" w:color="FF9E3C"/>
            </w:tcBorders>
            <w:shd w:val="clear" w:color="auto" w:fill="auto"/>
            <w:vAlign w:val="center"/>
          </w:tcPr>
          <w:p w14:paraId="5D2E0A9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0.8</w:t>
            </w:r>
          </w:p>
        </w:tc>
        <w:tc>
          <w:tcPr>
            <w:tcW w:w="929" w:type="dxa"/>
            <w:tcBorders>
              <w:top w:val="nil"/>
              <w:left w:val="nil"/>
              <w:bottom w:val="single" w:sz="12" w:space="0" w:color="FF9E3C"/>
              <w:right w:val="single" w:sz="12" w:space="0" w:color="FF9E3C"/>
            </w:tcBorders>
            <w:shd w:val="clear" w:color="auto" w:fill="auto"/>
            <w:vAlign w:val="center"/>
          </w:tcPr>
          <w:p w14:paraId="4A58128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6,238</w:t>
            </w:r>
          </w:p>
        </w:tc>
        <w:tc>
          <w:tcPr>
            <w:tcW w:w="914" w:type="dxa"/>
            <w:tcBorders>
              <w:top w:val="nil"/>
              <w:left w:val="nil"/>
              <w:bottom w:val="single" w:sz="12" w:space="0" w:color="FF9E3C"/>
              <w:right w:val="single" w:sz="12" w:space="0" w:color="FF9E3C"/>
            </w:tcBorders>
            <w:shd w:val="clear" w:color="auto" w:fill="auto"/>
            <w:vAlign w:val="center"/>
          </w:tcPr>
          <w:p w14:paraId="2FCC75B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9.3</w:t>
            </w:r>
          </w:p>
        </w:tc>
      </w:tr>
      <w:tr w:rsidR="006C7F31" w:rsidRPr="00AF621D" w14:paraId="554BE09F" w14:textId="77777777" w:rsidTr="00286F9C">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tcPr>
          <w:p w14:paraId="24330ADA"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Female 55+ years</w:t>
            </w:r>
          </w:p>
        </w:tc>
        <w:tc>
          <w:tcPr>
            <w:tcW w:w="914" w:type="dxa"/>
            <w:tcBorders>
              <w:top w:val="nil"/>
              <w:left w:val="nil"/>
              <w:bottom w:val="single" w:sz="12" w:space="0" w:color="FF9E3C"/>
              <w:right w:val="single" w:sz="12" w:space="0" w:color="FF9E3C"/>
            </w:tcBorders>
            <w:shd w:val="clear" w:color="auto" w:fill="auto"/>
            <w:vAlign w:val="center"/>
          </w:tcPr>
          <w:p w14:paraId="55341B5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4,206</w:t>
            </w:r>
          </w:p>
        </w:tc>
        <w:tc>
          <w:tcPr>
            <w:tcW w:w="992" w:type="dxa"/>
            <w:tcBorders>
              <w:top w:val="nil"/>
              <w:left w:val="nil"/>
              <w:bottom w:val="single" w:sz="12" w:space="0" w:color="FF9E3C"/>
              <w:right w:val="single" w:sz="12" w:space="0" w:color="FF9E3C"/>
            </w:tcBorders>
            <w:shd w:val="clear" w:color="auto" w:fill="auto"/>
            <w:vAlign w:val="center"/>
          </w:tcPr>
          <w:p w14:paraId="4B09EA1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6.3</w:t>
            </w:r>
          </w:p>
        </w:tc>
        <w:tc>
          <w:tcPr>
            <w:tcW w:w="907" w:type="dxa"/>
            <w:tcBorders>
              <w:top w:val="nil"/>
              <w:left w:val="nil"/>
              <w:bottom w:val="single" w:sz="12" w:space="0" w:color="FF9E3C"/>
              <w:right w:val="single" w:sz="12" w:space="0" w:color="FF9E3C"/>
            </w:tcBorders>
            <w:shd w:val="clear" w:color="auto" w:fill="auto"/>
            <w:vAlign w:val="center"/>
          </w:tcPr>
          <w:p w14:paraId="566750F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2,224</w:t>
            </w:r>
          </w:p>
        </w:tc>
        <w:tc>
          <w:tcPr>
            <w:tcW w:w="936" w:type="dxa"/>
            <w:tcBorders>
              <w:top w:val="nil"/>
              <w:left w:val="nil"/>
              <w:bottom w:val="single" w:sz="12" w:space="0" w:color="FF9E3C"/>
              <w:right w:val="single" w:sz="12" w:space="0" w:color="FF9E3C"/>
            </w:tcBorders>
            <w:shd w:val="clear" w:color="auto" w:fill="auto"/>
            <w:vAlign w:val="center"/>
          </w:tcPr>
          <w:p w14:paraId="549B272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3.3</w:t>
            </w:r>
          </w:p>
        </w:tc>
        <w:tc>
          <w:tcPr>
            <w:tcW w:w="1048" w:type="dxa"/>
            <w:tcBorders>
              <w:top w:val="nil"/>
              <w:left w:val="nil"/>
              <w:bottom w:val="single" w:sz="12" w:space="0" w:color="FF9E3C"/>
              <w:right w:val="single" w:sz="12" w:space="0" w:color="FF9E3C"/>
            </w:tcBorders>
            <w:shd w:val="clear" w:color="auto" w:fill="auto"/>
            <w:vAlign w:val="center"/>
          </w:tcPr>
          <w:p w14:paraId="5F398E7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589</w:t>
            </w:r>
          </w:p>
        </w:tc>
        <w:tc>
          <w:tcPr>
            <w:tcW w:w="936" w:type="dxa"/>
            <w:tcBorders>
              <w:top w:val="nil"/>
              <w:left w:val="nil"/>
              <w:bottom w:val="single" w:sz="12" w:space="0" w:color="FF9E3C"/>
              <w:right w:val="single" w:sz="12" w:space="0" w:color="FF9E3C"/>
            </w:tcBorders>
            <w:shd w:val="clear" w:color="auto" w:fill="auto"/>
            <w:vAlign w:val="center"/>
          </w:tcPr>
          <w:p w14:paraId="3E1BEEE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0.9</w:t>
            </w:r>
          </w:p>
        </w:tc>
        <w:tc>
          <w:tcPr>
            <w:tcW w:w="929" w:type="dxa"/>
            <w:tcBorders>
              <w:top w:val="nil"/>
              <w:left w:val="nil"/>
              <w:bottom w:val="single" w:sz="12" w:space="0" w:color="FF9E3C"/>
              <w:right w:val="single" w:sz="12" w:space="0" w:color="FF9E3C"/>
            </w:tcBorders>
            <w:shd w:val="clear" w:color="auto" w:fill="auto"/>
            <w:vAlign w:val="center"/>
          </w:tcPr>
          <w:p w14:paraId="50AA100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7,018</w:t>
            </w:r>
          </w:p>
        </w:tc>
        <w:tc>
          <w:tcPr>
            <w:tcW w:w="914" w:type="dxa"/>
            <w:tcBorders>
              <w:top w:val="nil"/>
              <w:left w:val="nil"/>
              <w:bottom w:val="single" w:sz="12" w:space="0" w:color="FF9E3C"/>
              <w:right w:val="single" w:sz="12" w:space="0" w:color="FF9E3C"/>
            </w:tcBorders>
            <w:shd w:val="clear" w:color="auto" w:fill="auto"/>
            <w:vAlign w:val="center"/>
          </w:tcPr>
          <w:p w14:paraId="2735C82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10.4</w:t>
            </w:r>
          </w:p>
        </w:tc>
      </w:tr>
      <w:tr w:rsidR="006C7F31" w:rsidRPr="00AF621D" w14:paraId="3132DCA6" w14:textId="77777777" w:rsidTr="00286F9C">
        <w:trPr>
          <w:trHeight w:val="330"/>
        </w:trPr>
        <w:tc>
          <w:tcPr>
            <w:tcW w:w="1261" w:type="dxa"/>
            <w:tcBorders>
              <w:top w:val="nil"/>
              <w:left w:val="single" w:sz="12" w:space="0" w:color="FF9E3C"/>
              <w:bottom w:val="single" w:sz="12" w:space="0" w:color="FF9E3C"/>
              <w:right w:val="single" w:sz="12" w:space="0" w:color="FF9E3C"/>
            </w:tcBorders>
            <w:shd w:val="clear" w:color="auto" w:fill="auto"/>
            <w:vAlign w:val="center"/>
          </w:tcPr>
          <w:p w14:paraId="5AF521E8"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rPr>
              <w:t>Total</w:t>
            </w:r>
          </w:p>
        </w:tc>
        <w:tc>
          <w:tcPr>
            <w:tcW w:w="914" w:type="dxa"/>
            <w:tcBorders>
              <w:top w:val="nil"/>
              <w:left w:val="nil"/>
              <w:bottom w:val="single" w:sz="12" w:space="0" w:color="FF9E3C"/>
              <w:right w:val="single" w:sz="12" w:space="0" w:color="FF9E3C"/>
            </w:tcBorders>
            <w:shd w:val="clear" w:color="auto" w:fill="auto"/>
            <w:vAlign w:val="center"/>
          </w:tcPr>
          <w:p w14:paraId="09229B9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32,280</w:t>
            </w:r>
          </w:p>
        </w:tc>
        <w:tc>
          <w:tcPr>
            <w:tcW w:w="992" w:type="dxa"/>
            <w:tcBorders>
              <w:top w:val="nil"/>
              <w:left w:val="nil"/>
              <w:bottom w:val="single" w:sz="12" w:space="0" w:color="FF9E3C"/>
              <w:right w:val="single" w:sz="12" w:space="0" w:color="FF9E3C"/>
            </w:tcBorders>
            <w:shd w:val="clear" w:color="auto" w:fill="auto"/>
            <w:vAlign w:val="center"/>
          </w:tcPr>
          <w:p w14:paraId="0FB70529"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48.0</w:t>
            </w:r>
          </w:p>
        </w:tc>
        <w:tc>
          <w:tcPr>
            <w:tcW w:w="907" w:type="dxa"/>
            <w:tcBorders>
              <w:top w:val="nil"/>
              <w:left w:val="nil"/>
              <w:bottom w:val="single" w:sz="12" w:space="0" w:color="FF9E3C"/>
              <w:right w:val="single" w:sz="12" w:space="0" w:color="FF9E3C"/>
            </w:tcBorders>
            <w:shd w:val="clear" w:color="auto" w:fill="auto"/>
            <w:vAlign w:val="center"/>
          </w:tcPr>
          <w:p w14:paraId="7B4DB68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22,577</w:t>
            </w:r>
          </w:p>
        </w:tc>
        <w:tc>
          <w:tcPr>
            <w:tcW w:w="936" w:type="dxa"/>
            <w:tcBorders>
              <w:top w:val="nil"/>
              <w:left w:val="nil"/>
              <w:bottom w:val="single" w:sz="12" w:space="0" w:color="FF9E3C"/>
              <w:right w:val="single" w:sz="12" w:space="0" w:color="FF9E3C"/>
            </w:tcBorders>
            <w:shd w:val="clear" w:color="auto" w:fill="auto"/>
            <w:vAlign w:val="center"/>
          </w:tcPr>
          <w:p w14:paraId="6F615C6B"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33.6</w:t>
            </w:r>
          </w:p>
        </w:tc>
        <w:tc>
          <w:tcPr>
            <w:tcW w:w="1048" w:type="dxa"/>
            <w:tcBorders>
              <w:top w:val="nil"/>
              <w:left w:val="nil"/>
              <w:bottom w:val="single" w:sz="12" w:space="0" w:color="FF9E3C"/>
              <w:right w:val="single" w:sz="12" w:space="0" w:color="FF9E3C"/>
            </w:tcBorders>
            <w:shd w:val="clear" w:color="auto" w:fill="auto"/>
            <w:vAlign w:val="center"/>
          </w:tcPr>
          <w:p w14:paraId="0523786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12,341</w:t>
            </w:r>
          </w:p>
        </w:tc>
        <w:tc>
          <w:tcPr>
            <w:tcW w:w="936" w:type="dxa"/>
            <w:tcBorders>
              <w:top w:val="nil"/>
              <w:left w:val="nil"/>
              <w:bottom w:val="single" w:sz="12" w:space="0" w:color="FF9E3C"/>
              <w:right w:val="single" w:sz="12" w:space="0" w:color="FF9E3C"/>
            </w:tcBorders>
            <w:shd w:val="clear" w:color="auto" w:fill="auto"/>
            <w:vAlign w:val="center"/>
          </w:tcPr>
          <w:p w14:paraId="3CCDA5F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18.4</w:t>
            </w:r>
          </w:p>
        </w:tc>
        <w:tc>
          <w:tcPr>
            <w:tcW w:w="929" w:type="dxa"/>
            <w:tcBorders>
              <w:top w:val="nil"/>
              <w:left w:val="nil"/>
              <w:bottom w:val="single" w:sz="12" w:space="0" w:color="FF9E3C"/>
              <w:right w:val="single" w:sz="12" w:space="0" w:color="FF9E3C"/>
            </w:tcBorders>
            <w:shd w:val="clear" w:color="auto" w:fill="auto"/>
            <w:vAlign w:val="center"/>
          </w:tcPr>
          <w:p w14:paraId="386492D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67,199</w:t>
            </w:r>
          </w:p>
        </w:tc>
        <w:tc>
          <w:tcPr>
            <w:tcW w:w="914" w:type="dxa"/>
            <w:tcBorders>
              <w:top w:val="nil"/>
              <w:left w:val="nil"/>
              <w:bottom w:val="single" w:sz="12" w:space="0" w:color="FF9E3C"/>
              <w:right w:val="single" w:sz="12" w:space="0" w:color="FF9E3C"/>
            </w:tcBorders>
            <w:shd w:val="clear" w:color="auto" w:fill="auto"/>
            <w:vAlign w:val="center"/>
          </w:tcPr>
          <w:p w14:paraId="05628FC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100</w:t>
            </w:r>
          </w:p>
        </w:tc>
      </w:tr>
    </w:tbl>
    <w:p w14:paraId="0747A2DA" w14:textId="16B11D21" w:rsidR="006C7F31" w:rsidRPr="00AF621D" w:rsidRDefault="006C7F31" w:rsidP="002901C9">
      <w:pPr>
        <w:tabs>
          <w:tab w:val="clear" w:pos="426"/>
          <w:tab w:val="left" w:pos="567"/>
        </w:tabs>
        <w:spacing w:after="0" w:line="240" w:lineRule="auto"/>
        <w:ind w:left="0"/>
        <w:rPr>
          <w:rFonts w:eastAsia="MS Mincho" w:cs="Arial"/>
          <w:color w:val="1C3158"/>
          <w:sz w:val="16"/>
        </w:rPr>
      </w:pPr>
      <w:r w:rsidRPr="00AF621D">
        <w:rPr>
          <w:rFonts w:cs="Arial"/>
          <w:color w:val="1C3158"/>
          <w:sz w:val="16"/>
          <w:szCs w:val="16"/>
        </w:rPr>
        <w:t xml:space="preserve">Weighted population bases: </w:t>
      </w:r>
      <w:r w:rsidRPr="00AF621D">
        <w:rPr>
          <w:rFonts w:eastAsia="MS Mincho" w:cs="Arial"/>
          <w:color w:val="1C3158"/>
          <w:sz w:val="16"/>
        </w:rPr>
        <w:t>Total New Zealand PGSI 1+ (n=260,011)</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PGSI: low-risk (n=175,511), moderate-risk (n=61,470), problem gambling (n=23,029)</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Age, Gender, &amp; PGSI 1+: Male 18-34 years (n=67,941), Female 18-34 years (n=47,304), Male 35-54 years (n=47,100), Female 35-54 years (n=40,229), Male 55+ years (n=27,418), Female 55+ (n=30,020).</w:t>
      </w:r>
    </w:p>
    <w:p w14:paraId="2D401DBD" w14:textId="378B2BC4" w:rsidR="006C7F31" w:rsidRPr="00AF621D" w:rsidRDefault="006C7F31" w:rsidP="00C82A76">
      <w:pPr>
        <w:pStyle w:val="VRGFBodycontent"/>
        <w:spacing w:before="240"/>
        <w:rPr>
          <w:rFonts w:eastAsia="MS Mincho"/>
        </w:rPr>
      </w:pPr>
      <w:r w:rsidRPr="00AF621D">
        <w:rPr>
          <w:rFonts w:eastAsia="MS Mincho"/>
        </w:rPr>
        <w:t xml:space="preserve">The </w:t>
      </w:r>
      <w:r w:rsidR="00286F9C">
        <w:rPr>
          <w:rFonts w:eastAsia="MS Mincho"/>
        </w:rPr>
        <w:t>QALY</w:t>
      </w:r>
      <w:r w:rsidR="00286F9C" w:rsidRPr="00AF621D">
        <w:rPr>
          <w:rFonts w:eastAsia="MS Mincho"/>
          <w:sz w:val="12"/>
        </w:rPr>
        <w:t xml:space="preserve">1 </w:t>
      </w:r>
      <w:r w:rsidRPr="00AF621D">
        <w:rPr>
          <w:rFonts w:eastAsia="MS Mincho"/>
        </w:rPr>
        <w:t xml:space="preserve">in the New Zealand adult population due to harm </w:t>
      </w:r>
      <w:r w:rsidR="00244833" w:rsidRPr="00AF621D">
        <w:rPr>
          <w:rFonts w:eastAsia="MS Mincho"/>
        </w:rPr>
        <w:t>from</w:t>
      </w:r>
      <w:r w:rsidRPr="00AF621D">
        <w:rPr>
          <w:rFonts w:eastAsia="MS Mincho"/>
        </w:rPr>
        <w:t xml:space="preserve"> own gambling problems was assessed by ethnic groups identified in the 2012 New Zealand National Gambling Study (</w:t>
      </w:r>
      <w:r w:rsidR="00263368" w:rsidRPr="00AF621D">
        <w:rPr>
          <w:rFonts w:eastAsia="MS Mincho"/>
        </w:rPr>
        <w:t>Abbott et al., 2014a</w:t>
      </w:r>
      <w:r w:rsidRPr="00AF621D">
        <w:rPr>
          <w:rFonts w:eastAsia="MS Mincho"/>
        </w:rPr>
        <w:t>)</w:t>
      </w:r>
      <w:r w:rsidR="00E832B0" w:rsidRPr="00AF621D">
        <w:rPr>
          <w:rFonts w:eastAsia="MS Mincho"/>
        </w:rPr>
        <w:t>.</w:t>
      </w:r>
      <w:r w:rsidR="008610D3" w:rsidRPr="00AF621D">
        <w:rPr>
          <w:rFonts w:eastAsia="MS Mincho"/>
        </w:rPr>
        <w:t xml:space="preserve"> </w:t>
      </w:r>
      <w:r w:rsidRPr="00AF621D">
        <w:rPr>
          <w:rFonts w:eastAsia="MS Mincho"/>
        </w:rPr>
        <w:t xml:space="preserve">Due to identification with multiple ethnicities, analysis was conducted </w:t>
      </w:r>
      <w:r w:rsidR="009A65C5" w:rsidRPr="00AF621D">
        <w:rPr>
          <w:rFonts w:eastAsia="MS Mincho"/>
        </w:rPr>
        <w:t>using</w:t>
      </w:r>
      <w:r w:rsidRPr="00AF621D">
        <w:rPr>
          <w:rFonts w:eastAsia="MS Mincho"/>
        </w:rPr>
        <w:t xml:space="preserve"> </w:t>
      </w:r>
      <w:r w:rsidR="00F152C7" w:rsidRPr="00AF621D">
        <w:rPr>
          <w:rFonts w:eastAsia="MS Mincho"/>
        </w:rPr>
        <w:t xml:space="preserve">both the singularly derived </w:t>
      </w:r>
      <w:r w:rsidRPr="00AF621D">
        <w:rPr>
          <w:rFonts w:eastAsia="MS Mincho"/>
        </w:rPr>
        <w:t>hierarchical ethnicity</w:t>
      </w:r>
      <w:r w:rsidR="009A65C5" w:rsidRPr="00AF621D">
        <w:rPr>
          <w:rStyle w:val="FootnoteReference"/>
          <w:rFonts w:eastAsia="MS Mincho"/>
        </w:rPr>
        <w:footnoteReference w:id="17"/>
      </w:r>
      <w:r w:rsidRPr="00AF621D">
        <w:rPr>
          <w:rFonts w:eastAsia="MS Mincho"/>
        </w:rPr>
        <w:t xml:space="preserve"> (</w:t>
      </w:r>
      <w:r w:rsidR="00320D9A" w:rsidRPr="00AF621D">
        <w:rPr>
          <w:rFonts w:eastAsia="MS Mincho"/>
        </w:rPr>
        <w:fldChar w:fldCharType="begin"/>
      </w:r>
      <w:r w:rsidR="00320D9A" w:rsidRPr="00AF621D">
        <w:rPr>
          <w:rFonts w:eastAsia="MS Mincho"/>
        </w:rPr>
        <w:instrText xml:space="preserve"> REF _Ref445566450 \h </w:instrText>
      </w:r>
      <w:r w:rsidR="00AF621D">
        <w:rPr>
          <w:rFonts w:eastAsia="MS Mincho"/>
        </w:rPr>
        <w:instrText xml:space="preserve"> \* MERGEFORMAT </w:instrText>
      </w:r>
      <w:r w:rsidR="00320D9A" w:rsidRPr="00AF621D">
        <w:rPr>
          <w:rFonts w:eastAsia="MS Mincho"/>
        </w:rPr>
      </w:r>
      <w:r w:rsidR="00320D9A" w:rsidRPr="00AF621D">
        <w:rPr>
          <w:rFonts w:eastAsia="MS Mincho"/>
        </w:rPr>
        <w:fldChar w:fldCharType="separate"/>
      </w:r>
      <w:r w:rsidR="0006479A" w:rsidRPr="00AF621D">
        <w:t xml:space="preserve">Table </w:t>
      </w:r>
      <w:r w:rsidR="0006479A">
        <w:rPr>
          <w:noProof/>
        </w:rPr>
        <w:t>29</w:t>
      </w:r>
      <w:r w:rsidR="00320D9A" w:rsidRPr="00AF621D">
        <w:rPr>
          <w:rFonts w:eastAsia="MS Mincho"/>
        </w:rPr>
        <w:fldChar w:fldCharType="end"/>
      </w:r>
      <w:r w:rsidRPr="00AF621D">
        <w:rPr>
          <w:rFonts w:eastAsia="MS Mincho"/>
        </w:rPr>
        <w:t>) and all ethnicities identified</w:t>
      </w:r>
      <w:r w:rsidR="00F152C7" w:rsidRPr="00AF621D">
        <w:rPr>
          <w:rStyle w:val="FootnoteReference"/>
          <w:rFonts w:eastAsia="MS Mincho"/>
        </w:rPr>
        <w:footnoteReference w:id="18"/>
      </w:r>
      <w:r w:rsidRPr="00AF621D">
        <w:rPr>
          <w:rFonts w:eastAsia="MS Mincho"/>
        </w:rPr>
        <w:t xml:space="preserve"> (</w:t>
      </w:r>
      <w:r w:rsidR="0023426A" w:rsidRPr="00AF621D">
        <w:rPr>
          <w:rFonts w:eastAsia="MS Mincho"/>
        </w:rPr>
        <w:fldChar w:fldCharType="begin"/>
      </w:r>
      <w:r w:rsidR="0023426A" w:rsidRPr="00AF621D">
        <w:rPr>
          <w:rFonts w:eastAsia="MS Mincho"/>
        </w:rPr>
        <w:instrText xml:space="preserve"> REF _Ref445566519 \h </w:instrText>
      </w:r>
      <w:r w:rsidR="00AF621D">
        <w:rPr>
          <w:rFonts w:eastAsia="MS Mincho"/>
        </w:rPr>
        <w:instrText xml:space="preserve"> \* MERGEFORMAT </w:instrText>
      </w:r>
      <w:r w:rsidR="0023426A" w:rsidRPr="00AF621D">
        <w:rPr>
          <w:rFonts w:eastAsia="MS Mincho"/>
        </w:rPr>
      </w:r>
      <w:r w:rsidR="0023426A" w:rsidRPr="00AF621D">
        <w:rPr>
          <w:rFonts w:eastAsia="MS Mincho"/>
        </w:rPr>
        <w:fldChar w:fldCharType="separate"/>
      </w:r>
      <w:r w:rsidR="0006479A" w:rsidRPr="00AF621D">
        <w:t xml:space="preserve">Table </w:t>
      </w:r>
      <w:r w:rsidR="0006479A">
        <w:rPr>
          <w:noProof/>
        </w:rPr>
        <w:t>30</w:t>
      </w:r>
      <w:r w:rsidR="0023426A" w:rsidRPr="00AF621D">
        <w:rPr>
          <w:rFonts w:eastAsia="MS Mincho"/>
        </w:rPr>
        <w:fldChar w:fldCharType="end"/>
      </w:r>
      <w:r w:rsidRPr="00AF621D">
        <w:rPr>
          <w:rFonts w:eastAsia="MS Mincho"/>
        </w:rPr>
        <w:t>).</w:t>
      </w:r>
    </w:p>
    <w:p w14:paraId="3D9253EC" w14:textId="087502A3" w:rsidR="002901C9" w:rsidRPr="00AF621D" w:rsidRDefault="006C7F31" w:rsidP="006C7F31">
      <w:pPr>
        <w:pStyle w:val="VRGFBodycontent"/>
        <w:rPr>
          <w:rFonts w:eastAsia="MS Mincho"/>
        </w:rPr>
      </w:pPr>
      <w:r w:rsidRPr="00AF621D">
        <w:rPr>
          <w:rFonts w:eastAsia="MS Mincho"/>
        </w:rPr>
        <w:t xml:space="preserve">Just over a half of the </w:t>
      </w:r>
      <w:r w:rsidR="00286F9C">
        <w:rPr>
          <w:rFonts w:eastAsia="MS Mincho"/>
        </w:rPr>
        <w:t>QALY</w:t>
      </w:r>
      <w:r w:rsidR="00286F9C" w:rsidRPr="00AF621D">
        <w:rPr>
          <w:rFonts w:eastAsia="MS Mincho"/>
          <w:sz w:val="12"/>
        </w:rPr>
        <w:t xml:space="preserve">1 </w:t>
      </w:r>
      <w:r w:rsidRPr="00AF621D">
        <w:rPr>
          <w:rFonts w:eastAsia="MS Mincho"/>
        </w:rPr>
        <w:t xml:space="preserve">due to harm from own gambling was attributed to the NZ adult population of European/Other ethnicity (53.1%), followed by </w:t>
      </w:r>
      <w:r w:rsidR="002901C9" w:rsidRPr="00AF621D">
        <w:rPr>
          <w:rFonts w:eastAsia="MS Mincho"/>
        </w:rPr>
        <w:t>Māori</w:t>
      </w:r>
      <w:r w:rsidRPr="00AF621D">
        <w:rPr>
          <w:rFonts w:eastAsia="MS Mincho"/>
        </w:rPr>
        <w:t xml:space="preserve"> (22.3%)</w:t>
      </w:r>
      <w:r w:rsidR="00E832B0" w:rsidRPr="00AF621D">
        <w:rPr>
          <w:rFonts w:eastAsia="MS Mincho"/>
        </w:rPr>
        <w:t>.</w:t>
      </w:r>
      <w:r w:rsidR="008610D3" w:rsidRPr="00AF621D">
        <w:rPr>
          <w:rFonts w:eastAsia="MS Mincho"/>
        </w:rPr>
        <w:t xml:space="preserve"> </w:t>
      </w:r>
      <w:r w:rsidRPr="00AF621D">
        <w:rPr>
          <w:rFonts w:eastAsia="MS Mincho"/>
        </w:rPr>
        <w:t xml:space="preserve">Pacific and Asian </w:t>
      </w:r>
      <w:r w:rsidR="00F455C0" w:rsidRPr="00AF621D">
        <w:rPr>
          <w:rFonts w:eastAsia="MS Mincho"/>
        </w:rPr>
        <w:t xml:space="preserve">adults </w:t>
      </w:r>
      <w:r w:rsidRPr="00AF621D">
        <w:rPr>
          <w:rFonts w:eastAsia="MS Mincho"/>
        </w:rPr>
        <w:t xml:space="preserve">each shared around 12% of the </w:t>
      </w:r>
      <w:r w:rsidR="00286F9C">
        <w:rPr>
          <w:rFonts w:eastAsia="MS Mincho"/>
        </w:rPr>
        <w:t>QALY</w:t>
      </w:r>
      <w:r w:rsidR="00286F9C" w:rsidRPr="00AF621D">
        <w:rPr>
          <w:rFonts w:eastAsia="MS Mincho"/>
          <w:sz w:val="12"/>
        </w:rPr>
        <w:t>1</w:t>
      </w:r>
      <w:r w:rsidR="00E832B0" w:rsidRPr="00AF621D">
        <w:rPr>
          <w:rFonts w:eastAsia="MS Mincho"/>
        </w:rPr>
        <w:t>.</w:t>
      </w:r>
      <w:r w:rsidR="008610D3" w:rsidRPr="00AF621D">
        <w:rPr>
          <w:rFonts w:eastAsia="MS Mincho"/>
        </w:rPr>
        <w:t xml:space="preserve"> </w:t>
      </w:r>
    </w:p>
    <w:p w14:paraId="0FC19968" w14:textId="31AA62C5" w:rsidR="006C7F31" w:rsidRPr="00AF621D" w:rsidRDefault="006C7F31" w:rsidP="006C7F31">
      <w:pPr>
        <w:pStyle w:val="VRGFBodycontent"/>
        <w:rPr>
          <w:rFonts w:eastAsia="MS Mincho"/>
        </w:rPr>
      </w:pPr>
      <w:r w:rsidRPr="00AF621D">
        <w:rPr>
          <w:rFonts w:eastAsia="MS Mincho"/>
        </w:rPr>
        <w:t xml:space="preserve"> </w:t>
      </w:r>
    </w:p>
    <w:p w14:paraId="5595A37B" w14:textId="77777777" w:rsidR="00C82A76" w:rsidRPr="00AF621D" w:rsidRDefault="00C82A76" w:rsidP="006C7F31">
      <w:pPr>
        <w:pStyle w:val="VRGFBodycontent"/>
        <w:rPr>
          <w:rFonts w:eastAsia="MS Mincho"/>
        </w:rPr>
      </w:pPr>
    </w:p>
    <w:p w14:paraId="68AD9998" w14:textId="77777777" w:rsidR="00C82A76" w:rsidRPr="00AF621D" w:rsidRDefault="00C82A76" w:rsidP="006C7F31">
      <w:pPr>
        <w:pStyle w:val="VRGFBodycontent"/>
        <w:rPr>
          <w:rFonts w:eastAsia="MS Mincho"/>
        </w:rPr>
      </w:pPr>
    </w:p>
    <w:p w14:paraId="7202FE58" w14:textId="77777777" w:rsidR="00B34D11" w:rsidRPr="00AF621D" w:rsidRDefault="00B34D11" w:rsidP="006C7F31">
      <w:pPr>
        <w:pStyle w:val="VRGFBodycontent"/>
        <w:rPr>
          <w:rFonts w:eastAsia="MS Mincho"/>
        </w:rPr>
      </w:pPr>
    </w:p>
    <w:p w14:paraId="4FE9054D" w14:textId="77777777" w:rsidR="00B35B78" w:rsidRPr="00AF621D" w:rsidRDefault="00B35B78" w:rsidP="006C7F31">
      <w:pPr>
        <w:pStyle w:val="VRGFBodycontent"/>
        <w:rPr>
          <w:rFonts w:eastAsia="MS Mincho"/>
        </w:rPr>
      </w:pPr>
    </w:p>
    <w:p w14:paraId="77E45E0B" w14:textId="77777777" w:rsidR="00B34D11" w:rsidRPr="00AF621D" w:rsidRDefault="00B34D11" w:rsidP="006C7F31">
      <w:pPr>
        <w:pStyle w:val="VRGFBodycontent"/>
        <w:rPr>
          <w:rFonts w:eastAsia="MS Mincho"/>
        </w:rPr>
      </w:pPr>
    </w:p>
    <w:p w14:paraId="1126D1AC" w14:textId="792E50DC" w:rsidR="006C7F31" w:rsidRPr="00AF621D" w:rsidRDefault="00320D9A" w:rsidP="00320D9A">
      <w:pPr>
        <w:pStyle w:val="Caption"/>
        <w:rPr>
          <w:rFonts w:cs="Arial"/>
          <w:bCs/>
          <w:iCs w:val="0"/>
          <w:color w:val="1C3158"/>
        </w:rPr>
      </w:pPr>
      <w:bookmarkStart w:id="374" w:name="_Ref445566450"/>
      <w:bookmarkStart w:id="375" w:name="_Toc462738132"/>
      <w:r w:rsidRPr="00AF621D">
        <w:t xml:space="preserve">Table </w:t>
      </w:r>
      <w:fldSimple w:instr=" SEQ Table \* ARABIC ">
        <w:r w:rsidR="0006479A">
          <w:rPr>
            <w:noProof/>
          </w:rPr>
          <w:t>29</w:t>
        </w:r>
      </w:fldSimple>
      <w:bookmarkEnd w:id="374"/>
      <w:r w:rsidR="00E832B0" w:rsidRPr="00AF621D">
        <w:t>.</w:t>
      </w:r>
      <w:r w:rsidR="008610D3" w:rsidRPr="00AF621D">
        <w:t xml:space="preserve"> </w:t>
      </w:r>
      <w:bookmarkStart w:id="376" w:name="_Toc440900351"/>
      <w:r w:rsidR="006C7F31" w:rsidRPr="00AF621D">
        <w:rPr>
          <w:color w:val="1C3158"/>
        </w:rPr>
        <w:t>Gambling</w:t>
      </w:r>
      <w:r w:rsidR="00286F9C">
        <w:rPr>
          <w:color w:val="1C3158"/>
        </w:rPr>
        <w:t>-related</w:t>
      </w:r>
      <w:r w:rsidR="006C7F31" w:rsidRPr="00AF621D">
        <w:rPr>
          <w:color w:val="1C3158"/>
        </w:rPr>
        <w:t xml:space="preserve"> harms to the New Zealand adult population by Ethnic Group (Hierarchical) and PGSI category</w:t>
      </w:r>
      <w:bookmarkEnd w:id="375"/>
      <w:bookmarkEnd w:id="376"/>
    </w:p>
    <w:tbl>
      <w:tblPr>
        <w:tblW w:w="8774" w:type="dxa"/>
        <w:tblLayout w:type="fixed"/>
        <w:tblLook w:val="04A0" w:firstRow="1" w:lastRow="0" w:firstColumn="1" w:lastColumn="0" w:noHBand="0" w:noVBand="1"/>
      </w:tblPr>
      <w:tblGrid>
        <w:gridCol w:w="1367"/>
        <w:gridCol w:w="886"/>
        <w:gridCol w:w="993"/>
        <w:gridCol w:w="850"/>
        <w:gridCol w:w="851"/>
        <w:gridCol w:w="1134"/>
        <w:gridCol w:w="851"/>
        <w:gridCol w:w="991"/>
        <w:gridCol w:w="851"/>
      </w:tblGrid>
      <w:tr w:rsidR="006C7F31" w:rsidRPr="00AF621D" w14:paraId="316D4BBD" w14:textId="77777777" w:rsidTr="00286F9C">
        <w:trPr>
          <w:trHeight w:val="330"/>
        </w:trPr>
        <w:tc>
          <w:tcPr>
            <w:tcW w:w="1367"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19467161"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Ethnic Group</w:t>
            </w:r>
          </w:p>
          <w:p w14:paraId="3E784B10"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(Hierarchical)</w:t>
            </w:r>
          </w:p>
        </w:tc>
        <w:tc>
          <w:tcPr>
            <w:tcW w:w="1879"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27E480D4"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701"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042EFA98"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985"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195047D4"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842"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7E042B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6C7F31" w:rsidRPr="00AF621D" w14:paraId="53DBDFA4" w14:textId="77777777" w:rsidTr="00286F9C">
        <w:trPr>
          <w:trHeight w:val="330"/>
        </w:trPr>
        <w:tc>
          <w:tcPr>
            <w:tcW w:w="1367" w:type="dxa"/>
            <w:vMerge/>
            <w:tcBorders>
              <w:top w:val="single" w:sz="12" w:space="0" w:color="FF9E3C"/>
              <w:left w:val="single" w:sz="12" w:space="0" w:color="FF9E3C"/>
              <w:bottom w:val="single" w:sz="12" w:space="0" w:color="FF9E3C"/>
              <w:right w:val="single" w:sz="12" w:space="0" w:color="FF9E3C"/>
            </w:tcBorders>
            <w:vAlign w:val="center"/>
            <w:hideMark/>
          </w:tcPr>
          <w:p w14:paraId="48FF6DE6"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886" w:type="dxa"/>
            <w:tcBorders>
              <w:top w:val="nil"/>
              <w:left w:val="nil"/>
              <w:bottom w:val="single" w:sz="12" w:space="0" w:color="FF9E3C"/>
              <w:right w:val="single" w:sz="12" w:space="0" w:color="FF9E3C"/>
            </w:tcBorders>
            <w:shd w:val="clear" w:color="000000" w:fill="FFBC64"/>
            <w:vAlign w:val="center"/>
            <w:hideMark/>
          </w:tcPr>
          <w:p w14:paraId="0A27DB09" w14:textId="015D2BB7"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93" w:type="dxa"/>
            <w:tcBorders>
              <w:top w:val="nil"/>
              <w:left w:val="nil"/>
              <w:bottom w:val="single" w:sz="12" w:space="0" w:color="FF9E3C"/>
              <w:right w:val="single" w:sz="12" w:space="0" w:color="FF9E3C"/>
            </w:tcBorders>
            <w:shd w:val="clear" w:color="000000" w:fill="FFBC64"/>
            <w:vAlign w:val="center"/>
            <w:hideMark/>
          </w:tcPr>
          <w:p w14:paraId="360AB0E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850" w:type="dxa"/>
            <w:tcBorders>
              <w:top w:val="nil"/>
              <w:left w:val="nil"/>
              <w:bottom w:val="single" w:sz="12" w:space="0" w:color="FF9E3C"/>
              <w:right w:val="single" w:sz="12" w:space="0" w:color="FF9E3C"/>
            </w:tcBorders>
            <w:shd w:val="clear" w:color="000000" w:fill="FFBC64"/>
            <w:vAlign w:val="center"/>
            <w:hideMark/>
          </w:tcPr>
          <w:p w14:paraId="53305B96" w14:textId="5C6A1881"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01367E0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1134" w:type="dxa"/>
            <w:tcBorders>
              <w:top w:val="nil"/>
              <w:left w:val="nil"/>
              <w:bottom w:val="single" w:sz="12" w:space="0" w:color="FF9E3C"/>
              <w:right w:val="single" w:sz="12" w:space="0" w:color="FF9E3C"/>
            </w:tcBorders>
            <w:shd w:val="clear" w:color="000000" w:fill="FFBC64"/>
            <w:vAlign w:val="center"/>
            <w:hideMark/>
          </w:tcPr>
          <w:p w14:paraId="228CD783" w14:textId="0A4C3B10"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10348CB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1" w:type="dxa"/>
            <w:tcBorders>
              <w:top w:val="nil"/>
              <w:left w:val="nil"/>
              <w:bottom w:val="single" w:sz="12" w:space="0" w:color="FF9E3C"/>
              <w:right w:val="single" w:sz="12" w:space="0" w:color="FF9E3C"/>
            </w:tcBorders>
            <w:shd w:val="clear" w:color="000000" w:fill="FFBC64"/>
            <w:vAlign w:val="center"/>
            <w:hideMark/>
          </w:tcPr>
          <w:p w14:paraId="4B0627F2" w14:textId="101ACBE7"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4637559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6C7F31" w:rsidRPr="00AF621D" w14:paraId="582DF807" w14:textId="77777777" w:rsidTr="00286F9C">
        <w:trPr>
          <w:trHeight w:val="330"/>
        </w:trPr>
        <w:tc>
          <w:tcPr>
            <w:tcW w:w="1367" w:type="dxa"/>
            <w:tcBorders>
              <w:top w:val="nil"/>
              <w:left w:val="single" w:sz="12" w:space="0" w:color="FF9E3C"/>
              <w:bottom w:val="single" w:sz="12" w:space="0" w:color="FF9E3C"/>
              <w:right w:val="single" w:sz="12" w:space="0" w:color="FF9E3C"/>
            </w:tcBorders>
            <w:shd w:val="clear" w:color="auto" w:fill="auto"/>
            <w:vAlign w:val="center"/>
          </w:tcPr>
          <w:p w14:paraId="351F8998"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European / Other*</w:t>
            </w:r>
          </w:p>
        </w:tc>
        <w:tc>
          <w:tcPr>
            <w:tcW w:w="886" w:type="dxa"/>
            <w:tcBorders>
              <w:top w:val="nil"/>
              <w:left w:val="nil"/>
              <w:bottom w:val="single" w:sz="12" w:space="0" w:color="FF9E3C"/>
              <w:right w:val="single" w:sz="12" w:space="0" w:color="FF9E3C"/>
            </w:tcBorders>
            <w:shd w:val="clear" w:color="auto" w:fill="auto"/>
            <w:vAlign w:val="center"/>
          </w:tcPr>
          <w:p w14:paraId="15EE5F1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19,815</w:t>
            </w:r>
          </w:p>
        </w:tc>
        <w:tc>
          <w:tcPr>
            <w:tcW w:w="993" w:type="dxa"/>
            <w:tcBorders>
              <w:top w:val="nil"/>
              <w:left w:val="nil"/>
              <w:bottom w:val="single" w:sz="12" w:space="0" w:color="FF9E3C"/>
              <w:right w:val="single" w:sz="12" w:space="0" w:color="FF9E3C"/>
            </w:tcBorders>
            <w:shd w:val="clear" w:color="auto" w:fill="auto"/>
            <w:vAlign w:val="center"/>
          </w:tcPr>
          <w:p w14:paraId="74C2CB2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29.5</w:t>
            </w:r>
          </w:p>
        </w:tc>
        <w:tc>
          <w:tcPr>
            <w:tcW w:w="850" w:type="dxa"/>
            <w:tcBorders>
              <w:top w:val="nil"/>
              <w:left w:val="nil"/>
              <w:bottom w:val="single" w:sz="12" w:space="0" w:color="FF9E3C"/>
              <w:right w:val="single" w:sz="12" w:space="0" w:color="FF9E3C"/>
            </w:tcBorders>
            <w:shd w:val="clear" w:color="auto" w:fill="auto"/>
            <w:vAlign w:val="center"/>
          </w:tcPr>
          <w:p w14:paraId="6FF849D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10,797</w:t>
            </w:r>
          </w:p>
        </w:tc>
        <w:tc>
          <w:tcPr>
            <w:tcW w:w="851" w:type="dxa"/>
            <w:tcBorders>
              <w:top w:val="nil"/>
              <w:left w:val="nil"/>
              <w:bottom w:val="single" w:sz="12" w:space="0" w:color="FF9E3C"/>
              <w:right w:val="single" w:sz="12" w:space="0" w:color="FF9E3C"/>
            </w:tcBorders>
            <w:shd w:val="clear" w:color="auto" w:fill="auto"/>
            <w:vAlign w:val="center"/>
          </w:tcPr>
          <w:p w14:paraId="2334CF0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16.1</w:t>
            </w:r>
          </w:p>
        </w:tc>
        <w:tc>
          <w:tcPr>
            <w:tcW w:w="1134" w:type="dxa"/>
            <w:tcBorders>
              <w:top w:val="nil"/>
              <w:left w:val="nil"/>
              <w:bottom w:val="single" w:sz="12" w:space="0" w:color="FF9E3C"/>
              <w:right w:val="single" w:sz="12" w:space="0" w:color="FF9E3C"/>
            </w:tcBorders>
            <w:shd w:val="clear" w:color="auto" w:fill="auto"/>
            <w:vAlign w:val="center"/>
          </w:tcPr>
          <w:p w14:paraId="3BF76CB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5,073</w:t>
            </w:r>
          </w:p>
        </w:tc>
        <w:tc>
          <w:tcPr>
            <w:tcW w:w="851" w:type="dxa"/>
            <w:tcBorders>
              <w:top w:val="nil"/>
              <w:left w:val="nil"/>
              <w:bottom w:val="single" w:sz="12" w:space="0" w:color="FF9E3C"/>
              <w:right w:val="single" w:sz="12" w:space="0" w:color="FF9E3C"/>
            </w:tcBorders>
            <w:shd w:val="clear" w:color="auto" w:fill="auto"/>
            <w:vAlign w:val="center"/>
          </w:tcPr>
          <w:p w14:paraId="1E12067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7.5</w:t>
            </w:r>
          </w:p>
        </w:tc>
        <w:tc>
          <w:tcPr>
            <w:tcW w:w="991" w:type="dxa"/>
            <w:tcBorders>
              <w:top w:val="nil"/>
              <w:left w:val="nil"/>
              <w:bottom w:val="single" w:sz="12" w:space="0" w:color="FF9E3C"/>
              <w:right w:val="single" w:sz="12" w:space="0" w:color="FF9E3C"/>
            </w:tcBorders>
            <w:shd w:val="clear" w:color="auto" w:fill="auto"/>
            <w:vAlign w:val="center"/>
          </w:tcPr>
          <w:p w14:paraId="348ECB3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35,686</w:t>
            </w:r>
          </w:p>
        </w:tc>
        <w:tc>
          <w:tcPr>
            <w:tcW w:w="851" w:type="dxa"/>
            <w:tcBorders>
              <w:top w:val="nil"/>
              <w:left w:val="nil"/>
              <w:bottom w:val="single" w:sz="12" w:space="0" w:color="FF9E3C"/>
              <w:right w:val="single" w:sz="12" w:space="0" w:color="FF9E3C"/>
            </w:tcBorders>
            <w:shd w:val="clear" w:color="auto" w:fill="auto"/>
            <w:vAlign w:val="center"/>
          </w:tcPr>
          <w:p w14:paraId="6517ABF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53.1</w:t>
            </w:r>
          </w:p>
        </w:tc>
      </w:tr>
      <w:tr w:rsidR="006C7F31" w:rsidRPr="00AF621D" w14:paraId="2DFE6025" w14:textId="77777777" w:rsidTr="00286F9C">
        <w:trPr>
          <w:trHeight w:val="330"/>
        </w:trPr>
        <w:tc>
          <w:tcPr>
            <w:tcW w:w="1367" w:type="dxa"/>
            <w:tcBorders>
              <w:top w:val="nil"/>
              <w:left w:val="single" w:sz="12" w:space="0" w:color="FF9E3C"/>
              <w:bottom w:val="single" w:sz="12" w:space="0" w:color="FF9E3C"/>
              <w:right w:val="single" w:sz="12" w:space="0" w:color="FF9E3C"/>
            </w:tcBorders>
            <w:shd w:val="clear" w:color="auto" w:fill="auto"/>
            <w:vAlign w:val="center"/>
            <w:hideMark/>
          </w:tcPr>
          <w:p w14:paraId="76910CB1" w14:textId="3883F4AE" w:rsidR="006C7F31" w:rsidRPr="00AF621D" w:rsidRDefault="002901C9"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Māori</w:t>
            </w:r>
          </w:p>
        </w:tc>
        <w:tc>
          <w:tcPr>
            <w:tcW w:w="886" w:type="dxa"/>
            <w:tcBorders>
              <w:top w:val="nil"/>
              <w:left w:val="nil"/>
              <w:bottom w:val="single" w:sz="12" w:space="0" w:color="FF9E3C"/>
              <w:right w:val="single" w:sz="12" w:space="0" w:color="FF9E3C"/>
            </w:tcBorders>
            <w:shd w:val="clear" w:color="auto" w:fill="auto"/>
            <w:vAlign w:val="center"/>
            <w:hideMark/>
          </w:tcPr>
          <w:p w14:paraId="35A0CE9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5,338</w:t>
            </w:r>
          </w:p>
        </w:tc>
        <w:tc>
          <w:tcPr>
            <w:tcW w:w="993" w:type="dxa"/>
            <w:tcBorders>
              <w:top w:val="nil"/>
              <w:left w:val="nil"/>
              <w:bottom w:val="single" w:sz="12" w:space="0" w:color="FF9E3C"/>
              <w:right w:val="single" w:sz="12" w:space="0" w:color="FF9E3C"/>
            </w:tcBorders>
            <w:shd w:val="clear" w:color="auto" w:fill="auto"/>
            <w:vAlign w:val="center"/>
            <w:hideMark/>
          </w:tcPr>
          <w:p w14:paraId="7521A30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7.9</w:t>
            </w:r>
          </w:p>
        </w:tc>
        <w:tc>
          <w:tcPr>
            <w:tcW w:w="850" w:type="dxa"/>
            <w:tcBorders>
              <w:top w:val="nil"/>
              <w:left w:val="nil"/>
              <w:bottom w:val="single" w:sz="12" w:space="0" w:color="FF9E3C"/>
              <w:right w:val="single" w:sz="12" w:space="0" w:color="FF9E3C"/>
            </w:tcBorders>
            <w:shd w:val="clear" w:color="auto" w:fill="auto"/>
            <w:vAlign w:val="center"/>
            <w:hideMark/>
          </w:tcPr>
          <w:p w14:paraId="26777A1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5,067</w:t>
            </w:r>
          </w:p>
        </w:tc>
        <w:tc>
          <w:tcPr>
            <w:tcW w:w="851" w:type="dxa"/>
            <w:tcBorders>
              <w:top w:val="nil"/>
              <w:left w:val="nil"/>
              <w:bottom w:val="single" w:sz="12" w:space="0" w:color="FF9E3C"/>
              <w:right w:val="single" w:sz="12" w:space="0" w:color="FF9E3C"/>
            </w:tcBorders>
            <w:shd w:val="clear" w:color="auto" w:fill="auto"/>
            <w:vAlign w:val="center"/>
            <w:hideMark/>
          </w:tcPr>
          <w:p w14:paraId="5094841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7.5</w:t>
            </w:r>
          </w:p>
        </w:tc>
        <w:tc>
          <w:tcPr>
            <w:tcW w:w="1134" w:type="dxa"/>
            <w:tcBorders>
              <w:top w:val="nil"/>
              <w:left w:val="nil"/>
              <w:bottom w:val="single" w:sz="12" w:space="0" w:color="FF9E3C"/>
              <w:right w:val="single" w:sz="12" w:space="0" w:color="FF9E3C"/>
            </w:tcBorders>
            <w:shd w:val="clear" w:color="auto" w:fill="auto"/>
            <w:vAlign w:val="center"/>
            <w:hideMark/>
          </w:tcPr>
          <w:p w14:paraId="6C9BA91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4,569</w:t>
            </w:r>
          </w:p>
        </w:tc>
        <w:tc>
          <w:tcPr>
            <w:tcW w:w="851" w:type="dxa"/>
            <w:tcBorders>
              <w:top w:val="nil"/>
              <w:left w:val="nil"/>
              <w:bottom w:val="single" w:sz="12" w:space="0" w:color="FF9E3C"/>
              <w:right w:val="single" w:sz="12" w:space="0" w:color="FF9E3C"/>
            </w:tcBorders>
            <w:shd w:val="clear" w:color="auto" w:fill="auto"/>
            <w:vAlign w:val="center"/>
            <w:hideMark/>
          </w:tcPr>
          <w:p w14:paraId="2AB1B4B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6.8</w:t>
            </w:r>
          </w:p>
        </w:tc>
        <w:tc>
          <w:tcPr>
            <w:tcW w:w="991" w:type="dxa"/>
            <w:tcBorders>
              <w:top w:val="nil"/>
              <w:left w:val="nil"/>
              <w:bottom w:val="single" w:sz="12" w:space="0" w:color="FF9E3C"/>
              <w:right w:val="single" w:sz="12" w:space="0" w:color="FF9E3C"/>
            </w:tcBorders>
            <w:shd w:val="clear" w:color="auto" w:fill="auto"/>
            <w:vAlign w:val="center"/>
            <w:hideMark/>
          </w:tcPr>
          <w:p w14:paraId="7E6D90B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14,974</w:t>
            </w:r>
          </w:p>
        </w:tc>
        <w:tc>
          <w:tcPr>
            <w:tcW w:w="851" w:type="dxa"/>
            <w:tcBorders>
              <w:top w:val="nil"/>
              <w:left w:val="nil"/>
              <w:bottom w:val="single" w:sz="12" w:space="0" w:color="FF9E3C"/>
              <w:right w:val="single" w:sz="12" w:space="0" w:color="FF9E3C"/>
            </w:tcBorders>
            <w:shd w:val="clear" w:color="auto" w:fill="auto"/>
            <w:vAlign w:val="center"/>
            <w:hideMark/>
          </w:tcPr>
          <w:p w14:paraId="4C56837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22.3</w:t>
            </w:r>
          </w:p>
        </w:tc>
      </w:tr>
      <w:tr w:rsidR="006C7F31" w:rsidRPr="00AF621D" w14:paraId="27F81682" w14:textId="77777777" w:rsidTr="00286F9C">
        <w:trPr>
          <w:trHeight w:val="330"/>
        </w:trPr>
        <w:tc>
          <w:tcPr>
            <w:tcW w:w="1367" w:type="dxa"/>
            <w:tcBorders>
              <w:top w:val="nil"/>
              <w:left w:val="single" w:sz="12" w:space="0" w:color="FF9E3C"/>
              <w:bottom w:val="single" w:sz="12" w:space="0" w:color="FF9E3C"/>
              <w:right w:val="single" w:sz="12" w:space="0" w:color="FF9E3C"/>
            </w:tcBorders>
            <w:shd w:val="clear" w:color="auto" w:fill="auto"/>
            <w:vAlign w:val="center"/>
            <w:hideMark/>
          </w:tcPr>
          <w:p w14:paraId="12BB4535"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Pacific</w:t>
            </w:r>
          </w:p>
        </w:tc>
        <w:tc>
          <w:tcPr>
            <w:tcW w:w="886" w:type="dxa"/>
            <w:tcBorders>
              <w:top w:val="nil"/>
              <w:left w:val="nil"/>
              <w:bottom w:val="single" w:sz="12" w:space="0" w:color="FF9E3C"/>
              <w:right w:val="single" w:sz="12" w:space="0" w:color="FF9E3C"/>
            </w:tcBorders>
            <w:shd w:val="clear" w:color="auto" w:fill="auto"/>
            <w:vAlign w:val="center"/>
            <w:hideMark/>
          </w:tcPr>
          <w:p w14:paraId="355ACCF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3,049</w:t>
            </w:r>
          </w:p>
        </w:tc>
        <w:tc>
          <w:tcPr>
            <w:tcW w:w="993" w:type="dxa"/>
            <w:tcBorders>
              <w:top w:val="nil"/>
              <w:left w:val="nil"/>
              <w:bottom w:val="single" w:sz="12" w:space="0" w:color="FF9E3C"/>
              <w:right w:val="single" w:sz="12" w:space="0" w:color="FF9E3C"/>
            </w:tcBorders>
            <w:shd w:val="clear" w:color="auto" w:fill="auto"/>
            <w:vAlign w:val="center"/>
            <w:hideMark/>
          </w:tcPr>
          <w:p w14:paraId="7775B08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4.5</w:t>
            </w:r>
          </w:p>
        </w:tc>
        <w:tc>
          <w:tcPr>
            <w:tcW w:w="850" w:type="dxa"/>
            <w:tcBorders>
              <w:top w:val="nil"/>
              <w:left w:val="nil"/>
              <w:bottom w:val="single" w:sz="12" w:space="0" w:color="FF9E3C"/>
              <w:right w:val="single" w:sz="12" w:space="0" w:color="FF9E3C"/>
            </w:tcBorders>
            <w:shd w:val="clear" w:color="auto" w:fill="auto"/>
            <w:vAlign w:val="center"/>
            <w:hideMark/>
          </w:tcPr>
          <w:p w14:paraId="790185C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3,833</w:t>
            </w:r>
          </w:p>
        </w:tc>
        <w:tc>
          <w:tcPr>
            <w:tcW w:w="851" w:type="dxa"/>
            <w:tcBorders>
              <w:top w:val="nil"/>
              <w:left w:val="nil"/>
              <w:bottom w:val="single" w:sz="12" w:space="0" w:color="FF9E3C"/>
              <w:right w:val="single" w:sz="12" w:space="0" w:color="FF9E3C"/>
            </w:tcBorders>
            <w:shd w:val="clear" w:color="auto" w:fill="auto"/>
            <w:vAlign w:val="center"/>
            <w:hideMark/>
          </w:tcPr>
          <w:p w14:paraId="4A76FF2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5.7</w:t>
            </w:r>
          </w:p>
        </w:tc>
        <w:tc>
          <w:tcPr>
            <w:tcW w:w="1134" w:type="dxa"/>
            <w:tcBorders>
              <w:top w:val="nil"/>
              <w:left w:val="nil"/>
              <w:bottom w:val="single" w:sz="12" w:space="0" w:color="FF9E3C"/>
              <w:right w:val="single" w:sz="12" w:space="0" w:color="FF9E3C"/>
            </w:tcBorders>
            <w:shd w:val="clear" w:color="auto" w:fill="auto"/>
            <w:vAlign w:val="center"/>
            <w:hideMark/>
          </w:tcPr>
          <w:p w14:paraId="522895B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1,432</w:t>
            </w:r>
          </w:p>
        </w:tc>
        <w:tc>
          <w:tcPr>
            <w:tcW w:w="851" w:type="dxa"/>
            <w:tcBorders>
              <w:top w:val="nil"/>
              <w:left w:val="nil"/>
              <w:bottom w:val="single" w:sz="12" w:space="0" w:color="FF9E3C"/>
              <w:right w:val="single" w:sz="12" w:space="0" w:color="FF9E3C"/>
            </w:tcBorders>
            <w:shd w:val="clear" w:color="auto" w:fill="auto"/>
            <w:vAlign w:val="center"/>
            <w:hideMark/>
          </w:tcPr>
          <w:p w14:paraId="7A03D5E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2.1</w:t>
            </w:r>
          </w:p>
        </w:tc>
        <w:tc>
          <w:tcPr>
            <w:tcW w:w="991" w:type="dxa"/>
            <w:tcBorders>
              <w:top w:val="nil"/>
              <w:left w:val="nil"/>
              <w:bottom w:val="single" w:sz="12" w:space="0" w:color="FF9E3C"/>
              <w:right w:val="single" w:sz="12" w:space="0" w:color="FF9E3C"/>
            </w:tcBorders>
            <w:shd w:val="clear" w:color="auto" w:fill="auto"/>
            <w:vAlign w:val="center"/>
            <w:hideMark/>
          </w:tcPr>
          <w:p w14:paraId="0031217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8,314</w:t>
            </w:r>
          </w:p>
        </w:tc>
        <w:tc>
          <w:tcPr>
            <w:tcW w:w="851" w:type="dxa"/>
            <w:tcBorders>
              <w:top w:val="nil"/>
              <w:left w:val="nil"/>
              <w:bottom w:val="single" w:sz="12" w:space="0" w:color="FF9E3C"/>
              <w:right w:val="single" w:sz="12" w:space="0" w:color="FF9E3C"/>
            </w:tcBorders>
            <w:shd w:val="clear" w:color="auto" w:fill="auto"/>
            <w:vAlign w:val="center"/>
            <w:hideMark/>
          </w:tcPr>
          <w:p w14:paraId="77DE588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12.4</w:t>
            </w:r>
          </w:p>
        </w:tc>
      </w:tr>
      <w:tr w:rsidR="006C7F31" w:rsidRPr="00AF621D" w14:paraId="4766556E" w14:textId="77777777" w:rsidTr="00286F9C">
        <w:trPr>
          <w:trHeight w:val="330"/>
        </w:trPr>
        <w:tc>
          <w:tcPr>
            <w:tcW w:w="1367" w:type="dxa"/>
            <w:tcBorders>
              <w:top w:val="nil"/>
              <w:left w:val="single" w:sz="12" w:space="0" w:color="FF9E3C"/>
              <w:bottom w:val="single" w:sz="12" w:space="0" w:color="FF9E3C"/>
              <w:right w:val="single" w:sz="12" w:space="0" w:color="FF9E3C"/>
            </w:tcBorders>
            <w:shd w:val="clear" w:color="auto" w:fill="auto"/>
            <w:vAlign w:val="center"/>
            <w:hideMark/>
          </w:tcPr>
          <w:p w14:paraId="73842FB2"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Asian</w:t>
            </w:r>
          </w:p>
        </w:tc>
        <w:tc>
          <w:tcPr>
            <w:tcW w:w="886" w:type="dxa"/>
            <w:tcBorders>
              <w:top w:val="nil"/>
              <w:left w:val="nil"/>
              <w:bottom w:val="single" w:sz="12" w:space="0" w:color="FF9E3C"/>
              <w:right w:val="single" w:sz="12" w:space="0" w:color="FF9E3C"/>
            </w:tcBorders>
            <w:shd w:val="clear" w:color="auto" w:fill="auto"/>
            <w:vAlign w:val="center"/>
            <w:hideMark/>
          </w:tcPr>
          <w:p w14:paraId="3126C1E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3,896</w:t>
            </w:r>
          </w:p>
        </w:tc>
        <w:tc>
          <w:tcPr>
            <w:tcW w:w="993" w:type="dxa"/>
            <w:tcBorders>
              <w:top w:val="nil"/>
              <w:left w:val="nil"/>
              <w:bottom w:val="single" w:sz="12" w:space="0" w:color="FF9E3C"/>
              <w:right w:val="single" w:sz="12" w:space="0" w:color="FF9E3C"/>
            </w:tcBorders>
            <w:shd w:val="clear" w:color="auto" w:fill="auto"/>
            <w:vAlign w:val="center"/>
            <w:hideMark/>
          </w:tcPr>
          <w:p w14:paraId="36E915F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5.8</w:t>
            </w:r>
          </w:p>
        </w:tc>
        <w:tc>
          <w:tcPr>
            <w:tcW w:w="850" w:type="dxa"/>
            <w:tcBorders>
              <w:top w:val="nil"/>
              <w:left w:val="nil"/>
              <w:bottom w:val="single" w:sz="12" w:space="0" w:color="FF9E3C"/>
              <w:right w:val="single" w:sz="12" w:space="0" w:color="FF9E3C"/>
            </w:tcBorders>
            <w:shd w:val="clear" w:color="auto" w:fill="auto"/>
            <w:vAlign w:val="center"/>
            <w:hideMark/>
          </w:tcPr>
          <w:p w14:paraId="26FD02F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2,880</w:t>
            </w:r>
          </w:p>
        </w:tc>
        <w:tc>
          <w:tcPr>
            <w:tcW w:w="851" w:type="dxa"/>
            <w:tcBorders>
              <w:top w:val="nil"/>
              <w:left w:val="nil"/>
              <w:bottom w:val="single" w:sz="12" w:space="0" w:color="FF9E3C"/>
              <w:right w:val="single" w:sz="12" w:space="0" w:color="FF9E3C"/>
            </w:tcBorders>
            <w:shd w:val="clear" w:color="auto" w:fill="auto"/>
            <w:vAlign w:val="center"/>
            <w:hideMark/>
          </w:tcPr>
          <w:p w14:paraId="5367B43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4.3</w:t>
            </w:r>
          </w:p>
        </w:tc>
        <w:tc>
          <w:tcPr>
            <w:tcW w:w="1134" w:type="dxa"/>
            <w:tcBorders>
              <w:top w:val="nil"/>
              <w:left w:val="nil"/>
              <w:bottom w:val="single" w:sz="12" w:space="0" w:color="FF9E3C"/>
              <w:right w:val="single" w:sz="12" w:space="0" w:color="FF9E3C"/>
            </w:tcBorders>
            <w:shd w:val="clear" w:color="auto" w:fill="auto"/>
            <w:vAlign w:val="center"/>
            <w:hideMark/>
          </w:tcPr>
          <w:p w14:paraId="4C789C4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1,268</w:t>
            </w:r>
          </w:p>
        </w:tc>
        <w:tc>
          <w:tcPr>
            <w:tcW w:w="851" w:type="dxa"/>
            <w:tcBorders>
              <w:top w:val="nil"/>
              <w:left w:val="nil"/>
              <w:bottom w:val="single" w:sz="12" w:space="0" w:color="FF9E3C"/>
              <w:right w:val="single" w:sz="12" w:space="0" w:color="FF9E3C"/>
            </w:tcBorders>
            <w:shd w:val="clear" w:color="auto" w:fill="auto"/>
            <w:vAlign w:val="center"/>
            <w:hideMark/>
          </w:tcPr>
          <w:p w14:paraId="4A115AB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1.9</w:t>
            </w:r>
          </w:p>
        </w:tc>
        <w:tc>
          <w:tcPr>
            <w:tcW w:w="991" w:type="dxa"/>
            <w:tcBorders>
              <w:top w:val="nil"/>
              <w:left w:val="nil"/>
              <w:bottom w:val="single" w:sz="12" w:space="0" w:color="FF9E3C"/>
              <w:right w:val="single" w:sz="12" w:space="0" w:color="FF9E3C"/>
            </w:tcBorders>
            <w:shd w:val="clear" w:color="auto" w:fill="auto"/>
            <w:vAlign w:val="center"/>
            <w:hideMark/>
          </w:tcPr>
          <w:p w14:paraId="16D2EEE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8,044</w:t>
            </w:r>
          </w:p>
        </w:tc>
        <w:tc>
          <w:tcPr>
            <w:tcW w:w="851" w:type="dxa"/>
            <w:tcBorders>
              <w:top w:val="nil"/>
              <w:left w:val="nil"/>
              <w:bottom w:val="single" w:sz="12" w:space="0" w:color="FF9E3C"/>
              <w:right w:val="single" w:sz="12" w:space="0" w:color="FF9E3C"/>
            </w:tcBorders>
            <w:shd w:val="clear" w:color="auto" w:fill="auto"/>
            <w:vAlign w:val="center"/>
            <w:hideMark/>
          </w:tcPr>
          <w:p w14:paraId="352429D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12.0</w:t>
            </w:r>
          </w:p>
        </w:tc>
      </w:tr>
      <w:tr w:rsidR="006C7F31" w:rsidRPr="00AF621D" w14:paraId="247AB6D7" w14:textId="77777777" w:rsidTr="00286F9C">
        <w:trPr>
          <w:trHeight w:val="330"/>
        </w:trPr>
        <w:tc>
          <w:tcPr>
            <w:tcW w:w="1367" w:type="dxa"/>
            <w:tcBorders>
              <w:top w:val="nil"/>
              <w:left w:val="single" w:sz="12" w:space="0" w:color="FF9E3C"/>
              <w:bottom w:val="single" w:sz="12" w:space="0" w:color="FF9E3C"/>
              <w:right w:val="single" w:sz="12" w:space="0" w:color="FF9E3C"/>
            </w:tcBorders>
            <w:shd w:val="clear" w:color="auto" w:fill="auto"/>
            <w:vAlign w:val="center"/>
            <w:hideMark/>
          </w:tcPr>
          <w:p w14:paraId="3BE83082"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Unknown</w:t>
            </w:r>
          </w:p>
        </w:tc>
        <w:tc>
          <w:tcPr>
            <w:tcW w:w="886" w:type="dxa"/>
            <w:tcBorders>
              <w:top w:val="nil"/>
              <w:left w:val="nil"/>
              <w:bottom w:val="single" w:sz="12" w:space="0" w:color="FF9E3C"/>
              <w:right w:val="single" w:sz="12" w:space="0" w:color="FF9E3C"/>
            </w:tcBorders>
            <w:shd w:val="clear" w:color="auto" w:fill="auto"/>
            <w:vAlign w:val="center"/>
            <w:hideMark/>
          </w:tcPr>
          <w:p w14:paraId="5599B30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181</w:t>
            </w:r>
          </w:p>
        </w:tc>
        <w:tc>
          <w:tcPr>
            <w:tcW w:w="993" w:type="dxa"/>
            <w:tcBorders>
              <w:top w:val="nil"/>
              <w:left w:val="nil"/>
              <w:bottom w:val="single" w:sz="12" w:space="0" w:color="FF9E3C"/>
              <w:right w:val="single" w:sz="12" w:space="0" w:color="FF9E3C"/>
            </w:tcBorders>
            <w:shd w:val="clear" w:color="auto" w:fill="auto"/>
            <w:vAlign w:val="center"/>
            <w:hideMark/>
          </w:tcPr>
          <w:p w14:paraId="04752E0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0.3</w:t>
            </w:r>
          </w:p>
        </w:tc>
        <w:tc>
          <w:tcPr>
            <w:tcW w:w="850" w:type="dxa"/>
            <w:tcBorders>
              <w:top w:val="nil"/>
              <w:left w:val="nil"/>
              <w:bottom w:val="single" w:sz="12" w:space="0" w:color="FF9E3C"/>
              <w:right w:val="single" w:sz="12" w:space="0" w:color="FF9E3C"/>
            </w:tcBorders>
            <w:shd w:val="clear" w:color="auto" w:fill="auto"/>
            <w:vAlign w:val="center"/>
            <w:hideMark/>
          </w:tcPr>
          <w:p w14:paraId="1E73249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w:t>
            </w:r>
          </w:p>
        </w:tc>
        <w:tc>
          <w:tcPr>
            <w:tcW w:w="851" w:type="dxa"/>
            <w:tcBorders>
              <w:top w:val="nil"/>
              <w:left w:val="nil"/>
              <w:bottom w:val="single" w:sz="12" w:space="0" w:color="FF9E3C"/>
              <w:right w:val="single" w:sz="12" w:space="0" w:color="FF9E3C"/>
            </w:tcBorders>
            <w:shd w:val="clear" w:color="auto" w:fill="auto"/>
            <w:vAlign w:val="center"/>
            <w:hideMark/>
          </w:tcPr>
          <w:p w14:paraId="424EDC1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w:t>
            </w:r>
          </w:p>
        </w:tc>
        <w:tc>
          <w:tcPr>
            <w:tcW w:w="1134" w:type="dxa"/>
            <w:tcBorders>
              <w:top w:val="nil"/>
              <w:left w:val="nil"/>
              <w:bottom w:val="single" w:sz="12" w:space="0" w:color="FF9E3C"/>
              <w:right w:val="single" w:sz="12" w:space="0" w:color="FF9E3C"/>
            </w:tcBorders>
            <w:shd w:val="clear" w:color="auto" w:fill="auto"/>
            <w:vAlign w:val="center"/>
            <w:hideMark/>
          </w:tcPr>
          <w:p w14:paraId="665D48A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w:t>
            </w:r>
          </w:p>
        </w:tc>
        <w:tc>
          <w:tcPr>
            <w:tcW w:w="851" w:type="dxa"/>
            <w:tcBorders>
              <w:top w:val="nil"/>
              <w:left w:val="nil"/>
              <w:bottom w:val="single" w:sz="12" w:space="0" w:color="FF9E3C"/>
              <w:right w:val="single" w:sz="12" w:space="0" w:color="FF9E3C"/>
            </w:tcBorders>
            <w:shd w:val="clear" w:color="auto" w:fill="auto"/>
            <w:vAlign w:val="center"/>
            <w:hideMark/>
          </w:tcPr>
          <w:p w14:paraId="23B8E54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0.0</w:t>
            </w:r>
          </w:p>
        </w:tc>
        <w:tc>
          <w:tcPr>
            <w:tcW w:w="991" w:type="dxa"/>
            <w:tcBorders>
              <w:top w:val="nil"/>
              <w:left w:val="nil"/>
              <w:bottom w:val="single" w:sz="12" w:space="0" w:color="FF9E3C"/>
              <w:right w:val="single" w:sz="12" w:space="0" w:color="FF9E3C"/>
            </w:tcBorders>
            <w:shd w:val="clear" w:color="auto" w:fill="auto"/>
            <w:vAlign w:val="center"/>
            <w:hideMark/>
          </w:tcPr>
          <w:p w14:paraId="074131A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181</w:t>
            </w:r>
          </w:p>
        </w:tc>
        <w:tc>
          <w:tcPr>
            <w:tcW w:w="851" w:type="dxa"/>
            <w:tcBorders>
              <w:top w:val="nil"/>
              <w:left w:val="nil"/>
              <w:bottom w:val="single" w:sz="12" w:space="0" w:color="FF9E3C"/>
              <w:right w:val="single" w:sz="12" w:space="0" w:color="FF9E3C"/>
            </w:tcBorders>
            <w:shd w:val="clear" w:color="auto" w:fill="auto"/>
            <w:vAlign w:val="center"/>
            <w:hideMark/>
          </w:tcPr>
          <w:p w14:paraId="6B1BCC5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0.3</w:t>
            </w:r>
          </w:p>
        </w:tc>
      </w:tr>
      <w:tr w:rsidR="006C7F31" w:rsidRPr="00AF621D" w14:paraId="239AF899" w14:textId="77777777" w:rsidTr="00286F9C">
        <w:trPr>
          <w:trHeight w:val="330"/>
        </w:trPr>
        <w:tc>
          <w:tcPr>
            <w:tcW w:w="1367" w:type="dxa"/>
            <w:tcBorders>
              <w:top w:val="nil"/>
              <w:left w:val="single" w:sz="12" w:space="0" w:color="FF9E3C"/>
              <w:bottom w:val="single" w:sz="12" w:space="0" w:color="FF9E3C"/>
              <w:right w:val="single" w:sz="12" w:space="0" w:color="FF9E3C"/>
            </w:tcBorders>
            <w:shd w:val="clear" w:color="auto" w:fill="auto"/>
            <w:vAlign w:val="center"/>
            <w:hideMark/>
          </w:tcPr>
          <w:p w14:paraId="12C5278E"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Total</w:t>
            </w:r>
          </w:p>
        </w:tc>
        <w:tc>
          <w:tcPr>
            <w:tcW w:w="886" w:type="dxa"/>
            <w:tcBorders>
              <w:top w:val="nil"/>
              <w:left w:val="nil"/>
              <w:bottom w:val="single" w:sz="12" w:space="0" w:color="FF9E3C"/>
              <w:right w:val="single" w:sz="12" w:space="0" w:color="FF9E3C"/>
            </w:tcBorders>
            <w:shd w:val="clear" w:color="auto" w:fill="auto"/>
            <w:vAlign w:val="center"/>
            <w:hideMark/>
          </w:tcPr>
          <w:p w14:paraId="308B3712"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32,280</w:t>
            </w:r>
          </w:p>
        </w:tc>
        <w:tc>
          <w:tcPr>
            <w:tcW w:w="993" w:type="dxa"/>
            <w:tcBorders>
              <w:top w:val="nil"/>
              <w:left w:val="nil"/>
              <w:bottom w:val="single" w:sz="12" w:space="0" w:color="FF9E3C"/>
              <w:right w:val="single" w:sz="12" w:space="0" w:color="FF9E3C"/>
            </w:tcBorders>
            <w:shd w:val="clear" w:color="auto" w:fill="auto"/>
            <w:vAlign w:val="center"/>
            <w:hideMark/>
          </w:tcPr>
          <w:p w14:paraId="67CC882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48.0</w:t>
            </w:r>
          </w:p>
        </w:tc>
        <w:tc>
          <w:tcPr>
            <w:tcW w:w="850" w:type="dxa"/>
            <w:tcBorders>
              <w:top w:val="nil"/>
              <w:left w:val="nil"/>
              <w:bottom w:val="single" w:sz="12" w:space="0" w:color="FF9E3C"/>
              <w:right w:val="single" w:sz="12" w:space="0" w:color="FF9E3C"/>
            </w:tcBorders>
            <w:shd w:val="clear" w:color="auto" w:fill="auto"/>
            <w:vAlign w:val="center"/>
            <w:hideMark/>
          </w:tcPr>
          <w:p w14:paraId="2C8F249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22,577</w:t>
            </w:r>
          </w:p>
        </w:tc>
        <w:tc>
          <w:tcPr>
            <w:tcW w:w="851" w:type="dxa"/>
            <w:tcBorders>
              <w:top w:val="nil"/>
              <w:left w:val="nil"/>
              <w:bottom w:val="single" w:sz="12" w:space="0" w:color="FF9E3C"/>
              <w:right w:val="single" w:sz="12" w:space="0" w:color="FF9E3C"/>
            </w:tcBorders>
            <w:shd w:val="clear" w:color="auto" w:fill="auto"/>
            <w:vAlign w:val="center"/>
            <w:hideMark/>
          </w:tcPr>
          <w:p w14:paraId="0A7C97F2"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33.6</w:t>
            </w:r>
          </w:p>
        </w:tc>
        <w:tc>
          <w:tcPr>
            <w:tcW w:w="1134" w:type="dxa"/>
            <w:tcBorders>
              <w:top w:val="nil"/>
              <w:left w:val="nil"/>
              <w:bottom w:val="single" w:sz="12" w:space="0" w:color="FF9E3C"/>
              <w:right w:val="single" w:sz="12" w:space="0" w:color="FF9E3C"/>
            </w:tcBorders>
            <w:shd w:val="clear" w:color="auto" w:fill="auto"/>
            <w:vAlign w:val="center"/>
            <w:hideMark/>
          </w:tcPr>
          <w:p w14:paraId="68DDCA85"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12,341</w:t>
            </w:r>
          </w:p>
        </w:tc>
        <w:tc>
          <w:tcPr>
            <w:tcW w:w="851" w:type="dxa"/>
            <w:tcBorders>
              <w:top w:val="nil"/>
              <w:left w:val="nil"/>
              <w:bottom w:val="single" w:sz="12" w:space="0" w:color="FF9E3C"/>
              <w:right w:val="single" w:sz="12" w:space="0" w:color="FF9E3C"/>
            </w:tcBorders>
            <w:shd w:val="clear" w:color="auto" w:fill="auto"/>
            <w:vAlign w:val="center"/>
            <w:hideMark/>
          </w:tcPr>
          <w:p w14:paraId="1FAF4595"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18.4</w:t>
            </w:r>
          </w:p>
        </w:tc>
        <w:tc>
          <w:tcPr>
            <w:tcW w:w="991" w:type="dxa"/>
            <w:tcBorders>
              <w:top w:val="nil"/>
              <w:left w:val="nil"/>
              <w:bottom w:val="single" w:sz="12" w:space="0" w:color="FF9E3C"/>
              <w:right w:val="single" w:sz="12" w:space="0" w:color="FF9E3C"/>
            </w:tcBorders>
            <w:shd w:val="clear" w:color="auto" w:fill="auto"/>
            <w:vAlign w:val="center"/>
            <w:hideMark/>
          </w:tcPr>
          <w:p w14:paraId="220D22DF"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67,199</w:t>
            </w:r>
          </w:p>
        </w:tc>
        <w:tc>
          <w:tcPr>
            <w:tcW w:w="851" w:type="dxa"/>
            <w:tcBorders>
              <w:top w:val="nil"/>
              <w:left w:val="nil"/>
              <w:bottom w:val="single" w:sz="12" w:space="0" w:color="FF9E3C"/>
              <w:right w:val="single" w:sz="12" w:space="0" w:color="FF9E3C"/>
            </w:tcBorders>
            <w:shd w:val="clear" w:color="auto" w:fill="auto"/>
            <w:vAlign w:val="center"/>
            <w:hideMark/>
          </w:tcPr>
          <w:p w14:paraId="6CFF924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100</w:t>
            </w:r>
          </w:p>
        </w:tc>
      </w:tr>
    </w:tbl>
    <w:p w14:paraId="0B3FBA8F" w14:textId="6713088C" w:rsidR="006C7F31" w:rsidRPr="00AF621D" w:rsidRDefault="006C7F31" w:rsidP="002901C9">
      <w:pPr>
        <w:spacing w:after="60"/>
        <w:ind w:left="0"/>
        <w:rPr>
          <w:rFonts w:eastAsia="MS Mincho" w:cs="Arial"/>
          <w:color w:val="1C3158"/>
          <w:sz w:val="16"/>
        </w:rPr>
      </w:pPr>
      <w:r w:rsidRPr="00AF621D">
        <w:rPr>
          <w:rFonts w:cs="Arial"/>
          <w:color w:val="1C3158"/>
          <w:sz w:val="16"/>
          <w:szCs w:val="16"/>
        </w:rPr>
        <w:t xml:space="preserve">Weighted population bases: </w:t>
      </w:r>
      <w:r w:rsidRPr="00AF621D">
        <w:rPr>
          <w:rFonts w:eastAsia="MS Mincho" w:cs="Arial"/>
          <w:color w:val="1C3158"/>
          <w:sz w:val="16"/>
        </w:rPr>
        <w:t>Total New Zealand PGSI 1+ (n=260,011)</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PGSI: low-risk (n=175,511), moderate-risk (n=61,470), problem gambling (n=23,029)</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Eth</w:t>
      </w:r>
      <w:r w:rsidR="00F455C0" w:rsidRPr="00AF621D">
        <w:rPr>
          <w:rFonts w:eastAsia="MS Mincho" w:cs="Arial"/>
          <w:color w:val="1C3158"/>
          <w:sz w:val="16"/>
        </w:rPr>
        <w:t>n</w:t>
      </w:r>
      <w:r w:rsidRPr="00AF621D">
        <w:rPr>
          <w:rFonts w:eastAsia="MS Mincho" w:cs="Arial"/>
          <w:color w:val="1C3158"/>
          <w:sz w:val="16"/>
        </w:rPr>
        <w:t xml:space="preserve">ic Group (Hierarchical) &amp; PGSI 1+: NZ European/Other (n=146,602), </w:t>
      </w:r>
      <w:r w:rsidR="002901C9" w:rsidRPr="00AF621D">
        <w:rPr>
          <w:rFonts w:eastAsia="MS Mincho" w:cs="Arial"/>
          <w:color w:val="1C3158"/>
          <w:sz w:val="16"/>
        </w:rPr>
        <w:t>Māori</w:t>
      </w:r>
      <w:r w:rsidRPr="00AF621D">
        <w:rPr>
          <w:rFonts w:eastAsia="MS Mincho" w:cs="Arial"/>
          <w:color w:val="1C3158"/>
          <w:sz w:val="16"/>
        </w:rPr>
        <w:t xml:space="preserve"> (n=51,346), Pacific (n=29,686), Asian (n=31,393), and Unknown ethnicity (n=984).</w:t>
      </w:r>
    </w:p>
    <w:p w14:paraId="26E4C389" w14:textId="644F922A" w:rsidR="006C7F31" w:rsidRPr="00AF621D" w:rsidRDefault="006C7F31" w:rsidP="00C82A76">
      <w:pPr>
        <w:spacing w:before="0"/>
        <w:ind w:left="0"/>
        <w:rPr>
          <w:rFonts w:eastAsia="MS Mincho" w:cs="Arial"/>
          <w:color w:val="1C3158"/>
          <w:sz w:val="16"/>
        </w:rPr>
      </w:pPr>
      <w:r w:rsidRPr="00AF621D">
        <w:rPr>
          <w:rFonts w:cs="Arial"/>
          <w:color w:val="1C3158"/>
          <w:sz w:val="16"/>
          <w:szCs w:val="16"/>
        </w:rPr>
        <w:t>*Other ethnicities include:</w:t>
      </w:r>
      <w:r w:rsidRPr="00AF621D">
        <w:rPr>
          <w:rFonts w:eastAsia="MS Mincho" w:cs="Arial"/>
          <w:color w:val="1C3158"/>
          <w:sz w:val="16"/>
        </w:rPr>
        <w:t xml:space="preserve"> Middle Eastern, Latin American, African (excluding South African</w:t>
      </w:r>
      <w:r w:rsidR="006A052B" w:rsidRPr="00AF621D">
        <w:rPr>
          <w:rFonts w:eastAsia="MS Mincho" w:cs="Arial"/>
          <w:color w:val="1C3158"/>
          <w:sz w:val="16"/>
        </w:rPr>
        <w:t xml:space="preserve"> which were categorised as European</w:t>
      </w:r>
      <w:r w:rsidRPr="00AF621D">
        <w:rPr>
          <w:rFonts w:eastAsia="MS Mincho" w:cs="Arial"/>
          <w:color w:val="1C3158"/>
          <w:sz w:val="16"/>
        </w:rPr>
        <w:t>), and unspecified New Zealander.</w:t>
      </w:r>
    </w:p>
    <w:p w14:paraId="312E3277" w14:textId="63ECFC58" w:rsidR="006C7F31" w:rsidRPr="00AF621D" w:rsidRDefault="0023426A" w:rsidP="006C7F31">
      <w:pPr>
        <w:pStyle w:val="VRGFBodycontent"/>
        <w:rPr>
          <w:rFonts w:eastAsia="MS Mincho"/>
        </w:rPr>
      </w:pPr>
      <w:r w:rsidRPr="00AF621D">
        <w:rPr>
          <w:rFonts w:eastAsia="MS Mincho"/>
        </w:rPr>
        <w:fldChar w:fldCharType="begin"/>
      </w:r>
      <w:r w:rsidRPr="00AF621D">
        <w:rPr>
          <w:rFonts w:eastAsia="MS Mincho"/>
        </w:rPr>
        <w:instrText xml:space="preserve"> REF _Ref445566519 \h </w:instrText>
      </w:r>
      <w:r w:rsidR="00AF621D">
        <w:rPr>
          <w:rFonts w:eastAsia="MS Mincho"/>
        </w:rPr>
        <w:instrText xml:space="preserve"> \* MERGEFORMAT </w:instrText>
      </w:r>
      <w:r w:rsidRPr="00AF621D">
        <w:rPr>
          <w:rFonts w:eastAsia="MS Mincho"/>
        </w:rPr>
      </w:r>
      <w:r w:rsidRPr="00AF621D">
        <w:rPr>
          <w:rFonts w:eastAsia="MS Mincho"/>
        </w:rPr>
        <w:fldChar w:fldCharType="separate"/>
      </w:r>
      <w:r w:rsidR="0006479A" w:rsidRPr="00AF621D">
        <w:t xml:space="preserve">Table </w:t>
      </w:r>
      <w:r w:rsidR="0006479A">
        <w:rPr>
          <w:noProof/>
        </w:rPr>
        <w:t>30</w:t>
      </w:r>
      <w:r w:rsidRPr="00AF621D">
        <w:rPr>
          <w:rFonts w:eastAsia="MS Mincho"/>
        </w:rPr>
        <w:fldChar w:fldCharType="end"/>
      </w:r>
      <w:r w:rsidRPr="00AF621D">
        <w:rPr>
          <w:rFonts w:eastAsia="MS Mincho"/>
        </w:rPr>
        <w:t xml:space="preserve"> </w:t>
      </w:r>
      <w:r w:rsidR="006C7F31" w:rsidRPr="00AF621D">
        <w:rPr>
          <w:rFonts w:eastAsia="MS Mincho"/>
        </w:rPr>
        <w:t xml:space="preserve">shows the proportion of harm to </w:t>
      </w:r>
      <w:r w:rsidR="005734E1" w:rsidRPr="00AF621D">
        <w:rPr>
          <w:rFonts w:eastAsia="MS Mincho"/>
        </w:rPr>
        <w:t xml:space="preserve">the </w:t>
      </w:r>
      <w:r w:rsidR="006C7F31" w:rsidRPr="00AF621D">
        <w:rPr>
          <w:rFonts w:eastAsia="MS Mincho"/>
        </w:rPr>
        <w:t xml:space="preserve">NZ population within each </w:t>
      </w:r>
      <w:r w:rsidR="005734E1" w:rsidRPr="00AF621D">
        <w:rPr>
          <w:rFonts w:eastAsia="MS Mincho"/>
        </w:rPr>
        <w:t xml:space="preserve">identified </w:t>
      </w:r>
      <w:r w:rsidR="006C7F31" w:rsidRPr="00AF621D">
        <w:rPr>
          <w:rFonts w:eastAsia="MS Mincho"/>
        </w:rPr>
        <w:t>ethnicity (response of yes</w:t>
      </w:r>
      <w:r w:rsidR="005734E1" w:rsidRPr="00AF621D">
        <w:rPr>
          <w:rFonts w:eastAsia="MS Mincho"/>
        </w:rPr>
        <w:t>, non-hierarchical method</w:t>
      </w:r>
      <w:r w:rsidR="006C7F31" w:rsidRPr="00AF621D">
        <w:rPr>
          <w:rFonts w:eastAsia="MS Mincho"/>
        </w:rPr>
        <w:t>)</w:t>
      </w:r>
      <w:r w:rsidR="00E832B0" w:rsidRPr="00AF621D">
        <w:rPr>
          <w:rFonts w:eastAsia="MS Mincho"/>
        </w:rPr>
        <w:t>.</w:t>
      </w:r>
      <w:r w:rsidR="008610D3" w:rsidRPr="00AF621D">
        <w:rPr>
          <w:rFonts w:eastAsia="MS Mincho"/>
        </w:rPr>
        <w:t xml:space="preserve"> </w:t>
      </w:r>
      <w:r w:rsidR="006C7F31" w:rsidRPr="00AF621D">
        <w:rPr>
          <w:rFonts w:eastAsia="MS Mincho"/>
        </w:rPr>
        <w:t>For example</w:t>
      </w:r>
      <w:r w:rsidR="005734E1" w:rsidRPr="00AF621D">
        <w:rPr>
          <w:rFonts w:eastAsia="MS Mincho"/>
        </w:rPr>
        <w:t>,</w:t>
      </w:r>
      <w:r w:rsidR="006C7F31" w:rsidRPr="00AF621D">
        <w:rPr>
          <w:rFonts w:eastAsia="MS Mincho"/>
        </w:rPr>
        <w:t xml:space="preserve"> </w:t>
      </w:r>
      <w:r w:rsidR="005734E1" w:rsidRPr="00AF621D">
        <w:rPr>
          <w:rFonts w:eastAsia="MS Mincho"/>
        </w:rPr>
        <w:t xml:space="preserve">people </w:t>
      </w:r>
      <w:r w:rsidR="006C7F31" w:rsidRPr="00AF621D">
        <w:rPr>
          <w:rFonts w:eastAsia="MS Mincho"/>
        </w:rPr>
        <w:t xml:space="preserve">identifying as </w:t>
      </w:r>
      <w:r w:rsidR="002901C9" w:rsidRPr="00AF621D">
        <w:rPr>
          <w:rFonts w:eastAsia="MS Mincho"/>
        </w:rPr>
        <w:t>Māori</w:t>
      </w:r>
      <w:r w:rsidR="006C7F31" w:rsidRPr="00AF621D">
        <w:rPr>
          <w:rFonts w:eastAsia="MS Mincho"/>
        </w:rPr>
        <w:t xml:space="preserve"> with gambling problems accounted for 22.3% of the </w:t>
      </w:r>
      <w:r w:rsidR="00286F9C">
        <w:rPr>
          <w:rFonts w:eastAsia="MS Mincho"/>
        </w:rPr>
        <w:t>QALY</w:t>
      </w:r>
      <w:r w:rsidR="00286F9C" w:rsidRPr="00AF621D">
        <w:rPr>
          <w:rFonts w:eastAsia="MS Mincho"/>
          <w:sz w:val="12"/>
        </w:rPr>
        <w:t>1</w:t>
      </w:r>
      <w:r w:rsidR="006C7F31" w:rsidRPr="00AF621D">
        <w:rPr>
          <w:rFonts w:eastAsia="MS Mincho"/>
        </w:rPr>
        <w:t xml:space="preserve">, while </w:t>
      </w:r>
      <w:r w:rsidR="005734E1" w:rsidRPr="00AF621D">
        <w:rPr>
          <w:rFonts w:eastAsia="MS Mincho"/>
        </w:rPr>
        <w:t xml:space="preserve">people </w:t>
      </w:r>
      <w:r w:rsidR="006C7F31" w:rsidRPr="00AF621D">
        <w:rPr>
          <w:rFonts w:eastAsia="MS Mincho"/>
        </w:rPr>
        <w:t xml:space="preserve">not identifying as </w:t>
      </w:r>
      <w:r w:rsidR="002901C9" w:rsidRPr="00AF621D">
        <w:rPr>
          <w:rFonts w:eastAsia="MS Mincho"/>
        </w:rPr>
        <w:t>Māori</w:t>
      </w:r>
      <w:r w:rsidR="006C7F31" w:rsidRPr="00AF621D">
        <w:rPr>
          <w:rFonts w:eastAsia="MS Mincho"/>
        </w:rPr>
        <w:t xml:space="preserve"> accounted for the remaining 77.7%</w:t>
      </w:r>
      <w:r w:rsidR="00E832B0" w:rsidRPr="00AF621D">
        <w:rPr>
          <w:rFonts w:eastAsia="MS Mincho"/>
        </w:rPr>
        <w:t>.</w:t>
      </w:r>
      <w:r w:rsidR="008610D3" w:rsidRPr="00AF621D">
        <w:rPr>
          <w:rFonts w:eastAsia="MS Mincho"/>
        </w:rPr>
        <w:t xml:space="preserve"> </w:t>
      </w:r>
      <w:r w:rsidR="006C7F31" w:rsidRPr="00AF621D">
        <w:rPr>
          <w:rFonts w:eastAsia="MS Mincho"/>
        </w:rPr>
        <w:t>Similar to the hierarchical ethnicity</w:t>
      </w:r>
      <w:r w:rsidR="005734E1" w:rsidRPr="00AF621D">
        <w:rPr>
          <w:rFonts w:eastAsia="MS Mincho"/>
        </w:rPr>
        <w:t xml:space="preserve"> analysis</w:t>
      </w:r>
      <w:r w:rsidR="006C7F31" w:rsidRPr="00AF621D">
        <w:rPr>
          <w:rFonts w:eastAsia="MS Mincho"/>
        </w:rPr>
        <w:t xml:space="preserve">, the largest proportion of harms due to own gambling were attributable to </w:t>
      </w:r>
      <w:r w:rsidR="005734E1" w:rsidRPr="00AF621D">
        <w:rPr>
          <w:rFonts w:eastAsia="MS Mincho"/>
        </w:rPr>
        <w:t xml:space="preserve">people </w:t>
      </w:r>
      <w:r w:rsidR="006C7F31" w:rsidRPr="00AF621D">
        <w:rPr>
          <w:rFonts w:eastAsia="MS Mincho"/>
        </w:rPr>
        <w:t>identifying as European/Other ethnicity (61.5%), and half were accounted for by low-risk gamblers within this group (33.0%).</w:t>
      </w:r>
    </w:p>
    <w:p w14:paraId="5452D4F3" w14:textId="00E0FBD7" w:rsidR="006C7F31" w:rsidRPr="00AF621D" w:rsidRDefault="0023426A" w:rsidP="0023426A">
      <w:pPr>
        <w:pStyle w:val="Caption"/>
        <w:rPr>
          <w:rFonts w:cs="Arial"/>
          <w:bCs/>
          <w:iCs w:val="0"/>
          <w:color w:val="1C3158"/>
        </w:rPr>
      </w:pPr>
      <w:bookmarkStart w:id="377" w:name="_Ref445566519"/>
      <w:bookmarkStart w:id="378" w:name="_Toc462738133"/>
      <w:r w:rsidRPr="00AF621D">
        <w:t xml:space="preserve">Table </w:t>
      </w:r>
      <w:fldSimple w:instr=" SEQ Table \* ARABIC ">
        <w:r w:rsidR="0006479A">
          <w:rPr>
            <w:noProof/>
          </w:rPr>
          <w:t>30</w:t>
        </w:r>
      </w:fldSimple>
      <w:bookmarkEnd w:id="377"/>
      <w:r w:rsidR="00E832B0" w:rsidRPr="00AF621D">
        <w:t>.</w:t>
      </w:r>
      <w:r w:rsidR="008610D3" w:rsidRPr="00AF621D">
        <w:t xml:space="preserve"> </w:t>
      </w:r>
      <w:r w:rsidR="006C7F31" w:rsidRPr="00AF621D">
        <w:rPr>
          <w:color w:val="1C3158"/>
        </w:rPr>
        <w:t>Gambling</w:t>
      </w:r>
      <w:r w:rsidR="00286F9C">
        <w:rPr>
          <w:color w:val="1C3158"/>
        </w:rPr>
        <w:t>-related</w:t>
      </w:r>
      <w:r w:rsidR="006C7F31" w:rsidRPr="00AF621D">
        <w:rPr>
          <w:color w:val="1C3158"/>
        </w:rPr>
        <w:t xml:space="preserve"> harms to the New Zealand adult population by Ethnic Group (all identified) and PGSI category</w:t>
      </w:r>
      <w:bookmarkEnd w:id="378"/>
    </w:p>
    <w:tbl>
      <w:tblPr>
        <w:tblW w:w="8774" w:type="dxa"/>
        <w:tblLayout w:type="fixed"/>
        <w:tblLook w:val="04A0" w:firstRow="1" w:lastRow="0" w:firstColumn="1" w:lastColumn="0" w:noHBand="0" w:noVBand="1"/>
      </w:tblPr>
      <w:tblGrid>
        <w:gridCol w:w="1403"/>
        <w:gridCol w:w="850"/>
        <w:gridCol w:w="993"/>
        <w:gridCol w:w="850"/>
        <w:gridCol w:w="851"/>
        <w:gridCol w:w="1134"/>
        <w:gridCol w:w="850"/>
        <w:gridCol w:w="992"/>
        <w:gridCol w:w="851"/>
      </w:tblGrid>
      <w:tr w:rsidR="006C7F31" w:rsidRPr="00AF621D" w14:paraId="652D9282" w14:textId="77777777" w:rsidTr="00286F9C">
        <w:trPr>
          <w:trHeight w:val="330"/>
        </w:trPr>
        <w:tc>
          <w:tcPr>
            <w:tcW w:w="1403"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08C04054"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Ethnic Group (all identified)</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52708605"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701"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41D24DCD"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984"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BFF7F19"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53BBC2D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6C7F31" w:rsidRPr="00AF621D" w14:paraId="75F656D4" w14:textId="77777777" w:rsidTr="00286F9C">
        <w:trPr>
          <w:trHeight w:val="330"/>
        </w:trPr>
        <w:tc>
          <w:tcPr>
            <w:tcW w:w="1403" w:type="dxa"/>
            <w:vMerge/>
            <w:tcBorders>
              <w:top w:val="single" w:sz="12" w:space="0" w:color="FF9E3C"/>
              <w:left w:val="single" w:sz="12" w:space="0" w:color="FF9E3C"/>
              <w:bottom w:val="single" w:sz="12" w:space="0" w:color="FF9E3C"/>
              <w:right w:val="single" w:sz="12" w:space="0" w:color="FF9E3C"/>
            </w:tcBorders>
            <w:vAlign w:val="center"/>
            <w:hideMark/>
          </w:tcPr>
          <w:p w14:paraId="205A631D"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850" w:type="dxa"/>
            <w:tcBorders>
              <w:top w:val="nil"/>
              <w:left w:val="nil"/>
              <w:bottom w:val="single" w:sz="12" w:space="0" w:color="FF9E3C"/>
              <w:right w:val="single" w:sz="12" w:space="0" w:color="FF9E3C"/>
            </w:tcBorders>
            <w:shd w:val="clear" w:color="000000" w:fill="FFBC64"/>
            <w:vAlign w:val="center"/>
            <w:hideMark/>
          </w:tcPr>
          <w:p w14:paraId="469919DD" w14:textId="41F7E225"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93" w:type="dxa"/>
            <w:tcBorders>
              <w:top w:val="nil"/>
              <w:left w:val="nil"/>
              <w:bottom w:val="single" w:sz="12" w:space="0" w:color="FF9E3C"/>
              <w:right w:val="single" w:sz="12" w:space="0" w:color="FF9E3C"/>
            </w:tcBorders>
            <w:shd w:val="clear" w:color="000000" w:fill="FFBC64"/>
            <w:vAlign w:val="center"/>
            <w:hideMark/>
          </w:tcPr>
          <w:p w14:paraId="7A82145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850" w:type="dxa"/>
            <w:tcBorders>
              <w:top w:val="nil"/>
              <w:left w:val="nil"/>
              <w:bottom w:val="single" w:sz="12" w:space="0" w:color="FF9E3C"/>
              <w:right w:val="single" w:sz="12" w:space="0" w:color="FF9E3C"/>
            </w:tcBorders>
            <w:shd w:val="clear" w:color="000000" w:fill="FFBC64"/>
            <w:vAlign w:val="center"/>
            <w:hideMark/>
          </w:tcPr>
          <w:p w14:paraId="6B5249E1" w14:textId="16E882B6"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4EE930A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1134" w:type="dxa"/>
            <w:tcBorders>
              <w:top w:val="nil"/>
              <w:left w:val="nil"/>
              <w:bottom w:val="single" w:sz="12" w:space="0" w:color="FF9E3C"/>
              <w:right w:val="single" w:sz="12" w:space="0" w:color="FF9E3C"/>
            </w:tcBorders>
            <w:shd w:val="clear" w:color="000000" w:fill="FFBC64"/>
            <w:vAlign w:val="center"/>
            <w:hideMark/>
          </w:tcPr>
          <w:p w14:paraId="62FC5081" w14:textId="0B5D91ED"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04A95CE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705DBCF1" w14:textId="55939335"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57265E2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6C7F31" w:rsidRPr="00AF621D" w14:paraId="700A2EA9" w14:textId="77777777" w:rsidTr="00286F9C">
        <w:trPr>
          <w:trHeight w:val="330"/>
        </w:trPr>
        <w:tc>
          <w:tcPr>
            <w:tcW w:w="1403" w:type="dxa"/>
            <w:tcBorders>
              <w:top w:val="nil"/>
              <w:left w:val="single" w:sz="12" w:space="0" w:color="FF9E3C"/>
              <w:bottom w:val="single" w:sz="12" w:space="0" w:color="FF9E3C"/>
              <w:right w:val="single" w:sz="12" w:space="0" w:color="FF9E3C"/>
            </w:tcBorders>
            <w:shd w:val="clear" w:color="auto" w:fill="auto"/>
            <w:vAlign w:val="center"/>
            <w:hideMark/>
          </w:tcPr>
          <w:p w14:paraId="066DF55C"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European / Other</w:t>
            </w:r>
          </w:p>
        </w:tc>
        <w:tc>
          <w:tcPr>
            <w:tcW w:w="850" w:type="dxa"/>
            <w:tcBorders>
              <w:top w:val="nil"/>
              <w:left w:val="nil"/>
              <w:bottom w:val="single" w:sz="12" w:space="0" w:color="FF9E3C"/>
              <w:right w:val="single" w:sz="12" w:space="0" w:color="FF9E3C"/>
            </w:tcBorders>
            <w:shd w:val="clear" w:color="auto" w:fill="auto"/>
            <w:vAlign w:val="center"/>
            <w:hideMark/>
          </w:tcPr>
          <w:p w14:paraId="436A851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22,185</w:t>
            </w:r>
          </w:p>
        </w:tc>
        <w:tc>
          <w:tcPr>
            <w:tcW w:w="993" w:type="dxa"/>
            <w:tcBorders>
              <w:top w:val="nil"/>
              <w:left w:val="nil"/>
              <w:bottom w:val="single" w:sz="12" w:space="0" w:color="FF9E3C"/>
              <w:right w:val="single" w:sz="12" w:space="0" w:color="FF9E3C"/>
            </w:tcBorders>
            <w:shd w:val="clear" w:color="auto" w:fill="auto"/>
            <w:vAlign w:val="center"/>
            <w:hideMark/>
          </w:tcPr>
          <w:p w14:paraId="6880A5C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33.0</w:t>
            </w:r>
          </w:p>
        </w:tc>
        <w:tc>
          <w:tcPr>
            <w:tcW w:w="850" w:type="dxa"/>
            <w:tcBorders>
              <w:top w:val="nil"/>
              <w:left w:val="nil"/>
              <w:bottom w:val="single" w:sz="12" w:space="0" w:color="FF9E3C"/>
              <w:right w:val="single" w:sz="12" w:space="0" w:color="FF9E3C"/>
            </w:tcBorders>
            <w:shd w:val="clear" w:color="auto" w:fill="auto"/>
            <w:vAlign w:val="center"/>
            <w:hideMark/>
          </w:tcPr>
          <w:p w14:paraId="2A65E9F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12,548</w:t>
            </w:r>
          </w:p>
        </w:tc>
        <w:tc>
          <w:tcPr>
            <w:tcW w:w="851" w:type="dxa"/>
            <w:tcBorders>
              <w:top w:val="nil"/>
              <w:left w:val="nil"/>
              <w:bottom w:val="single" w:sz="12" w:space="0" w:color="FF9E3C"/>
              <w:right w:val="single" w:sz="12" w:space="0" w:color="FF9E3C"/>
            </w:tcBorders>
            <w:shd w:val="clear" w:color="auto" w:fill="auto"/>
            <w:vAlign w:val="center"/>
            <w:hideMark/>
          </w:tcPr>
          <w:p w14:paraId="22CD748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18.7</w:t>
            </w:r>
          </w:p>
        </w:tc>
        <w:tc>
          <w:tcPr>
            <w:tcW w:w="1134" w:type="dxa"/>
            <w:tcBorders>
              <w:top w:val="nil"/>
              <w:left w:val="nil"/>
              <w:bottom w:val="single" w:sz="12" w:space="0" w:color="FF9E3C"/>
              <w:right w:val="single" w:sz="12" w:space="0" w:color="FF9E3C"/>
            </w:tcBorders>
            <w:shd w:val="clear" w:color="auto" w:fill="auto"/>
            <w:vAlign w:val="center"/>
            <w:hideMark/>
          </w:tcPr>
          <w:p w14:paraId="3EFD64E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6,625</w:t>
            </w:r>
          </w:p>
        </w:tc>
        <w:tc>
          <w:tcPr>
            <w:tcW w:w="850" w:type="dxa"/>
            <w:tcBorders>
              <w:top w:val="nil"/>
              <w:left w:val="nil"/>
              <w:bottom w:val="single" w:sz="12" w:space="0" w:color="FF9E3C"/>
              <w:right w:val="single" w:sz="12" w:space="0" w:color="FF9E3C"/>
            </w:tcBorders>
            <w:shd w:val="clear" w:color="auto" w:fill="auto"/>
            <w:vAlign w:val="center"/>
            <w:hideMark/>
          </w:tcPr>
          <w:p w14:paraId="1A1481F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9.9</w:t>
            </w:r>
          </w:p>
        </w:tc>
        <w:tc>
          <w:tcPr>
            <w:tcW w:w="992" w:type="dxa"/>
            <w:tcBorders>
              <w:top w:val="nil"/>
              <w:left w:val="nil"/>
              <w:bottom w:val="single" w:sz="12" w:space="0" w:color="FF9E3C"/>
              <w:right w:val="single" w:sz="12" w:space="0" w:color="FF9E3C"/>
            </w:tcBorders>
            <w:shd w:val="clear" w:color="auto" w:fill="auto"/>
            <w:vAlign w:val="center"/>
            <w:hideMark/>
          </w:tcPr>
          <w:p w14:paraId="1FCA428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41,358</w:t>
            </w:r>
          </w:p>
        </w:tc>
        <w:tc>
          <w:tcPr>
            <w:tcW w:w="851" w:type="dxa"/>
            <w:tcBorders>
              <w:top w:val="nil"/>
              <w:left w:val="nil"/>
              <w:bottom w:val="single" w:sz="12" w:space="0" w:color="FF9E3C"/>
              <w:right w:val="single" w:sz="12" w:space="0" w:color="FF9E3C"/>
            </w:tcBorders>
            <w:shd w:val="clear" w:color="auto" w:fill="auto"/>
            <w:vAlign w:val="center"/>
            <w:hideMark/>
          </w:tcPr>
          <w:p w14:paraId="2D6753E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61.5</w:t>
            </w:r>
          </w:p>
        </w:tc>
      </w:tr>
      <w:tr w:rsidR="006C7F31" w:rsidRPr="00AF621D" w14:paraId="26F90654" w14:textId="77777777" w:rsidTr="00286F9C">
        <w:trPr>
          <w:trHeight w:val="330"/>
        </w:trPr>
        <w:tc>
          <w:tcPr>
            <w:tcW w:w="1403" w:type="dxa"/>
            <w:tcBorders>
              <w:top w:val="nil"/>
              <w:left w:val="single" w:sz="12" w:space="0" w:color="FF9E3C"/>
              <w:bottom w:val="single" w:sz="12" w:space="0" w:color="FF9E3C"/>
              <w:right w:val="single" w:sz="12" w:space="0" w:color="FF9E3C"/>
            </w:tcBorders>
            <w:shd w:val="clear" w:color="auto" w:fill="auto"/>
            <w:vAlign w:val="center"/>
            <w:hideMark/>
          </w:tcPr>
          <w:p w14:paraId="51AD0B9F" w14:textId="07568E91" w:rsidR="006C7F31" w:rsidRPr="00AF621D" w:rsidRDefault="002901C9"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Māori</w:t>
            </w:r>
          </w:p>
        </w:tc>
        <w:tc>
          <w:tcPr>
            <w:tcW w:w="850" w:type="dxa"/>
            <w:tcBorders>
              <w:top w:val="nil"/>
              <w:left w:val="nil"/>
              <w:bottom w:val="single" w:sz="12" w:space="0" w:color="FF9E3C"/>
              <w:right w:val="single" w:sz="12" w:space="0" w:color="FF9E3C"/>
            </w:tcBorders>
            <w:shd w:val="clear" w:color="auto" w:fill="auto"/>
            <w:vAlign w:val="center"/>
            <w:hideMark/>
          </w:tcPr>
          <w:p w14:paraId="76A3A0E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5,338</w:t>
            </w:r>
          </w:p>
        </w:tc>
        <w:tc>
          <w:tcPr>
            <w:tcW w:w="993" w:type="dxa"/>
            <w:tcBorders>
              <w:top w:val="nil"/>
              <w:left w:val="nil"/>
              <w:bottom w:val="single" w:sz="12" w:space="0" w:color="FF9E3C"/>
              <w:right w:val="single" w:sz="12" w:space="0" w:color="FF9E3C"/>
            </w:tcBorders>
            <w:shd w:val="clear" w:color="auto" w:fill="auto"/>
            <w:vAlign w:val="center"/>
            <w:hideMark/>
          </w:tcPr>
          <w:p w14:paraId="7E60F5C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7.9</w:t>
            </w:r>
          </w:p>
        </w:tc>
        <w:tc>
          <w:tcPr>
            <w:tcW w:w="850" w:type="dxa"/>
            <w:tcBorders>
              <w:top w:val="nil"/>
              <w:left w:val="nil"/>
              <w:bottom w:val="single" w:sz="12" w:space="0" w:color="FF9E3C"/>
              <w:right w:val="single" w:sz="12" w:space="0" w:color="FF9E3C"/>
            </w:tcBorders>
            <w:shd w:val="clear" w:color="auto" w:fill="auto"/>
            <w:vAlign w:val="center"/>
            <w:hideMark/>
          </w:tcPr>
          <w:p w14:paraId="68C23CF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5,067</w:t>
            </w:r>
          </w:p>
        </w:tc>
        <w:tc>
          <w:tcPr>
            <w:tcW w:w="851" w:type="dxa"/>
            <w:tcBorders>
              <w:top w:val="nil"/>
              <w:left w:val="nil"/>
              <w:bottom w:val="single" w:sz="12" w:space="0" w:color="FF9E3C"/>
              <w:right w:val="single" w:sz="12" w:space="0" w:color="FF9E3C"/>
            </w:tcBorders>
            <w:shd w:val="clear" w:color="auto" w:fill="auto"/>
            <w:vAlign w:val="center"/>
            <w:hideMark/>
          </w:tcPr>
          <w:p w14:paraId="7EAACAC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7.5</w:t>
            </w:r>
          </w:p>
        </w:tc>
        <w:tc>
          <w:tcPr>
            <w:tcW w:w="1134" w:type="dxa"/>
            <w:tcBorders>
              <w:top w:val="nil"/>
              <w:left w:val="nil"/>
              <w:bottom w:val="single" w:sz="12" w:space="0" w:color="FF9E3C"/>
              <w:right w:val="single" w:sz="12" w:space="0" w:color="FF9E3C"/>
            </w:tcBorders>
            <w:shd w:val="clear" w:color="auto" w:fill="auto"/>
            <w:vAlign w:val="center"/>
            <w:hideMark/>
          </w:tcPr>
          <w:p w14:paraId="7932A48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4,569</w:t>
            </w:r>
          </w:p>
        </w:tc>
        <w:tc>
          <w:tcPr>
            <w:tcW w:w="850" w:type="dxa"/>
            <w:tcBorders>
              <w:top w:val="nil"/>
              <w:left w:val="nil"/>
              <w:bottom w:val="single" w:sz="12" w:space="0" w:color="FF9E3C"/>
              <w:right w:val="single" w:sz="12" w:space="0" w:color="FF9E3C"/>
            </w:tcBorders>
            <w:shd w:val="clear" w:color="auto" w:fill="auto"/>
            <w:vAlign w:val="center"/>
            <w:hideMark/>
          </w:tcPr>
          <w:p w14:paraId="26DE1C9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6.8</w:t>
            </w:r>
          </w:p>
        </w:tc>
        <w:tc>
          <w:tcPr>
            <w:tcW w:w="992" w:type="dxa"/>
            <w:tcBorders>
              <w:top w:val="nil"/>
              <w:left w:val="nil"/>
              <w:bottom w:val="single" w:sz="12" w:space="0" w:color="FF9E3C"/>
              <w:right w:val="single" w:sz="12" w:space="0" w:color="FF9E3C"/>
            </w:tcBorders>
            <w:shd w:val="clear" w:color="auto" w:fill="auto"/>
            <w:vAlign w:val="center"/>
            <w:hideMark/>
          </w:tcPr>
          <w:p w14:paraId="31FCA9F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14,974</w:t>
            </w:r>
          </w:p>
        </w:tc>
        <w:tc>
          <w:tcPr>
            <w:tcW w:w="851" w:type="dxa"/>
            <w:tcBorders>
              <w:top w:val="nil"/>
              <w:left w:val="nil"/>
              <w:bottom w:val="single" w:sz="12" w:space="0" w:color="FF9E3C"/>
              <w:right w:val="single" w:sz="12" w:space="0" w:color="FF9E3C"/>
            </w:tcBorders>
            <w:shd w:val="clear" w:color="auto" w:fill="auto"/>
            <w:vAlign w:val="center"/>
            <w:hideMark/>
          </w:tcPr>
          <w:p w14:paraId="45108CD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22.3</w:t>
            </w:r>
          </w:p>
        </w:tc>
      </w:tr>
      <w:tr w:rsidR="006C7F31" w:rsidRPr="00AF621D" w14:paraId="36097272" w14:textId="77777777" w:rsidTr="00286F9C">
        <w:trPr>
          <w:trHeight w:val="330"/>
        </w:trPr>
        <w:tc>
          <w:tcPr>
            <w:tcW w:w="1403" w:type="dxa"/>
            <w:tcBorders>
              <w:top w:val="nil"/>
              <w:left w:val="single" w:sz="12" w:space="0" w:color="FF9E3C"/>
              <w:bottom w:val="single" w:sz="12" w:space="0" w:color="FF9E3C"/>
              <w:right w:val="single" w:sz="12" w:space="0" w:color="FF9E3C"/>
            </w:tcBorders>
            <w:shd w:val="clear" w:color="auto" w:fill="auto"/>
            <w:vAlign w:val="center"/>
            <w:hideMark/>
          </w:tcPr>
          <w:p w14:paraId="3A748AA6"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Pacific</w:t>
            </w:r>
          </w:p>
        </w:tc>
        <w:tc>
          <w:tcPr>
            <w:tcW w:w="850" w:type="dxa"/>
            <w:tcBorders>
              <w:top w:val="nil"/>
              <w:left w:val="nil"/>
              <w:bottom w:val="single" w:sz="12" w:space="0" w:color="FF9E3C"/>
              <w:right w:val="single" w:sz="12" w:space="0" w:color="FF9E3C"/>
            </w:tcBorders>
            <w:shd w:val="clear" w:color="auto" w:fill="auto"/>
            <w:vAlign w:val="center"/>
            <w:hideMark/>
          </w:tcPr>
          <w:p w14:paraId="23F7DCB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3,167</w:t>
            </w:r>
          </w:p>
        </w:tc>
        <w:tc>
          <w:tcPr>
            <w:tcW w:w="993" w:type="dxa"/>
            <w:tcBorders>
              <w:top w:val="nil"/>
              <w:left w:val="nil"/>
              <w:bottom w:val="single" w:sz="12" w:space="0" w:color="FF9E3C"/>
              <w:right w:val="single" w:sz="12" w:space="0" w:color="FF9E3C"/>
            </w:tcBorders>
            <w:shd w:val="clear" w:color="auto" w:fill="auto"/>
            <w:vAlign w:val="center"/>
            <w:hideMark/>
          </w:tcPr>
          <w:p w14:paraId="76DC481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4.7</w:t>
            </w:r>
          </w:p>
        </w:tc>
        <w:tc>
          <w:tcPr>
            <w:tcW w:w="850" w:type="dxa"/>
            <w:tcBorders>
              <w:top w:val="nil"/>
              <w:left w:val="nil"/>
              <w:bottom w:val="single" w:sz="12" w:space="0" w:color="FF9E3C"/>
              <w:right w:val="single" w:sz="12" w:space="0" w:color="FF9E3C"/>
            </w:tcBorders>
            <w:shd w:val="clear" w:color="auto" w:fill="auto"/>
            <w:vAlign w:val="center"/>
            <w:hideMark/>
          </w:tcPr>
          <w:p w14:paraId="7BC6060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4,346</w:t>
            </w:r>
          </w:p>
        </w:tc>
        <w:tc>
          <w:tcPr>
            <w:tcW w:w="851" w:type="dxa"/>
            <w:tcBorders>
              <w:top w:val="nil"/>
              <w:left w:val="nil"/>
              <w:bottom w:val="single" w:sz="12" w:space="0" w:color="FF9E3C"/>
              <w:right w:val="single" w:sz="12" w:space="0" w:color="FF9E3C"/>
            </w:tcBorders>
            <w:shd w:val="clear" w:color="auto" w:fill="auto"/>
            <w:vAlign w:val="center"/>
            <w:hideMark/>
          </w:tcPr>
          <w:p w14:paraId="76E2F20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6.5</w:t>
            </w:r>
          </w:p>
        </w:tc>
        <w:tc>
          <w:tcPr>
            <w:tcW w:w="1134" w:type="dxa"/>
            <w:tcBorders>
              <w:top w:val="nil"/>
              <w:left w:val="nil"/>
              <w:bottom w:val="single" w:sz="12" w:space="0" w:color="FF9E3C"/>
              <w:right w:val="single" w:sz="12" w:space="0" w:color="FF9E3C"/>
            </w:tcBorders>
            <w:shd w:val="clear" w:color="auto" w:fill="auto"/>
            <w:vAlign w:val="center"/>
            <w:hideMark/>
          </w:tcPr>
          <w:p w14:paraId="7B6B86C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1,610</w:t>
            </w:r>
          </w:p>
        </w:tc>
        <w:tc>
          <w:tcPr>
            <w:tcW w:w="850" w:type="dxa"/>
            <w:tcBorders>
              <w:top w:val="nil"/>
              <w:left w:val="nil"/>
              <w:bottom w:val="single" w:sz="12" w:space="0" w:color="FF9E3C"/>
              <w:right w:val="single" w:sz="12" w:space="0" w:color="FF9E3C"/>
            </w:tcBorders>
            <w:shd w:val="clear" w:color="auto" w:fill="auto"/>
            <w:vAlign w:val="center"/>
            <w:hideMark/>
          </w:tcPr>
          <w:p w14:paraId="671F505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2.4</w:t>
            </w:r>
          </w:p>
        </w:tc>
        <w:tc>
          <w:tcPr>
            <w:tcW w:w="992" w:type="dxa"/>
            <w:tcBorders>
              <w:top w:val="nil"/>
              <w:left w:val="nil"/>
              <w:bottom w:val="single" w:sz="12" w:space="0" w:color="FF9E3C"/>
              <w:right w:val="single" w:sz="12" w:space="0" w:color="FF9E3C"/>
            </w:tcBorders>
            <w:shd w:val="clear" w:color="auto" w:fill="auto"/>
            <w:vAlign w:val="center"/>
            <w:hideMark/>
          </w:tcPr>
          <w:p w14:paraId="375A332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9,123</w:t>
            </w:r>
          </w:p>
        </w:tc>
        <w:tc>
          <w:tcPr>
            <w:tcW w:w="851" w:type="dxa"/>
            <w:tcBorders>
              <w:top w:val="nil"/>
              <w:left w:val="nil"/>
              <w:bottom w:val="single" w:sz="12" w:space="0" w:color="FF9E3C"/>
              <w:right w:val="single" w:sz="12" w:space="0" w:color="FF9E3C"/>
            </w:tcBorders>
            <w:shd w:val="clear" w:color="auto" w:fill="auto"/>
            <w:vAlign w:val="center"/>
            <w:hideMark/>
          </w:tcPr>
          <w:p w14:paraId="1A68802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13.6</w:t>
            </w:r>
          </w:p>
        </w:tc>
      </w:tr>
      <w:tr w:rsidR="006C7F31" w:rsidRPr="00AF621D" w14:paraId="473C61BC" w14:textId="77777777" w:rsidTr="00286F9C">
        <w:trPr>
          <w:trHeight w:val="330"/>
        </w:trPr>
        <w:tc>
          <w:tcPr>
            <w:tcW w:w="1403" w:type="dxa"/>
            <w:tcBorders>
              <w:top w:val="nil"/>
              <w:left w:val="single" w:sz="12" w:space="0" w:color="FF9E3C"/>
              <w:bottom w:val="single" w:sz="12" w:space="0" w:color="FF9E3C"/>
              <w:right w:val="single" w:sz="12" w:space="0" w:color="FF9E3C"/>
            </w:tcBorders>
            <w:shd w:val="clear" w:color="auto" w:fill="auto"/>
            <w:vAlign w:val="center"/>
            <w:hideMark/>
          </w:tcPr>
          <w:p w14:paraId="2378592E"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Asian</w:t>
            </w:r>
          </w:p>
        </w:tc>
        <w:tc>
          <w:tcPr>
            <w:tcW w:w="850" w:type="dxa"/>
            <w:tcBorders>
              <w:top w:val="nil"/>
              <w:left w:val="nil"/>
              <w:bottom w:val="single" w:sz="12" w:space="0" w:color="FF9E3C"/>
              <w:right w:val="single" w:sz="12" w:space="0" w:color="FF9E3C"/>
            </w:tcBorders>
            <w:shd w:val="clear" w:color="auto" w:fill="auto"/>
            <w:vAlign w:val="center"/>
            <w:hideMark/>
          </w:tcPr>
          <w:p w14:paraId="5B02046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3,955</w:t>
            </w:r>
          </w:p>
        </w:tc>
        <w:tc>
          <w:tcPr>
            <w:tcW w:w="993" w:type="dxa"/>
            <w:tcBorders>
              <w:top w:val="nil"/>
              <w:left w:val="nil"/>
              <w:bottom w:val="single" w:sz="12" w:space="0" w:color="FF9E3C"/>
              <w:right w:val="single" w:sz="12" w:space="0" w:color="FF9E3C"/>
            </w:tcBorders>
            <w:shd w:val="clear" w:color="auto" w:fill="auto"/>
            <w:vAlign w:val="center"/>
            <w:hideMark/>
          </w:tcPr>
          <w:p w14:paraId="7770340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5.9</w:t>
            </w:r>
          </w:p>
        </w:tc>
        <w:tc>
          <w:tcPr>
            <w:tcW w:w="850" w:type="dxa"/>
            <w:tcBorders>
              <w:top w:val="nil"/>
              <w:left w:val="nil"/>
              <w:bottom w:val="single" w:sz="12" w:space="0" w:color="FF9E3C"/>
              <w:right w:val="single" w:sz="12" w:space="0" w:color="FF9E3C"/>
            </w:tcBorders>
            <w:shd w:val="clear" w:color="auto" w:fill="auto"/>
            <w:vAlign w:val="center"/>
            <w:hideMark/>
          </w:tcPr>
          <w:p w14:paraId="268871A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2,997</w:t>
            </w:r>
          </w:p>
        </w:tc>
        <w:tc>
          <w:tcPr>
            <w:tcW w:w="851" w:type="dxa"/>
            <w:tcBorders>
              <w:top w:val="nil"/>
              <w:left w:val="nil"/>
              <w:bottom w:val="single" w:sz="12" w:space="0" w:color="FF9E3C"/>
              <w:right w:val="single" w:sz="12" w:space="0" w:color="FF9E3C"/>
            </w:tcBorders>
            <w:shd w:val="clear" w:color="auto" w:fill="auto"/>
            <w:vAlign w:val="center"/>
            <w:hideMark/>
          </w:tcPr>
          <w:p w14:paraId="5B7D7C7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4.5</w:t>
            </w:r>
          </w:p>
        </w:tc>
        <w:tc>
          <w:tcPr>
            <w:tcW w:w="1134" w:type="dxa"/>
            <w:tcBorders>
              <w:top w:val="nil"/>
              <w:left w:val="nil"/>
              <w:bottom w:val="single" w:sz="12" w:space="0" w:color="FF9E3C"/>
              <w:right w:val="single" w:sz="12" w:space="0" w:color="FF9E3C"/>
            </w:tcBorders>
            <w:shd w:val="clear" w:color="auto" w:fill="auto"/>
            <w:vAlign w:val="center"/>
            <w:hideMark/>
          </w:tcPr>
          <w:p w14:paraId="781CEF2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1,268</w:t>
            </w:r>
          </w:p>
        </w:tc>
        <w:tc>
          <w:tcPr>
            <w:tcW w:w="850" w:type="dxa"/>
            <w:tcBorders>
              <w:top w:val="nil"/>
              <w:left w:val="nil"/>
              <w:bottom w:val="single" w:sz="12" w:space="0" w:color="FF9E3C"/>
              <w:right w:val="single" w:sz="12" w:space="0" w:color="FF9E3C"/>
            </w:tcBorders>
            <w:shd w:val="clear" w:color="auto" w:fill="auto"/>
            <w:vAlign w:val="center"/>
            <w:hideMark/>
          </w:tcPr>
          <w:p w14:paraId="090F395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1.9</w:t>
            </w:r>
          </w:p>
        </w:tc>
        <w:tc>
          <w:tcPr>
            <w:tcW w:w="992" w:type="dxa"/>
            <w:tcBorders>
              <w:top w:val="nil"/>
              <w:left w:val="nil"/>
              <w:bottom w:val="single" w:sz="12" w:space="0" w:color="FF9E3C"/>
              <w:right w:val="single" w:sz="12" w:space="0" w:color="FF9E3C"/>
            </w:tcBorders>
            <w:shd w:val="clear" w:color="auto" w:fill="auto"/>
            <w:vAlign w:val="center"/>
            <w:hideMark/>
          </w:tcPr>
          <w:p w14:paraId="2817321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8,221</w:t>
            </w:r>
          </w:p>
        </w:tc>
        <w:tc>
          <w:tcPr>
            <w:tcW w:w="851" w:type="dxa"/>
            <w:tcBorders>
              <w:top w:val="nil"/>
              <w:left w:val="nil"/>
              <w:bottom w:val="single" w:sz="12" w:space="0" w:color="FF9E3C"/>
              <w:right w:val="single" w:sz="12" w:space="0" w:color="FF9E3C"/>
            </w:tcBorders>
            <w:shd w:val="clear" w:color="auto" w:fill="auto"/>
            <w:vAlign w:val="center"/>
            <w:hideMark/>
          </w:tcPr>
          <w:p w14:paraId="1CE98FB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12.2</w:t>
            </w:r>
          </w:p>
        </w:tc>
      </w:tr>
    </w:tbl>
    <w:p w14:paraId="727E50D8" w14:textId="69E5562E" w:rsidR="006C7F31" w:rsidRPr="00AF621D" w:rsidRDefault="006C7F31" w:rsidP="002901C9">
      <w:pPr>
        <w:spacing w:after="60"/>
        <w:ind w:left="0"/>
        <w:rPr>
          <w:rFonts w:cs="Arial"/>
          <w:color w:val="1C3158"/>
          <w:sz w:val="16"/>
          <w:szCs w:val="16"/>
        </w:rPr>
      </w:pPr>
      <w:r w:rsidRPr="00AF621D">
        <w:rPr>
          <w:rFonts w:cs="Arial"/>
          <w:color w:val="1C3158"/>
          <w:sz w:val="16"/>
          <w:szCs w:val="16"/>
        </w:rPr>
        <w:t>Weighted population bases: Total New Zealand PGSI 1+ (n=260,011)</w:t>
      </w:r>
      <w:r w:rsidR="00E832B0" w:rsidRPr="00AF621D">
        <w:rPr>
          <w:rFonts w:cs="Arial"/>
          <w:color w:val="1C3158"/>
          <w:sz w:val="16"/>
          <w:szCs w:val="16"/>
        </w:rPr>
        <w:t>.</w:t>
      </w:r>
      <w:r w:rsidR="008610D3" w:rsidRPr="00AF621D">
        <w:rPr>
          <w:rFonts w:cs="Arial"/>
          <w:color w:val="1C3158"/>
          <w:sz w:val="16"/>
          <w:szCs w:val="16"/>
        </w:rPr>
        <w:t xml:space="preserve"> </w:t>
      </w:r>
      <w:r w:rsidRPr="00AF621D">
        <w:rPr>
          <w:rFonts w:cs="Arial"/>
          <w:color w:val="1C3158"/>
          <w:sz w:val="16"/>
          <w:szCs w:val="16"/>
        </w:rPr>
        <w:t>PGSI: low-risk (n=175,511), moderate-risk (n=61,470), problem gambling (n=23,029)</w:t>
      </w:r>
      <w:r w:rsidR="00E832B0" w:rsidRPr="00AF621D">
        <w:rPr>
          <w:rFonts w:cs="Arial"/>
          <w:color w:val="1C3158"/>
          <w:sz w:val="16"/>
          <w:szCs w:val="16"/>
        </w:rPr>
        <w:t>.</w:t>
      </w:r>
      <w:r w:rsidR="008610D3" w:rsidRPr="00AF621D">
        <w:rPr>
          <w:rFonts w:cs="Arial"/>
          <w:color w:val="1C3158"/>
          <w:sz w:val="16"/>
          <w:szCs w:val="16"/>
        </w:rPr>
        <w:t xml:space="preserve"> </w:t>
      </w:r>
      <w:r w:rsidRPr="00AF621D">
        <w:rPr>
          <w:rFonts w:cs="Arial"/>
          <w:color w:val="1C3158"/>
          <w:sz w:val="16"/>
          <w:szCs w:val="16"/>
        </w:rPr>
        <w:t>Eth</w:t>
      </w:r>
      <w:r w:rsidR="005734E1" w:rsidRPr="00AF621D">
        <w:rPr>
          <w:rFonts w:cs="Arial"/>
          <w:color w:val="1C3158"/>
          <w:sz w:val="16"/>
          <w:szCs w:val="16"/>
        </w:rPr>
        <w:t>n</w:t>
      </w:r>
      <w:r w:rsidRPr="00AF621D">
        <w:rPr>
          <w:rFonts w:cs="Arial"/>
          <w:color w:val="1C3158"/>
          <w:sz w:val="16"/>
          <w:szCs w:val="16"/>
        </w:rPr>
        <w:t xml:space="preserve">ic Group (all identified) &amp; PGSI 1+: NZ European/Other (n=167,151), </w:t>
      </w:r>
      <w:r w:rsidR="002901C9" w:rsidRPr="00AF621D">
        <w:rPr>
          <w:rFonts w:cs="Arial"/>
          <w:color w:val="1C3158"/>
          <w:sz w:val="16"/>
          <w:szCs w:val="16"/>
        </w:rPr>
        <w:t>Māori</w:t>
      </w:r>
      <w:r w:rsidRPr="00AF621D">
        <w:rPr>
          <w:rFonts w:cs="Arial"/>
          <w:color w:val="1C3158"/>
          <w:sz w:val="16"/>
          <w:szCs w:val="16"/>
        </w:rPr>
        <w:t xml:space="preserve"> (n=51,346), Pacific (n=32,054), Asian (n=32,033).</w:t>
      </w:r>
    </w:p>
    <w:p w14:paraId="72F06FB8" w14:textId="06798E93" w:rsidR="006C7F31" w:rsidRPr="00AF621D" w:rsidRDefault="006C7F31" w:rsidP="00C82A76">
      <w:pPr>
        <w:spacing w:before="60"/>
        <w:ind w:left="0"/>
        <w:rPr>
          <w:rFonts w:cs="Arial"/>
          <w:color w:val="1C3158"/>
          <w:sz w:val="16"/>
          <w:szCs w:val="16"/>
        </w:rPr>
      </w:pPr>
      <w:r w:rsidRPr="00AF621D">
        <w:rPr>
          <w:rFonts w:cs="Arial"/>
          <w:color w:val="1C3158"/>
          <w:sz w:val="16"/>
          <w:szCs w:val="16"/>
        </w:rPr>
        <w:t>*Other ethnicities include: Middle Eastern, Latin American, African (excluding South African</w:t>
      </w:r>
      <w:r w:rsidR="006A052B" w:rsidRPr="00AF621D">
        <w:rPr>
          <w:rFonts w:cs="Arial"/>
          <w:color w:val="1C3158"/>
          <w:sz w:val="16"/>
          <w:szCs w:val="16"/>
        </w:rPr>
        <w:t xml:space="preserve"> which were categorised as European</w:t>
      </w:r>
      <w:r w:rsidRPr="00AF621D">
        <w:rPr>
          <w:rFonts w:cs="Arial"/>
          <w:color w:val="1C3158"/>
          <w:sz w:val="16"/>
          <w:szCs w:val="16"/>
        </w:rPr>
        <w:t>), and unspecified New Zealander.</w:t>
      </w:r>
    </w:p>
    <w:p w14:paraId="0C811857" w14:textId="34B15182" w:rsidR="006C7F31" w:rsidRPr="00AF621D" w:rsidRDefault="0023426A" w:rsidP="002901C9">
      <w:pPr>
        <w:pStyle w:val="VRGFBodycontent"/>
        <w:rPr>
          <w:rFonts w:eastAsia="MS Mincho"/>
        </w:rPr>
      </w:pPr>
      <w:r w:rsidRPr="00AF621D">
        <w:rPr>
          <w:rFonts w:eastAsia="MS Mincho"/>
        </w:rPr>
        <w:fldChar w:fldCharType="begin"/>
      </w:r>
      <w:r w:rsidRPr="00AF621D">
        <w:rPr>
          <w:rFonts w:eastAsia="MS Mincho"/>
        </w:rPr>
        <w:instrText xml:space="preserve"> REF _Ref445566616 \h </w:instrText>
      </w:r>
      <w:r w:rsidR="00AF621D">
        <w:rPr>
          <w:rFonts w:eastAsia="MS Mincho"/>
        </w:rPr>
        <w:instrText xml:space="preserve"> \* MERGEFORMAT </w:instrText>
      </w:r>
      <w:r w:rsidRPr="00AF621D">
        <w:rPr>
          <w:rFonts w:eastAsia="MS Mincho"/>
        </w:rPr>
      </w:r>
      <w:r w:rsidRPr="00AF621D">
        <w:rPr>
          <w:rFonts w:eastAsia="MS Mincho"/>
        </w:rPr>
        <w:fldChar w:fldCharType="separate"/>
      </w:r>
      <w:r w:rsidR="0006479A" w:rsidRPr="00AF621D">
        <w:t xml:space="preserve">Figure </w:t>
      </w:r>
      <w:r w:rsidR="0006479A">
        <w:rPr>
          <w:noProof/>
        </w:rPr>
        <w:t>20</w:t>
      </w:r>
      <w:r w:rsidRPr="00AF621D">
        <w:rPr>
          <w:rFonts w:eastAsia="MS Mincho"/>
        </w:rPr>
        <w:fldChar w:fldCharType="end"/>
      </w:r>
      <w:r w:rsidRPr="00AF621D">
        <w:rPr>
          <w:rFonts w:eastAsia="MS Mincho"/>
        </w:rPr>
        <w:t xml:space="preserve"> </w:t>
      </w:r>
      <w:r w:rsidR="006C7F31" w:rsidRPr="00AF621D">
        <w:rPr>
          <w:rFonts w:eastAsia="MS Mincho"/>
        </w:rPr>
        <w:t>shows the distribution of harm within each eth</w:t>
      </w:r>
      <w:r w:rsidR="00D05134" w:rsidRPr="00AF621D">
        <w:rPr>
          <w:rFonts w:eastAsia="MS Mincho"/>
        </w:rPr>
        <w:t>n</w:t>
      </w:r>
      <w:r w:rsidR="006C7F31" w:rsidRPr="00AF621D">
        <w:rPr>
          <w:rFonts w:eastAsia="MS Mincho"/>
        </w:rPr>
        <w:t>ic group by PGSI category</w:t>
      </w:r>
      <w:r w:rsidR="00E832B0" w:rsidRPr="00AF621D">
        <w:rPr>
          <w:rFonts w:eastAsia="MS Mincho"/>
        </w:rPr>
        <w:t>.</w:t>
      </w:r>
      <w:r w:rsidR="008610D3" w:rsidRPr="00AF621D">
        <w:rPr>
          <w:rFonts w:eastAsia="MS Mincho"/>
        </w:rPr>
        <w:t xml:space="preserve"> </w:t>
      </w:r>
      <w:r w:rsidR="006C7F31" w:rsidRPr="00AF621D">
        <w:rPr>
          <w:rFonts w:eastAsia="MS Mincho"/>
        </w:rPr>
        <w:t xml:space="preserve">The NZ European/Other population showed similar proportions of harm by PGSI </w:t>
      </w:r>
      <w:r w:rsidR="00D05134" w:rsidRPr="00AF621D">
        <w:rPr>
          <w:rFonts w:eastAsia="MS Mincho"/>
        </w:rPr>
        <w:t xml:space="preserve">to </w:t>
      </w:r>
      <w:r w:rsidR="006C7F31" w:rsidRPr="00AF621D">
        <w:rPr>
          <w:rFonts w:eastAsia="MS Mincho"/>
        </w:rPr>
        <w:t>the overall population with gambling problems (low-risk 48.1%, moderate-risk 36.5% and problem</w:t>
      </w:r>
      <w:r w:rsidR="00D05134" w:rsidRPr="00AF621D">
        <w:rPr>
          <w:rFonts w:eastAsia="MS Mincho"/>
        </w:rPr>
        <w:t xml:space="preserve"> gambling</w:t>
      </w:r>
      <w:r w:rsidR="006C7F31" w:rsidRPr="00AF621D">
        <w:rPr>
          <w:rFonts w:eastAsia="MS Mincho"/>
        </w:rPr>
        <w:t xml:space="preserve"> 18.4%)</w:t>
      </w:r>
      <w:r w:rsidR="00E832B0" w:rsidRPr="00AF621D">
        <w:rPr>
          <w:rFonts w:eastAsia="MS Mincho"/>
        </w:rPr>
        <w:t>.</w:t>
      </w:r>
      <w:r w:rsidR="008610D3" w:rsidRPr="00AF621D">
        <w:rPr>
          <w:rFonts w:eastAsia="MS Mincho"/>
        </w:rPr>
        <w:t xml:space="preserve"> </w:t>
      </w:r>
      <w:r w:rsidR="006C7F31" w:rsidRPr="00AF621D">
        <w:rPr>
          <w:rFonts w:eastAsia="MS Mincho"/>
        </w:rPr>
        <w:t xml:space="preserve">This is not surprising given that </w:t>
      </w:r>
      <w:r w:rsidR="00D05134" w:rsidRPr="00AF621D">
        <w:rPr>
          <w:rFonts w:eastAsia="MS Mincho"/>
        </w:rPr>
        <w:t xml:space="preserve">people </w:t>
      </w:r>
      <w:r w:rsidR="006C7F31" w:rsidRPr="00AF621D">
        <w:rPr>
          <w:rFonts w:eastAsia="MS Mincho"/>
        </w:rPr>
        <w:t>identifying as European/Other ethnicity make up two-thirds of the weighted NZ adult population</w:t>
      </w:r>
      <w:r w:rsidR="00E832B0" w:rsidRPr="00AF621D">
        <w:rPr>
          <w:rFonts w:eastAsia="MS Mincho"/>
        </w:rPr>
        <w:t>.</w:t>
      </w:r>
      <w:r w:rsidR="008610D3" w:rsidRPr="00AF621D">
        <w:rPr>
          <w:rFonts w:eastAsia="MS Mincho"/>
        </w:rPr>
        <w:t xml:space="preserve"> </w:t>
      </w:r>
      <w:r w:rsidR="006C7F31" w:rsidRPr="00AF621D">
        <w:rPr>
          <w:rFonts w:eastAsia="MS Mincho"/>
        </w:rPr>
        <w:t xml:space="preserve">The contribution of low-risk gambling </w:t>
      </w:r>
      <w:r w:rsidR="00286F9C">
        <w:rPr>
          <w:rFonts w:eastAsia="MS Mincho"/>
        </w:rPr>
        <w:t>QALY</w:t>
      </w:r>
      <w:r w:rsidR="00286F9C" w:rsidRPr="00AF621D">
        <w:rPr>
          <w:rFonts w:eastAsia="MS Mincho"/>
          <w:sz w:val="12"/>
        </w:rPr>
        <w:t>1</w:t>
      </w:r>
      <w:r w:rsidR="00286F9C" w:rsidRPr="00AF621D">
        <w:rPr>
          <w:rFonts w:eastAsia="MS Mincho"/>
        </w:rPr>
        <w:t xml:space="preserve"> </w:t>
      </w:r>
      <w:r w:rsidR="006C7F31" w:rsidRPr="00AF621D">
        <w:rPr>
          <w:rFonts w:eastAsia="MS Mincho"/>
        </w:rPr>
        <w:t xml:space="preserve">is the highest within the </w:t>
      </w:r>
      <w:r w:rsidR="002901C9" w:rsidRPr="00AF621D">
        <w:rPr>
          <w:rFonts w:eastAsia="MS Mincho"/>
        </w:rPr>
        <w:lastRenderedPageBreak/>
        <w:t>Māori</w:t>
      </w:r>
      <w:r w:rsidR="006C7F31" w:rsidRPr="00AF621D">
        <w:rPr>
          <w:rFonts w:eastAsia="MS Mincho"/>
        </w:rPr>
        <w:t xml:space="preserve"> adult population (53.6%)</w:t>
      </w:r>
      <w:r w:rsidR="00E832B0" w:rsidRPr="00AF621D">
        <w:rPr>
          <w:rFonts w:eastAsia="MS Mincho"/>
        </w:rPr>
        <w:t>.</w:t>
      </w:r>
      <w:r w:rsidR="008610D3" w:rsidRPr="00AF621D">
        <w:rPr>
          <w:rFonts w:eastAsia="MS Mincho"/>
        </w:rPr>
        <w:t xml:space="preserve"> </w:t>
      </w:r>
      <w:r w:rsidR="006C7F31" w:rsidRPr="00AF621D">
        <w:rPr>
          <w:rFonts w:eastAsia="MS Mincho"/>
        </w:rPr>
        <w:t>The population identifying as Pacific had harm distributed fairly evenly across PGSI categories (35.7%, 33.8%, and 30.5% respectively)</w:t>
      </w:r>
      <w:r w:rsidR="00D05134" w:rsidRPr="00AF621D">
        <w:rPr>
          <w:rFonts w:eastAsia="MS Mincho"/>
        </w:rPr>
        <w:t>,</w:t>
      </w:r>
      <w:r w:rsidR="00E832B0" w:rsidRPr="00AF621D">
        <w:rPr>
          <w:rFonts w:eastAsia="MS Mincho"/>
        </w:rPr>
        <w:t xml:space="preserve"> </w:t>
      </w:r>
      <w:r w:rsidR="00D05134" w:rsidRPr="00AF621D">
        <w:rPr>
          <w:rFonts w:eastAsia="MS Mincho"/>
        </w:rPr>
        <w:t>w</w:t>
      </w:r>
      <w:r w:rsidR="006C7F31" w:rsidRPr="00AF621D">
        <w:rPr>
          <w:rFonts w:eastAsia="MS Mincho"/>
        </w:rPr>
        <w:t>hile the moderate</w:t>
      </w:r>
      <w:r w:rsidR="00D05134" w:rsidRPr="00AF621D">
        <w:rPr>
          <w:rFonts w:eastAsia="MS Mincho"/>
        </w:rPr>
        <w:t>-</w:t>
      </w:r>
      <w:r w:rsidR="006C7F31" w:rsidRPr="00AF621D">
        <w:rPr>
          <w:rFonts w:eastAsia="MS Mincho"/>
        </w:rPr>
        <w:t xml:space="preserve">risk gamblers identifying as Asian accounted for nearly half of the harm within this group (47.6%). </w:t>
      </w:r>
    </w:p>
    <w:p w14:paraId="4D045E61" w14:textId="77777777" w:rsidR="006C7F31" w:rsidRPr="00AF621D" w:rsidRDefault="006C7F31" w:rsidP="00286F9C">
      <w:pPr>
        <w:spacing w:after="0"/>
        <w:ind w:left="0"/>
        <w:rPr>
          <w:rFonts w:eastAsia="MS Mincho" w:cs="Arial"/>
          <w:color w:val="1C3158"/>
          <w:sz w:val="16"/>
        </w:rPr>
      </w:pPr>
      <w:r w:rsidRPr="00AF621D">
        <w:rPr>
          <w:rFonts w:eastAsia="MS Mincho" w:cs="Arial"/>
          <w:noProof/>
          <w:color w:val="1C3158"/>
          <w:sz w:val="16"/>
          <w:lang w:val="en-NZ" w:eastAsia="en-NZ"/>
        </w:rPr>
        <w:drawing>
          <wp:inline distT="0" distB="0" distL="0" distR="0" wp14:anchorId="3D2FC3D6" wp14:editId="6C78C247">
            <wp:extent cx="5524814" cy="3409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9949" cy="3413120"/>
                    </a:xfrm>
                    <a:prstGeom prst="rect">
                      <a:avLst/>
                    </a:prstGeom>
                    <a:noFill/>
                  </pic:spPr>
                </pic:pic>
              </a:graphicData>
            </a:graphic>
          </wp:inline>
        </w:drawing>
      </w:r>
    </w:p>
    <w:p w14:paraId="3BA58A80" w14:textId="522A1A95" w:rsidR="006C7F31" w:rsidRPr="00AF621D" w:rsidRDefault="0023426A" w:rsidP="0023426A">
      <w:pPr>
        <w:pStyle w:val="Caption"/>
        <w:rPr>
          <w:color w:val="1C3158"/>
        </w:rPr>
      </w:pPr>
      <w:bookmarkStart w:id="379" w:name="_Ref445566616"/>
      <w:bookmarkStart w:id="380" w:name="_Toc462738103"/>
      <w:r w:rsidRPr="00AF621D">
        <w:t xml:space="preserve">Figure </w:t>
      </w:r>
      <w:fldSimple w:instr=" SEQ Figure \* ARABIC ">
        <w:r w:rsidR="0006479A">
          <w:rPr>
            <w:noProof/>
          </w:rPr>
          <w:t>20</w:t>
        </w:r>
      </w:fldSimple>
      <w:bookmarkEnd w:id="379"/>
      <w:r w:rsidR="00E832B0" w:rsidRPr="00AF621D">
        <w:t>.</w:t>
      </w:r>
      <w:r w:rsidR="008610D3" w:rsidRPr="00AF621D">
        <w:t xml:space="preserve"> </w:t>
      </w:r>
      <w:r w:rsidR="006C7F31" w:rsidRPr="00AF621D">
        <w:rPr>
          <w:color w:val="1C3158"/>
        </w:rPr>
        <w:t>Gambling</w:t>
      </w:r>
      <w:r w:rsidR="00286F9C">
        <w:rPr>
          <w:color w:val="1C3158"/>
        </w:rPr>
        <w:t>-related</w:t>
      </w:r>
      <w:r w:rsidR="006C7F31" w:rsidRPr="00AF621D">
        <w:rPr>
          <w:color w:val="1C3158"/>
        </w:rPr>
        <w:t xml:space="preserve"> harms to the New Zealand adult population within ethnic group (all identified) by PGSI category</w:t>
      </w:r>
      <w:bookmarkEnd w:id="380"/>
    </w:p>
    <w:p w14:paraId="3A26CD80" w14:textId="77F4F79B" w:rsidR="006C7F31" w:rsidRPr="00AF621D" w:rsidRDefault="006C7F31" w:rsidP="00E03DE0">
      <w:pPr>
        <w:pStyle w:val="VRGFBodycontent"/>
        <w:spacing w:before="240"/>
        <w:rPr>
          <w:rFonts w:eastAsia="MS Mincho"/>
        </w:rPr>
      </w:pPr>
      <w:r w:rsidRPr="00AF621D">
        <w:rPr>
          <w:rFonts w:eastAsia="MS Mincho"/>
        </w:rPr>
        <w:t xml:space="preserve">Nearly half of the harms due to gambling in the NZ population were from the population with gambling problems living outside the major regions of Auckland, Wellington, and Christchurch, namely the “rest of NZ” (45.0% of the total </w:t>
      </w:r>
      <w:r w:rsidR="00286F9C">
        <w:rPr>
          <w:rFonts w:eastAsia="MS Mincho"/>
        </w:rPr>
        <w:t>QALY</w:t>
      </w:r>
      <w:r w:rsidR="00286F9C" w:rsidRPr="00AF621D">
        <w:rPr>
          <w:rFonts w:eastAsia="MS Mincho"/>
          <w:sz w:val="12"/>
        </w:rPr>
        <w:t>1</w:t>
      </w:r>
      <w:r w:rsidRPr="00AF621D">
        <w:rPr>
          <w:rFonts w:eastAsia="MS Mincho"/>
        </w:rPr>
        <w:t>)</w:t>
      </w:r>
      <w:r w:rsidR="00E832B0" w:rsidRPr="00AF621D">
        <w:rPr>
          <w:rFonts w:eastAsia="MS Mincho"/>
        </w:rPr>
        <w:t>.</w:t>
      </w:r>
      <w:r w:rsidR="008610D3" w:rsidRPr="00AF621D">
        <w:rPr>
          <w:rFonts w:eastAsia="MS Mincho"/>
        </w:rPr>
        <w:t xml:space="preserve"> </w:t>
      </w:r>
      <w:r w:rsidRPr="00AF621D">
        <w:rPr>
          <w:rFonts w:eastAsia="MS Mincho"/>
        </w:rPr>
        <w:t xml:space="preserve">This was followed by approximately one-third of the total </w:t>
      </w:r>
      <w:r w:rsidR="00286F9C">
        <w:rPr>
          <w:rFonts w:eastAsia="MS Mincho"/>
        </w:rPr>
        <w:t>QALY</w:t>
      </w:r>
      <w:r w:rsidR="00286F9C" w:rsidRPr="00AF621D">
        <w:rPr>
          <w:rFonts w:eastAsia="MS Mincho"/>
          <w:sz w:val="12"/>
        </w:rPr>
        <w:t>1</w:t>
      </w:r>
      <w:r w:rsidR="00286F9C" w:rsidRPr="00AF621D">
        <w:rPr>
          <w:rFonts w:eastAsia="MS Mincho"/>
        </w:rPr>
        <w:t xml:space="preserve"> </w:t>
      </w:r>
      <w:r w:rsidRPr="00AF621D">
        <w:rPr>
          <w:rFonts w:eastAsia="MS Mincho"/>
        </w:rPr>
        <w:t xml:space="preserve">being accounted for by </w:t>
      </w:r>
      <w:r w:rsidR="009245B2" w:rsidRPr="00AF621D">
        <w:rPr>
          <w:rFonts w:eastAsia="MS Mincho"/>
        </w:rPr>
        <w:t xml:space="preserve">people </w:t>
      </w:r>
      <w:r w:rsidRPr="00AF621D">
        <w:rPr>
          <w:rFonts w:eastAsia="MS Mincho"/>
        </w:rPr>
        <w:t>living in the Auckland region (34.8%)</w:t>
      </w:r>
      <w:r w:rsidR="00E832B0" w:rsidRPr="00AF621D">
        <w:rPr>
          <w:rFonts w:eastAsia="MS Mincho"/>
        </w:rPr>
        <w:t>.</w:t>
      </w:r>
      <w:r w:rsidR="008610D3" w:rsidRPr="00AF621D">
        <w:rPr>
          <w:rFonts w:eastAsia="MS Mincho"/>
        </w:rPr>
        <w:t xml:space="preserve"> </w:t>
      </w:r>
      <w:r w:rsidRPr="00AF621D">
        <w:rPr>
          <w:rFonts w:eastAsia="MS Mincho"/>
        </w:rPr>
        <w:t>The population with low-risk gambling problems residing in the “rest of NZ” contributed the largest proportion of the total harms (22.2%), followed by the low-risk gamblers living in the Auckland region (15.9%)</w:t>
      </w:r>
      <w:r w:rsidR="00E832B0" w:rsidRPr="00AF621D">
        <w:rPr>
          <w:rFonts w:eastAsia="MS Mincho"/>
        </w:rPr>
        <w:t>.</w:t>
      </w:r>
      <w:r w:rsidR="008610D3" w:rsidRPr="00AF621D">
        <w:rPr>
          <w:rFonts w:eastAsia="MS Mincho"/>
        </w:rPr>
        <w:t xml:space="preserve"> </w:t>
      </w:r>
      <w:r w:rsidRPr="00AF621D">
        <w:rPr>
          <w:rFonts w:eastAsia="MS Mincho"/>
        </w:rPr>
        <w:t>See</w:t>
      </w:r>
      <w:r w:rsidR="0023426A" w:rsidRPr="00AF621D">
        <w:rPr>
          <w:rFonts w:eastAsia="MS Mincho"/>
        </w:rPr>
        <w:t xml:space="preserve"> </w:t>
      </w:r>
      <w:r w:rsidR="0023426A" w:rsidRPr="00AF621D">
        <w:rPr>
          <w:rFonts w:eastAsia="MS Mincho"/>
        </w:rPr>
        <w:fldChar w:fldCharType="begin"/>
      </w:r>
      <w:r w:rsidR="0023426A" w:rsidRPr="00AF621D">
        <w:rPr>
          <w:rFonts w:eastAsia="MS Mincho"/>
        </w:rPr>
        <w:instrText xml:space="preserve"> REF _Ref445566671 \h </w:instrText>
      </w:r>
      <w:r w:rsidR="00AF621D">
        <w:rPr>
          <w:rFonts w:eastAsia="MS Mincho"/>
        </w:rPr>
        <w:instrText xml:space="preserve"> \* MERGEFORMAT </w:instrText>
      </w:r>
      <w:r w:rsidR="0023426A" w:rsidRPr="00AF621D">
        <w:rPr>
          <w:rFonts w:eastAsia="MS Mincho"/>
        </w:rPr>
      </w:r>
      <w:r w:rsidR="0023426A" w:rsidRPr="00AF621D">
        <w:rPr>
          <w:rFonts w:eastAsia="MS Mincho"/>
        </w:rPr>
        <w:fldChar w:fldCharType="separate"/>
      </w:r>
      <w:r w:rsidR="0006479A" w:rsidRPr="00AF621D">
        <w:t xml:space="preserve">Table </w:t>
      </w:r>
      <w:r w:rsidR="0006479A">
        <w:rPr>
          <w:noProof/>
        </w:rPr>
        <w:t>31</w:t>
      </w:r>
      <w:r w:rsidR="0023426A" w:rsidRPr="00AF621D">
        <w:rPr>
          <w:rFonts w:eastAsia="MS Mincho"/>
        </w:rPr>
        <w:fldChar w:fldCharType="end"/>
      </w:r>
      <w:r w:rsidRPr="00AF621D">
        <w:rPr>
          <w:rFonts w:eastAsia="MS Mincho"/>
        </w:rPr>
        <w:t>.</w:t>
      </w:r>
    </w:p>
    <w:p w14:paraId="7DA67CD7" w14:textId="344A97CE" w:rsidR="006C7F31" w:rsidRPr="00AF621D" w:rsidRDefault="0023426A" w:rsidP="0023426A">
      <w:pPr>
        <w:pStyle w:val="Caption"/>
        <w:rPr>
          <w:color w:val="1C3158"/>
        </w:rPr>
      </w:pPr>
      <w:bookmarkStart w:id="381" w:name="_Ref445566671"/>
      <w:bookmarkStart w:id="382" w:name="_Toc462738134"/>
      <w:r w:rsidRPr="00AF621D">
        <w:t xml:space="preserve">Table </w:t>
      </w:r>
      <w:fldSimple w:instr=" SEQ Table \* ARABIC ">
        <w:r w:rsidR="0006479A">
          <w:rPr>
            <w:noProof/>
          </w:rPr>
          <w:t>31</w:t>
        </w:r>
      </w:fldSimple>
      <w:bookmarkEnd w:id="381"/>
      <w:r w:rsidR="00E832B0" w:rsidRPr="00AF621D">
        <w:t>.</w:t>
      </w:r>
      <w:r w:rsidR="008610D3" w:rsidRPr="00AF621D">
        <w:t xml:space="preserve"> </w:t>
      </w:r>
      <w:bookmarkStart w:id="383" w:name="_Toc440900352"/>
      <w:r w:rsidR="006C7F31" w:rsidRPr="00AF621D">
        <w:rPr>
          <w:color w:val="1C3158"/>
        </w:rPr>
        <w:t>Gambling</w:t>
      </w:r>
      <w:r w:rsidR="00286F9C">
        <w:rPr>
          <w:color w:val="1C3158"/>
        </w:rPr>
        <w:t>-related</w:t>
      </w:r>
      <w:r w:rsidR="006C7F31" w:rsidRPr="00AF621D">
        <w:rPr>
          <w:color w:val="1C3158"/>
        </w:rPr>
        <w:t xml:space="preserve"> harms to the New Zealand adult population by region and PGSI category</w:t>
      </w:r>
      <w:bookmarkEnd w:id="382"/>
      <w:bookmarkEnd w:id="383"/>
    </w:p>
    <w:tbl>
      <w:tblPr>
        <w:tblW w:w="8632" w:type="dxa"/>
        <w:tblLayout w:type="fixed"/>
        <w:tblLook w:val="04A0" w:firstRow="1" w:lastRow="0" w:firstColumn="1" w:lastColumn="0" w:noHBand="0" w:noVBand="1"/>
      </w:tblPr>
      <w:tblGrid>
        <w:gridCol w:w="1254"/>
        <w:gridCol w:w="999"/>
        <w:gridCol w:w="851"/>
        <w:gridCol w:w="992"/>
        <w:gridCol w:w="851"/>
        <w:gridCol w:w="992"/>
        <w:gridCol w:w="851"/>
        <w:gridCol w:w="992"/>
        <w:gridCol w:w="850"/>
      </w:tblGrid>
      <w:tr w:rsidR="006C7F31" w:rsidRPr="00AF621D" w14:paraId="78104F6A" w14:textId="77777777" w:rsidTr="00286F9C">
        <w:trPr>
          <w:trHeight w:val="330"/>
        </w:trPr>
        <w:tc>
          <w:tcPr>
            <w:tcW w:w="1254"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77104009"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Region</w:t>
            </w:r>
          </w:p>
        </w:tc>
        <w:tc>
          <w:tcPr>
            <w:tcW w:w="1850"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457583E4"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4851ADF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008B213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842"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7486F274"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6C7F31" w:rsidRPr="00AF621D" w14:paraId="41D94B58" w14:textId="77777777" w:rsidTr="00286F9C">
        <w:trPr>
          <w:trHeight w:val="330"/>
        </w:trPr>
        <w:tc>
          <w:tcPr>
            <w:tcW w:w="1254" w:type="dxa"/>
            <w:vMerge/>
            <w:tcBorders>
              <w:top w:val="single" w:sz="12" w:space="0" w:color="FF9E3C"/>
              <w:left w:val="single" w:sz="12" w:space="0" w:color="FF9E3C"/>
              <w:bottom w:val="single" w:sz="12" w:space="0" w:color="FF9E3C"/>
              <w:right w:val="single" w:sz="12" w:space="0" w:color="FF9E3C"/>
            </w:tcBorders>
            <w:vAlign w:val="center"/>
            <w:hideMark/>
          </w:tcPr>
          <w:p w14:paraId="24C383E1"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999" w:type="dxa"/>
            <w:tcBorders>
              <w:top w:val="nil"/>
              <w:left w:val="nil"/>
              <w:bottom w:val="single" w:sz="12" w:space="0" w:color="FF9E3C"/>
              <w:right w:val="single" w:sz="12" w:space="0" w:color="FF9E3C"/>
            </w:tcBorders>
            <w:shd w:val="clear" w:color="000000" w:fill="FFBC64"/>
            <w:vAlign w:val="center"/>
            <w:hideMark/>
          </w:tcPr>
          <w:p w14:paraId="7BA717A4" w14:textId="2BC166E3"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5442E4A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254B31CA" w14:textId="2D375E23"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50C1D8A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37A1DA22" w14:textId="23B078EC"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573A252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6CB09BCA" w14:textId="7861BE4E"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4E5584ED"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6C7F31" w:rsidRPr="00AF621D" w14:paraId="6468FD9A" w14:textId="77777777" w:rsidTr="00286F9C">
        <w:trPr>
          <w:trHeight w:val="330"/>
        </w:trPr>
        <w:tc>
          <w:tcPr>
            <w:tcW w:w="1254" w:type="dxa"/>
            <w:tcBorders>
              <w:top w:val="nil"/>
              <w:left w:val="single" w:sz="12" w:space="0" w:color="FF9E3C"/>
              <w:bottom w:val="single" w:sz="12" w:space="0" w:color="FF9E3C"/>
              <w:right w:val="single" w:sz="12" w:space="0" w:color="FF9E3C"/>
            </w:tcBorders>
            <w:shd w:val="clear" w:color="auto" w:fill="auto"/>
            <w:vAlign w:val="center"/>
            <w:hideMark/>
          </w:tcPr>
          <w:p w14:paraId="482C413D"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Auckland</w:t>
            </w:r>
          </w:p>
        </w:tc>
        <w:tc>
          <w:tcPr>
            <w:tcW w:w="999" w:type="dxa"/>
            <w:tcBorders>
              <w:top w:val="nil"/>
              <w:left w:val="nil"/>
              <w:bottom w:val="single" w:sz="12" w:space="0" w:color="FF9E3C"/>
              <w:right w:val="single" w:sz="12" w:space="0" w:color="FF9E3C"/>
            </w:tcBorders>
            <w:shd w:val="clear" w:color="auto" w:fill="auto"/>
            <w:vAlign w:val="center"/>
            <w:hideMark/>
          </w:tcPr>
          <w:p w14:paraId="64CFABE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10,712</w:t>
            </w:r>
          </w:p>
        </w:tc>
        <w:tc>
          <w:tcPr>
            <w:tcW w:w="851" w:type="dxa"/>
            <w:tcBorders>
              <w:top w:val="nil"/>
              <w:left w:val="nil"/>
              <w:bottom w:val="single" w:sz="12" w:space="0" w:color="FF9E3C"/>
              <w:right w:val="single" w:sz="12" w:space="0" w:color="FF9E3C"/>
            </w:tcBorders>
            <w:shd w:val="clear" w:color="auto" w:fill="auto"/>
            <w:vAlign w:val="center"/>
            <w:hideMark/>
          </w:tcPr>
          <w:p w14:paraId="0E03C37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15.9</w:t>
            </w:r>
          </w:p>
        </w:tc>
        <w:tc>
          <w:tcPr>
            <w:tcW w:w="992" w:type="dxa"/>
            <w:tcBorders>
              <w:top w:val="nil"/>
              <w:left w:val="nil"/>
              <w:bottom w:val="single" w:sz="12" w:space="0" w:color="FF9E3C"/>
              <w:right w:val="single" w:sz="12" w:space="0" w:color="FF9E3C"/>
            </w:tcBorders>
            <w:shd w:val="clear" w:color="auto" w:fill="auto"/>
            <w:vAlign w:val="center"/>
            <w:hideMark/>
          </w:tcPr>
          <w:p w14:paraId="416DBB2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8,191</w:t>
            </w:r>
          </w:p>
        </w:tc>
        <w:tc>
          <w:tcPr>
            <w:tcW w:w="851" w:type="dxa"/>
            <w:tcBorders>
              <w:top w:val="nil"/>
              <w:left w:val="nil"/>
              <w:bottom w:val="single" w:sz="12" w:space="0" w:color="FF9E3C"/>
              <w:right w:val="single" w:sz="12" w:space="0" w:color="FF9E3C"/>
            </w:tcBorders>
            <w:shd w:val="clear" w:color="auto" w:fill="auto"/>
            <w:vAlign w:val="center"/>
            <w:hideMark/>
          </w:tcPr>
          <w:p w14:paraId="29B2106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12.2</w:t>
            </w:r>
          </w:p>
        </w:tc>
        <w:tc>
          <w:tcPr>
            <w:tcW w:w="992" w:type="dxa"/>
            <w:tcBorders>
              <w:top w:val="nil"/>
              <w:left w:val="nil"/>
              <w:bottom w:val="single" w:sz="12" w:space="0" w:color="FF9E3C"/>
              <w:right w:val="single" w:sz="12" w:space="0" w:color="FF9E3C"/>
            </w:tcBorders>
            <w:shd w:val="clear" w:color="auto" w:fill="auto"/>
            <w:vAlign w:val="center"/>
            <w:hideMark/>
          </w:tcPr>
          <w:p w14:paraId="2F2CFB1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4,504</w:t>
            </w:r>
          </w:p>
        </w:tc>
        <w:tc>
          <w:tcPr>
            <w:tcW w:w="851" w:type="dxa"/>
            <w:tcBorders>
              <w:top w:val="nil"/>
              <w:left w:val="nil"/>
              <w:bottom w:val="single" w:sz="12" w:space="0" w:color="FF9E3C"/>
              <w:right w:val="single" w:sz="12" w:space="0" w:color="FF9E3C"/>
            </w:tcBorders>
            <w:shd w:val="clear" w:color="auto" w:fill="auto"/>
            <w:vAlign w:val="center"/>
            <w:hideMark/>
          </w:tcPr>
          <w:p w14:paraId="6BA984D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6.7</w:t>
            </w:r>
          </w:p>
        </w:tc>
        <w:tc>
          <w:tcPr>
            <w:tcW w:w="992" w:type="dxa"/>
            <w:tcBorders>
              <w:top w:val="nil"/>
              <w:left w:val="nil"/>
              <w:bottom w:val="single" w:sz="12" w:space="0" w:color="FF9E3C"/>
              <w:right w:val="single" w:sz="12" w:space="0" w:color="FF9E3C"/>
            </w:tcBorders>
            <w:shd w:val="clear" w:color="auto" w:fill="auto"/>
            <w:vAlign w:val="center"/>
            <w:hideMark/>
          </w:tcPr>
          <w:p w14:paraId="615ACE2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23,408</w:t>
            </w:r>
          </w:p>
        </w:tc>
        <w:tc>
          <w:tcPr>
            <w:tcW w:w="850" w:type="dxa"/>
            <w:tcBorders>
              <w:top w:val="nil"/>
              <w:left w:val="nil"/>
              <w:bottom w:val="single" w:sz="12" w:space="0" w:color="FF9E3C"/>
              <w:right w:val="single" w:sz="12" w:space="0" w:color="FF9E3C"/>
            </w:tcBorders>
            <w:shd w:val="clear" w:color="auto" w:fill="auto"/>
            <w:vAlign w:val="center"/>
            <w:hideMark/>
          </w:tcPr>
          <w:p w14:paraId="73A38D1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34.8</w:t>
            </w:r>
          </w:p>
        </w:tc>
      </w:tr>
      <w:tr w:rsidR="006C7F31" w:rsidRPr="00AF621D" w14:paraId="6BC07451" w14:textId="77777777" w:rsidTr="00286F9C">
        <w:trPr>
          <w:trHeight w:val="330"/>
        </w:trPr>
        <w:tc>
          <w:tcPr>
            <w:tcW w:w="1254" w:type="dxa"/>
            <w:tcBorders>
              <w:top w:val="nil"/>
              <w:left w:val="single" w:sz="12" w:space="0" w:color="FF9E3C"/>
              <w:bottom w:val="single" w:sz="12" w:space="0" w:color="FF9E3C"/>
              <w:right w:val="single" w:sz="12" w:space="0" w:color="FF9E3C"/>
            </w:tcBorders>
            <w:shd w:val="clear" w:color="auto" w:fill="auto"/>
            <w:vAlign w:val="center"/>
            <w:hideMark/>
          </w:tcPr>
          <w:p w14:paraId="2AD5F129"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Wellington</w:t>
            </w:r>
          </w:p>
        </w:tc>
        <w:tc>
          <w:tcPr>
            <w:tcW w:w="999" w:type="dxa"/>
            <w:tcBorders>
              <w:top w:val="nil"/>
              <w:left w:val="nil"/>
              <w:bottom w:val="single" w:sz="12" w:space="0" w:color="FF9E3C"/>
              <w:right w:val="single" w:sz="12" w:space="0" w:color="FF9E3C"/>
            </w:tcBorders>
            <w:shd w:val="clear" w:color="auto" w:fill="auto"/>
            <w:vAlign w:val="center"/>
            <w:hideMark/>
          </w:tcPr>
          <w:p w14:paraId="6C91812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3,792</w:t>
            </w:r>
          </w:p>
        </w:tc>
        <w:tc>
          <w:tcPr>
            <w:tcW w:w="851" w:type="dxa"/>
            <w:tcBorders>
              <w:top w:val="nil"/>
              <w:left w:val="nil"/>
              <w:bottom w:val="single" w:sz="12" w:space="0" w:color="FF9E3C"/>
              <w:right w:val="single" w:sz="12" w:space="0" w:color="FF9E3C"/>
            </w:tcBorders>
            <w:shd w:val="clear" w:color="auto" w:fill="auto"/>
            <w:vAlign w:val="center"/>
            <w:hideMark/>
          </w:tcPr>
          <w:p w14:paraId="25152F3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5.6</w:t>
            </w:r>
          </w:p>
        </w:tc>
        <w:tc>
          <w:tcPr>
            <w:tcW w:w="992" w:type="dxa"/>
            <w:tcBorders>
              <w:top w:val="nil"/>
              <w:left w:val="nil"/>
              <w:bottom w:val="single" w:sz="12" w:space="0" w:color="FF9E3C"/>
              <w:right w:val="single" w:sz="12" w:space="0" w:color="FF9E3C"/>
            </w:tcBorders>
            <w:shd w:val="clear" w:color="auto" w:fill="auto"/>
            <w:vAlign w:val="center"/>
            <w:hideMark/>
          </w:tcPr>
          <w:p w14:paraId="38C0BCF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1,731</w:t>
            </w:r>
          </w:p>
        </w:tc>
        <w:tc>
          <w:tcPr>
            <w:tcW w:w="851" w:type="dxa"/>
            <w:tcBorders>
              <w:top w:val="nil"/>
              <w:left w:val="nil"/>
              <w:bottom w:val="single" w:sz="12" w:space="0" w:color="FF9E3C"/>
              <w:right w:val="single" w:sz="12" w:space="0" w:color="FF9E3C"/>
            </w:tcBorders>
            <w:shd w:val="clear" w:color="auto" w:fill="auto"/>
            <w:vAlign w:val="center"/>
            <w:hideMark/>
          </w:tcPr>
          <w:p w14:paraId="551E898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2.6</w:t>
            </w:r>
          </w:p>
        </w:tc>
        <w:tc>
          <w:tcPr>
            <w:tcW w:w="992" w:type="dxa"/>
            <w:tcBorders>
              <w:top w:val="nil"/>
              <w:left w:val="nil"/>
              <w:bottom w:val="single" w:sz="12" w:space="0" w:color="FF9E3C"/>
              <w:right w:val="single" w:sz="12" w:space="0" w:color="FF9E3C"/>
            </w:tcBorders>
            <w:shd w:val="clear" w:color="auto" w:fill="auto"/>
            <w:vAlign w:val="center"/>
            <w:hideMark/>
          </w:tcPr>
          <w:p w14:paraId="0F8FD20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3,175</w:t>
            </w:r>
          </w:p>
        </w:tc>
        <w:tc>
          <w:tcPr>
            <w:tcW w:w="851" w:type="dxa"/>
            <w:tcBorders>
              <w:top w:val="nil"/>
              <w:left w:val="nil"/>
              <w:bottom w:val="single" w:sz="12" w:space="0" w:color="FF9E3C"/>
              <w:right w:val="single" w:sz="12" w:space="0" w:color="FF9E3C"/>
            </w:tcBorders>
            <w:shd w:val="clear" w:color="auto" w:fill="auto"/>
            <w:vAlign w:val="center"/>
            <w:hideMark/>
          </w:tcPr>
          <w:p w14:paraId="1B79D87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4.7</w:t>
            </w:r>
          </w:p>
        </w:tc>
        <w:tc>
          <w:tcPr>
            <w:tcW w:w="992" w:type="dxa"/>
            <w:tcBorders>
              <w:top w:val="nil"/>
              <w:left w:val="nil"/>
              <w:bottom w:val="single" w:sz="12" w:space="0" w:color="FF9E3C"/>
              <w:right w:val="single" w:sz="12" w:space="0" w:color="FF9E3C"/>
            </w:tcBorders>
            <w:shd w:val="clear" w:color="auto" w:fill="auto"/>
            <w:vAlign w:val="center"/>
            <w:hideMark/>
          </w:tcPr>
          <w:p w14:paraId="2C716F3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8,698</w:t>
            </w:r>
          </w:p>
        </w:tc>
        <w:tc>
          <w:tcPr>
            <w:tcW w:w="850" w:type="dxa"/>
            <w:tcBorders>
              <w:top w:val="nil"/>
              <w:left w:val="nil"/>
              <w:bottom w:val="single" w:sz="12" w:space="0" w:color="FF9E3C"/>
              <w:right w:val="single" w:sz="12" w:space="0" w:color="FF9E3C"/>
            </w:tcBorders>
            <w:shd w:val="clear" w:color="auto" w:fill="auto"/>
            <w:vAlign w:val="center"/>
            <w:hideMark/>
          </w:tcPr>
          <w:p w14:paraId="16C3AC9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12.9</w:t>
            </w:r>
          </w:p>
        </w:tc>
      </w:tr>
      <w:tr w:rsidR="006C7F31" w:rsidRPr="00AF621D" w14:paraId="6708F18C" w14:textId="77777777" w:rsidTr="00286F9C">
        <w:trPr>
          <w:trHeight w:val="330"/>
        </w:trPr>
        <w:tc>
          <w:tcPr>
            <w:tcW w:w="1254" w:type="dxa"/>
            <w:tcBorders>
              <w:top w:val="nil"/>
              <w:left w:val="single" w:sz="12" w:space="0" w:color="FF9E3C"/>
              <w:bottom w:val="single" w:sz="12" w:space="0" w:color="FF9E3C"/>
              <w:right w:val="single" w:sz="12" w:space="0" w:color="FF9E3C"/>
            </w:tcBorders>
            <w:shd w:val="clear" w:color="auto" w:fill="auto"/>
            <w:vAlign w:val="center"/>
            <w:hideMark/>
          </w:tcPr>
          <w:p w14:paraId="513B3D5D"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Christchurch</w:t>
            </w:r>
          </w:p>
        </w:tc>
        <w:tc>
          <w:tcPr>
            <w:tcW w:w="999" w:type="dxa"/>
            <w:tcBorders>
              <w:top w:val="nil"/>
              <w:left w:val="nil"/>
              <w:bottom w:val="single" w:sz="12" w:space="0" w:color="FF9E3C"/>
              <w:right w:val="single" w:sz="12" w:space="0" w:color="FF9E3C"/>
            </w:tcBorders>
            <w:shd w:val="clear" w:color="auto" w:fill="auto"/>
            <w:vAlign w:val="center"/>
            <w:hideMark/>
          </w:tcPr>
          <w:p w14:paraId="68ADEF0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2,995</w:t>
            </w:r>
          </w:p>
        </w:tc>
        <w:tc>
          <w:tcPr>
            <w:tcW w:w="851" w:type="dxa"/>
            <w:tcBorders>
              <w:top w:val="nil"/>
              <w:left w:val="nil"/>
              <w:bottom w:val="single" w:sz="12" w:space="0" w:color="FF9E3C"/>
              <w:right w:val="single" w:sz="12" w:space="0" w:color="FF9E3C"/>
            </w:tcBorders>
            <w:shd w:val="clear" w:color="auto" w:fill="auto"/>
            <w:vAlign w:val="center"/>
            <w:hideMark/>
          </w:tcPr>
          <w:p w14:paraId="73B7BC0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4.5</w:t>
            </w:r>
          </w:p>
        </w:tc>
        <w:tc>
          <w:tcPr>
            <w:tcW w:w="992" w:type="dxa"/>
            <w:tcBorders>
              <w:top w:val="nil"/>
              <w:left w:val="nil"/>
              <w:bottom w:val="single" w:sz="12" w:space="0" w:color="FF9E3C"/>
              <w:right w:val="single" w:sz="12" w:space="0" w:color="FF9E3C"/>
            </w:tcBorders>
            <w:shd w:val="clear" w:color="auto" w:fill="auto"/>
            <w:vAlign w:val="center"/>
            <w:hideMark/>
          </w:tcPr>
          <w:p w14:paraId="6AB451B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1,751</w:t>
            </w:r>
          </w:p>
        </w:tc>
        <w:tc>
          <w:tcPr>
            <w:tcW w:w="851" w:type="dxa"/>
            <w:tcBorders>
              <w:top w:val="nil"/>
              <w:left w:val="nil"/>
              <w:bottom w:val="single" w:sz="12" w:space="0" w:color="FF9E3C"/>
              <w:right w:val="single" w:sz="12" w:space="0" w:color="FF9E3C"/>
            </w:tcBorders>
            <w:shd w:val="clear" w:color="auto" w:fill="auto"/>
            <w:vAlign w:val="center"/>
            <w:hideMark/>
          </w:tcPr>
          <w:p w14:paraId="22B0EF1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2.6</w:t>
            </w:r>
          </w:p>
        </w:tc>
        <w:tc>
          <w:tcPr>
            <w:tcW w:w="992" w:type="dxa"/>
            <w:tcBorders>
              <w:top w:val="nil"/>
              <w:left w:val="nil"/>
              <w:bottom w:val="single" w:sz="12" w:space="0" w:color="FF9E3C"/>
              <w:right w:val="single" w:sz="12" w:space="0" w:color="FF9E3C"/>
            </w:tcBorders>
            <w:shd w:val="clear" w:color="auto" w:fill="auto"/>
            <w:vAlign w:val="center"/>
            <w:hideMark/>
          </w:tcPr>
          <w:p w14:paraId="78D0417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75</w:t>
            </w:r>
          </w:p>
        </w:tc>
        <w:tc>
          <w:tcPr>
            <w:tcW w:w="851" w:type="dxa"/>
            <w:tcBorders>
              <w:top w:val="nil"/>
              <w:left w:val="nil"/>
              <w:bottom w:val="single" w:sz="12" w:space="0" w:color="FF9E3C"/>
              <w:right w:val="single" w:sz="12" w:space="0" w:color="FF9E3C"/>
            </w:tcBorders>
            <w:shd w:val="clear" w:color="auto" w:fill="auto"/>
            <w:vAlign w:val="center"/>
            <w:hideMark/>
          </w:tcPr>
          <w:p w14:paraId="686CF18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0.1</w:t>
            </w:r>
          </w:p>
        </w:tc>
        <w:tc>
          <w:tcPr>
            <w:tcW w:w="992" w:type="dxa"/>
            <w:tcBorders>
              <w:top w:val="nil"/>
              <w:left w:val="nil"/>
              <w:bottom w:val="single" w:sz="12" w:space="0" w:color="FF9E3C"/>
              <w:right w:val="single" w:sz="12" w:space="0" w:color="FF9E3C"/>
            </w:tcBorders>
            <w:shd w:val="clear" w:color="auto" w:fill="auto"/>
            <w:vAlign w:val="center"/>
            <w:hideMark/>
          </w:tcPr>
          <w:p w14:paraId="367A02B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4,820</w:t>
            </w:r>
          </w:p>
        </w:tc>
        <w:tc>
          <w:tcPr>
            <w:tcW w:w="850" w:type="dxa"/>
            <w:tcBorders>
              <w:top w:val="nil"/>
              <w:left w:val="nil"/>
              <w:bottom w:val="single" w:sz="12" w:space="0" w:color="FF9E3C"/>
              <w:right w:val="single" w:sz="12" w:space="0" w:color="FF9E3C"/>
            </w:tcBorders>
            <w:shd w:val="clear" w:color="auto" w:fill="auto"/>
            <w:vAlign w:val="center"/>
            <w:hideMark/>
          </w:tcPr>
          <w:p w14:paraId="01C7BF7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7.2</w:t>
            </w:r>
          </w:p>
        </w:tc>
      </w:tr>
      <w:tr w:rsidR="006C7F31" w:rsidRPr="00AF621D" w14:paraId="1D2619E5" w14:textId="77777777" w:rsidTr="00286F9C">
        <w:trPr>
          <w:trHeight w:val="330"/>
        </w:trPr>
        <w:tc>
          <w:tcPr>
            <w:tcW w:w="1254" w:type="dxa"/>
            <w:tcBorders>
              <w:top w:val="nil"/>
              <w:left w:val="single" w:sz="12" w:space="0" w:color="FF9E3C"/>
              <w:bottom w:val="single" w:sz="12" w:space="0" w:color="FF9E3C"/>
              <w:right w:val="single" w:sz="12" w:space="0" w:color="FF9E3C"/>
            </w:tcBorders>
            <w:shd w:val="clear" w:color="auto" w:fill="auto"/>
            <w:vAlign w:val="center"/>
            <w:hideMark/>
          </w:tcPr>
          <w:p w14:paraId="5D278657"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Rest of NZ</w:t>
            </w:r>
          </w:p>
        </w:tc>
        <w:tc>
          <w:tcPr>
            <w:tcW w:w="999" w:type="dxa"/>
            <w:tcBorders>
              <w:top w:val="nil"/>
              <w:left w:val="nil"/>
              <w:bottom w:val="single" w:sz="12" w:space="0" w:color="FF9E3C"/>
              <w:right w:val="single" w:sz="12" w:space="0" w:color="FF9E3C"/>
            </w:tcBorders>
            <w:shd w:val="clear" w:color="auto" w:fill="auto"/>
            <w:vAlign w:val="center"/>
            <w:hideMark/>
          </w:tcPr>
          <w:p w14:paraId="5059997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14,781</w:t>
            </w:r>
          </w:p>
        </w:tc>
        <w:tc>
          <w:tcPr>
            <w:tcW w:w="851" w:type="dxa"/>
            <w:tcBorders>
              <w:top w:val="nil"/>
              <w:left w:val="nil"/>
              <w:bottom w:val="single" w:sz="12" w:space="0" w:color="FF9E3C"/>
              <w:right w:val="single" w:sz="12" w:space="0" w:color="FF9E3C"/>
            </w:tcBorders>
            <w:shd w:val="clear" w:color="auto" w:fill="auto"/>
            <w:vAlign w:val="center"/>
            <w:hideMark/>
          </w:tcPr>
          <w:p w14:paraId="1861264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22.0</w:t>
            </w:r>
          </w:p>
        </w:tc>
        <w:tc>
          <w:tcPr>
            <w:tcW w:w="992" w:type="dxa"/>
            <w:tcBorders>
              <w:top w:val="nil"/>
              <w:left w:val="nil"/>
              <w:bottom w:val="single" w:sz="12" w:space="0" w:color="FF9E3C"/>
              <w:right w:val="single" w:sz="12" w:space="0" w:color="FF9E3C"/>
            </w:tcBorders>
            <w:shd w:val="clear" w:color="auto" w:fill="auto"/>
            <w:vAlign w:val="center"/>
            <w:hideMark/>
          </w:tcPr>
          <w:p w14:paraId="62052BA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10,905</w:t>
            </w:r>
          </w:p>
        </w:tc>
        <w:tc>
          <w:tcPr>
            <w:tcW w:w="851" w:type="dxa"/>
            <w:tcBorders>
              <w:top w:val="nil"/>
              <w:left w:val="nil"/>
              <w:bottom w:val="single" w:sz="12" w:space="0" w:color="FF9E3C"/>
              <w:right w:val="single" w:sz="12" w:space="0" w:color="FF9E3C"/>
            </w:tcBorders>
            <w:shd w:val="clear" w:color="auto" w:fill="auto"/>
            <w:vAlign w:val="center"/>
            <w:hideMark/>
          </w:tcPr>
          <w:p w14:paraId="7B69A88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16.2</w:t>
            </w:r>
          </w:p>
        </w:tc>
        <w:tc>
          <w:tcPr>
            <w:tcW w:w="992" w:type="dxa"/>
            <w:tcBorders>
              <w:top w:val="nil"/>
              <w:left w:val="nil"/>
              <w:bottom w:val="single" w:sz="12" w:space="0" w:color="FF9E3C"/>
              <w:right w:val="single" w:sz="12" w:space="0" w:color="FF9E3C"/>
            </w:tcBorders>
            <w:shd w:val="clear" w:color="auto" w:fill="auto"/>
            <w:vAlign w:val="center"/>
            <w:hideMark/>
          </w:tcPr>
          <w:p w14:paraId="1F72EF4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4,587</w:t>
            </w:r>
          </w:p>
        </w:tc>
        <w:tc>
          <w:tcPr>
            <w:tcW w:w="851" w:type="dxa"/>
            <w:tcBorders>
              <w:top w:val="nil"/>
              <w:left w:val="nil"/>
              <w:bottom w:val="single" w:sz="12" w:space="0" w:color="FF9E3C"/>
              <w:right w:val="single" w:sz="12" w:space="0" w:color="FF9E3C"/>
            </w:tcBorders>
            <w:shd w:val="clear" w:color="auto" w:fill="auto"/>
            <w:vAlign w:val="center"/>
            <w:hideMark/>
          </w:tcPr>
          <w:p w14:paraId="17514AA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6.8</w:t>
            </w:r>
          </w:p>
        </w:tc>
        <w:tc>
          <w:tcPr>
            <w:tcW w:w="992" w:type="dxa"/>
            <w:tcBorders>
              <w:top w:val="nil"/>
              <w:left w:val="nil"/>
              <w:bottom w:val="single" w:sz="12" w:space="0" w:color="FF9E3C"/>
              <w:right w:val="single" w:sz="12" w:space="0" w:color="FF9E3C"/>
            </w:tcBorders>
            <w:shd w:val="clear" w:color="auto" w:fill="auto"/>
            <w:vAlign w:val="center"/>
            <w:hideMark/>
          </w:tcPr>
          <w:p w14:paraId="24AAECA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30,273</w:t>
            </w:r>
          </w:p>
        </w:tc>
        <w:tc>
          <w:tcPr>
            <w:tcW w:w="850" w:type="dxa"/>
            <w:tcBorders>
              <w:top w:val="nil"/>
              <w:left w:val="nil"/>
              <w:bottom w:val="single" w:sz="12" w:space="0" w:color="FF9E3C"/>
              <w:right w:val="single" w:sz="12" w:space="0" w:color="FF9E3C"/>
            </w:tcBorders>
            <w:shd w:val="clear" w:color="auto" w:fill="auto"/>
            <w:vAlign w:val="center"/>
            <w:hideMark/>
          </w:tcPr>
          <w:p w14:paraId="4C45644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45.0</w:t>
            </w:r>
          </w:p>
        </w:tc>
      </w:tr>
      <w:tr w:rsidR="006C7F31" w:rsidRPr="00AF621D" w14:paraId="6A3CDC97" w14:textId="77777777" w:rsidTr="00286F9C">
        <w:trPr>
          <w:trHeight w:val="330"/>
        </w:trPr>
        <w:tc>
          <w:tcPr>
            <w:tcW w:w="1254" w:type="dxa"/>
            <w:tcBorders>
              <w:top w:val="nil"/>
              <w:left w:val="single" w:sz="12" w:space="0" w:color="FF9E3C"/>
              <w:bottom w:val="single" w:sz="12" w:space="0" w:color="FF9E3C"/>
              <w:right w:val="single" w:sz="12" w:space="0" w:color="FF9E3C"/>
            </w:tcBorders>
            <w:shd w:val="clear" w:color="auto" w:fill="auto"/>
            <w:vAlign w:val="center"/>
            <w:hideMark/>
          </w:tcPr>
          <w:p w14:paraId="59BC2EF2"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Total</w:t>
            </w:r>
          </w:p>
        </w:tc>
        <w:tc>
          <w:tcPr>
            <w:tcW w:w="999" w:type="dxa"/>
            <w:tcBorders>
              <w:top w:val="nil"/>
              <w:left w:val="nil"/>
              <w:bottom w:val="single" w:sz="12" w:space="0" w:color="FF9E3C"/>
              <w:right w:val="single" w:sz="12" w:space="0" w:color="FF9E3C"/>
            </w:tcBorders>
            <w:shd w:val="clear" w:color="auto" w:fill="auto"/>
            <w:vAlign w:val="center"/>
            <w:hideMark/>
          </w:tcPr>
          <w:p w14:paraId="2361E21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32,280</w:t>
            </w:r>
          </w:p>
        </w:tc>
        <w:tc>
          <w:tcPr>
            <w:tcW w:w="851" w:type="dxa"/>
            <w:tcBorders>
              <w:top w:val="nil"/>
              <w:left w:val="nil"/>
              <w:bottom w:val="single" w:sz="12" w:space="0" w:color="FF9E3C"/>
              <w:right w:val="single" w:sz="12" w:space="0" w:color="FF9E3C"/>
            </w:tcBorders>
            <w:shd w:val="clear" w:color="auto" w:fill="auto"/>
            <w:vAlign w:val="center"/>
            <w:hideMark/>
          </w:tcPr>
          <w:p w14:paraId="7D2A6C15"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48.0</w:t>
            </w:r>
          </w:p>
        </w:tc>
        <w:tc>
          <w:tcPr>
            <w:tcW w:w="992" w:type="dxa"/>
            <w:tcBorders>
              <w:top w:val="nil"/>
              <w:left w:val="nil"/>
              <w:bottom w:val="single" w:sz="12" w:space="0" w:color="FF9E3C"/>
              <w:right w:val="single" w:sz="12" w:space="0" w:color="FF9E3C"/>
            </w:tcBorders>
            <w:shd w:val="clear" w:color="auto" w:fill="auto"/>
            <w:vAlign w:val="center"/>
            <w:hideMark/>
          </w:tcPr>
          <w:p w14:paraId="5F814D8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22,577</w:t>
            </w:r>
          </w:p>
        </w:tc>
        <w:tc>
          <w:tcPr>
            <w:tcW w:w="851" w:type="dxa"/>
            <w:tcBorders>
              <w:top w:val="nil"/>
              <w:left w:val="nil"/>
              <w:bottom w:val="single" w:sz="12" w:space="0" w:color="FF9E3C"/>
              <w:right w:val="single" w:sz="12" w:space="0" w:color="FF9E3C"/>
            </w:tcBorders>
            <w:shd w:val="clear" w:color="auto" w:fill="auto"/>
            <w:vAlign w:val="center"/>
            <w:hideMark/>
          </w:tcPr>
          <w:p w14:paraId="7E87FD18"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33.6</w:t>
            </w:r>
          </w:p>
        </w:tc>
        <w:tc>
          <w:tcPr>
            <w:tcW w:w="992" w:type="dxa"/>
            <w:tcBorders>
              <w:top w:val="nil"/>
              <w:left w:val="nil"/>
              <w:bottom w:val="single" w:sz="12" w:space="0" w:color="FF9E3C"/>
              <w:right w:val="single" w:sz="12" w:space="0" w:color="FF9E3C"/>
            </w:tcBorders>
            <w:shd w:val="clear" w:color="auto" w:fill="auto"/>
            <w:vAlign w:val="center"/>
            <w:hideMark/>
          </w:tcPr>
          <w:p w14:paraId="420585B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12,341</w:t>
            </w:r>
          </w:p>
        </w:tc>
        <w:tc>
          <w:tcPr>
            <w:tcW w:w="851" w:type="dxa"/>
            <w:tcBorders>
              <w:top w:val="nil"/>
              <w:left w:val="nil"/>
              <w:bottom w:val="single" w:sz="12" w:space="0" w:color="FF9E3C"/>
              <w:right w:val="single" w:sz="12" w:space="0" w:color="FF9E3C"/>
            </w:tcBorders>
            <w:shd w:val="clear" w:color="auto" w:fill="auto"/>
            <w:vAlign w:val="center"/>
            <w:hideMark/>
          </w:tcPr>
          <w:p w14:paraId="68E8A5F5"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18.4%</w:t>
            </w:r>
          </w:p>
        </w:tc>
        <w:tc>
          <w:tcPr>
            <w:tcW w:w="992" w:type="dxa"/>
            <w:tcBorders>
              <w:top w:val="nil"/>
              <w:left w:val="nil"/>
              <w:bottom w:val="single" w:sz="12" w:space="0" w:color="FF9E3C"/>
              <w:right w:val="single" w:sz="12" w:space="0" w:color="FF9E3C"/>
            </w:tcBorders>
            <w:shd w:val="clear" w:color="auto" w:fill="auto"/>
            <w:vAlign w:val="center"/>
            <w:hideMark/>
          </w:tcPr>
          <w:p w14:paraId="4033A35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67,199</w:t>
            </w:r>
          </w:p>
        </w:tc>
        <w:tc>
          <w:tcPr>
            <w:tcW w:w="850" w:type="dxa"/>
            <w:tcBorders>
              <w:top w:val="nil"/>
              <w:left w:val="nil"/>
              <w:bottom w:val="single" w:sz="12" w:space="0" w:color="FF9E3C"/>
              <w:right w:val="single" w:sz="12" w:space="0" w:color="FF9E3C"/>
            </w:tcBorders>
            <w:shd w:val="clear" w:color="auto" w:fill="auto"/>
            <w:vAlign w:val="center"/>
            <w:hideMark/>
          </w:tcPr>
          <w:p w14:paraId="180DF35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100</w:t>
            </w:r>
          </w:p>
        </w:tc>
      </w:tr>
    </w:tbl>
    <w:p w14:paraId="3BE78F75" w14:textId="2167C91E" w:rsidR="006C7F31" w:rsidRPr="00AF621D" w:rsidRDefault="006C7F31" w:rsidP="002901C9">
      <w:pPr>
        <w:pStyle w:val="VRGFBodycontent"/>
        <w:rPr>
          <w:rFonts w:eastAsia="MS Mincho" w:cs="Arial"/>
          <w:color w:val="1C3158"/>
          <w:sz w:val="16"/>
        </w:rPr>
      </w:pPr>
      <w:r w:rsidRPr="00AF621D">
        <w:rPr>
          <w:rFonts w:cs="Arial"/>
          <w:color w:val="1C3158"/>
          <w:sz w:val="16"/>
          <w:szCs w:val="16"/>
        </w:rPr>
        <w:t xml:space="preserve">Weighted population bases: </w:t>
      </w:r>
      <w:r w:rsidRPr="00AF621D">
        <w:rPr>
          <w:rFonts w:eastAsia="MS Mincho" w:cs="Arial"/>
          <w:color w:val="1C3158"/>
          <w:sz w:val="16"/>
        </w:rPr>
        <w:t>Total New Zealand PGSI 1+ (n=260,011)</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PGSI: low-risk (n=175,511), moderate-risk (n=61,470), problem gambling (n=23,029)</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Region &amp; PGSI 1+: Auckland (n=88,950), Wellington (n=31,256), Christchurch (n=21,189), and Rest of NZ (n=118,616).</w:t>
      </w:r>
    </w:p>
    <w:p w14:paraId="23C49D28" w14:textId="48D64BAE" w:rsidR="006C7F31" w:rsidRPr="00AF621D" w:rsidRDefault="006C7F31" w:rsidP="002901C9">
      <w:pPr>
        <w:pStyle w:val="VRGFBodycontent"/>
        <w:rPr>
          <w:rFonts w:eastAsia="MS Mincho"/>
        </w:rPr>
      </w:pPr>
      <w:bookmarkStart w:id="384" w:name="_Ref429652773"/>
      <w:bookmarkStart w:id="385" w:name="_Toc440900353"/>
      <w:r w:rsidRPr="00AF621D">
        <w:rPr>
          <w:rFonts w:eastAsia="MS Mincho"/>
        </w:rPr>
        <w:t xml:space="preserve">Descriptive statistics for the proportion of the total </w:t>
      </w:r>
      <w:r w:rsidR="00286F9C">
        <w:rPr>
          <w:rFonts w:eastAsia="MS Mincho"/>
        </w:rPr>
        <w:t>QALY</w:t>
      </w:r>
      <w:r w:rsidR="00286F9C" w:rsidRPr="00AF621D">
        <w:rPr>
          <w:rFonts w:eastAsia="MS Mincho"/>
          <w:sz w:val="12"/>
        </w:rPr>
        <w:t>1</w:t>
      </w:r>
      <w:r w:rsidR="00286F9C" w:rsidRPr="00AF621D">
        <w:rPr>
          <w:rFonts w:eastAsia="MS Mincho"/>
        </w:rPr>
        <w:t xml:space="preserve"> </w:t>
      </w:r>
      <w:r w:rsidRPr="00AF621D">
        <w:rPr>
          <w:rFonts w:eastAsia="MS Mincho"/>
        </w:rPr>
        <w:t>to the NZ adult population by employment status were conducted, showing that three-fifths (60</w:t>
      </w:r>
      <w:r w:rsidR="00C0435A" w:rsidRPr="00AF621D">
        <w:rPr>
          <w:rFonts w:eastAsia="MS Mincho"/>
        </w:rPr>
        <w:t>.</w:t>
      </w:r>
      <w:r w:rsidRPr="00AF621D">
        <w:rPr>
          <w:rFonts w:eastAsia="MS Mincho"/>
        </w:rPr>
        <w:t xml:space="preserve">1%) of the harm arises from the employed </w:t>
      </w:r>
      <w:r w:rsidRPr="00AF621D">
        <w:rPr>
          <w:rFonts w:eastAsia="MS Mincho"/>
        </w:rPr>
        <w:lastRenderedPageBreak/>
        <w:t>population and that one-third is attributable to low-risk gamblers who are employed (30.6%)</w:t>
      </w:r>
      <w:r w:rsidR="00E832B0" w:rsidRPr="00AF621D">
        <w:rPr>
          <w:rFonts w:eastAsia="MS Mincho"/>
        </w:rPr>
        <w:t>.</w:t>
      </w:r>
      <w:r w:rsidR="008610D3" w:rsidRPr="00AF621D">
        <w:rPr>
          <w:rFonts w:eastAsia="MS Mincho"/>
        </w:rPr>
        <w:t xml:space="preserve"> </w:t>
      </w:r>
      <w:r w:rsidRPr="00AF621D">
        <w:rPr>
          <w:rFonts w:eastAsia="MS Mincho"/>
        </w:rPr>
        <w:t>See</w:t>
      </w:r>
      <w:r w:rsidR="004677FC" w:rsidRPr="00AF621D">
        <w:rPr>
          <w:rFonts w:eastAsia="MS Mincho"/>
        </w:rPr>
        <w:t xml:space="preserve"> </w:t>
      </w:r>
      <w:r w:rsidR="004677FC" w:rsidRPr="00AF621D">
        <w:rPr>
          <w:rFonts w:eastAsia="MS Mincho"/>
        </w:rPr>
        <w:fldChar w:fldCharType="begin"/>
      </w:r>
      <w:r w:rsidR="004677FC" w:rsidRPr="00AF621D">
        <w:rPr>
          <w:rFonts w:eastAsia="MS Mincho"/>
        </w:rPr>
        <w:instrText xml:space="preserve"> REF _Ref445566746 \h </w:instrText>
      </w:r>
      <w:r w:rsidR="00AF621D">
        <w:rPr>
          <w:rFonts w:eastAsia="MS Mincho"/>
        </w:rPr>
        <w:instrText xml:space="preserve"> \* MERGEFORMAT </w:instrText>
      </w:r>
      <w:r w:rsidR="004677FC" w:rsidRPr="00AF621D">
        <w:rPr>
          <w:rFonts w:eastAsia="MS Mincho"/>
        </w:rPr>
      </w:r>
      <w:r w:rsidR="004677FC" w:rsidRPr="00AF621D">
        <w:rPr>
          <w:rFonts w:eastAsia="MS Mincho"/>
        </w:rPr>
        <w:fldChar w:fldCharType="separate"/>
      </w:r>
      <w:r w:rsidR="0006479A" w:rsidRPr="00AF621D">
        <w:t xml:space="preserve">Table </w:t>
      </w:r>
      <w:r w:rsidR="0006479A">
        <w:rPr>
          <w:noProof/>
        </w:rPr>
        <w:t>32</w:t>
      </w:r>
      <w:r w:rsidR="004677FC" w:rsidRPr="00AF621D">
        <w:rPr>
          <w:rFonts w:eastAsia="MS Mincho"/>
        </w:rPr>
        <w:fldChar w:fldCharType="end"/>
      </w:r>
      <w:r w:rsidRPr="00AF621D">
        <w:rPr>
          <w:rFonts w:eastAsia="MS Mincho"/>
        </w:rPr>
        <w:t>.</w:t>
      </w:r>
    </w:p>
    <w:p w14:paraId="48CDBB62" w14:textId="38BDEBF8" w:rsidR="006C7F31" w:rsidRPr="00AF621D" w:rsidRDefault="004677FC" w:rsidP="004677FC">
      <w:pPr>
        <w:pStyle w:val="Caption"/>
        <w:rPr>
          <w:color w:val="1C3158"/>
        </w:rPr>
      </w:pPr>
      <w:bookmarkStart w:id="386" w:name="_Ref445566746"/>
      <w:bookmarkStart w:id="387" w:name="_Toc462738135"/>
      <w:r w:rsidRPr="00AF621D">
        <w:t xml:space="preserve">Table </w:t>
      </w:r>
      <w:fldSimple w:instr=" SEQ Table \* ARABIC ">
        <w:r w:rsidR="0006479A">
          <w:rPr>
            <w:noProof/>
          </w:rPr>
          <w:t>32</w:t>
        </w:r>
      </w:fldSimple>
      <w:bookmarkEnd w:id="386"/>
      <w:r w:rsidR="00E832B0" w:rsidRPr="00AF621D">
        <w:t>.</w:t>
      </w:r>
      <w:r w:rsidR="008610D3" w:rsidRPr="00AF621D">
        <w:t xml:space="preserve"> </w:t>
      </w:r>
      <w:bookmarkEnd w:id="384"/>
      <w:r w:rsidR="006C7F31" w:rsidRPr="00AF621D">
        <w:rPr>
          <w:color w:val="1C3158"/>
        </w:rPr>
        <w:t>Gambling</w:t>
      </w:r>
      <w:r w:rsidR="00286F9C">
        <w:rPr>
          <w:color w:val="1C3158"/>
        </w:rPr>
        <w:t>-related</w:t>
      </w:r>
      <w:r w:rsidR="006C7F31" w:rsidRPr="00AF621D">
        <w:rPr>
          <w:color w:val="1C3158"/>
        </w:rPr>
        <w:t xml:space="preserve"> harms to the New Zealand adult population by employment status and PGSI category</w:t>
      </w:r>
      <w:bookmarkEnd w:id="385"/>
      <w:bookmarkEnd w:id="387"/>
    </w:p>
    <w:tbl>
      <w:tblPr>
        <w:tblW w:w="8632" w:type="dxa"/>
        <w:tblLayout w:type="fixed"/>
        <w:tblLook w:val="04A0" w:firstRow="1" w:lastRow="0" w:firstColumn="1" w:lastColumn="0" w:noHBand="0" w:noVBand="1"/>
      </w:tblPr>
      <w:tblGrid>
        <w:gridCol w:w="1315"/>
        <w:gridCol w:w="938"/>
        <w:gridCol w:w="851"/>
        <w:gridCol w:w="992"/>
        <w:gridCol w:w="851"/>
        <w:gridCol w:w="992"/>
        <w:gridCol w:w="850"/>
        <w:gridCol w:w="993"/>
        <w:gridCol w:w="850"/>
      </w:tblGrid>
      <w:tr w:rsidR="006C7F31" w:rsidRPr="00AF621D" w14:paraId="174DAC37" w14:textId="77777777" w:rsidTr="00286F9C">
        <w:trPr>
          <w:trHeight w:val="330"/>
        </w:trPr>
        <w:tc>
          <w:tcPr>
            <w:tcW w:w="1315"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179A6CC1"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Employment Status</w:t>
            </w:r>
          </w:p>
        </w:tc>
        <w:tc>
          <w:tcPr>
            <w:tcW w:w="1789"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1A4AECE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476F03A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842"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08EBFE2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6082DC6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6C7F31" w:rsidRPr="00AF621D" w14:paraId="6399E0AC" w14:textId="77777777" w:rsidTr="00286F9C">
        <w:trPr>
          <w:trHeight w:val="330"/>
        </w:trPr>
        <w:tc>
          <w:tcPr>
            <w:tcW w:w="1315" w:type="dxa"/>
            <w:vMerge/>
            <w:tcBorders>
              <w:top w:val="single" w:sz="12" w:space="0" w:color="FF9E3C"/>
              <w:left w:val="single" w:sz="12" w:space="0" w:color="FF9E3C"/>
              <w:bottom w:val="single" w:sz="12" w:space="0" w:color="FF9E3C"/>
              <w:right w:val="single" w:sz="12" w:space="0" w:color="FF9E3C"/>
            </w:tcBorders>
            <w:vAlign w:val="center"/>
            <w:hideMark/>
          </w:tcPr>
          <w:p w14:paraId="19D48330"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938" w:type="dxa"/>
            <w:tcBorders>
              <w:top w:val="nil"/>
              <w:left w:val="nil"/>
              <w:bottom w:val="single" w:sz="12" w:space="0" w:color="FF9E3C"/>
              <w:right w:val="single" w:sz="12" w:space="0" w:color="FF9E3C"/>
            </w:tcBorders>
            <w:shd w:val="clear" w:color="000000" w:fill="FFBC64"/>
            <w:vAlign w:val="center"/>
            <w:hideMark/>
          </w:tcPr>
          <w:p w14:paraId="08B98DAD" w14:textId="1C22E7D3"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517CD30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3CB8A1B0" w14:textId="469CC661"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121FB73B"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65C50130" w14:textId="6F140844"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51CB757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3" w:type="dxa"/>
            <w:tcBorders>
              <w:top w:val="nil"/>
              <w:left w:val="nil"/>
              <w:bottom w:val="single" w:sz="12" w:space="0" w:color="FF9E3C"/>
              <w:right w:val="single" w:sz="12" w:space="0" w:color="FF9E3C"/>
            </w:tcBorders>
            <w:shd w:val="clear" w:color="000000" w:fill="FFBC64"/>
            <w:vAlign w:val="center"/>
            <w:hideMark/>
          </w:tcPr>
          <w:p w14:paraId="056626B5" w14:textId="57E92172"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3AE7A46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6C7F31" w:rsidRPr="00AF621D" w14:paraId="19D98093" w14:textId="77777777" w:rsidTr="00286F9C">
        <w:trPr>
          <w:trHeight w:val="330"/>
        </w:trPr>
        <w:tc>
          <w:tcPr>
            <w:tcW w:w="1315" w:type="dxa"/>
            <w:tcBorders>
              <w:top w:val="nil"/>
              <w:left w:val="single" w:sz="12" w:space="0" w:color="FF9E3C"/>
              <w:bottom w:val="single" w:sz="12" w:space="0" w:color="FF9E3C"/>
              <w:right w:val="single" w:sz="12" w:space="0" w:color="FF9E3C"/>
            </w:tcBorders>
            <w:shd w:val="clear" w:color="auto" w:fill="auto"/>
            <w:vAlign w:val="center"/>
            <w:hideMark/>
          </w:tcPr>
          <w:p w14:paraId="214D129C"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Employed</w:t>
            </w:r>
          </w:p>
        </w:tc>
        <w:tc>
          <w:tcPr>
            <w:tcW w:w="938" w:type="dxa"/>
            <w:tcBorders>
              <w:top w:val="nil"/>
              <w:left w:val="nil"/>
              <w:bottom w:val="single" w:sz="12" w:space="0" w:color="FF9E3C"/>
              <w:right w:val="single" w:sz="12" w:space="0" w:color="FF9E3C"/>
            </w:tcBorders>
            <w:shd w:val="clear" w:color="auto" w:fill="auto"/>
            <w:vAlign w:val="center"/>
            <w:hideMark/>
          </w:tcPr>
          <w:p w14:paraId="24CFA24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20,578</w:t>
            </w:r>
          </w:p>
        </w:tc>
        <w:tc>
          <w:tcPr>
            <w:tcW w:w="851" w:type="dxa"/>
            <w:tcBorders>
              <w:top w:val="nil"/>
              <w:left w:val="nil"/>
              <w:bottom w:val="single" w:sz="12" w:space="0" w:color="FF9E3C"/>
              <w:right w:val="single" w:sz="12" w:space="0" w:color="FF9E3C"/>
            </w:tcBorders>
            <w:shd w:val="clear" w:color="auto" w:fill="auto"/>
            <w:vAlign w:val="center"/>
            <w:hideMark/>
          </w:tcPr>
          <w:p w14:paraId="4C91025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30.6</w:t>
            </w:r>
          </w:p>
        </w:tc>
        <w:tc>
          <w:tcPr>
            <w:tcW w:w="992" w:type="dxa"/>
            <w:tcBorders>
              <w:top w:val="nil"/>
              <w:left w:val="nil"/>
              <w:bottom w:val="single" w:sz="12" w:space="0" w:color="FF9E3C"/>
              <w:right w:val="single" w:sz="12" w:space="0" w:color="FF9E3C"/>
            </w:tcBorders>
            <w:shd w:val="clear" w:color="auto" w:fill="auto"/>
            <w:vAlign w:val="center"/>
            <w:hideMark/>
          </w:tcPr>
          <w:p w14:paraId="721486B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12,125</w:t>
            </w:r>
          </w:p>
        </w:tc>
        <w:tc>
          <w:tcPr>
            <w:tcW w:w="851" w:type="dxa"/>
            <w:tcBorders>
              <w:top w:val="nil"/>
              <w:left w:val="nil"/>
              <w:bottom w:val="single" w:sz="12" w:space="0" w:color="FF9E3C"/>
              <w:right w:val="single" w:sz="12" w:space="0" w:color="FF9E3C"/>
            </w:tcBorders>
            <w:shd w:val="clear" w:color="auto" w:fill="auto"/>
            <w:vAlign w:val="center"/>
            <w:hideMark/>
          </w:tcPr>
          <w:p w14:paraId="18803D7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18.0</w:t>
            </w:r>
          </w:p>
        </w:tc>
        <w:tc>
          <w:tcPr>
            <w:tcW w:w="992" w:type="dxa"/>
            <w:tcBorders>
              <w:top w:val="nil"/>
              <w:left w:val="nil"/>
              <w:bottom w:val="single" w:sz="12" w:space="0" w:color="FF9E3C"/>
              <w:right w:val="single" w:sz="12" w:space="0" w:color="FF9E3C"/>
            </w:tcBorders>
            <w:shd w:val="clear" w:color="auto" w:fill="auto"/>
            <w:vAlign w:val="center"/>
            <w:hideMark/>
          </w:tcPr>
          <w:p w14:paraId="0AC3FB1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7,662</w:t>
            </w:r>
          </w:p>
        </w:tc>
        <w:tc>
          <w:tcPr>
            <w:tcW w:w="850" w:type="dxa"/>
            <w:tcBorders>
              <w:top w:val="nil"/>
              <w:left w:val="nil"/>
              <w:bottom w:val="single" w:sz="12" w:space="0" w:color="FF9E3C"/>
              <w:right w:val="single" w:sz="12" w:space="0" w:color="FF9E3C"/>
            </w:tcBorders>
            <w:shd w:val="clear" w:color="auto" w:fill="auto"/>
            <w:vAlign w:val="center"/>
            <w:hideMark/>
          </w:tcPr>
          <w:p w14:paraId="1B8485E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11.4</w:t>
            </w:r>
          </w:p>
        </w:tc>
        <w:tc>
          <w:tcPr>
            <w:tcW w:w="993" w:type="dxa"/>
            <w:tcBorders>
              <w:top w:val="nil"/>
              <w:left w:val="nil"/>
              <w:bottom w:val="single" w:sz="12" w:space="0" w:color="FF9E3C"/>
              <w:right w:val="single" w:sz="12" w:space="0" w:color="FF9E3C"/>
            </w:tcBorders>
            <w:shd w:val="clear" w:color="auto" w:fill="auto"/>
            <w:vAlign w:val="center"/>
            <w:hideMark/>
          </w:tcPr>
          <w:p w14:paraId="46120C5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40,365</w:t>
            </w:r>
          </w:p>
        </w:tc>
        <w:tc>
          <w:tcPr>
            <w:tcW w:w="850" w:type="dxa"/>
            <w:tcBorders>
              <w:top w:val="nil"/>
              <w:left w:val="nil"/>
              <w:bottom w:val="single" w:sz="12" w:space="0" w:color="FF9E3C"/>
              <w:right w:val="single" w:sz="12" w:space="0" w:color="FF9E3C"/>
            </w:tcBorders>
            <w:shd w:val="clear" w:color="auto" w:fill="auto"/>
            <w:vAlign w:val="center"/>
            <w:hideMark/>
          </w:tcPr>
          <w:p w14:paraId="3D70577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60.1</w:t>
            </w:r>
          </w:p>
        </w:tc>
      </w:tr>
      <w:tr w:rsidR="006C7F31" w:rsidRPr="00AF621D" w14:paraId="544A364E" w14:textId="77777777" w:rsidTr="00286F9C">
        <w:trPr>
          <w:trHeight w:val="330"/>
        </w:trPr>
        <w:tc>
          <w:tcPr>
            <w:tcW w:w="1315" w:type="dxa"/>
            <w:tcBorders>
              <w:top w:val="nil"/>
              <w:left w:val="single" w:sz="12" w:space="0" w:color="FF9E3C"/>
              <w:bottom w:val="single" w:sz="12" w:space="0" w:color="FF9E3C"/>
              <w:right w:val="single" w:sz="12" w:space="0" w:color="FF9E3C"/>
            </w:tcBorders>
            <w:shd w:val="clear" w:color="auto" w:fill="auto"/>
            <w:vAlign w:val="center"/>
            <w:hideMark/>
          </w:tcPr>
          <w:p w14:paraId="48264E49"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Unemployed</w:t>
            </w:r>
          </w:p>
        </w:tc>
        <w:tc>
          <w:tcPr>
            <w:tcW w:w="938" w:type="dxa"/>
            <w:tcBorders>
              <w:top w:val="nil"/>
              <w:left w:val="nil"/>
              <w:bottom w:val="single" w:sz="12" w:space="0" w:color="FF9E3C"/>
              <w:right w:val="single" w:sz="12" w:space="0" w:color="FF9E3C"/>
            </w:tcBorders>
            <w:shd w:val="clear" w:color="auto" w:fill="auto"/>
            <w:vAlign w:val="center"/>
            <w:hideMark/>
          </w:tcPr>
          <w:p w14:paraId="009619E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4,159</w:t>
            </w:r>
          </w:p>
        </w:tc>
        <w:tc>
          <w:tcPr>
            <w:tcW w:w="851" w:type="dxa"/>
            <w:tcBorders>
              <w:top w:val="nil"/>
              <w:left w:val="nil"/>
              <w:bottom w:val="single" w:sz="12" w:space="0" w:color="FF9E3C"/>
              <w:right w:val="single" w:sz="12" w:space="0" w:color="FF9E3C"/>
            </w:tcBorders>
            <w:shd w:val="clear" w:color="auto" w:fill="auto"/>
            <w:vAlign w:val="center"/>
            <w:hideMark/>
          </w:tcPr>
          <w:p w14:paraId="196D063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6.2</w:t>
            </w:r>
          </w:p>
        </w:tc>
        <w:tc>
          <w:tcPr>
            <w:tcW w:w="992" w:type="dxa"/>
            <w:tcBorders>
              <w:top w:val="nil"/>
              <w:left w:val="nil"/>
              <w:bottom w:val="single" w:sz="12" w:space="0" w:color="FF9E3C"/>
              <w:right w:val="single" w:sz="12" w:space="0" w:color="FF9E3C"/>
            </w:tcBorders>
            <w:shd w:val="clear" w:color="auto" w:fill="auto"/>
            <w:vAlign w:val="center"/>
            <w:hideMark/>
          </w:tcPr>
          <w:p w14:paraId="06944E8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4,703</w:t>
            </w:r>
          </w:p>
        </w:tc>
        <w:tc>
          <w:tcPr>
            <w:tcW w:w="851" w:type="dxa"/>
            <w:tcBorders>
              <w:top w:val="nil"/>
              <w:left w:val="nil"/>
              <w:bottom w:val="single" w:sz="12" w:space="0" w:color="FF9E3C"/>
              <w:right w:val="single" w:sz="12" w:space="0" w:color="FF9E3C"/>
            </w:tcBorders>
            <w:shd w:val="clear" w:color="auto" w:fill="auto"/>
            <w:vAlign w:val="center"/>
            <w:hideMark/>
          </w:tcPr>
          <w:p w14:paraId="0294D77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7.0</w:t>
            </w:r>
          </w:p>
        </w:tc>
        <w:tc>
          <w:tcPr>
            <w:tcW w:w="992" w:type="dxa"/>
            <w:tcBorders>
              <w:top w:val="nil"/>
              <w:left w:val="nil"/>
              <w:bottom w:val="single" w:sz="12" w:space="0" w:color="FF9E3C"/>
              <w:right w:val="single" w:sz="12" w:space="0" w:color="FF9E3C"/>
            </w:tcBorders>
            <w:shd w:val="clear" w:color="auto" w:fill="auto"/>
            <w:vAlign w:val="center"/>
            <w:hideMark/>
          </w:tcPr>
          <w:p w14:paraId="231AA03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2,798</w:t>
            </w:r>
          </w:p>
        </w:tc>
        <w:tc>
          <w:tcPr>
            <w:tcW w:w="850" w:type="dxa"/>
            <w:tcBorders>
              <w:top w:val="nil"/>
              <w:left w:val="nil"/>
              <w:bottom w:val="single" w:sz="12" w:space="0" w:color="FF9E3C"/>
              <w:right w:val="single" w:sz="12" w:space="0" w:color="FF9E3C"/>
            </w:tcBorders>
            <w:shd w:val="clear" w:color="auto" w:fill="auto"/>
            <w:vAlign w:val="center"/>
            <w:hideMark/>
          </w:tcPr>
          <w:p w14:paraId="4F817E7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4.2</w:t>
            </w:r>
          </w:p>
        </w:tc>
        <w:tc>
          <w:tcPr>
            <w:tcW w:w="993" w:type="dxa"/>
            <w:tcBorders>
              <w:top w:val="nil"/>
              <w:left w:val="nil"/>
              <w:bottom w:val="single" w:sz="12" w:space="0" w:color="FF9E3C"/>
              <w:right w:val="single" w:sz="12" w:space="0" w:color="FF9E3C"/>
            </w:tcBorders>
            <w:shd w:val="clear" w:color="auto" w:fill="auto"/>
            <w:vAlign w:val="center"/>
            <w:hideMark/>
          </w:tcPr>
          <w:p w14:paraId="35DC921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11,660</w:t>
            </w:r>
          </w:p>
        </w:tc>
        <w:tc>
          <w:tcPr>
            <w:tcW w:w="850" w:type="dxa"/>
            <w:tcBorders>
              <w:top w:val="nil"/>
              <w:left w:val="nil"/>
              <w:bottom w:val="single" w:sz="12" w:space="0" w:color="FF9E3C"/>
              <w:right w:val="single" w:sz="12" w:space="0" w:color="FF9E3C"/>
            </w:tcBorders>
            <w:shd w:val="clear" w:color="auto" w:fill="auto"/>
            <w:vAlign w:val="center"/>
            <w:hideMark/>
          </w:tcPr>
          <w:p w14:paraId="69DCBCF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17.4</w:t>
            </w:r>
          </w:p>
        </w:tc>
      </w:tr>
      <w:tr w:rsidR="006C7F31" w:rsidRPr="00AF621D" w14:paraId="694D08C3" w14:textId="77777777" w:rsidTr="00286F9C">
        <w:trPr>
          <w:trHeight w:val="330"/>
        </w:trPr>
        <w:tc>
          <w:tcPr>
            <w:tcW w:w="1315" w:type="dxa"/>
            <w:tcBorders>
              <w:top w:val="nil"/>
              <w:left w:val="single" w:sz="12" w:space="0" w:color="FF9E3C"/>
              <w:bottom w:val="single" w:sz="12" w:space="0" w:color="FF9E3C"/>
              <w:right w:val="single" w:sz="12" w:space="0" w:color="FF9E3C"/>
            </w:tcBorders>
            <w:shd w:val="clear" w:color="auto" w:fill="auto"/>
            <w:vAlign w:val="center"/>
            <w:hideMark/>
          </w:tcPr>
          <w:p w14:paraId="3E1241BA"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Student / Homemaker / Retired</w:t>
            </w:r>
          </w:p>
        </w:tc>
        <w:tc>
          <w:tcPr>
            <w:tcW w:w="938" w:type="dxa"/>
            <w:tcBorders>
              <w:top w:val="nil"/>
              <w:left w:val="nil"/>
              <w:bottom w:val="single" w:sz="12" w:space="0" w:color="FF9E3C"/>
              <w:right w:val="single" w:sz="12" w:space="0" w:color="FF9E3C"/>
            </w:tcBorders>
            <w:shd w:val="clear" w:color="auto" w:fill="auto"/>
            <w:vAlign w:val="center"/>
            <w:hideMark/>
          </w:tcPr>
          <w:p w14:paraId="5D704BE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7,055</w:t>
            </w:r>
          </w:p>
        </w:tc>
        <w:tc>
          <w:tcPr>
            <w:tcW w:w="851" w:type="dxa"/>
            <w:tcBorders>
              <w:top w:val="nil"/>
              <w:left w:val="nil"/>
              <w:bottom w:val="single" w:sz="12" w:space="0" w:color="FF9E3C"/>
              <w:right w:val="single" w:sz="12" w:space="0" w:color="FF9E3C"/>
            </w:tcBorders>
            <w:shd w:val="clear" w:color="auto" w:fill="auto"/>
            <w:vAlign w:val="center"/>
            <w:hideMark/>
          </w:tcPr>
          <w:p w14:paraId="381D5DE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10.5</w:t>
            </w:r>
          </w:p>
        </w:tc>
        <w:tc>
          <w:tcPr>
            <w:tcW w:w="992" w:type="dxa"/>
            <w:tcBorders>
              <w:top w:val="nil"/>
              <w:left w:val="nil"/>
              <w:bottom w:val="single" w:sz="12" w:space="0" w:color="FF9E3C"/>
              <w:right w:val="single" w:sz="12" w:space="0" w:color="FF9E3C"/>
            </w:tcBorders>
            <w:shd w:val="clear" w:color="auto" w:fill="auto"/>
            <w:vAlign w:val="center"/>
            <w:hideMark/>
          </w:tcPr>
          <w:p w14:paraId="59A9019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5,749</w:t>
            </w:r>
          </w:p>
        </w:tc>
        <w:tc>
          <w:tcPr>
            <w:tcW w:w="851" w:type="dxa"/>
            <w:tcBorders>
              <w:top w:val="nil"/>
              <w:left w:val="nil"/>
              <w:bottom w:val="single" w:sz="12" w:space="0" w:color="FF9E3C"/>
              <w:right w:val="single" w:sz="12" w:space="0" w:color="FF9E3C"/>
            </w:tcBorders>
            <w:shd w:val="clear" w:color="auto" w:fill="auto"/>
            <w:vAlign w:val="center"/>
            <w:hideMark/>
          </w:tcPr>
          <w:p w14:paraId="43B0174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8.6</w:t>
            </w:r>
          </w:p>
        </w:tc>
        <w:tc>
          <w:tcPr>
            <w:tcW w:w="992" w:type="dxa"/>
            <w:tcBorders>
              <w:top w:val="nil"/>
              <w:left w:val="nil"/>
              <w:bottom w:val="single" w:sz="12" w:space="0" w:color="FF9E3C"/>
              <w:right w:val="single" w:sz="12" w:space="0" w:color="FF9E3C"/>
            </w:tcBorders>
            <w:shd w:val="clear" w:color="auto" w:fill="auto"/>
            <w:vAlign w:val="center"/>
            <w:hideMark/>
          </w:tcPr>
          <w:p w14:paraId="557951C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1,806</w:t>
            </w:r>
          </w:p>
        </w:tc>
        <w:tc>
          <w:tcPr>
            <w:tcW w:w="850" w:type="dxa"/>
            <w:tcBorders>
              <w:top w:val="nil"/>
              <w:left w:val="nil"/>
              <w:bottom w:val="single" w:sz="12" w:space="0" w:color="FF9E3C"/>
              <w:right w:val="single" w:sz="12" w:space="0" w:color="FF9E3C"/>
            </w:tcBorders>
            <w:shd w:val="clear" w:color="auto" w:fill="auto"/>
            <w:vAlign w:val="center"/>
            <w:hideMark/>
          </w:tcPr>
          <w:p w14:paraId="2A42795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2.7</w:t>
            </w:r>
          </w:p>
        </w:tc>
        <w:tc>
          <w:tcPr>
            <w:tcW w:w="993" w:type="dxa"/>
            <w:tcBorders>
              <w:top w:val="nil"/>
              <w:left w:val="nil"/>
              <w:bottom w:val="single" w:sz="12" w:space="0" w:color="FF9E3C"/>
              <w:right w:val="single" w:sz="12" w:space="0" w:color="FF9E3C"/>
            </w:tcBorders>
            <w:shd w:val="clear" w:color="auto" w:fill="auto"/>
            <w:vAlign w:val="center"/>
            <w:hideMark/>
          </w:tcPr>
          <w:p w14:paraId="5334B2E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14,610</w:t>
            </w:r>
          </w:p>
        </w:tc>
        <w:tc>
          <w:tcPr>
            <w:tcW w:w="850" w:type="dxa"/>
            <w:tcBorders>
              <w:top w:val="nil"/>
              <w:left w:val="nil"/>
              <w:bottom w:val="single" w:sz="12" w:space="0" w:color="FF9E3C"/>
              <w:right w:val="single" w:sz="12" w:space="0" w:color="FF9E3C"/>
            </w:tcBorders>
            <w:shd w:val="clear" w:color="auto" w:fill="auto"/>
            <w:vAlign w:val="center"/>
            <w:hideMark/>
          </w:tcPr>
          <w:p w14:paraId="27BF19C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21.7</w:t>
            </w:r>
          </w:p>
        </w:tc>
      </w:tr>
      <w:tr w:rsidR="006C7F31" w:rsidRPr="00AF621D" w14:paraId="1566CCB6" w14:textId="77777777" w:rsidTr="00286F9C">
        <w:trPr>
          <w:trHeight w:val="330"/>
        </w:trPr>
        <w:tc>
          <w:tcPr>
            <w:tcW w:w="1315" w:type="dxa"/>
            <w:tcBorders>
              <w:top w:val="nil"/>
              <w:left w:val="single" w:sz="12" w:space="0" w:color="FF9E3C"/>
              <w:bottom w:val="single" w:sz="12" w:space="0" w:color="FF9E3C"/>
              <w:right w:val="single" w:sz="12" w:space="0" w:color="FF9E3C"/>
            </w:tcBorders>
            <w:shd w:val="clear" w:color="auto" w:fill="auto"/>
            <w:vAlign w:val="center"/>
            <w:hideMark/>
          </w:tcPr>
          <w:p w14:paraId="4B560B63"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Other</w:t>
            </w:r>
          </w:p>
        </w:tc>
        <w:tc>
          <w:tcPr>
            <w:tcW w:w="938" w:type="dxa"/>
            <w:tcBorders>
              <w:top w:val="nil"/>
              <w:left w:val="nil"/>
              <w:bottom w:val="single" w:sz="12" w:space="0" w:color="FF9E3C"/>
              <w:right w:val="single" w:sz="12" w:space="0" w:color="FF9E3C"/>
            </w:tcBorders>
            <w:shd w:val="clear" w:color="auto" w:fill="auto"/>
            <w:vAlign w:val="center"/>
            <w:hideMark/>
          </w:tcPr>
          <w:p w14:paraId="3EFFBA0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488</w:t>
            </w:r>
          </w:p>
        </w:tc>
        <w:tc>
          <w:tcPr>
            <w:tcW w:w="851" w:type="dxa"/>
            <w:tcBorders>
              <w:top w:val="nil"/>
              <w:left w:val="nil"/>
              <w:bottom w:val="single" w:sz="12" w:space="0" w:color="FF9E3C"/>
              <w:right w:val="single" w:sz="12" w:space="0" w:color="FF9E3C"/>
            </w:tcBorders>
            <w:shd w:val="clear" w:color="auto" w:fill="auto"/>
            <w:vAlign w:val="center"/>
            <w:hideMark/>
          </w:tcPr>
          <w:p w14:paraId="7391131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0.7</w:t>
            </w:r>
          </w:p>
        </w:tc>
        <w:tc>
          <w:tcPr>
            <w:tcW w:w="992" w:type="dxa"/>
            <w:tcBorders>
              <w:top w:val="nil"/>
              <w:left w:val="nil"/>
              <w:bottom w:val="single" w:sz="12" w:space="0" w:color="FF9E3C"/>
              <w:right w:val="single" w:sz="12" w:space="0" w:color="FF9E3C"/>
            </w:tcBorders>
            <w:shd w:val="clear" w:color="auto" w:fill="auto"/>
            <w:vAlign w:val="center"/>
            <w:hideMark/>
          </w:tcPr>
          <w:p w14:paraId="1F96EE3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w:t>
            </w:r>
          </w:p>
        </w:tc>
        <w:tc>
          <w:tcPr>
            <w:tcW w:w="851" w:type="dxa"/>
            <w:tcBorders>
              <w:top w:val="nil"/>
              <w:left w:val="nil"/>
              <w:bottom w:val="single" w:sz="12" w:space="0" w:color="FF9E3C"/>
              <w:right w:val="single" w:sz="12" w:space="0" w:color="FF9E3C"/>
            </w:tcBorders>
            <w:shd w:val="clear" w:color="auto" w:fill="auto"/>
            <w:vAlign w:val="center"/>
            <w:hideMark/>
          </w:tcPr>
          <w:p w14:paraId="7C3D941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0.0</w:t>
            </w:r>
          </w:p>
        </w:tc>
        <w:tc>
          <w:tcPr>
            <w:tcW w:w="992" w:type="dxa"/>
            <w:tcBorders>
              <w:top w:val="nil"/>
              <w:left w:val="nil"/>
              <w:bottom w:val="single" w:sz="12" w:space="0" w:color="FF9E3C"/>
              <w:right w:val="single" w:sz="12" w:space="0" w:color="FF9E3C"/>
            </w:tcBorders>
            <w:shd w:val="clear" w:color="auto" w:fill="auto"/>
            <w:vAlign w:val="center"/>
            <w:hideMark/>
          </w:tcPr>
          <w:p w14:paraId="6167F81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75</w:t>
            </w:r>
          </w:p>
        </w:tc>
        <w:tc>
          <w:tcPr>
            <w:tcW w:w="850" w:type="dxa"/>
            <w:tcBorders>
              <w:top w:val="nil"/>
              <w:left w:val="nil"/>
              <w:bottom w:val="single" w:sz="12" w:space="0" w:color="FF9E3C"/>
              <w:right w:val="single" w:sz="12" w:space="0" w:color="FF9E3C"/>
            </w:tcBorders>
            <w:shd w:val="clear" w:color="auto" w:fill="auto"/>
            <w:vAlign w:val="center"/>
            <w:hideMark/>
          </w:tcPr>
          <w:p w14:paraId="6CA5AFB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0.1</w:t>
            </w:r>
          </w:p>
        </w:tc>
        <w:tc>
          <w:tcPr>
            <w:tcW w:w="993" w:type="dxa"/>
            <w:tcBorders>
              <w:top w:val="nil"/>
              <w:left w:val="nil"/>
              <w:bottom w:val="single" w:sz="12" w:space="0" w:color="FF9E3C"/>
              <w:right w:val="single" w:sz="12" w:space="0" w:color="FF9E3C"/>
            </w:tcBorders>
            <w:shd w:val="clear" w:color="auto" w:fill="auto"/>
            <w:vAlign w:val="center"/>
            <w:hideMark/>
          </w:tcPr>
          <w:p w14:paraId="2B53217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563</w:t>
            </w:r>
          </w:p>
        </w:tc>
        <w:tc>
          <w:tcPr>
            <w:tcW w:w="850" w:type="dxa"/>
            <w:tcBorders>
              <w:top w:val="nil"/>
              <w:left w:val="nil"/>
              <w:bottom w:val="single" w:sz="12" w:space="0" w:color="FF9E3C"/>
              <w:right w:val="single" w:sz="12" w:space="0" w:color="FF9E3C"/>
            </w:tcBorders>
            <w:shd w:val="clear" w:color="auto" w:fill="auto"/>
            <w:vAlign w:val="center"/>
            <w:hideMark/>
          </w:tcPr>
          <w:p w14:paraId="2F38141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0.8</w:t>
            </w:r>
          </w:p>
        </w:tc>
      </w:tr>
      <w:tr w:rsidR="006C7F31" w:rsidRPr="00AF621D" w14:paraId="4B5ECC52" w14:textId="77777777" w:rsidTr="00286F9C">
        <w:trPr>
          <w:trHeight w:val="330"/>
        </w:trPr>
        <w:tc>
          <w:tcPr>
            <w:tcW w:w="1315" w:type="dxa"/>
            <w:tcBorders>
              <w:top w:val="nil"/>
              <w:left w:val="single" w:sz="12" w:space="0" w:color="FF9E3C"/>
              <w:bottom w:val="single" w:sz="12" w:space="0" w:color="FF9E3C"/>
              <w:right w:val="single" w:sz="12" w:space="0" w:color="FF9E3C"/>
            </w:tcBorders>
            <w:shd w:val="clear" w:color="auto" w:fill="auto"/>
            <w:vAlign w:val="center"/>
            <w:hideMark/>
          </w:tcPr>
          <w:p w14:paraId="23C81140"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Total</w:t>
            </w:r>
          </w:p>
        </w:tc>
        <w:tc>
          <w:tcPr>
            <w:tcW w:w="938" w:type="dxa"/>
            <w:tcBorders>
              <w:top w:val="nil"/>
              <w:left w:val="nil"/>
              <w:bottom w:val="single" w:sz="12" w:space="0" w:color="FF9E3C"/>
              <w:right w:val="single" w:sz="12" w:space="0" w:color="FF9E3C"/>
            </w:tcBorders>
            <w:shd w:val="clear" w:color="auto" w:fill="auto"/>
            <w:vAlign w:val="center"/>
            <w:hideMark/>
          </w:tcPr>
          <w:p w14:paraId="4D4A8164"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32,280</w:t>
            </w:r>
          </w:p>
        </w:tc>
        <w:tc>
          <w:tcPr>
            <w:tcW w:w="851" w:type="dxa"/>
            <w:tcBorders>
              <w:top w:val="nil"/>
              <w:left w:val="nil"/>
              <w:bottom w:val="single" w:sz="12" w:space="0" w:color="FF9E3C"/>
              <w:right w:val="single" w:sz="12" w:space="0" w:color="FF9E3C"/>
            </w:tcBorders>
            <w:shd w:val="clear" w:color="auto" w:fill="auto"/>
            <w:vAlign w:val="center"/>
            <w:hideMark/>
          </w:tcPr>
          <w:p w14:paraId="3E52BB8F"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48.0</w:t>
            </w:r>
          </w:p>
        </w:tc>
        <w:tc>
          <w:tcPr>
            <w:tcW w:w="992" w:type="dxa"/>
            <w:tcBorders>
              <w:top w:val="nil"/>
              <w:left w:val="nil"/>
              <w:bottom w:val="single" w:sz="12" w:space="0" w:color="FF9E3C"/>
              <w:right w:val="single" w:sz="12" w:space="0" w:color="FF9E3C"/>
            </w:tcBorders>
            <w:shd w:val="clear" w:color="auto" w:fill="auto"/>
            <w:vAlign w:val="center"/>
            <w:hideMark/>
          </w:tcPr>
          <w:p w14:paraId="06F23BD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22,577</w:t>
            </w:r>
          </w:p>
        </w:tc>
        <w:tc>
          <w:tcPr>
            <w:tcW w:w="851" w:type="dxa"/>
            <w:tcBorders>
              <w:top w:val="nil"/>
              <w:left w:val="nil"/>
              <w:bottom w:val="single" w:sz="12" w:space="0" w:color="FF9E3C"/>
              <w:right w:val="single" w:sz="12" w:space="0" w:color="FF9E3C"/>
            </w:tcBorders>
            <w:shd w:val="clear" w:color="auto" w:fill="auto"/>
            <w:vAlign w:val="center"/>
            <w:hideMark/>
          </w:tcPr>
          <w:p w14:paraId="15ED4C65"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33.6</w:t>
            </w:r>
          </w:p>
        </w:tc>
        <w:tc>
          <w:tcPr>
            <w:tcW w:w="992" w:type="dxa"/>
            <w:tcBorders>
              <w:top w:val="nil"/>
              <w:left w:val="nil"/>
              <w:bottom w:val="single" w:sz="12" w:space="0" w:color="FF9E3C"/>
              <w:right w:val="single" w:sz="12" w:space="0" w:color="FF9E3C"/>
            </w:tcBorders>
            <w:shd w:val="clear" w:color="auto" w:fill="auto"/>
            <w:vAlign w:val="center"/>
            <w:hideMark/>
          </w:tcPr>
          <w:p w14:paraId="4B986A2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12,341</w:t>
            </w:r>
          </w:p>
        </w:tc>
        <w:tc>
          <w:tcPr>
            <w:tcW w:w="850" w:type="dxa"/>
            <w:tcBorders>
              <w:top w:val="nil"/>
              <w:left w:val="nil"/>
              <w:bottom w:val="single" w:sz="12" w:space="0" w:color="FF9E3C"/>
              <w:right w:val="single" w:sz="12" w:space="0" w:color="FF9E3C"/>
            </w:tcBorders>
            <w:shd w:val="clear" w:color="auto" w:fill="auto"/>
            <w:vAlign w:val="center"/>
            <w:hideMark/>
          </w:tcPr>
          <w:p w14:paraId="312D1B22"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18.4</w:t>
            </w:r>
          </w:p>
        </w:tc>
        <w:tc>
          <w:tcPr>
            <w:tcW w:w="993" w:type="dxa"/>
            <w:tcBorders>
              <w:top w:val="nil"/>
              <w:left w:val="nil"/>
              <w:bottom w:val="single" w:sz="12" w:space="0" w:color="FF9E3C"/>
              <w:right w:val="single" w:sz="12" w:space="0" w:color="FF9E3C"/>
            </w:tcBorders>
            <w:shd w:val="clear" w:color="auto" w:fill="auto"/>
            <w:vAlign w:val="center"/>
            <w:hideMark/>
          </w:tcPr>
          <w:p w14:paraId="2A76AD5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67,199</w:t>
            </w:r>
          </w:p>
        </w:tc>
        <w:tc>
          <w:tcPr>
            <w:tcW w:w="850" w:type="dxa"/>
            <w:tcBorders>
              <w:top w:val="nil"/>
              <w:left w:val="nil"/>
              <w:bottom w:val="single" w:sz="12" w:space="0" w:color="FF9E3C"/>
              <w:right w:val="single" w:sz="12" w:space="0" w:color="FF9E3C"/>
            </w:tcBorders>
            <w:shd w:val="clear" w:color="auto" w:fill="auto"/>
            <w:vAlign w:val="center"/>
            <w:hideMark/>
          </w:tcPr>
          <w:p w14:paraId="25E488BF"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100</w:t>
            </w:r>
          </w:p>
        </w:tc>
      </w:tr>
    </w:tbl>
    <w:p w14:paraId="0ED143D4" w14:textId="009471B0" w:rsidR="006C7F31" w:rsidRPr="00AF621D" w:rsidRDefault="006C7F31" w:rsidP="002901C9">
      <w:pPr>
        <w:pStyle w:val="VRGFBodycontent"/>
        <w:rPr>
          <w:rFonts w:eastAsia="MS Mincho" w:cs="Arial"/>
          <w:color w:val="1C3158"/>
          <w:sz w:val="16"/>
        </w:rPr>
      </w:pPr>
      <w:r w:rsidRPr="00AF621D">
        <w:rPr>
          <w:rFonts w:cs="Arial"/>
          <w:color w:val="1C3158"/>
          <w:sz w:val="16"/>
          <w:szCs w:val="16"/>
        </w:rPr>
        <w:t xml:space="preserve">Weighted population bases: </w:t>
      </w:r>
      <w:r w:rsidRPr="00AF621D">
        <w:rPr>
          <w:rFonts w:eastAsia="MS Mincho" w:cs="Arial"/>
          <w:color w:val="1C3158"/>
          <w:sz w:val="16"/>
        </w:rPr>
        <w:t>Total New Zealand PGSI 1+ (n=260,011)</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PGSI: low-risk (n=175,511), moderate-risk (n=61,470), problem gambling (n=23,029)</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Employment status &amp; PGSI 1+: employed (n=159,194), unemployment (n=40,638), student/homemaker/retired (n=57,383), and other employment type (n=2,795).</w:t>
      </w:r>
    </w:p>
    <w:p w14:paraId="319F892A" w14:textId="6DBBA1C0" w:rsidR="006C7F31" w:rsidRPr="00AF621D" w:rsidRDefault="006C7F31" w:rsidP="006C7F31">
      <w:pPr>
        <w:pStyle w:val="VRGFBodycontent"/>
      </w:pPr>
      <w:r w:rsidRPr="00AF621D">
        <w:t>As presented in</w:t>
      </w:r>
      <w:r w:rsidR="004677FC" w:rsidRPr="00AF621D">
        <w:t xml:space="preserve"> </w:t>
      </w:r>
      <w:r w:rsidR="004677FC" w:rsidRPr="00AF621D">
        <w:fldChar w:fldCharType="begin"/>
      </w:r>
      <w:r w:rsidR="004677FC" w:rsidRPr="00AF621D">
        <w:instrText xml:space="preserve"> REF _Ref445566778 \h </w:instrText>
      </w:r>
      <w:r w:rsidR="00AF621D">
        <w:instrText xml:space="preserve"> \* MERGEFORMAT </w:instrText>
      </w:r>
      <w:r w:rsidR="004677FC" w:rsidRPr="00AF621D">
        <w:fldChar w:fldCharType="separate"/>
      </w:r>
      <w:r w:rsidR="0006479A" w:rsidRPr="00AF621D">
        <w:t xml:space="preserve">Table </w:t>
      </w:r>
      <w:r w:rsidR="0006479A">
        <w:rPr>
          <w:noProof/>
        </w:rPr>
        <w:t>33</w:t>
      </w:r>
      <w:r w:rsidR="004677FC" w:rsidRPr="00AF621D">
        <w:fldChar w:fldCharType="end"/>
      </w:r>
      <w:r w:rsidRPr="00AF621D">
        <w:t xml:space="preserve">, just over two-thirds of the harm due to gambling to the NZ adult population occurs to </w:t>
      </w:r>
      <w:r w:rsidR="00C0435A" w:rsidRPr="00AF621D">
        <w:t xml:space="preserve">people </w:t>
      </w:r>
      <w:r w:rsidRPr="00AF621D">
        <w:t xml:space="preserve">with a personal income </w:t>
      </w:r>
      <w:r w:rsidR="00C0435A" w:rsidRPr="00AF621D">
        <w:t xml:space="preserve">of </w:t>
      </w:r>
      <w:r w:rsidRPr="00AF621D">
        <w:t>$40</w:t>
      </w:r>
      <w:r w:rsidR="00C0435A" w:rsidRPr="00AF621D">
        <w:t>,000</w:t>
      </w:r>
      <w:r w:rsidRPr="00AF621D">
        <w:t xml:space="preserve"> or </w:t>
      </w:r>
      <w:r w:rsidR="00C0435A" w:rsidRPr="00AF621D">
        <w:t xml:space="preserve">less </w:t>
      </w:r>
      <w:r w:rsidRPr="00AF621D">
        <w:t>(67.6%), followed by nearly one-fifth from in the next income bracket of $40</w:t>
      </w:r>
      <w:r w:rsidR="00C0435A" w:rsidRPr="00AF621D">
        <w:t xml:space="preserve">,001 </w:t>
      </w:r>
      <w:r w:rsidRPr="00AF621D">
        <w:t>-</w:t>
      </w:r>
      <w:r w:rsidR="00C0435A" w:rsidRPr="00AF621D">
        <w:t xml:space="preserve"> $</w:t>
      </w:r>
      <w:r w:rsidRPr="00AF621D">
        <w:t>60</w:t>
      </w:r>
      <w:r w:rsidR="00C0435A" w:rsidRPr="00AF621D">
        <w:t>,000</w:t>
      </w:r>
      <w:r w:rsidRPr="00AF621D">
        <w:t xml:space="preserve"> per annum.</w:t>
      </w:r>
    </w:p>
    <w:p w14:paraId="505DCD19" w14:textId="69126840" w:rsidR="006C7F31" w:rsidRPr="00AF621D" w:rsidRDefault="004677FC" w:rsidP="004677FC">
      <w:pPr>
        <w:pStyle w:val="Caption"/>
        <w:rPr>
          <w:color w:val="1C3158"/>
        </w:rPr>
      </w:pPr>
      <w:bookmarkStart w:id="388" w:name="_Ref445566778"/>
      <w:bookmarkStart w:id="389" w:name="_Toc440900354"/>
      <w:bookmarkStart w:id="390" w:name="_Toc462738136"/>
      <w:r w:rsidRPr="00AF621D">
        <w:t xml:space="preserve">Table </w:t>
      </w:r>
      <w:fldSimple w:instr=" SEQ Table \* ARABIC ">
        <w:r w:rsidR="0006479A">
          <w:rPr>
            <w:noProof/>
          </w:rPr>
          <w:t>33</w:t>
        </w:r>
      </w:fldSimple>
      <w:bookmarkEnd w:id="388"/>
      <w:r w:rsidR="00E832B0" w:rsidRPr="00AF621D">
        <w:t>.</w:t>
      </w:r>
      <w:r w:rsidR="008610D3" w:rsidRPr="00AF621D">
        <w:t xml:space="preserve"> </w:t>
      </w:r>
      <w:r w:rsidR="006C7F31" w:rsidRPr="00AF621D">
        <w:rPr>
          <w:color w:val="1C3158"/>
        </w:rPr>
        <w:t>Gambling</w:t>
      </w:r>
      <w:r w:rsidR="00286F9C">
        <w:rPr>
          <w:color w:val="1C3158"/>
        </w:rPr>
        <w:t>-related</w:t>
      </w:r>
      <w:r w:rsidR="006C7F31" w:rsidRPr="00AF621D">
        <w:rPr>
          <w:color w:val="1C3158"/>
        </w:rPr>
        <w:t xml:space="preserve"> harms to the New Zealand adult population by personal income and PGSI category</w:t>
      </w:r>
      <w:bookmarkEnd w:id="389"/>
      <w:bookmarkEnd w:id="390"/>
    </w:p>
    <w:tbl>
      <w:tblPr>
        <w:tblW w:w="8632" w:type="dxa"/>
        <w:tblLayout w:type="fixed"/>
        <w:tblLook w:val="04A0" w:firstRow="1" w:lastRow="0" w:firstColumn="1" w:lastColumn="0" w:noHBand="0" w:noVBand="1"/>
      </w:tblPr>
      <w:tblGrid>
        <w:gridCol w:w="1312"/>
        <w:gridCol w:w="941"/>
        <w:gridCol w:w="851"/>
        <w:gridCol w:w="992"/>
        <w:gridCol w:w="851"/>
        <w:gridCol w:w="992"/>
        <w:gridCol w:w="788"/>
        <w:gridCol w:w="1055"/>
        <w:gridCol w:w="850"/>
      </w:tblGrid>
      <w:tr w:rsidR="006C7F31" w:rsidRPr="00AF621D" w14:paraId="4DD1B8E9" w14:textId="77777777" w:rsidTr="00286F9C">
        <w:trPr>
          <w:trHeight w:val="330"/>
        </w:trPr>
        <w:tc>
          <w:tcPr>
            <w:tcW w:w="1312"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399224CE"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Personal Income</w:t>
            </w:r>
          </w:p>
        </w:tc>
        <w:tc>
          <w:tcPr>
            <w:tcW w:w="1792"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69ABBD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6924179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780"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28AAE84F"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905"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F9EE55B"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6C7F31" w:rsidRPr="00AF621D" w14:paraId="16A37B7F" w14:textId="77777777" w:rsidTr="00286F9C">
        <w:trPr>
          <w:trHeight w:val="330"/>
        </w:trPr>
        <w:tc>
          <w:tcPr>
            <w:tcW w:w="1312" w:type="dxa"/>
            <w:vMerge/>
            <w:tcBorders>
              <w:top w:val="single" w:sz="12" w:space="0" w:color="FF9E3C"/>
              <w:left w:val="single" w:sz="12" w:space="0" w:color="FF9E3C"/>
              <w:bottom w:val="single" w:sz="12" w:space="0" w:color="FF9E3C"/>
              <w:right w:val="single" w:sz="12" w:space="0" w:color="FF9E3C"/>
            </w:tcBorders>
            <w:vAlign w:val="center"/>
            <w:hideMark/>
          </w:tcPr>
          <w:p w14:paraId="01AFAF38"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941" w:type="dxa"/>
            <w:tcBorders>
              <w:top w:val="nil"/>
              <w:left w:val="nil"/>
              <w:bottom w:val="single" w:sz="12" w:space="0" w:color="FF9E3C"/>
              <w:right w:val="single" w:sz="12" w:space="0" w:color="FF9E3C"/>
            </w:tcBorders>
            <w:shd w:val="clear" w:color="000000" w:fill="FFBC64"/>
            <w:vAlign w:val="center"/>
            <w:hideMark/>
          </w:tcPr>
          <w:p w14:paraId="4BE1B263" w14:textId="28D84B49"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2C855EE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139693B8" w14:textId="30DBA0DF"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12ADBE7B"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2E7136D9" w14:textId="3888692E"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788" w:type="dxa"/>
            <w:tcBorders>
              <w:top w:val="nil"/>
              <w:left w:val="nil"/>
              <w:bottom w:val="single" w:sz="12" w:space="0" w:color="FF9E3C"/>
              <w:right w:val="single" w:sz="12" w:space="0" w:color="FF9E3C"/>
            </w:tcBorders>
            <w:shd w:val="clear" w:color="000000" w:fill="FFBC64"/>
            <w:vAlign w:val="center"/>
            <w:hideMark/>
          </w:tcPr>
          <w:p w14:paraId="4851E538"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1055" w:type="dxa"/>
            <w:tcBorders>
              <w:top w:val="nil"/>
              <w:left w:val="nil"/>
              <w:bottom w:val="single" w:sz="12" w:space="0" w:color="FF9E3C"/>
              <w:right w:val="single" w:sz="12" w:space="0" w:color="FF9E3C"/>
            </w:tcBorders>
            <w:shd w:val="clear" w:color="000000" w:fill="FFBC64"/>
            <w:vAlign w:val="center"/>
            <w:hideMark/>
          </w:tcPr>
          <w:p w14:paraId="08D36CA4" w14:textId="50355D7B"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31FB7425"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6C7F31" w:rsidRPr="00AF621D" w14:paraId="2070B255" w14:textId="77777777" w:rsidTr="00286F9C">
        <w:trPr>
          <w:trHeight w:val="330"/>
        </w:trPr>
        <w:tc>
          <w:tcPr>
            <w:tcW w:w="1312" w:type="dxa"/>
            <w:tcBorders>
              <w:top w:val="nil"/>
              <w:left w:val="single" w:sz="12" w:space="0" w:color="FF9E3C"/>
              <w:bottom w:val="single" w:sz="12" w:space="0" w:color="FF9E3C"/>
              <w:right w:val="single" w:sz="12" w:space="0" w:color="FF9E3C"/>
            </w:tcBorders>
            <w:shd w:val="clear" w:color="auto" w:fill="auto"/>
            <w:vAlign w:val="center"/>
          </w:tcPr>
          <w:p w14:paraId="18C578A0"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&lt;$20,000</w:t>
            </w:r>
          </w:p>
        </w:tc>
        <w:tc>
          <w:tcPr>
            <w:tcW w:w="941" w:type="dxa"/>
            <w:tcBorders>
              <w:top w:val="nil"/>
              <w:left w:val="nil"/>
              <w:bottom w:val="single" w:sz="12" w:space="0" w:color="FF9E3C"/>
              <w:right w:val="single" w:sz="12" w:space="0" w:color="FF9E3C"/>
            </w:tcBorders>
            <w:shd w:val="clear" w:color="auto" w:fill="auto"/>
            <w:vAlign w:val="center"/>
          </w:tcPr>
          <w:p w14:paraId="6AB1628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10,579</w:t>
            </w:r>
          </w:p>
        </w:tc>
        <w:tc>
          <w:tcPr>
            <w:tcW w:w="851" w:type="dxa"/>
            <w:tcBorders>
              <w:top w:val="nil"/>
              <w:left w:val="nil"/>
              <w:bottom w:val="single" w:sz="12" w:space="0" w:color="FF9E3C"/>
              <w:right w:val="single" w:sz="12" w:space="0" w:color="FF9E3C"/>
            </w:tcBorders>
            <w:shd w:val="clear" w:color="auto" w:fill="auto"/>
            <w:vAlign w:val="center"/>
          </w:tcPr>
          <w:p w14:paraId="321D84B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16.7</w:t>
            </w:r>
          </w:p>
        </w:tc>
        <w:tc>
          <w:tcPr>
            <w:tcW w:w="992" w:type="dxa"/>
            <w:tcBorders>
              <w:top w:val="nil"/>
              <w:left w:val="nil"/>
              <w:bottom w:val="single" w:sz="12" w:space="0" w:color="FF9E3C"/>
              <w:right w:val="single" w:sz="12" w:space="0" w:color="FF9E3C"/>
            </w:tcBorders>
            <w:shd w:val="clear" w:color="auto" w:fill="auto"/>
            <w:vAlign w:val="center"/>
          </w:tcPr>
          <w:p w14:paraId="31788E9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9,148</w:t>
            </w:r>
          </w:p>
        </w:tc>
        <w:tc>
          <w:tcPr>
            <w:tcW w:w="851" w:type="dxa"/>
            <w:tcBorders>
              <w:top w:val="nil"/>
              <w:left w:val="nil"/>
              <w:bottom w:val="single" w:sz="12" w:space="0" w:color="FF9E3C"/>
              <w:right w:val="single" w:sz="12" w:space="0" w:color="FF9E3C"/>
            </w:tcBorders>
            <w:shd w:val="clear" w:color="auto" w:fill="auto"/>
            <w:vAlign w:val="center"/>
          </w:tcPr>
          <w:p w14:paraId="7902D5D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14.4</w:t>
            </w:r>
          </w:p>
        </w:tc>
        <w:tc>
          <w:tcPr>
            <w:tcW w:w="992" w:type="dxa"/>
            <w:tcBorders>
              <w:top w:val="nil"/>
              <w:left w:val="nil"/>
              <w:bottom w:val="single" w:sz="12" w:space="0" w:color="FF9E3C"/>
              <w:right w:val="single" w:sz="12" w:space="0" w:color="FF9E3C"/>
            </w:tcBorders>
            <w:shd w:val="clear" w:color="auto" w:fill="auto"/>
            <w:vAlign w:val="center"/>
          </w:tcPr>
          <w:p w14:paraId="7CD3D3D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3,921</w:t>
            </w:r>
          </w:p>
        </w:tc>
        <w:tc>
          <w:tcPr>
            <w:tcW w:w="788" w:type="dxa"/>
            <w:tcBorders>
              <w:top w:val="nil"/>
              <w:left w:val="nil"/>
              <w:bottom w:val="single" w:sz="12" w:space="0" w:color="FF9E3C"/>
              <w:right w:val="single" w:sz="12" w:space="0" w:color="FF9E3C"/>
            </w:tcBorders>
            <w:shd w:val="clear" w:color="auto" w:fill="auto"/>
            <w:vAlign w:val="center"/>
          </w:tcPr>
          <w:p w14:paraId="65735E8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6.2</w:t>
            </w:r>
          </w:p>
        </w:tc>
        <w:tc>
          <w:tcPr>
            <w:tcW w:w="1055" w:type="dxa"/>
            <w:tcBorders>
              <w:top w:val="nil"/>
              <w:left w:val="nil"/>
              <w:bottom w:val="single" w:sz="12" w:space="0" w:color="FF9E3C"/>
              <w:right w:val="single" w:sz="12" w:space="0" w:color="FF9E3C"/>
            </w:tcBorders>
            <w:shd w:val="clear" w:color="auto" w:fill="auto"/>
            <w:vAlign w:val="center"/>
          </w:tcPr>
          <w:p w14:paraId="15FE8FD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23,649</w:t>
            </w:r>
          </w:p>
        </w:tc>
        <w:tc>
          <w:tcPr>
            <w:tcW w:w="850" w:type="dxa"/>
            <w:tcBorders>
              <w:top w:val="nil"/>
              <w:left w:val="nil"/>
              <w:bottom w:val="single" w:sz="12" w:space="0" w:color="FF9E3C"/>
              <w:right w:val="single" w:sz="12" w:space="0" w:color="FF9E3C"/>
            </w:tcBorders>
            <w:shd w:val="clear" w:color="auto" w:fill="auto"/>
            <w:vAlign w:val="center"/>
          </w:tcPr>
          <w:p w14:paraId="61E16F1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37.3</w:t>
            </w:r>
          </w:p>
        </w:tc>
      </w:tr>
      <w:tr w:rsidR="006C7F31" w:rsidRPr="00AF621D" w14:paraId="2ABCBAE6" w14:textId="77777777" w:rsidTr="00286F9C">
        <w:trPr>
          <w:trHeight w:val="330"/>
        </w:trPr>
        <w:tc>
          <w:tcPr>
            <w:tcW w:w="1312" w:type="dxa"/>
            <w:tcBorders>
              <w:top w:val="nil"/>
              <w:left w:val="single" w:sz="12" w:space="0" w:color="FF9E3C"/>
              <w:bottom w:val="single" w:sz="12" w:space="0" w:color="FF9E3C"/>
              <w:right w:val="single" w:sz="12" w:space="0" w:color="FF9E3C"/>
            </w:tcBorders>
            <w:shd w:val="clear" w:color="auto" w:fill="auto"/>
            <w:vAlign w:val="center"/>
          </w:tcPr>
          <w:p w14:paraId="1E7637F4"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$20,001 - $40,000</w:t>
            </w:r>
          </w:p>
        </w:tc>
        <w:tc>
          <w:tcPr>
            <w:tcW w:w="941" w:type="dxa"/>
            <w:tcBorders>
              <w:top w:val="nil"/>
              <w:left w:val="nil"/>
              <w:bottom w:val="single" w:sz="12" w:space="0" w:color="FF9E3C"/>
              <w:right w:val="single" w:sz="12" w:space="0" w:color="FF9E3C"/>
            </w:tcBorders>
            <w:shd w:val="clear" w:color="auto" w:fill="auto"/>
            <w:vAlign w:val="center"/>
          </w:tcPr>
          <w:p w14:paraId="384D53A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7,749</w:t>
            </w:r>
          </w:p>
        </w:tc>
        <w:tc>
          <w:tcPr>
            <w:tcW w:w="851" w:type="dxa"/>
            <w:tcBorders>
              <w:top w:val="nil"/>
              <w:left w:val="nil"/>
              <w:bottom w:val="single" w:sz="12" w:space="0" w:color="FF9E3C"/>
              <w:right w:val="single" w:sz="12" w:space="0" w:color="FF9E3C"/>
            </w:tcBorders>
            <w:shd w:val="clear" w:color="auto" w:fill="auto"/>
            <w:vAlign w:val="center"/>
          </w:tcPr>
          <w:p w14:paraId="098ED02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12.2</w:t>
            </w:r>
          </w:p>
        </w:tc>
        <w:tc>
          <w:tcPr>
            <w:tcW w:w="992" w:type="dxa"/>
            <w:tcBorders>
              <w:top w:val="nil"/>
              <w:left w:val="nil"/>
              <w:bottom w:val="single" w:sz="12" w:space="0" w:color="FF9E3C"/>
              <w:right w:val="single" w:sz="12" w:space="0" w:color="FF9E3C"/>
            </w:tcBorders>
            <w:shd w:val="clear" w:color="auto" w:fill="auto"/>
            <w:vAlign w:val="center"/>
          </w:tcPr>
          <w:p w14:paraId="46D3977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7,935</w:t>
            </w:r>
          </w:p>
        </w:tc>
        <w:tc>
          <w:tcPr>
            <w:tcW w:w="851" w:type="dxa"/>
            <w:tcBorders>
              <w:top w:val="nil"/>
              <w:left w:val="nil"/>
              <w:bottom w:val="single" w:sz="12" w:space="0" w:color="FF9E3C"/>
              <w:right w:val="single" w:sz="12" w:space="0" w:color="FF9E3C"/>
            </w:tcBorders>
            <w:shd w:val="clear" w:color="auto" w:fill="auto"/>
            <w:vAlign w:val="center"/>
          </w:tcPr>
          <w:p w14:paraId="3E66BEB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12.5</w:t>
            </w:r>
          </w:p>
        </w:tc>
        <w:tc>
          <w:tcPr>
            <w:tcW w:w="992" w:type="dxa"/>
            <w:tcBorders>
              <w:top w:val="nil"/>
              <w:left w:val="nil"/>
              <w:bottom w:val="single" w:sz="12" w:space="0" w:color="FF9E3C"/>
              <w:right w:val="single" w:sz="12" w:space="0" w:color="FF9E3C"/>
            </w:tcBorders>
            <w:shd w:val="clear" w:color="auto" w:fill="auto"/>
            <w:vAlign w:val="center"/>
          </w:tcPr>
          <w:p w14:paraId="06B06B4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3,562</w:t>
            </w:r>
          </w:p>
        </w:tc>
        <w:tc>
          <w:tcPr>
            <w:tcW w:w="788" w:type="dxa"/>
            <w:tcBorders>
              <w:top w:val="nil"/>
              <w:left w:val="nil"/>
              <w:bottom w:val="single" w:sz="12" w:space="0" w:color="FF9E3C"/>
              <w:right w:val="single" w:sz="12" w:space="0" w:color="FF9E3C"/>
            </w:tcBorders>
            <w:shd w:val="clear" w:color="auto" w:fill="auto"/>
            <w:vAlign w:val="center"/>
          </w:tcPr>
          <w:p w14:paraId="3911082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5.6</w:t>
            </w:r>
          </w:p>
        </w:tc>
        <w:tc>
          <w:tcPr>
            <w:tcW w:w="1055" w:type="dxa"/>
            <w:tcBorders>
              <w:top w:val="nil"/>
              <w:left w:val="nil"/>
              <w:bottom w:val="single" w:sz="12" w:space="0" w:color="FF9E3C"/>
              <w:right w:val="single" w:sz="12" w:space="0" w:color="FF9E3C"/>
            </w:tcBorders>
            <w:shd w:val="clear" w:color="auto" w:fill="auto"/>
            <w:vAlign w:val="center"/>
          </w:tcPr>
          <w:p w14:paraId="5D723C7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19,245</w:t>
            </w:r>
          </w:p>
        </w:tc>
        <w:tc>
          <w:tcPr>
            <w:tcW w:w="850" w:type="dxa"/>
            <w:tcBorders>
              <w:top w:val="nil"/>
              <w:left w:val="nil"/>
              <w:bottom w:val="single" w:sz="12" w:space="0" w:color="FF9E3C"/>
              <w:right w:val="single" w:sz="12" w:space="0" w:color="FF9E3C"/>
            </w:tcBorders>
            <w:shd w:val="clear" w:color="auto" w:fill="auto"/>
            <w:vAlign w:val="center"/>
          </w:tcPr>
          <w:p w14:paraId="0287B1C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30.3</w:t>
            </w:r>
          </w:p>
        </w:tc>
      </w:tr>
      <w:tr w:rsidR="006C7F31" w:rsidRPr="00AF621D" w14:paraId="3F806D99" w14:textId="77777777" w:rsidTr="00286F9C">
        <w:trPr>
          <w:trHeight w:val="330"/>
        </w:trPr>
        <w:tc>
          <w:tcPr>
            <w:tcW w:w="1312" w:type="dxa"/>
            <w:tcBorders>
              <w:top w:val="nil"/>
              <w:left w:val="single" w:sz="12" w:space="0" w:color="FF9E3C"/>
              <w:bottom w:val="single" w:sz="12" w:space="0" w:color="FF9E3C"/>
              <w:right w:val="single" w:sz="12" w:space="0" w:color="FF9E3C"/>
            </w:tcBorders>
            <w:shd w:val="clear" w:color="auto" w:fill="auto"/>
            <w:vAlign w:val="center"/>
          </w:tcPr>
          <w:p w14:paraId="255AD097"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$40,001 - $60,000</w:t>
            </w:r>
          </w:p>
        </w:tc>
        <w:tc>
          <w:tcPr>
            <w:tcW w:w="941" w:type="dxa"/>
            <w:tcBorders>
              <w:top w:val="nil"/>
              <w:left w:val="nil"/>
              <w:bottom w:val="single" w:sz="12" w:space="0" w:color="FF9E3C"/>
              <w:right w:val="single" w:sz="12" w:space="0" w:color="FF9E3C"/>
            </w:tcBorders>
            <w:shd w:val="clear" w:color="auto" w:fill="auto"/>
            <w:vAlign w:val="center"/>
          </w:tcPr>
          <w:p w14:paraId="280102D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6,660</w:t>
            </w:r>
          </w:p>
        </w:tc>
        <w:tc>
          <w:tcPr>
            <w:tcW w:w="851" w:type="dxa"/>
            <w:tcBorders>
              <w:top w:val="nil"/>
              <w:left w:val="nil"/>
              <w:bottom w:val="single" w:sz="12" w:space="0" w:color="FF9E3C"/>
              <w:right w:val="single" w:sz="12" w:space="0" w:color="FF9E3C"/>
            </w:tcBorders>
            <w:shd w:val="clear" w:color="auto" w:fill="auto"/>
            <w:vAlign w:val="center"/>
          </w:tcPr>
          <w:p w14:paraId="49D64DE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10.5</w:t>
            </w:r>
          </w:p>
        </w:tc>
        <w:tc>
          <w:tcPr>
            <w:tcW w:w="992" w:type="dxa"/>
            <w:tcBorders>
              <w:top w:val="nil"/>
              <w:left w:val="nil"/>
              <w:bottom w:val="single" w:sz="12" w:space="0" w:color="FF9E3C"/>
              <w:right w:val="single" w:sz="12" w:space="0" w:color="FF9E3C"/>
            </w:tcBorders>
            <w:shd w:val="clear" w:color="auto" w:fill="auto"/>
            <w:vAlign w:val="center"/>
          </w:tcPr>
          <w:p w14:paraId="3D77EE1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3,125</w:t>
            </w:r>
          </w:p>
        </w:tc>
        <w:tc>
          <w:tcPr>
            <w:tcW w:w="851" w:type="dxa"/>
            <w:tcBorders>
              <w:top w:val="nil"/>
              <w:left w:val="nil"/>
              <w:bottom w:val="single" w:sz="12" w:space="0" w:color="FF9E3C"/>
              <w:right w:val="single" w:sz="12" w:space="0" w:color="FF9E3C"/>
            </w:tcBorders>
            <w:shd w:val="clear" w:color="auto" w:fill="auto"/>
            <w:vAlign w:val="center"/>
          </w:tcPr>
          <w:p w14:paraId="3CF69BC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4.9</w:t>
            </w:r>
          </w:p>
        </w:tc>
        <w:tc>
          <w:tcPr>
            <w:tcW w:w="992" w:type="dxa"/>
            <w:tcBorders>
              <w:top w:val="nil"/>
              <w:left w:val="nil"/>
              <w:bottom w:val="single" w:sz="12" w:space="0" w:color="FF9E3C"/>
              <w:right w:val="single" w:sz="12" w:space="0" w:color="FF9E3C"/>
            </w:tcBorders>
            <w:shd w:val="clear" w:color="auto" w:fill="auto"/>
            <w:vAlign w:val="center"/>
          </w:tcPr>
          <w:p w14:paraId="5BC3524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2,400</w:t>
            </w:r>
          </w:p>
        </w:tc>
        <w:tc>
          <w:tcPr>
            <w:tcW w:w="788" w:type="dxa"/>
            <w:tcBorders>
              <w:top w:val="nil"/>
              <w:left w:val="nil"/>
              <w:bottom w:val="single" w:sz="12" w:space="0" w:color="FF9E3C"/>
              <w:right w:val="single" w:sz="12" w:space="0" w:color="FF9E3C"/>
            </w:tcBorders>
            <w:shd w:val="clear" w:color="auto" w:fill="auto"/>
            <w:vAlign w:val="center"/>
          </w:tcPr>
          <w:p w14:paraId="6F38229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3.8</w:t>
            </w:r>
          </w:p>
        </w:tc>
        <w:tc>
          <w:tcPr>
            <w:tcW w:w="1055" w:type="dxa"/>
            <w:tcBorders>
              <w:top w:val="nil"/>
              <w:left w:val="nil"/>
              <w:bottom w:val="single" w:sz="12" w:space="0" w:color="FF9E3C"/>
              <w:right w:val="single" w:sz="12" w:space="0" w:color="FF9E3C"/>
            </w:tcBorders>
            <w:shd w:val="clear" w:color="auto" w:fill="auto"/>
            <w:vAlign w:val="center"/>
          </w:tcPr>
          <w:p w14:paraId="5794E36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12,185</w:t>
            </w:r>
          </w:p>
        </w:tc>
        <w:tc>
          <w:tcPr>
            <w:tcW w:w="850" w:type="dxa"/>
            <w:tcBorders>
              <w:top w:val="nil"/>
              <w:left w:val="nil"/>
              <w:bottom w:val="single" w:sz="12" w:space="0" w:color="FF9E3C"/>
              <w:right w:val="single" w:sz="12" w:space="0" w:color="FF9E3C"/>
            </w:tcBorders>
            <w:shd w:val="clear" w:color="auto" w:fill="auto"/>
            <w:vAlign w:val="center"/>
          </w:tcPr>
          <w:p w14:paraId="05E50F1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19.2</w:t>
            </w:r>
          </w:p>
        </w:tc>
      </w:tr>
      <w:tr w:rsidR="006C7F31" w:rsidRPr="00AF621D" w14:paraId="20308CA9" w14:textId="77777777" w:rsidTr="00286F9C">
        <w:trPr>
          <w:trHeight w:val="330"/>
        </w:trPr>
        <w:tc>
          <w:tcPr>
            <w:tcW w:w="1312" w:type="dxa"/>
            <w:tcBorders>
              <w:top w:val="nil"/>
              <w:left w:val="single" w:sz="12" w:space="0" w:color="FF9E3C"/>
              <w:bottom w:val="single" w:sz="12" w:space="0" w:color="FF9E3C"/>
              <w:right w:val="single" w:sz="12" w:space="0" w:color="FF9E3C"/>
            </w:tcBorders>
            <w:shd w:val="clear" w:color="auto" w:fill="auto"/>
            <w:vAlign w:val="center"/>
          </w:tcPr>
          <w:p w14:paraId="3CF95FAC"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$61,001 - $80,000</w:t>
            </w:r>
          </w:p>
        </w:tc>
        <w:tc>
          <w:tcPr>
            <w:tcW w:w="941" w:type="dxa"/>
            <w:tcBorders>
              <w:top w:val="nil"/>
              <w:left w:val="nil"/>
              <w:bottom w:val="single" w:sz="12" w:space="0" w:color="FF9E3C"/>
              <w:right w:val="single" w:sz="12" w:space="0" w:color="FF9E3C"/>
            </w:tcBorders>
            <w:shd w:val="clear" w:color="auto" w:fill="auto"/>
            <w:vAlign w:val="center"/>
          </w:tcPr>
          <w:p w14:paraId="45D8223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2,337</w:t>
            </w:r>
          </w:p>
        </w:tc>
        <w:tc>
          <w:tcPr>
            <w:tcW w:w="851" w:type="dxa"/>
            <w:tcBorders>
              <w:top w:val="nil"/>
              <w:left w:val="nil"/>
              <w:bottom w:val="single" w:sz="12" w:space="0" w:color="FF9E3C"/>
              <w:right w:val="single" w:sz="12" w:space="0" w:color="FF9E3C"/>
            </w:tcBorders>
            <w:shd w:val="clear" w:color="auto" w:fill="auto"/>
            <w:vAlign w:val="center"/>
          </w:tcPr>
          <w:p w14:paraId="0FA4DAC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3.7</w:t>
            </w:r>
          </w:p>
        </w:tc>
        <w:tc>
          <w:tcPr>
            <w:tcW w:w="992" w:type="dxa"/>
            <w:tcBorders>
              <w:top w:val="nil"/>
              <w:left w:val="nil"/>
              <w:bottom w:val="single" w:sz="12" w:space="0" w:color="FF9E3C"/>
              <w:right w:val="single" w:sz="12" w:space="0" w:color="FF9E3C"/>
            </w:tcBorders>
            <w:shd w:val="clear" w:color="auto" w:fill="auto"/>
            <w:vAlign w:val="center"/>
          </w:tcPr>
          <w:p w14:paraId="42695BA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1,778</w:t>
            </w:r>
          </w:p>
        </w:tc>
        <w:tc>
          <w:tcPr>
            <w:tcW w:w="851" w:type="dxa"/>
            <w:tcBorders>
              <w:top w:val="nil"/>
              <w:left w:val="nil"/>
              <w:bottom w:val="single" w:sz="12" w:space="0" w:color="FF9E3C"/>
              <w:right w:val="single" w:sz="12" w:space="0" w:color="FF9E3C"/>
            </w:tcBorders>
            <w:shd w:val="clear" w:color="auto" w:fill="auto"/>
            <w:vAlign w:val="center"/>
          </w:tcPr>
          <w:p w14:paraId="5EEF112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2.8</w:t>
            </w:r>
          </w:p>
        </w:tc>
        <w:tc>
          <w:tcPr>
            <w:tcW w:w="992" w:type="dxa"/>
            <w:tcBorders>
              <w:top w:val="nil"/>
              <w:left w:val="nil"/>
              <w:bottom w:val="single" w:sz="12" w:space="0" w:color="FF9E3C"/>
              <w:right w:val="single" w:sz="12" w:space="0" w:color="FF9E3C"/>
            </w:tcBorders>
            <w:shd w:val="clear" w:color="auto" w:fill="auto"/>
            <w:vAlign w:val="center"/>
          </w:tcPr>
          <w:p w14:paraId="1472EBE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1,072</w:t>
            </w:r>
          </w:p>
        </w:tc>
        <w:tc>
          <w:tcPr>
            <w:tcW w:w="788" w:type="dxa"/>
            <w:tcBorders>
              <w:top w:val="nil"/>
              <w:left w:val="nil"/>
              <w:bottom w:val="single" w:sz="12" w:space="0" w:color="FF9E3C"/>
              <w:right w:val="single" w:sz="12" w:space="0" w:color="FF9E3C"/>
            </w:tcBorders>
            <w:shd w:val="clear" w:color="auto" w:fill="auto"/>
            <w:vAlign w:val="center"/>
          </w:tcPr>
          <w:p w14:paraId="17D1B14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1.7</w:t>
            </w:r>
          </w:p>
        </w:tc>
        <w:tc>
          <w:tcPr>
            <w:tcW w:w="1055" w:type="dxa"/>
            <w:tcBorders>
              <w:top w:val="nil"/>
              <w:left w:val="nil"/>
              <w:bottom w:val="single" w:sz="12" w:space="0" w:color="FF9E3C"/>
              <w:right w:val="single" w:sz="12" w:space="0" w:color="FF9E3C"/>
            </w:tcBorders>
            <w:shd w:val="clear" w:color="auto" w:fill="auto"/>
            <w:vAlign w:val="center"/>
          </w:tcPr>
          <w:p w14:paraId="6289A90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5,187</w:t>
            </w:r>
          </w:p>
        </w:tc>
        <w:tc>
          <w:tcPr>
            <w:tcW w:w="850" w:type="dxa"/>
            <w:tcBorders>
              <w:top w:val="nil"/>
              <w:left w:val="nil"/>
              <w:bottom w:val="single" w:sz="12" w:space="0" w:color="FF9E3C"/>
              <w:right w:val="single" w:sz="12" w:space="0" w:color="FF9E3C"/>
            </w:tcBorders>
            <w:shd w:val="clear" w:color="auto" w:fill="auto"/>
            <w:vAlign w:val="center"/>
          </w:tcPr>
          <w:p w14:paraId="56268E5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8.2</w:t>
            </w:r>
          </w:p>
        </w:tc>
      </w:tr>
      <w:tr w:rsidR="006C7F31" w:rsidRPr="00AF621D" w14:paraId="52896E68" w14:textId="77777777" w:rsidTr="00286F9C">
        <w:trPr>
          <w:trHeight w:val="330"/>
        </w:trPr>
        <w:tc>
          <w:tcPr>
            <w:tcW w:w="1312" w:type="dxa"/>
            <w:tcBorders>
              <w:top w:val="nil"/>
              <w:left w:val="single" w:sz="12" w:space="0" w:color="FF9E3C"/>
              <w:bottom w:val="single" w:sz="12" w:space="0" w:color="FF9E3C"/>
              <w:right w:val="single" w:sz="12" w:space="0" w:color="FF9E3C"/>
            </w:tcBorders>
            <w:shd w:val="clear" w:color="auto" w:fill="auto"/>
            <w:vAlign w:val="center"/>
          </w:tcPr>
          <w:p w14:paraId="0190E113"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$80,001 - $100,000</w:t>
            </w:r>
          </w:p>
        </w:tc>
        <w:tc>
          <w:tcPr>
            <w:tcW w:w="941" w:type="dxa"/>
            <w:tcBorders>
              <w:top w:val="nil"/>
              <w:left w:val="nil"/>
              <w:bottom w:val="single" w:sz="12" w:space="0" w:color="FF9E3C"/>
              <w:right w:val="single" w:sz="12" w:space="0" w:color="FF9E3C"/>
            </w:tcBorders>
            <w:shd w:val="clear" w:color="auto" w:fill="auto"/>
            <w:vAlign w:val="center"/>
          </w:tcPr>
          <w:p w14:paraId="2E1759C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1,202</w:t>
            </w:r>
          </w:p>
        </w:tc>
        <w:tc>
          <w:tcPr>
            <w:tcW w:w="851" w:type="dxa"/>
            <w:tcBorders>
              <w:top w:val="nil"/>
              <w:left w:val="nil"/>
              <w:bottom w:val="single" w:sz="12" w:space="0" w:color="FF9E3C"/>
              <w:right w:val="single" w:sz="12" w:space="0" w:color="FF9E3C"/>
            </w:tcBorders>
            <w:shd w:val="clear" w:color="auto" w:fill="auto"/>
            <w:vAlign w:val="center"/>
          </w:tcPr>
          <w:p w14:paraId="50DC639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1.9</w:t>
            </w:r>
          </w:p>
        </w:tc>
        <w:tc>
          <w:tcPr>
            <w:tcW w:w="992" w:type="dxa"/>
            <w:tcBorders>
              <w:top w:val="nil"/>
              <w:left w:val="nil"/>
              <w:bottom w:val="single" w:sz="12" w:space="0" w:color="FF9E3C"/>
              <w:right w:val="single" w:sz="12" w:space="0" w:color="FF9E3C"/>
            </w:tcBorders>
            <w:shd w:val="clear" w:color="auto" w:fill="auto"/>
            <w:vAlign w:val="center"/>
          </w:tcPr>
          <w:p w14:paraId="31E5689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225</w:t>
            </w:r>
          </w:p>
        </w:tc>
        <w:tc>
          <w:tcPr>
            <w:tcW w:w="851" w:type="dxa"/>
            <w:tcBorders>
              <w:top w:val="nil"/>
              <w:left w:val="nil"/>
              <w:bottom w:val="single" w:sz="12" w:space="0" w:color="FF9E3C"/>
              <w:right w:val="single" w:sz="12" w:space="0" w:color="FF9E3C"/>
            </w:tcBorders>
            <w:shd w:val="clear" w:color="auto" w:fill="auto"/>
            <w:vAlign w:val="center"/>
          </w:tcPr>
          <w:p w14:paraId="48EA4B0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0.4</w:t>
            </w:r>
          </w:p>
        </w:tc>
        <w:tc>
          <w:tcPr>
            <w:tcW w:w="992" w:type="dxa"/>
            <w:tcBorders>
              <w:top w:val="nil"/>
              <w:left w:val="nil"/>
              <w:bottom w:val="single" w:sz="12" w:space="0" w:color="FF9E3C"/>
              <w:right w:val="single" w:sz="12" w:space="0" w:color="FF9E3C"/>
            </w:tcBorders>
            <w:shd w:val="clear" w:color="auto" w:fill="auto"/>
            <w:vAlign w:val="center"/>
          </w:tcPr>
          <w:p w14:paraId="5F4C89F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378</w:t>
            </w:r>
          </w:p>
        </w:tc>
        <w:tc>
          <w:tcPr>
            <w:tcW w:w="788" w:type="dxa"/>
            <w:tcBorders>
              <w:top w:val="nil"/>
              <w:left w:val="nil"/>
              <w:bottom w:val="single" w:sz="12" w:space="0" w:color="FF9E3C"/>
              <w:right w:val="single" w:sz="12" w:space="0" w:color="FF9E3C"/>
            </w:tcBorders>
            <w:shd w:val="clear" w:color="auto" w:fill="auto"/>
            <w:vAlign w:val="center"/>
          </w:tcPr>
          <w:p w14:paraId="16563E8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0.6</w:t>
            </w:r>
          </w:p>
        </w:tc>
        <w:tc>
          <w:tcPr>
            <w:tcW w:w="1055" w:type="dxa"/>
            <w:tcBorders>
              <w:top w:val="nil"/>
              <w:left w:val="nil"/>
              <w:bottom w:val="single" w:sz="12" w:space="0" w:color="FF9E3C"/>
              <w:right w:val="single" w:sz="12" w:space="0" w:color="FF9E3C"/>
            </w:tcBorders>
            <w:shd w:val="clear" w:color="auto" w:fill="auto"/>
            <w:vAlign w:val="center"/>
          </w:tcPr>
          <w:p w14:paraId="05A85F96"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1,805</w:t>
            </w:r>
          </w:p>
        </w:tc>
        <w:tc>
          <w:tcPr>
            <w:tcW w:w="850" w:type="dxa"/>
            <w:tcBorders>
              <w:top w:val="nil"/>
              <w:left w:val="nil"/>
              <w:bottom w:val="single" w:sz="12" w:space="0" w:color="FF9E3C"/>
              <w:right w:val="single" w:sz="12" w:space="0" w:color="FF9E3C"/>
            </w:tcBorders>
            <w:shd w:val="clear" w:color="auto" w:fill="auto"/>
            <w:vAlign w:val="center"/>
          </w:tcPr>
          <w:p w14:paraId="2767C1F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2.8</w:t>
            </w:r>
          </w:p>
        </w:tc>
      </w:tr>
      <w:tr w:rsidR="006C7F31" w:rsidRPr="00AF621D" w14:paraId="6F22AE81" w14:textId="77777777" w:rsidTr="00286F9C">
        <w:trPr>
          <w:trHeight w:val="330"/>
        </w:trPr>
        <w:tc>
          <w:tcPr>
            <w:tcW w:w="1312" w:type="dxa"/>
            <w:tcBorders>
              <w:top w:val="nil"/>
              <w:left w:val="single" w:sz="12" w:space="0" w:color="FF9E3C"/>
              <w:bottom w:val="single" w:sz="12" w:space="0" w:color="FF9E3C"/>
              <w:right w:val="single" w:sz="12" w:space="0" w:color="FF9E3C"/>
            </w:tcBorders>
            <w:shd w:val="clear" w:color="auto" w:fill="auto"/>
            <w:vAlign w:val="center"/>
          </w:tcPr>
          <w:p w14:paraId="7D5D7CC5"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lang w:eastAsia="ja-JP"/>
              </w:rPr>
              <w:t>&gt;$100,000</w:t>
            </w:r>
          </w:p>
        </w:tc>
        <w:tc>
          <w:tcPr>
            <w:tcW w:w="941" w:type="dxa"/>
            <w:tcBorders>
              <w:top w:val="nil"/>
              <w:left w:val="nil"/>
              <w:bottom w:val="single" w:sz="12" w:space="0" w:color="FF9E3C"/>
              <w:right w:val="single" w:sz="12" w:space="0" w:color="FF9E3C"/>
            </w:tcBorders>
            <w:shd w:val="clear" w:color="auto" w:fill="auto"/>
            <w:vAlign w:val="center"/>
          </w:tcPr>
          <w:p w14:paraId="06888E7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1,213</w:t>
            </w:r>
          </w:p>
        </w:tc>
        <w:tc>
          <w:tcPr>
            <w:tcW w:w="851" w:type="dxa"/>
            <w:tcBorders>
              <w:top w:val="nil"/>
              <w:left w:val="nil"/>
              <w:bottom w:val="single" w:sz="12" w:space="0" w:color="FF9E3C"/>
              <w:right w:val="single" w:sz="12" w:space="0" w:color="FF9E3C"/>
            </w:tcBorders>
            <w:shd w:val="clear" w:color="auto" w:fill="auto"/>
            <w:vAlign w:val="center"/>
          </w:tcPr>
          <w:p w14:paraId="3FCE8A0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1.9</w:t>
            </w:r>
          </w:p>
        </w:tc>
        <w:tc>
          <w:tcPr>
            <w:tcW w:w="992" w:type="dxa"/>
            <w:tcBorders>
              <w:top w:val="nil"/>
              <w:left w:val="nil"/>
              <w:bottom w:val="single" w:sz="12" w:space="0" w:color="FF9E3C"/>
              <w:right w:val="single" w:sz="12" w:space="0" w:color="FF9E3C"/>
            </w:tcBorders>
            <w:shd w:val="clear" w:color="auto" w:fill="auto"/>
            <w:vAlign w:val="center"/>
          </w:tcPr>
          <w:p w14:paraId="71911E3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w:t>
            </w:r>
          </w:p>
        </w:tc>
        <w:tc>
          <w:tcPr>
            <w:tcW w:w="851" w:type="dxa"/>
            <w:tcBorders>
              <w:top w:val="nil"/>
              <w:left w:val="nil"/>
              <w:bottom w:val="single" w:sz="12" w:space="0" w:color="FF9E3C"/>
              <w:right w:val="single" w:sz="12" w:space="0" w:color="FF9E3C"/>
            </w:tcBorders>
            <w:shd w:val="clear" w:color="auto" w:fill="auto"/>
            <w:vAlign w:val="center"/>
          </w:tcPr>
          <w:p w14:paraId="67419D6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0.0</w:t>
            </w:r>
          </w:p>
        </w:tc>
        <w:tc>
          <w:tcPr>
            <w:tcW w:w="992" w:type="dxa"/>
            <w:tcBorders>
              <w:top w:val="nil"/>
              <w:left w:val="nil"/>
              <w:bottom w:val="single" w:sz="12" w:space="0" w:color="FF9E3C"/>
              <w:right w:val="single" w:sz="12" w:space="0" w:color="FF9E3C"/>
            </w:tcBorders>
            <w:shd w:val="clear" w:color="auto" w:fill="auto"/>
            <w:vAlign w:val="center"/>
          </w:tcPr>
          <w:p w14:paraId="5B40DF9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148</w:t>
            </w:r>
          </w:p>
        </w:tc>
        <w:tc>
          <w:tcPr>
            <w:tcW w:w="788" w:type="dxa"/>
            <w:tcBorders>
              <w:top w:val="nil"/>
              <w:left w:val="nil"/>
              <w:bottom w:val="single" w:sz="12" w:space="0" w:color="FF9E3C"/>
              <w:right w:val="single" w:sz="12" w:space="0" w:color="FF9E3C"/>
            </w:tcBorders>
            <w:shd w:val="clear" w:color="auto" w:fill="auto"/>
            <w:vAlign w:val="center"/>
          </w:tcPr>
          <w:p w14:paraId="62CDCBB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0.2</w:t>
            </w:r>
          </w:p>
        </w:tc>
        <w:tc>
          <w:tcPr>
            <w:tcW w:w="1055" w:type="dxa"/>
            <w:tcBorders>
              <w:top w:val="nil"/>
              <w:left w:val="nil"/>
              <w:bottom w:val="single" w:sz="12" w:space="0" w:color="FF9E3C"/>
              <w:right w:val="single" w:sz="12" w:space="0" w:color="FF9E3C"/>
            </w:tcBorders>
            <w:shd w:val="clear" w:color="auto" w:fill="auto"/>
            <w:vAlign w:val="center"/>
          </w:tcPr>
          <w:p w14:paraId="0C0DFA7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1,360</w:t>
            </w:r>
          </w:p>
        </w:tc>
        <w:tc>
          <w:tcPr>
            <w:tcW w:w="850" w:type="dxa"/>
            <w:tcBorders>
              <w:top w:val="nil"/>
              <w:left w:val="nil"/>
              <w:bottom w:val="single" w:sz="12" w:space="0" w:color="FF9E3C"/>
              <w:right w:val="single" w:sz="12" w:space="0" w:color="FF9E3C"/>
            </w:tcBorders>
            <w:shd w:val="clear" w:color="auto" w:fill="auto"/>
            <w:vAlign w:val="center"/>
          </w:tcPr>
          <w:p w14:paraId="0F4F454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lang w:eastAsia="ja-JP"/>
              </w:rPr>
              <w:t>2.1</w:t>
            </w:r>
          </w:p>
        </w:tc>
      </w:tr>
      <w:tr w:rsidR="006C7F31" w:rsidRPr="00AF621D" w14:paraId="10C1DB31" w14:textId="77777777" w:rsidTr="00286F9C">
        <w:trPr>
          <w:trHeight w:val="330"/>
        </w:trPr>
        <w:tc>
          <w:tcPr>
            <w:tcW w:w="1312" w:type="dxa"/>
            <w:tcBorders>
              <w:top w:val="nil"/>
              <w:left w:val="single" w:sz="12" w:space="0" w:color="FF9E3C"/>
              <w:bottom w:val="single" w:sz="12" w:space="0" w:color="FF9E3C"/>
              <w:right w:val="single" w:sz="12" w:space="0" w:color="FF9E3C"/>
            </w:tcBorders>
            <w:shd w:val="clear" w:color="auto" w:fill="auto"/>
            <w:vAlign w:val="center"/>
            <w:hideMark/>
          </w:tcPr>
          <w:p w14:paraId="208D7DA8"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Total</w:t>
            </w:r>
          </w:p>
        </w:tc>
        <w:tc>
          <w:tcPr>
            <w:tcW w:w="941" w:type="dxa"/>
            <w:tcBorders>
              <w:top w:val="nil"/>
              <w:left w:val="nil"/>
              <w:bottom w:val="single" w:sz="12" w:space="0" w:color="FF9E3C"/>
              <w:right w:val="single" w:sz="12" w:space="0" w:color="FF9E3C"/>
            </w:tcBorders>
            <w:shd w:val="clear" w:color="auto" w:fill="auto"/>
            <w:vAlign w:val="center"/>
            <w:hideMark/>
          </w:tcPr>
          <w:p w14:paraId="6F1A53FF"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29,740</w:t>
            </w:r>
          </w:p>
        </w:tc>
        <w:tc>
          <w:tcPr>
            <w:tcW w:w="851" w:type="dxa"/>
            <w:tcBorders>
              <w:top w:val="nil"/>
              <w:left w:val="nil"/>
              <w:bottom w:val="single" w:sz="12" w:space="0" w:color="FF9E3C"/>
              <w:right w:val="single" w:sz="12" w:space="0" w:color="FF9E3C"/>
            </w:tcBorders>
            <w:shd w:val="clear" w:color="auto" w:fill="auto"/>
            <w:vAlign w:val="center"/>
            <w:hideMark/>
          </w:tcPr>
          <w:p w14:paraId="60153FCB"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46.9</w:t>
            </w:r>
          </w:p>
        </w:tc>
        <w:tc>
          <w:tcPr>
            <w:tcW w:w="992" w:type="dxa"/>
            <w:tcBorders>
              <w:top w:val="nil"/>
              <w:left w:val="nil"/>
              <w:bottom w:val="single" w:sz="12" w:space="0" w:color="FF9E3C"/>
              <w:right w:val="single" w:sz="12" w:space="0" w:color="FF9E3C"/>
            </w:tcBorders>
            <w:shd w:val="clear" w:color="auto" w:fill="auto"/>
            <w:vAlign w:val="center"/>
            <w:hideMark/>
          </w:tcPr>
          <w:p w14:paraId="2A3D26C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22,211</w:t>
            </w:r>
          </w:p>
        </w:tc>
        <w:tc>
          <w:tcPr>
            <w:tcW w:w="851" w:type="dxa"/>
            <w:tcBorders>
              <w:top w:val="nil"/>
              <w:left w:val="nil"/>
              <w:bottom w:val="single" w:sz="12" w:space="0" w:color="FF9E3C"/>
              <w:right w:val="single" w:sz="12" w:space="0" w:color="FF9E3C"/>
            </w:tcBorders>
            <w:shd w:val="clear" w:color="auto" w:fill="auto"/>
            <w:vAlign w:val="center"/>
            <w:hideMark/>
          </w:tcPr>
          <w:p w14:paraId="0705D74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35.0</w:t>
            </w:r>
          </w:p>
        </w:tc>
        <w:tc>
          <w:tcPr>
            <w:tcW w:w="992" w:type="dxa"/>
            <w:tcBorders>
              <w:top w:val="nil"/>
              <w:left w:val="nil"/>
              <w:bottom w:val="single" w:sz="12" w:space="0" w:color="FF9E3C"/>
              <w:right w:val="single" w:sz="12" w:space="0" w:color="FF9E3C"/>
            </w:tcBorders>
            <w:shd w:val="clear" w:color="auto" w:fill="auto"/>
            <w:vAlign w:val="center"/>
            <w:hideMark/>
          </w:tcPr>
          <w:p w14:paraId="06203B4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11,481</w:t>
            </w:r>
          </w:p>
        </w:tc>
        <w:tc>
          <w:tcPr>
            <w:tcW w:w="788" w:type="dxa"/>
            <w:tcBorders>
              <w:top w:val="nil"/>
              <w:left w:val="nil"/>
              <w:bottom w:val="single" w:sz="12" w:space="0" w:color="FF9E3C"/>
              <w:right w:val="single" w:sz="12" w:space="0" w:color="FF9E3C"/>
            </w:tcBorders>
            <w:shd w:val="clear" w:color="auto" w:fill="auto"/>
            <w:vAlign w:val="center"/>
            <w:hideMark/>
          </w:tcPr>
          <w:p w14:paraId="1D8EB1A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18.1</w:t>
            </w:r>
          </w:p>
        </w:tc>
        <w:tc>
          <w:tcPr>
            <w:tcW w:w="1055" w:type="dxa"/>
            <w:tcBorders>
              <w:top w:val="nil"/>
              <w:left w:val="nil"/>
              <w:bottom w:val="single" w:sz="12" w:space="0" w:color="FF9E3C"/>
              <w:right w:val="single" w:sz="12" w:space="0" w:color="FF9E3C"/>
            </w:tcBorders>
            <w:shd w:val="clear" w:color="auto" w:fill="auto"/>
            <w:vAlign w:val="center"/>
            <w:hideMark/>
          </w:tcPr>
          <w:p w14:paraId="06429A4F"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63,432</w:t>
            </w:r>
          </w:p>
        </w:tc>
        <w:tc>
          <w:tcPr>
            <w:tcW w:w="850" w:type="dxa"/>
            <w:tcBorders>
              <w:top w:val="nil"/>
              <w:left w:val="nil"/>
              <w:bottom w:val="single" w:sz="12" w:space="0" w:color="FF9E3C"/>
              <w:right w:val="single" w:sz="12" w:space="0" w:color="FF9E3C"/>
            </w:tcBorders>
            <w:shd w:val="clear" w:color="auto" w:fill="auto"/>
            <w:vAlign w:val="center"/>
            <w:hideMark/>
          </w:tcPr>
          <w:p w14:paraId="44266A1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100</w:t>
            </w:r>
          </w:p>
        </w:tc>
      </w:tr>
    </w:tbl>
    <w:p w14:paraId="7802958E" w14:textId="55F377F8" w:rsidR="006C7F31" w:rsidRPr="00AF621D" w:rsidRDefault="006C7F31" w:rsidP="002901C9">
      <w:pPr>
        <w:pStyle w:val="VRGFBodycontent"/>
        <w:spacing w:after="0"/>
        <w:rPr>
          <w:rFonts w:eastAsia="MS Mincho" w:cs="Arial"/>
          <w:color w:val="1C3158"/>
          <w:sz w:val="16"/>
        </w:rPr>
      </w:pPr>
      <w:r w:rsidRPr="00AF621D">
        <w:rPr>
          <w:rFonts w:cs="Arial"/>
          <w:color w:val="1C3158"/>
          <w:sz w:val="16"/>
          <w:szCs w:val="16"/>
        </w:rPr>
        <w:t xml:space="preserve">Weighted population bases*: </w:t>
      </w:r>
      <w:r w:rsidRPr="00AF621D">
        <w:rPr>
          <w:rFonts w:eastAsia="MS Mincho" w:cs="Arial"/>
          <w:color w:val="1C3158"/>
          <w:sz w:val="16"/>
        </w:rPr>
        <w:t>Total New Zealand PGSI 1+ (n=243,599)</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PGSI: low-risk (n=175,511), moderate-risk (n=60,473), problem gambling (n=21,425)</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Personal income &amp; PGSI 1+: &lt;$20,000 (n=89,747), $20,001-$40,000 (n=70,382), $40,001-$60,000 (n=49,199), $60.001-$80,000 (n=19,549), $80,001-$100,000 (n=7,854), &gt;$100,000 (n=6,868).</w:t>
      </w:r>
    </w:p>
    <w:p w14:paraId="16304F9D" w14:textId="77777777" w:rsidR="006C7F31" w:rsidRPr="00AF621D" w:rsidRDefault="006C7F31" w:rsidP="00C82A76">
      <w:pPr>
        <w:pStyle w:val="VRGFBodycontent"/>
        <w:spacing w:before="60" w:after="0" w:line="240" w:lineRule="auto"/>
        <w:rPr>
          <w:rFonts w:eastAsia="MS Mincho" w:cs="Arial"/>
          <w:color w:val="1C3158"/>
          <w:sz w:val="16"/>
        </w:rPr>
      </w:pPr>
      <w:r w:rsidRPr="00AF621D">
        <w:rPr>
          <w:rFonts w:eastAsia="MS Mincho" w:cs="Arial"/>
          <w:color w:val="1C3158"/>
          <w:sz w:val="16"/>
        </w:rPr>
        <w:t>*Excludes missing data for weighted population &amp; PGSI 1+ (n=16,412).</w:t>
      </w:r>
    </w:p>
    <w:p w14:paraId="566B0A95" w14:textId="77777777" w:rsidR="006C7F31" w:rsidRPr="00AF621D" w:rsidRDefault="006C7F31" w:rsidP="006C7F31">
      <w:pPr>
        <w:pStyle w:val="VRGFBodycontent"/>
        <w:rPr>
          <w:rFonts w:eastAsia="MS Mincho"/>
        </w:rPr>
      </w:pPr>
    </w:p>
    <w:p w14:paraId="3A50A4D8" w14:textId="77777777" w:rsidR="00C82A76" w:rsidRPr="00AF621D" w:rsidRDefault="00C82A76" w:rsidP="006C7F31">
      <w:pPr>
        <w:pStyle w:val="VRGFBodycontent"/>
        <w:rPr>
          <w:rFonts w:eastAsia="MS Mincho"/>
        </w:rPr>
      </w:pPr>
    </w:p>
    <w:p w14:paraId="42D0C065" w14:textId="77777777" w:rsidR="00C82A76" w:rsidRPr="00AF621D" w:rsidRDefault="00C82A76" w:rsidP="006C7F31">
      <w:pPr>
        <w:pStyle w:val="VRGFBodycontent"/>
        <w:rPr>
          <w:rFonts w:eastAsia="MS Mincho"/>
        </w:rPr>
      </w:pPr>
    </w:p>
    <w:p w14:paraId="5D71B8EF" w14:textId="77777777" w:rsidR="00C82A76" w:rsidRPr="00AF621D" w:rsidRDefault="00C82A76" w:rsidP="006C7F31">
      <w:pPr>
        <w:pStyle w:val="VRGFBodycontent"/>
        <w:rPr>
          <w:rFonts w:eastAsia="MS Mincho"/>
        </w:rPr>
      </w:pPr>
    </w:p>
    <w:p w14:paraId="6ED08548" w14:textId="77777777" w:rsidR="00C82A76" w:rsidRPr="00AF621D" w:rsidRDefault="00C82A76" w:rsidP="006C7F31">
      <w:pPr>
        <w:pStyle w:val="VRGFBodycontent"/>
        <w:rPr>
          <w:rFonts w:eastAsia="MS Mincho"/>
        </w:rPr>
      </w:pPr>
    </w:p>
    <w:p w14:paraId="2DC5A59F" w14:textId="77777777" w:rsidR="00B35B78" w:rsidRPr="00AF621D" w:rsidRDefault="00B35B78" w:rsidP="006C7F31">
      <w:pPr>
        <w:pStyle w:val="VRGFBodycontent"/>
        <w:rPr>
          <w:rFonts w:eastAsia="MS Mincho"/>
        </w:rPr>
      </w:pPr>
    </w:p>
    <w:p w14:paraId="6381DA15" w14:textId="5AF3933C" w:rsidR="006C7F31" w:rsidRPr="00AF621D" w:rsidRDefault="006C7F31" w:rsidP="006C7F31">
      <w:pPr>
        <w:pStyle w:val="VRGFBodycontent"/>
        <w:rPr>
          <w:rFonts w:eastAsia="MS Mincho"/>
        </w:rPr>
      </w:pPr>
      <w:r w:rsidRPr="00AF621D">
        <w:rPr>
          <w:rFonts w:eastAsia="MS Mincho"/>
        </w:rPr>
        <w:t>As shown in</w:t>
      </w:r>
      <w:r w:rsidR="004677FC" w:rsidRPr="00AF621D">
        <w:rPr>
          <w:rFonts w:eastAsia="MS Mincho"/>
        </w:rPr>
        <w:t xml:space="preserve"> </w:t>
      </w:r>
      <w:r w:rsidR="004677FC" w:rsidRPr="00AF621D">
        <w:rPr>
          <w:rFonts w:eastAsia="MS Mincho"/>
        </w:rPr>
        <w:fldChar w:fldCharType="begin"/>
      </w:r>
      <w:r w:rsidR="004677FC" w:rsidRPr="00AF621D">
        <w:rPr>
          <w:rFonts w:eastAsia="MS Mincho"/>
        </w:rPr>
        <w:instrText xml:space="preserve"> REF _Ref445566809 \h </w:instrText>
      </w:r>
      <w:r w:rsidR="00AF621D">
        <w:rPr>
          <w:rFonts w:eastAsia="MS Mincho"/>
        </w:rPr>
        <w:instrText xml:space="preserve"> \* MERGEFORMAT </w:instrText>
      </w:r>
      <w:r w:rsidR="004677FC" w:rsidRPr="00AF621D">
        <w:rPr>
          <w:rFonts w:eastAsia="MS Mincho"/>
        </w:rPr>
      </w:r>
      <w:r w:rsidR="004677FC" w:rsidRPr="00AF621D">
        <w:rPr>
          <w:rFonts w:eastAsia="MS Mincho"/>
        </w:rPr>
        <w:fldChar w:fldCharType="separate"/>
      </w:r>
      <w:r w:rsidR="0006479A" w:rsidRPr="00AF621D">
        <w:t xml:space="preserve">Table </w:t>
      </w:r>
      <w:r w:rsidR="0006479A">
        <w:rPr>
          <w:noProof/>
        </w:rPr>
        <w:t>34</w:t>
      </w:r>
      <w:r w:rsidR="004677FC" w:rsidRPr="00AF621D">
        <w:rPr>
          <w:rFonts w:eastAsia="MS Mincho"/>
        </w:rPr>
        <w:fldChar w:fldCharType="end"/>
      </w:r>
      <w:r w:rsidRPr="00AF621D">
        <w:rPr>
          <w:rFonts w:eastAsia="MS Mincho"/>
        </w:rPr>
        <w:t xml:space="preserve">, the majority of the total </w:t>
      </w:r>
      <w:r w:rsidR="00286F9C">
        <w:rPr>
          <w:rFonts w:eastAsia="MS Mincho"/>
        </w:rPr>
        <w:t>QALY</w:t>
      </w:r>
      <w:r w:rsidR="00286F9C" w:rsidRPr="00AF621D">
        <w:rPr>
          <w:rFonts w:eastAsia="MS Mincho"/>
          <w:sz w:val="12"/>
        </w:rPr>
        <w:t>1</w:t>
      </w:r>
      <w:r w:rsidR="00286F9C" w:rsidRPr="00AF621D">
        <w:rPr>
          <w:rFonts w:eastAsia="MS Mincho"/>
        </w:rPr>
        <w:t xml:space="preserve"> </w:t>
      </w:r>
      <w:r w:rsidRPr="00AF621D">
        <w:rPr>
          <w:rFonts w:eastAsia="MS Mincho"/>
        </w:rPr>
        <w:t xml:space="preserve">due to gambling harms were for the NZ adult population born in New Zealand (71.2%). </w:t>
      </w:r>
    </w:p>
    <w:p w14:paraId="07983D4F" w14:textId="02365351" w:rsidR="006C7F31" w:rsidRPr="00AF621D" w:rsidRDefault="004677FC" w:rsidP="004677FC">
      <w:pPr>
        <w:pStyle w:val="Caption"/>
        <w:rPr>
          <w:color w:val="1C3158"/>
        </w:rPr>
      </w:pPr>
      <w:bookmarkStart w:id="391" w:name="_Ref445566809"/>
      <w:bookmarkStart w:id="392" w:name="_Toc462738137"/>
      <w:r w:rsidRPr="00AF621D">
        <w:t xml:space="preserve">Table </w:t>
      </w:r>
      <w:fldSimple w:instr=" SEQ Table \* ARABIC ">
        <w:r w:rsidR="0006479A">
          <w:rPr>
            <w:noProof/>
          </w:rPr>
          <w:t>34</w:t>
        </w:r>
      </w:fldSimple>
      <w:bookmarkEnd w:id="391"/>
      <w:r w:rsidR="00E832B0" w:rsidRPr="00AF621D">
        <w:t>.</w:t>
      </w:r>
      <w:r w:rsidR="008610D3" w:rsidRPr="00AF621D">
        <w:t xml:space="preserve"> </w:t>
      </w:r>
      <w:r w:rsidR="006C7F31" w:rsidRPr="00AF621D">
        <w:rPr>
          <w:color w:val="1C3158"/>
        </w:rPr>
        <w:t>Gambling</w:t>
      </w:r>
      <w:r w:rsidR="00286F9C">
        <w:rPr>
          <w:color w:val="1C3158"/>
        </w:rPr>
        <w:t>-related</w:t>
      </w:r>
      <w:r w:rsidR="006C7F31" w:rsidRPr="00AF621D">
        <w:rPr>
          <w:color w:val="1C3158"/>
        </w:rPr>
        <w:t xml:space="preserve"> harms to the New Zealand adult population by Country of Birth and PGSI category</w:t>
      </w:r>
      <w:bookmarkEnd w:id="392"/>
    </w:p>
    <w:tbl>
      <w:tblPr>
        <w:tblW w:w="8632" w:type="dxa"/>
        <w:tblLayout w:type="fixed"/>
        <w:tblLook w:val="04A0" w:firstRow="1" w:lastRow="0" w:firstColumn="1" w:lastColumn="0" w:noHBand="0" w:noVBand="1"/>
      </w:tblPr>
      <w:tblGrid>
        <w:gridCol w:w="1305"/>
        <w:gridCol w:w="948"/>
        <w:gridCol w:w="851"/>
        <w:gridCol w:w="992"/>
        <w:gridCol w:w="794"/>
        <w:gridCol w:w="1049"/>
        <w:gridCol w:w="850"/>
        <w:gridCol w:w="993"/>
        <w:gridCol w:w="850"/>
      </w:tblGrid>
      <w:tr w:rsidR="006C7F31" w:rsidRPr="00AF621D" w14:paraId="4D9AAF76" w14:textId="77777777" w:rsidTr="00286F9C">
        <w:trPr>
          <w:trHeight w:val="330"/>
        </w:trPr>
        <w:tc>
          <w:tcPr>
            <w:tcW w:w="1305"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tcPr>
          <w:p w14:paraId="7674C5D4"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rPr>
              <w:t>Country of Birth</w:t>
            </w:r>
          </w:p>
        </w:tc>
        <w:tc>
          <w:tcPr>
            <w:tcW w:w="1799"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78D656D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786"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51CD730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899"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51C3C5E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5E8C761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6C7F31" w:rsidRPr="00AF621D" w14:paraId="737C6F3A" w14:textId="77777777" w:rsidTr="00286F9C">
        <w:trPr>
          <w:trHeight w:val="330"/>
        </w:trPr>
        <w:tc>
          <w:tcPr>
            <w:tcW w:w="1305" w:type="dxa"/>
            <w:vMerge/>
            <w:tcBorders>
              <w:top w:val="single" w:sz="12" w:space="0" w:color="FF9E3C"/>
              <w:left w:val="single" w:sz="12" w:space="0" w:color="FF9E3C"/>
              <w:bottom w:val="single" w:sz="12" w:space="0" w:color="FF9E3C"/>
              <w:right w:val="single" w:sz="12" w:space="0" w:color="FF9E3C"/>
            </w:tcBorders>
            <w:vAlign w:val="center"/>
          </w:tcPr>
          <w:p w14:paraId="424A25AC"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948" w:type="dxa"/>
            <w:tcBorders>
              <w:top w:val="nil"/>
              <w:left w:val="nil"/>
              <w:bottom w:val="single" w:sz="12" w:space="0" w:color="FF9E3C"/>
              <w:right w:val="single" w:sz="12" w:space="0" w:color="FF9E3C"/>
            </w:tcBorders>
            <w:shd w:val="clear" w:color="000000" w:fill="FFBC64"/>
            <w:vAlign w:val="center"/>
            <w:hideMark/>
          </w:tcPr>
          <w:p w14:paraId="31940F3A" w14:textId="1A33DFD8"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1818F27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1019D91B" w14:textId="6F0B04B0"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794" w:type="dxa"/>
            <w:tcBorders>
              <w:top w:val="nil"/>
              <w:left w:val="nil"/>
              <w:bottom w:val="single" w:sz="12" w:space="0" w:color="FF9E3C"/>
              <w:right w:val="single" w:sz="12" w:space="0" w:color="FF9E3C"/>
            </w:tcBorders>
            <w:shd w:val="clear" w:color="000000" w:fill="FFBC64"/>
            <w:vAlign w:val="center"/>
            <w:hideMark/>
          </w:tcPr>
          <w:p w14:paraId="4AAAA48B"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1049" w:type="dxa"/>
            <w:tcBorders>
              <w:top w:val="nil"/>
              <w:left w:val="nil"/>
              <w:bottom w:val="single" w:sz="12" w:space="0" w:color="FF9E3C"/>
              <w:right w:val="single" w:sz="12" w:space="0" w:color="FF9E3C"/>
            </w:tcBorders>
            <w:shd w:val="clear" w:color="000000" w:fill="FFBC64"/>
            <w:vAlign w:val="center"/>
            <w:hideMark/>
          </w:tcPr>
          <w:p w14:paraId="0F774A22" w14:textId="1E87D769"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6E63A17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3" w:type="dxa"/>
            <w:tcBorders>
              <w:top w:val="nil"/>
              <w:left w:val="nil"/>
              <w:bottom w:val="single" w:sz="12" w:space="0" w:color="FF9E3C"/>
              <w:right w:val="single" w:sz="12" w:space="0" w:color="FF9E3C"/>
            </w:tcBorders>
            <w:shd w:val="clear" w:color="000000" w:fill="FFBC64"/>
            <w:vAlign w:val="center"/>
            <w:hideMark/>
          </w:tcPr>
          <w:p w14:paraId="7F362506" w14:textId="5AEDC98F"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5B374C7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6C7F31" w:rsidRPr="00AF621D" w14:paraId="3007E6FB" w14:textId="77777777" w:rsidTr="00286F9C">
        <w:trPr>
          <w:trHeight w:val="330"/>
        </w:trPr>
        <w:tc>
          <w:tcPr>
            <w:tcW w:w="1305" w:type="dxa"/>
            <w:tcBorders>
              <w:top w:val="nil"/>
              <w:left w:val="single" w:sz="12" w:space="0" w:color="FF9E3C"/>
              <w:bottom w:val="single" w:sz="12" w:space="0" w:color="FF9E3C"/>
              <w:right w:val="single" w:sz="12" w:space="0" w:color="FF9E3C"/>
            </w:tcBorders>
            <w:shd w:val="clear" w:color="auto" w:fill="auto"/>
            <w:vAlign w:val="center"/>
          </w:tcPr>
          <w:p w14:paraId="07C3FEA8"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New Zealand</w:t>
            </w:r>
          </w:p>
        </w:tc>
        <w:tc>
          <w:tcPr>
            <w:tcW w:w="948" w:type="dxa"/>
            <w:tcBorders>
              <w:top w:val="nil"/>
              <w:left w:val="nil"/>
              <w:bottom w:val="single" w:sz="12" w:space="0" w:color="FF9E3C"/>
              <w:right w:val="single" w:sz="12" w:space="0" w:color="FF9E3C"/>
            </w:tcBorders>
            <w:shd w:val="clear" w:color="auto" w:fill="auto"/>
            <w:vAlign w:val="center"/>
          </w:tcPr>
          <w:p w14:paraId="050D2CC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23,414</w:t>
            </w:r>
          </w:p>
        </w:tc>
        <w:tc>
          <w:tcPr>
            <w:tcW w:w="851" w:type="dxa"/>
            <w:tcBorders>
              <w:top w:val="nil"/>
              <w:left w:val="nil"/>
              <w:bottom w:val="single" w:sz="12" w:space="0" w:color="FF9E3C"/>
              <w:right w:val="single" w:sz="12" w:space="0" w:color="FF9E3C"/>
            </w:tcBorders>
            <w:shd w:val="clear" w:color="auto" w:fill="auto"/>
            <w:vAlign w:val="center"/>
          </w:tcPr>
          <w:p w14:paraId="657C900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34.8</w:t>
            </w:r>
          </w:p>
        </w:tc>
        <w:tc>
          <w:tcPr>
            <w:tcW w:w="992" w:type="dxa"/>
            <w:tcBorders>
              <w:top w:val="nil"/>
              <w:left w:val="nil"/>
              <w:bottom w:val="single" w:sz="12" w:space="0" w:color="FF9E3C"/>
              <w:right w:val="single" w:sz="12" w:space="0" w:color="FF9E3C"/>
            </w:tcBorders>
            <w:shd w:val="clear" w:color="auto" w:fill="auto"/>
            <w:vAlign w:val="center"/>
          </w:tcPr>
          <w:p w14:paraId="76AE81C2"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14,478</w:t>
            </w:r>
          </w:p>
        </w:tc>
        <w:tc>
          <w:tcPr>
            <w:tcW w:w="794" w:type="dxa"/>
            <w:tcBorders>
              <w:top w:val="nil"/>
              <w:left w:val="nil"/>
              <w:bottom w:val="single" w:sz="12" w:space="0" w:color="FF9E3C"/>
              <w:right w:val="single" w:sz="12" w:space="0" w:color="FF9E3C"/>
            </w:tcBorders>
            <w:shd w:val="clear" w:color="auto" w:fill="auto"/>
            <w:vAlign w:val="center"/>
          </w:tcPr>
          <w:p w14:paraId="1FB4DD2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21.5</w:t>
            </w:r>
          </w:p>
        </w:tc>
        <w:tc>
          <w:tcPr>
            <w:tcW w:w="1049" w:type="dxa"/>
            <w:tcBorders>
              <w:top w:val="nil"/>
              <w:left w:val="nil"/>
              <w:bottom w:val="single" w:sz="12" w:space="0" w:color="FF9E3C"/>
              <w:right w:val="single" w:sz="12" w:space="0" w:color="FF9E3C"/>
            </w:tcBorders>
            <w:shd w:val="clear" w:color="auto" w:fill="auto"/>
            <w:vAlign w:val="center"/>
          </w:tcPr>
          <w:p w14:paraId="7895B7D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9,972</w:t>
            </w:r>
          </w:p>
        </w:tc>
        <w:tc>
          <w:tcPr>
            <w:tcW w:w="850" w:type="dxa"/>
            <w:tcBorders>
              <w:top w:val="nil"/>
              <w:left w:val="nil"/>
              <w:bottom w:val="single" w:sz="12" w:space="0" w:color="FF9E3C"/>
              <w:right w:val="single" w:sz="12" w:space="0" w:color="FF9E3C"/>
            </w:tcBorders>
            <w:shd w:val="clear" w:color="auto" w:fill="auto"/>
            <w:vAlign w:val="center"/>
          </w:tcPr>
          <w:p w14:paraId="22BA078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14.8</w:t>
            </w:r>
          </w:p>
        </w:tc>
        <w:tc>
          <w:tcPr>
            <w:tcW w:w="993" w:type="dxa"/>
            <w:tcBorders>
              <w:top w:val="nil"/>
              <w:left w:val="nil"/>
              <w:bottom w:val="single" w:sz="12" w:space="0" w:color="FF9E3C"/>
              <w:right w:val="single" w:sz="12" w:space="0" w:color="FF9E3C"/>
            </w:tcBorders>
            <w:shd w:val="clear" w:color="auto" w:fill="auto"/>
            <w:vAlign w:val="center"/>
          </w:tcPr>
          <w:p w14:paraId="55BE781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47,864</w:t>
            </w:r>
          </w:p>
        </w:tc>
        <w:tc>
          <w:tcPr>
            <w:tcW w:w="850" w:type="dxa"/>
            <w:tcBorders>
              <w:top w:val="nil"/>
              <w:left w:val="nil"/>
              <w:bottom w:val="single" w:sz="12" w:space="0" w:color="FF9E3C"/>
              <w:right w:val="single" w:sz="12" w:space="0" w:color="FF9E3C"/>
            </w:tcBorders>
            <w:shd w:val="clear" w:color="auto" w:fill="auto"/>
            <w:vAlign w:val="center"/>
          </w:tcPr>
          <w:p w14:paraId="0710F15B"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71.2</w:t>
            </w:r>
          </w:p>
        </w:tc>
      </w:tr>
      <w:tr w:rsidR="006C7F31" w:rsidRPr="00AF621D" w14:paraId="68D2EA37" w14:textId="77777777" w:rsidTr="00286F9C">
        <w:trPr>
          <w:trHeight w:val="330"/>
        </w:trPr>
        <w:tc>
          <w:tcPr>
            <w:tcW w:w="1305" w:type="dxa"/>
            <w:tcBorders>
              <w:top w:val="nil"/>
              <w:left w:val="single" w:sz="12" w:space="0" w:color="FF9E3C"/>
              <w:bottom w:val="single" w:sz="12" w:space="0" w:color="FF9E3C"/>
              <w:right w:val="single" w:sz="12" w:space="0" w:color="FF9E3C"/>
            </w:tcBorders>
            <w:shd w:val="clear" w:color="auto" w:fill="auto"/>
            <w:vAlign w:val="center"/>
          </w:tcPr>
          <w:p w14:paraId="3A350A7E"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Elsewhere</w:t>
            </w:r>
          </w:p>
        </w:tc>
        <w:tc>
          <w:tcPr>
            <w:tcW w:w="948" w:type="dxa"/>
            <w:tcBorders>
              <w:top w:val="nil"/>
              <w:left w:val="nil"/>
              <w:bottom w:val="single" w:sz="12" w:space="0" w:color="FF9E3C"/>
              <w:right w:val="single" w:sz="12" w:space="0" w:color="FF9E3C"/>
            </w:tcBorders>
            <w:shd w:val="clear" w:color="auto" w:fill="auto"/>
            <w:vAlign w:val="center"/>
          </w:tcPr>
          <w:p w14:paraId="1FE05F6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8,866</w:t>
            </w:r>
          </w:p>
        </w:tc>
        <w:tc>
          <w:tcPr>
            <w:tcW w:w="851" w:type="dxa"/>
            <w:tcBorders>
              <w:top w:val="nil"/>
              <w:left w:val="nil"/>
              <w:bottom w:val="single" w:sz="12" w:space="0" w:color="FF9E3C"/>
              <w:right w:val="single" w:sz="12" w:space="0" w:color="FF9E3C"/>
            </w:tcBorders>
            <w:shd w:val="clear" w:color="auto" w:fill="auto"/>
            <w:vAlign w:val="center"/>
          </w:tcPr>
          <w:p w14:paraId="7DB91E9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13.2</w:t>
            </w:r>
          </w:p>
        </w:tc>
        <w:tc>
          <w:tcPr>
            <w:tcW w:w="992" w:type="dxa"/>
            <w:tcBorders>
              <w:top w:val="nil"/>
              <w:left w:val="nil"/>
              <w:bottom w:val="single" w:sz="12" w:space="0" w:color="FF9E3C"/>
              <w:right w:val="single" w:sz="12" w:space="0" w:color="FF9E3C"/>
            </w:tcBorders>
            <w:shd w:val="clear" w:color="auto" w:fill="auto"/>
            <w:vAlign w:val="center"/>
          </w:tcPr>
          <w:p w14:paraId="41D7E38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8,099</w:t>
            </w:r>
          </w:p>
        </w:tc>
        <w:tc>
          <w:tcPr>
            <w:tcW w:w="794" w:type="dxa"/>
            <w:tcBorders>
              <w:top w:val="nil"/>
              <w:left w:val="nil"/>
              <w:bottom w:val="single" w:sz="12" w:space="0" w:color="FF9E3C"/>
              <w:right w:val="single" w:sz="12" w:space="0" w:color="FF9E3C"/>
            </w:tcBorders>
            <w:shd w:val="clear" w:color="auto" w:fill="auto"/>
            <w:vAlign w:val="center"/>
          </w:tcPr>
          <w:p w14:paraId="12403C9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12.1</w:t>
            </w:r>
          </w:p>
        </w:tc>
        <w:tc>
          <w:tcPr>
            <w:tcW w:w="1049" w:type="dxa"/>
            <w:tcBorders>
              <w:top w:val="nil"/>
              <w:left w:val="nil"/>
              <w:bottom w:val="single" w:sz="12" w:space="0" w:color="FF9E3C"/>
              <w:right w:val="single" w:sz="12" w:space="0" w:color="FF9E3C"/>
            </w:tcBorders>
            <w:shd w:val="clear" w:color="auto" w:fill="auto"/>
            <w:vAlign w:val="center"/>
          </w:tcPr>
          <w:p w14:paraId="4561F79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2,369</w:t>
            </w:r>
          </w:p>
        </w:tc>
        <w:tc>
          <w:tcPr>
            <w:tcW w:w="850" w:type="dxa"/>
            <w:tcBorders>
              <w:top w:val="nil"/>
              <w:left w:val="nil"/>
              <w:bottom w:val="single" w:sz="12" w:space="0" w:color="FF9E3C"/>
              <w:right w:val="single" w:sz="12" w:space="0" w:color="FF9E3C"/>
            </w:tcBorders>
            <w:shd w:val="clear" w:color="auto" w:fill="auto"/>
            <w:vAlign w:val="center"/>
          </w:tcPr>
          <w:p w14:paraId="5A649AF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3.5</w:t>
            </w:r>
          </w:p>
        </w:tc>
        <w:tc>
          <w:tcPr>
            <w:tcW w:w="993" w:type="dxa"/>
            <w:tcBorders>
              <w:top w:val="nil"/>
              <w:left w:val="nil"/>
              <w:bottom w:val="single" w:sz="12" w:space="0" w:color="FF9E3C"/>
              <w:right w:val="single" w:sz="12" w:space="0" w:color="FF9E3C"/>
            </w:tcBorders>
            <w:shd w:val="clear" w:color="auto" w:fill="auto"/>
            <w:vAlign w:val="center"/>
          </w:tcPr>
          <w:p w14:paraId="609B107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19,334</w:t>
            </w:r>
          </w:p>
        </w:tc>
        <w:tc>
          <w:tcPr>
            <w:tcW w:w="850" w:type="dxa"/>
            <w:tcBorders>
              <w:top w:val="nil"/>
              <w:left w:val="nil"/>
              <w:bottom w:val="single" w:sz="12" w:space="0" w:color="FF9E3C"/>
              <w:right w:val="single" w:sz="12" w:space="0" w:color="FF9E3C"/>
            </w:tcBorders>
            <w:shd w:val="clear" w:color="auto" w:fill="auto"/>
            <w:vAlign w:val="center"/>
          </w:tcPr>
          <w:p w14:paraId="37D45BC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28.8</w:t>
            </w:r>
          </w:p>
        </w:tc>
      </w:tr>
      <w:tr w:rsidR="006C7F31" w:rsidRPr="00AF621D" w14:paraId="5C8FE0FD" w14:textId="77777777" w:rsidTr="00286F9C">
        <w:trPr>
          <w:trHeight w:val="330"/>
        </w:trPr>
        <w:tc>
          <w:tcPr>
            <w:tcW w:w="1305" w:type="dxa"/>
            <w:tcBorders>
              <w:top w:val="nil"/>
              <w:left w:val="single" w:sz="12" w:space="0" w:color="FF9E3C"/>
              <w:bottom w:val="single" w:sz="12" w:space="0" w:color="FF9E3C"/>
              <w:right w:val="single" w:sz="12" w:space="0" w:color="FF9E3C"/>
            </w:tcBorders>
            <w:shd w:val="clear" w:color="auto" w:fill="auto"/>
            <w:vAlign w:val="center"/>
            <w:hideMark/>
          </w:tcPr>
          <w:p w14:paraId="7E702DE6"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Total</w:t>
            </w:r>
          </w:p>
        </w:tc>
        <w:tc>
          <w:tcPr>
            <w:tcW w:w="948" w:type="dxa"/>
            <w:tcBorders>
              <w:top w:val="nil"/>
              <w:left w:val="nil"/>
              <w:bottom w:val="single" w:sz="12" w:space="0" w:color="FF9E3C"/>
              <w:right w:val="single" w:sz="12" w:space="0" w:color="FF9E3C"/>
            </w:tcBorders>
            <w:shd w:val="clear" w:color="auto" w:fill="auto"/>
            <w:vAlign w:val="center"/>
          </w:tcPr>
          <w:p w14:paraId="309DBC4E"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32,280</w:t>
            </w:r>
          </w:p>
        </w:tc>
        <w:tc>
          <w:tcPr>
            <w:tcW w:w="851" w:type="dxa"/>
            <w:tcBorders>
              <w:top w:val="nil"/>
              <w:left w:val="nil"/>
              <w:bottom w:val="single" w:sz="12" w:space="0" w:color="FF9E3C"/>
              <w:right w:val="single" w:sz="12" w:space="0" w:color="FF9E3C"/>
            </w:tcBorders>
            <w:shd w:val="clear" w:color="auto" w:fill="auto"/>
            <w:vAlign w:val="center"/>
          </w:tcPr>
          <w:p w14:paraId="2E4DB79B"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48.0</w:t>
            </w:r>
          </w:p>
        </w:tc>
        <w:tc>
          <w:tcPr>
            <w:tcW w:w="992" w:type="dxa"/>
            <w:tcBorders>
              <w:top w:val="nil"/>
              <w:left w:val="nil"/>
              <w:bottom w:val="single" w:sz="12" w:space="0" w:color="FF9E3C"/>
              <w:right w:val="single" w:sz="12" w:space="0" w:color="FF9E3C"/>
            </w:tcBorders>
            <w:shd w:val="clear" w:color="auto" w:fill="auto"/>
            <w:vAlign w:val="center"/>
          </w:tcPr>
          <w:p w14:paraId="768982C8"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22,577</w:t>
            </w:r>
          </w:p>
        </w:tc>
        <w:tc>
          <w:tcPr>
            <w:tcW w:w="794" w:type="dxa"/>
            <w:tcBorders>
              <w:top w:val="nil"/>
              <w:left w:val="nil"/>
              <w:bottom w:val="single" w:sz="12" w:space="0" w:color="FF9E3C"/>
              <w:right w:val="single" w:sz="12" w:space="0" w:color="FF9E3C"/>
            </w:tcBorders>
            <w:shd w:val="clear" w:color="auto" w:fill="auto"/>
            <w:vAlign w:val="center"/>
          </w:tcPr>
          <w:p w14:paraId="146B2BD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33.6</w:t>
            </w:r>
          </w:p>
        </w:tc>
        <w:tc>
          <w:tcPr>
            <w:tcW w:w="1049" w:type="dxa"/>
            <w:tcBorders>
              <w:top w:val="nil"/>
              <w:left w:val="nil"/>
              <w:bottom w:val="single" w:sz="12" w:space="0" w:color="FF9E3C"/>
              <w:right w:val="single" w:sz="12" w:space="0" w:color="FF9E3C"/>
            </w:tcBorders>
            <w:shd w:val="clear" w:color="auto" w:fill="auto"/>
            <w:vAlign w:val="center"/>
          </w:tcPr>
          <w:p w14:paraId="6E7CBFD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12,341</w:t>
            </w:r>
          </w:p>
        </w:tc>
        <w:tc>
          <w:tcPr>
            <w:tcW w:w="850" w:type="dxa"/>
            <w:tcBorders>
              <w:top w:val="nil"/>
              <w:left w:val="nil"/>
              <w:bottom w:val="single" w:sz="12" w:space="0" w:color="FF9E3C"/>
              <w:right w:val="single" w:sz="12" w:space="0" w:color="FF9E3C"/>
            </w:tcBorders>
            <w:shd w:val="clear" w:color="auto" w:fill="auto"/>
            <w:vAlign w:val="center"/>
          </w:tcPr>
          <w:p w14:paraId="42D7E5C2"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18.4</w:t>
            </w:r>
          </w:p>
        </w:tc>
        <w:tc>
          <w:tcPr>
            <w:tcW w:w="993" w:type="dxa"/>
            <w:tcBorders>
              <w:top w:val="nil"/>
              <w:left w:val="nil"/>
              <w:bottom w:val="single" w:sz="12" w:space="0" w:color="FF9E3C"/>
              <w:right w:val="single" w:sz="12" w:space="0" w:color="FF9E3C"/>
            </w:tcBorders>
            <w:shd w:val="clear" w:color="auto" w:fill="auto"/>
            <w:vAlign w:val="center"/>
          </w:tcPr>
          <w:p w14:paraId="6F9610B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67,199</w:t>
            </w:r>
          </w:p>
        </w:tc>
        <w:tc>
          <w:tcPr>
            <w:tcW w:w="850" w:type="dxa"/>
            <w:tcBorders>
              <w:top w:val="nil"/>
              <w:left w:val="nil"/>
              <w:bottom w:val="single" w:sz="12" w:space="0" w:color="FF9E3C"/>
              <w:right w:val="single" w:sz="12" w:space="0" w:color="FF9E3C"/>
            </w:tcBorders>
            <w:shd w:val="clear" w:color="auto" w:fill="auto"/>
            <w:vAlign w:val="center"/>
          </w:tcPr>
          <w:p w14:paraId="6B0C93D2"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100</w:t>
            </w:r>
          </w:p>
        </w:tc>
      </w:tr>
    </w:tbl>
    <w:p w14:paraId="16B733F0" w14:textId="61F6A414" w:rsidR="006C7F31" w:rsidRPr="00AF621D" w:rsidRDefault="006C7F31" w:rsidP="002901C9">
      <w:pPr>
        <w:pStyle w:val="VRGFBodycontent"/>
        <w:rPr>
          <w:rFonts w:eastAsia="MS Mincho"/>
        </w:rPr>
      </w:pPr>
      <w:r w:rsidRPr="00AF621D">
        <w:rPr>
          <w:rFonts w:cs="Arial"/>
          <w:color w:val="1C3158"/>
          <w:sz w:val="16"/>
          <w:szCs w:val="16"/>
        </w:rPr>
        <w:t xml:space="preserve">Weighted population bases: </w:t>
      </w:r>
      <w:r w:rsidRPr="00AF621D">
        <w:rPr>
          <w:rFonts w:eastAsia="MS Mincho" w:cs="Arial"/>
          <w:color w:val="1C3158"/>
          <w:sz w:val="16"/>
        </w:rPr>
        <w:t>Total New Zealand PGSI 1+ (n=260,011)</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PGSI: low-risk (n=175,511), moderate-risk (n=61,470), problem gambling (n=23,029)</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Country of Birth &amp; PGSI 1+: New Zealand (n=185,332), Elsewhere (n=74,679).</w:t>
      </w:r>
    </w:p>
    <w:p w14:paraId="58ADB702" w14:textId="019CC9D3" w:rsidR="006C7F31" w:rsidRPr="00AF621D" w:rsidRDefault="006C7F31" w:rsidP="006C7F31">
      <w:pPr>
        <w:pStyle w:val="VRGFBodycontent"/>
        <w:rPr>
          <w:rFonts w:eastAsia="MS Mincho"/>
        </w:rPr>
      </w:pPr>
      <w:r w:rsidRPr="00AF621D">
        <w:rPr>
          <w:rFonts w:eastAsia="MS Mincho"/>
        </w:rPr>
        <w:t xml:space="preserve">Of the adult population with gambling problems who were not born in New Zealand, nearly 80% of their </w:t>
      </w:r>
      <w:r w:rsidR="00286F9C">
        <w:rPr>
          <w:rFonts w:eastAsia="MS Mincho"/>
        </w:rPr>
        <w:t>QALY</w:t>
      </w:r>
      <w:r w:rsidR="00286F9C" w:rsidRPr="00AF621D">
        <w:rPr>
          <w:rFonts w:eastAsia="MS Mincho"/>
          <w:sz w:val="12"/>
        </w:rPr>
        <w:t>1</w:t>
      </w:r>
      <w:r w:rsidR="00286F9C" w:rsidRPr="00AF621D">
        <w:rPr>
          <w:rFonts w:eastAsia="MS Mincho"/>
        </w:rPr>
        <w:t xml:space="preserve"> </w:t>
      </w:r>
      <w:r w:rsidRPr="00AF621D">
        <w:rPr>
          <w:rFonts w:eastAsia="MS Mincho"/>
        </w:rPr>
        <w:t>due to gambling harms were experienced by those arriving more recently to New Zealand (2008 or later)</w:t>
      </w:r>
      <w:r w:rsidR="00E832B0" w:rsidRPr="00AF621D">
        <w:rPr>
          <w:rFonts w:eastAsia="MS Mincho"/>
        </w:rPr>
        <w:t>.</w:t>
      </w:r>
      <w:r w:rsidR="008610D3" w:rsidRPr="00AF621D">
        <w:rPr>
          <w:rFonts w:eastAsia="MS Mincho"/>
        </w:rPr>
        <w:t xml:space="preserve"> </w:t>
      </w:r>
      <w:r w:rsidRPr="00AF621D">
        <w:rPr>
          <w:rFonts w:eastAsia="MS Mincho"/>
        </w:rPr>
        <w:t>See</w:t>
      </w:r>
      <w:r w:rsidR="004677FC" w:rsidRPr="00AF621D">
        <w:rPr>
          <w:rFonts w:eastAsia="MS Mincho"/>
        </w:rPr>
        <w:t xml:space="preserve"> </w:t>
      </w:r>
      <w:r w:rsidR="004677FC" w:rsidRPr="00AF621D">
        <w:rPr>
          <w:rFonts w:eastAsia="MS Mincho"/>
        </w:rPr>
        <w:fldChar w:fldCharType="begin"/>
      </w:r>
      <w:r w:rsidR="004677FC" w:rsidRPr="00AF621D">
        <w:rPr>
          <w:rFonts w:eastAsia="MS Mincho"/>
        </w:rPr>
        <w:instrText xml:space="preserve"> REF _Ref445566837 \h </w:instrText>
      </w:r>
      <w:r w:rsidR="00AF621D">
        <w:rPr>
          <w:rFonts w:eastAsia="MS Mincho"/>
        </w:rPr>
        <w:instrText xml:space="preserve"> \* MERGEFORMAT </w:instrText>
      </w:r>
      <w:r w:rsidR="004677FC" w:rsidRPr="00AF621D">
        <w:rPr>
          <w:rFonts w:eastAsia="MS Mincho"/>
        </w:rPr>
      </w:r>
      <w:r w:rsidR="004677FC" w:rsidRPr="00AF621D">
        <w:rPr>
          <w:rFonts w:eastAsia="MS Mincho"/>
        </w:rPr>
        <w:fldChar w:fldCharType="separate"/>
      </w:r>
      <w:r w:rsidR="0006479A" w:rsidRPr="00AF621D">
        <w:t xml:space="preserve">Table </w:t>
      </w:r>
      <w:r w:rsidR="0006479A">
        <w:rPr>
          <w:noProof/>
        </w:rPr>
        <w:t>35</w:t>
      </w:r>
      <w:r w:rsidR="004677FC" w:rsidRPr="00AF621D">
        <w:rPr>
          <w:rFonts w:eastAsia="MS Mincho"/>
        </w:rPr>
        <w:fldChar w:fldCharType="end"/>
      </w:r>
      <w:r w:rsidR="002901C9" w:rsidRPr="00AF621D">
        <w:rPr>
          <w:rFonts w:eastAsia="MS Mincho"/>
        </w:rPr>
        <w:t>.</w:t>
      </w:r>
    </w:p>
    <w:p w14:paraId="1B529A26" w14:textId="79270BC3" w:rsidR="006C7F31" w:rsidRPr="00AF621D" w:rsidRDefault="004677FC" w:rsidP="004677FC">
      <w:pPr>
        <w:pStyle w:val="Caption"/>
        <w:rPr>
          <w:color w:val="1C3158"/>
        </w:rPr>
      </w:pPr>
      <w:bookmarkStart w:id="393" w:name="_Ref445566837"/>
      <w:bookmarkStart w:id="394" w:name="_Toc462738138"/>
      <w:r w:rsidRPr="00AF621D">
        <w:t xml:space="preserve">Table </w:t>
      </w:r>
      <w:fldSimple w:instr=" SEQ Table \* ARABIC ">
        <w:r w:rsidR="0006479A">
          <w:rPr>
            <w:noProof/>
          </w:rPr>
          <w:t>35</w:t>
        </w:r>
      </w:fldSimple>
      <w:bookmarkEnd w:id="393"/>
      <w:r w:rsidR="00E832B0" w:rsidRPr="00AF621D">
        <w:t>.</w:t>
      </w:r>
      <w:r w:rsidR="008610D3" w:rsidRPr="00AF621D">
        <w:t xml:space="preserve"> </w:t>
      </w:r>
      <w:r w:rsidR="006C7F31" w:rsidRPr="00AF621D">
        <w:rPr>
          <w:color w:val="1C3158"/>
        </w:rPr>
        <w:t>Gambling</w:t>
      </w:r>
      <w:r w:rsidR="00286F9C">
        <w:rPr>
          <w:color w:val="1C3158"/>
        </w:rPr>
        <w:t>-related</w:t>
      </w:r>
      <w:r w:rsidR="006C7F31" w:rsidRPr="00AF621D">
        <w:rPr>
          <w:color w:val="1C3158"/>
        </w:rPr>
        <w:t xml:space="preserve"> harms to the New Zealand adult population by Year Arrived in NZ and PGSI category</w:t>
      </w:r>
      <w:bookmarkEnd w:id="394"/>
    </w:p>
    <w:tbl>
      <w:tblPr>
        <w:tblW w:w="8673" w:type="dxa"/>
        <w:tblLayout w:type="fixed"/>
        <w:tblLook w:val="04A0" w:firstRow="1" w:lastRow="0" w:firstColumn="1" w:lastColumn="0" w:noHBand="0" w:noVBand="1"/>
      </w:tblPr>
      <w:tblGrid>
        <w:gridCol w:w="1227"/>
        <w:gridCol w:w="885"/>
        <w:gridCol w:w="851"/>
        <w:gridCol w:w="1045"/>
        <w:gridCol w:w="939"/>
        <w:gridCol w:w="1033"/>
        <w:gridCol w:w="850"/>
        <w:gridCol w:w="993"/>
        <w:gridCol w:w="850"/>
      </w:tblGrid>
      <w:tr w:rsidR="006C7F31" w:rsidRPr="00AF621D" w14:paraId="5D79501D" w14:textId="77777777" w:rsidTr="00A91BC1">
        <w:trPr>
          <w:trHeight w:val="330"/>
        </w:trPr>
        <w:tc>
          <w:tcPr>
            <w:tcW w:w="1227"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tcPr>
          <w:p w14:paraId="4AF07627" w14:textId="1526EF47" w:rsidR="006C7F31" w:rsidRPr="00AF621D" w:rsidRDefault="006C7F31" w:rsidP="00C27DBC">
            <w:pPr>
              <w:tabs>
                <w:tab w:val="clear" w:pos="426"/>
              </w:tabs>
              <w:spacing w:before="0" w:after="0" w:line="240" w:lineRule="auto"/>
              <w:ind w:left="0" w:right="0"/>
              <w:rPr>
                <w:rFonts w:cs="Arial"/>
                <w:b/>
                <w:bCs/>
                <w:color w:val="1C3158"/>
                <w:sz w:val="18"/>
                <w:lang w:eastAsia="ja-JP"/>
              </w:rPr>
            </w:pPr>
            <w:r w:rsidRPr="00AF621D">
              <w:rPr>
                <w:rFonts w:cs="Arial"/>
                <w:b/>
                <w:bCs/>
                <w:color w:val="1C3158"/>
                <w:sz w:val="18"/>
              </w:rPr>
              <w:t>Year Arrived to live in NZ</w:t>
            </w:r>
          </w:p>
        </w:tc>
        <w:tc>
          <w:tcPr>
            <w:tcW w:w="1736"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05F1818D"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984"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1D03A75C"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88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3038438C"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7984248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6C7F31" w:rsidRPr="00AF621D" w14:paraId="4BD02F15" w14:textId="77777777" w:rsidTr="00A91BC1">
        <w:trPr>
          <w:trHeight w:val="330"/>
        </w:trPr>
        <w:tc>
          <w:tcPr>
            <w:tcW w:w="1227" w:type="dxa"/>
            <w:vMerge/>
            <w:tcBorders>
              <w:top w:val="single" w:sz="12" w:space="0" w:color="FF9E3C"/>
              <w:left w:val="single" w:sz="12" w:space="0" w:color="FF9E3C"/>
              <w:bottom w:val="single" w:sz="12" w:space="0" w:color="FF9E3C"/>
              <w:right w:val="single" w:sz="12" w:space="0" w:color="FF9E3C"/>
            </w:tcBorders>
            <w:vAlign w:val="center"/>
          </w:tcPr>
          <w:p w14:paraId="12034E11"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885" w:type="dxa"/>
            <w:tcBorders>
              <w:top w:val="nil"/>
              <w:left w:val="nil"/>
              <w:bottom w:val="single" w:sz="12" w:space="0" w:color="FF9E3C"/>
              <w:right w:val="single" w:sz="12" w:space="0" w:color="FF9E3C"/>
            </w:tcBorders>
            <w:shd w:val="clear" w:color="000000" w:fill="FFBC64"/>
            <w:vAlign w:val="center"/>
            <w:hideMark/>
          </w:tcPr>
          <w:p w14:paraId="23D69A60" w14:textId="08666F38"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7AED113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1045" w:type="dxa"/>
            <w:tcBorders>
              <w:top w:val="nil"/>
              <w:left w:val="nil"/>
              <w:bottom w:val="single" w:sz="12" w:space="0" w:color="FF9E3C"/>
              <w:right w:val="single" w:sz="12" w:space="0" w:color="FF9E3C"/>
            </w:tcBorders>
            <w:shd w:val="clear" w:color="000000" w:fill="FFBC64"/>
            <w:vAlign w:val="center"/>
            <w:hideMark/>
          </w:tcPr>
          <w:p w14:paraId="73B9671B" w14:textId="1CD94960"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939" w:type="dxa"/>
            <w:tcBorders>
              <w:top w:val="nil"/>
              <w:left w:val="nil"/>
              <w:bottom w:val="single" w:sz="12" w:space="0" w:color="FF9E3C"/>
              <w:right w:val="single" w:sz="12" w:space="0" w:color="FF9E3C"/>
            </w:tcBorders>
            <w:shd w:val="clear" w:color="000000" w:fill="FFBC64"/>
            <w:vAlign w:val="center"/>
            <w:hideMark/>
          </w:tcPr>
          <w:p w14:paraId="2AB55CA3"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1033" w:type="dxa"/>
            <w:tcBorders>
              <w:top w:val="nil"/>
              <w:left w:val="nil"/>
              <w:bottom w:val="single" w:sz="12" w:space="0" w:color="FF9E3C"/>
              <w:right w:val="single" w:sz="12" w:space="0" w:color="FF9E3C"/>
            </w:tcBorders>
            <w:shd w:val="clear" w:color="000000" w:fill="FFBC64"/>
            <w:vAlign w:val="center"/>
            <w:hideMark/>
          </w:tcPr>
          <w:p w14:paraId="0AAFAD5D" w14:textId="0688A5C3"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109A7B9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3" w:type="dxa"/>
            <w:tcBorders>
              <w:top w:val="nil"/>
              <w:left w:val="nil"/>
              <w:bottom w:val="single" w:sz="12" w:space="0" w:color="FF9E3C"/>
              <w:right w:val="single" w:sz="12" w:space="0" w:color="FF9E3C"/>
            </w:tcBorders>
            <w:shd w:val="clear" w:color="000000" w:fill="FFBC64"/>
            <w:vAlign w:val="center"/>
            <w:hideMark/>
          </w:tcPr>
          <w:p w14:paraId="1184092E" w14:textId="4F4B4B8C"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1160DB7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6C7F31" w:rsidRPr="00AF621D" w14:paraId="00F08FE7" w14:textId="77777777" w:rsidTr="00A91BC1">
        <w:trPr>
          <w:trHeight w:val="330"/>
        </w:trPr>
        <w:tc>
          <w:tcPr>
            <w:tcW w:w="1227" w:type="dxa"/>
            <w:tcBorders>
              <w:top w:val="nil"/>
              <w:left w:val="single" w:sz="12" w:space="0" w:color="FF9E3C"/>
              <w:bottom w:val="single" w:sz="12" w:space="0" w:color="FF9E3C"/>
              <w:right w:val="single" w:sz="12" w:space="0" w:color="FF9E3C"/>
            </w:tcBorders>
            <w:shd w:val="clear" w:color="auto" w:fill="auto"/>
            <w:vAlign w:val="center"/>
          </w:tcPr>
          <w:p w14:paraId="0CAB2414"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2008 or later</w:t>
            </w:r>
          </w:p>
        </w:tc>
        <w:tc>
          <w:tcPr>
            <w:tcW w:w="885" w:type="dxa"/>
            <w:tcBorders>
              <w:top w:val="nil"/>
              <w:left w:val="nil"/>
              <w:bottom w:val="single" w:sz="12" w:space="0" w:color="FF9E3C"/>
              <w:right w:val="single" w:sz="12" w:space="0" w:color="FF9E3C"/>
            </w:tcBorders>
            <w:shd w:val="clear" w:color="auto" w:fill="auto"/>
            <w:vAlign w:val="center"/>
          </w:tcPr>
          <w:p w14:paraId="1C93D8E0"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7,230</w:t>
            </w:r>
          </w:p>
        </w:tc>
        <w:tc>
          <w:tcPr>
            <w:tcW w:w="851" w:type="dxa"/>
            <w:tcBorders>
              <w:top w:val="nil"/>
              <w:left w:val="nil"/>
              <w:bottom w:val="single" w:sz="12" w:space="0" w:color="FF9E3C"/>
              <w:right w:val="single" w:sz="12" w:space="0" w:color="FF9E3C"/>
            </w:tcBorders>
            <w:shd w:val="clear" w:color="auto" w:fill="auto"/>
            <w:vAlign w:val="center"/>
          </w:tcPr>
          <w:p w14:paraId="6EF3D96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37.4</w:t>
            </w:r>
          </w:p>
        </w:tc>
        <w:tc>
          <w:tcPr>
            <w:tcW w:w="1045" w:type="dxa"/>
            <w:tcBorders>
              <w:top w:val="nil"/>
              <w:left w:val="nil"/>
              <w:bottom w:val="single" w:sz="12" w:space="0" w:color="FF9E3C"/>
              <w:right w:val="single" w:sz="12" w:space="0" w:color="FF9E3C"/>
            </w:tcBorders>
            <w:shd w:val="clear" w:color="auto" w:fill="auto"/>
            <w:vAlign w:val="center"/>
          </w:tcPr>
          <w:p w14:paraId="1BE7F79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6,415</w:t>
            </w:r>
          </w:p>
        </w:tc>
        <w:tc>
          <w:tcPr>
            <w:tcW w:w="939" w:type="dxa"/>
            <w:tcBorders>
              <w:top w:val="nil"/>
              <w:left w:val="nil"/>
              <w:bottom w:val="single" w:sz="12" w:space="0" w:color="FF9E3C"/>
              <w:right w:val="single" w:sz="12" w:space="0" w:color="FF9E3C"/>
            </w:tcBorders>
            <w:shd w:val="clear" w:color="auto" w:fill="auto"/>
            <w:vAlign w:val="center"/>
          </w:tcPr>
          <w:p w14:paraId="2D125E7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33.2</w:t>
            </w:r>
          </w:p>
        </w:tc>
        <w:tc>
          <w:tcPr>
            <w:tcW w:w="1033" w:type="dxa"/>
            <w:tcBorders>
              <w:top w:val="nil"/>
              <w:left w:val="nil"/>
              <w:bottom w:val="single" w:sz="12" w:space="0" w:color="FF9E3C"/>
              <w:right w:val="single" w:sz="12" w:space="0" w:color="FF9E3C"/>
            </w:tcBorders>
            <w:shd w:val="clear" w:color="auto" w:fill="auto"/>
            <w:vAlign w:val="center"/>
          </w:tcPr>
          <w:p w14:paraId="34BE78F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1,732</w:t>
            </w:r>
          </w:p>
        </w:tc>
        <w:tc>
          <w:tcPr>
            <w:tcW w:w="850" w:type="dxa"/>
            <w:tcBorders>
              <w:top w:val="nil"/>
              <w:left w:val="nil"/>
              <w:bottom w:val="single" w:sz="12" w:space="0" w:color="FF9E3C"/>
              <w:right w:val="single" w:sz="12" w:space="0" w:color="FF9E3C"/>
            </w:tcBorders>
            <w:shd w:val="clear" w:color="auto" w:fill="auto"/>
            <w:vAlign w:val="center"/>
          </w:tcPr>
          <w:p w14:paraId="0A34242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9.0</w:t>
            </w:r>
          </w:p>
        </w:tc>
        <w:tc>
          <w:tcPr>
            <w:tcW w:w="993" w:type="dxa"/>
            <w:tcBorders>
              <w:top w:val="nil"/>
              <w:left w:val="nil"/>
              <w:bottom w:val="single" w:sz="12" w:space="0" w:color="FF9E3C"/>
              <w:right w:val="single" w:sz="12" w:space="0" w:color="FF9E3C"/>
            </w:tcBorders>
            <w:shd w:val="clear" w:color="auto" w:fill="auto"/>
            <w:vAlign w:val="center"/>
          </w:tcPr>
          <w:p w14:paraId="0D5BC66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15,377</w:t>
            </w:r>
          </w:p>
        </w:tc>
        <w:tc>
          <w:tcPr>
            <w:tcW w:w="850" w:type="dxa"/>
            <w:tcBorders>
              <w:top w:val="nil"/>
              <w:left w:val="nil"/>
              <w:bottom w:val="single" w:sz="12" w:space="0" w:color="FF9E3C"/>
              <w:right w:val="single" w:sz="12" w:space="0" w:color="FF9E3C"/>
            </w:tcBorders>
            <w:shd w:val="clear" w:color="auto" w:fill="auto"/>
            <w:vAlign w:val="center"/>
          </w:tcPr>
          <w:p w14:paraId="14D66BC1"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79.5</w:t>
            </w:r>
          </w:p>
        </w:tc>
      </w:tr>
      <w:tr w:rsidR="006C7F31" w:rsidRPr="00AF621D" w14:paraId="4D454EF0" w14:textId="77777777" w:rsidTr="00A91BC1">
        <w:trPr>
          <w:trHeight w:val="330"/>
        </w:trPr>
        <w:tc>
          <w:tcPr>
            <w:tcW w:w="1227" w:type="dxa"/>
            <w:tcBorders>
              <w:top w:val="nil"/>
              <w:left w:val="single" w:sz="12" w:space="0" w:color="FF9E3C"/>
              <w:bottom w:val="single" w:sz="12" w:space="0" w:color="FF9E3C"/>
              <w:right w:val="single" w:sz="12" w:space="0" w:color="FF9E3C"/>
            </w:tcBorders>
            <w:shd w:val="clear" w:color="auto" w:fill="auto"/>
            <w:vAlign w:val="center"/>
          </w:tcPr>
          <w:p w14:paraId="27CD3AA8"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Before 2008</w:t>
            </w:r>
          </w:p>
        </w:tc>
        <w:tc>
          <w:tcPr>
            <w:tcW w:w="885" w:type="dxa"/>
            <w:tcBorders>
              <w:top w:val="nil"/>
              <w:left w:val="nil"/>
              <w:bottom w:val="single" w:sz="12" w:space="0" w:color="FF9E3C"/>
              <w:right w:val="single" w:sz="12" w:space="0" w:color="FF9E3C"/>
            </w:tcBorders>
            <w:shd w:val="clear" w:color="auto" w:fill="auto"/>
            <w:vAlign w:val="center"/>
          </w:tcPr>
          <w:p w14:paraId="074FF92E"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1,637</w:t>
            </w:r>
          </w:p>
        </w:tc>
        <w:tc>
          <w:tcPr>
            <w:tcW w:w="851" w:type="dxa"/>
            <w:tcBorders>
              <w:top w:val="nil"/>
              <w:left w:val="nil"/>
              <w:bottom w:val="single" w:sz="12" w:space="0" w:color="FF9E3C"/>
              <w:right w:val="single" w:sz="12" w:space="0" w:color="FF9E3C"/>
            </w:tcBorders>
            <w:shd w:val="clear" w:color="auto" w:fill="auto"/>
            <w:vAlign w:val="center"/>
          </w:tcPr>
          <w:p w14:paraId="221716E4"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8.5</w:t>
            </w:r>
          </w:p>
        </w:tc>
        <w:tc>
          <w:tcPr>
            <w:tcW w:w="1045" w:type="dxa"/>
            <w:tcBorders>
              <w:top w:val="nil"/>
              <w:left w:val="nil"/>
              <w:bottom w:val="single" w:sz="12" w:space="0" w:color="FF9E3C"/>
              <w:right w:val="single" w:sz="12" w:space="0" w:color="FF9E3C"/>
            </w:tcBorders>
            <w:shd w:val="clear" w:color="auto" w:fill="auto"/>
            <w:vAlign w:val="center"/>
          </w:tcPr>
          <w:p w14:paraId="6AD5FB5C"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1,684</w:t>
            </w:r>
          </w:p>
        </w:tc>
        <w:tc>
          <w:tcPr>
            <w:tcW w:w="939" w:type="dxa"/>
            <w:tcBorders>
              <w:top w:val="nil"/>
              <w:left w:val="nil"/>
              <w:bottom w:val="single" w:sz="12" w:space="0" w:color="FF9E3C"/>
              <w:right w:val="single" w:sz="12" w:space="0" w:color="FF9E3C"/>
            </w:tcBorders>
            <w:shd w:val="clear" w:color="auto" w:fill="auto"/>
            <w:vAlign w:val="center"/>
          </w:tcPr>
          <w:p w14:paraId="2E18E86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8.7</w:t>
            </w:r>
          </w:p>
        </w:tc>
        <w:tc>
          <w:tcPr>
            <w:tcW w:w="1033" w:type="dxa"/>
            <w:tcBorders>
              <w:top w:val="nil"/>
              <w:left w:val="nil"/>
              <w:bottom w:val="single" w:sz="12" w:space="0" w:color="FF9E3C"/>
              <w:right w:val="single" w:sz="12" w:space="0" w:color="FF9E3C"/>
            </w:tcBorders>
            <w:shd w:val="clear" w:color="auto" w:fill="auto"/>
            <w:vAlign w:val="center"/>
          </w:tcPr>
          <w:p w14:paraId="0C988FE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637</w:t>
            </w:r>
          </w:p>
        </w:tc>
        <w:tc>
          <w:tcPr>
            <w:tcW w:w="850" w:type="dxa"/>
            <w:tcBorders>
              <w:top w:val="nil"/>
              <w:left w:val="nil"/>
              <w:bottom w:val="single" w:sz="12" w:space="0" w:color="FF9E3C"/>
              <w:right w:val="single" w:sz="12" w:space="0" w:color="FF9E3C"/>
            </w:tcBorders>
            <w:shd w:val="clear" w:color="auto" w:fill="auto"/>
            <w:vAlign w:val="center"/>
          </w:tcPr>
          <w:p w14:paraId="53D5A4F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3.3</w:t>
            </w:r>
          </w:p>
        </w:tc>
        <w:tc>
          <w:tcPr>
            <w:tcW w:w="993" w:type="dxa"/>
            <w:tcBorders>
              <w:top w:val="nil"/>
              <w:left w:val="nil"/>
              <w:bottom w:val="single" w:sz="12" w:space="0" w:color="FF9E3C"/>
              <w:right w:val="single" w:sz="12" w:space="0" w:color="FF9E3C"/>
            </w:tcBorders>
            <w:shd w:val="clear" w:color="auto" w:fill="auto"/>
            <w:vAlign w:val="center"/>
          </w:tcPr>
          <w:p w14:paraId="4626E1AA"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3,958</w:t>
            </w:r>
          </w:p>
        </w:tc>
        <w:tc>
          <w:tcPr>
            <w:tcW w:w="850" w:type="dxa"/>
            <w:tcBorders>
              <w:top w:val="nil"/>
              <w:left w:val="nil"/>
              <w:bottom w:val="single" w:sz="12" w:space="0" w:color="FF9E3C"/>
              <w:right w:val="single" w:sz="12" w:space="0" w:color="FF9E3C"/>
            </w:tcBorders>
            <w:shd w:val="clear" w:color="auto" w:fill="auto"/>
            <w:vAlign w:val="center"/>
          </w:tcPr>
          <w:p w14:paraId="5CABFE3D"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20.5</w:t>
            </w:r>
          </w:p>
        </w:tc>
      </w:tr>
      <w:tr w:rsidR="006C7F31" w:rsidRPr="00AF621D" w14:paraId="53F09EA8" w14:textId="77777777" w:rsidTr="00A91BC1">
        <w:trPr>
          <w:trHeight w:val="330"/>
        </w:trPr>
        <w:tc>
          <w:tcPr>
            <w:tcW w:w="1227" w:type="dxa"/>
            <w:tcBorders>
              <w:top w:val="nil"/>
              <w:left w:val="single" w:sz="12" w:space="0" w:color="FF9E3C"/>
              <w:bottom w:val="single" w:sz="12" w:space="0" w:color="FF9E3C"/>
              <w:right w:val="single" w:sz="12" w:space="0" w:color="FF9E3C"/>
            </w:tcBorders>
            <w:shd w:val="clear" w:color="auto" w:fill="auto"/>
            <w:vAlign w:val="center"/>
            <w:hideMark/>
          </w:tcPr>
          <w:p w14:paraId="76F232CA"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lang w:eastAsia="ja-JP"/>
              </w:rPr>
              <w:t>Total</w:t>
            </w:r>
          </w:p>
        </w:tc>
        <w:tc>
          <w:tcPr>
            <w:tcW w:w="885" w:type="dxa"/>
            <w:tcBorders>
              <w:top w:val="nil"/>
              <w:left w:val="nil"/>
              <w:bottom w:val="single" w:sz="12" w:space="0" w:color="FF9E3C"/>
              <w:right w:val="single" w:sz="12" w:space="0" w:color="FF9E3C"/>
            </w:tcBorders>
            <w:shd w:val="clear" w:color="auto" w:fill="auto"/>
            <w:vAlign w:val="center"/>
          </w:tcPr>
          <w:p w14:paraId="449354E9"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8,866</w:t>
            </w:r>
          </w:p>
        </w:tc>
        <w:tc>
          <w:tcPr>
            <w:tcW w:w="851" w:type="dxa"/>
            <w:tcBorders>
              <w:top w:val="nil"/>
              <w:left w:val="nil"/>
              <w:bottom w:val="single" w:sz="12" w:space="0" w:color="FF9E3C"/>
              <w:right w:val="single" w:sz="12" w:space="0" w:color="FF9E3C"/>
            </w:tcBorders>
            <w:shd w:val="clear" w:color="auto" w:fill="auto"/>
            <w:vAlign w:val="center"/>
          </w:tcPr>
          <w:p w14:paraId="632D4D47"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45.9</w:t>
            </w:r>
          </w:p>
        </w:tc>
        <w:tc>
          <w:tcPr>
            <w:tcW w:w="1045" w:type="dxa"/>
            <w:tcBorders>
              <w:top w:val="nil"/>
              <w:left w:val="nil"/>
              <w:bottom w:val="single" w:sz="12" w:space="0" w:color="FF9E3C"/>
              <w:right w:val="single" w:sz="12" w:space="0" w:color="FF9E3C"/>
            </w:tcBorders>
            <w:shd w:val="clear" w:color="auto" w:fill="auto"/>
            <w:vAlign w:val="center"/>
          </w:tcPr>
          <w:p w14:paraId="5BFA867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8,099</w:t>
            </w:r>
          </w:p>
        </w:tc>
        <w:tc>
          <w:tcPr>
            <w:tcW w:w="939" w:type="dxa"/>
            <w:tcBorders>
              <w:top w:val="nil"/>
              <w:left w:val="nil"/>
              <w:bottom w:val="single" w:sz="12" w:space="0" w:color="FF9E3C"/>
              <w:right w:val="single" w:sz="12" w:space="0" w:color="FF9E3C"/>
            </w:tcBorders>
            <w:shd w:val="clear" w:color="auto" w:fill="auto"/>
            <w:vAlign w:val="center"/>
          </w:tcPr>
          <w:p w14:paraId="35047B3D"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41.9</w:t>
            </w:r>
          </w:p>
        </w:tc>
        <w:tc>
          <w:tcPr>
            <w:tcW w:w="1033" w:type="dxa"/>
            <w:tcBorders>
              <w:top w:val="nil"/>
              <w:left w:val="nil"/>
              <w:bottom w:val="single" w:sz="12" w:space="0" w:color="FF9E3C"/>
              <w:right w:val="single" w:sz="12" w:space="0" w:color="FF9E3C"/>
            </w:tcBorders>
            <w:shd w:val="clear" w:color="auto" w:fill="auto"/>
            <w:vAlign w:val="center"/>
          </w:tcPr>
          <w:p w14:paraId="07F89301"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2,369</w:t>
            </w:r>
          </w:p>
        </w:tc>
        <w:tc>
          <w:tcPr>
            <w:tcW w:w="850" w:type="dxa"/>
            <w:tcBorders>
              <w:top w:val="nil"/>
              <w:left w:val="nil"/>
              <w:bottom w:val="single" w:sz="12" w:space="0" w:color="FF9E3C"/>
              <w:right w:val="single" w:sz="12" w:space="0" w:color="FF9E3C"/>
            </w:tcBorders>
            <w:shd w:val="clear" w:color="auto" w:fill="auto"/>
            <w:vAlign w:val="center"/>
          </w:tcPr>
          <w:p w14:paraId="662C378C"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12.3</w:t>
            </w:r>
          </w:p>
        </w:tc>
        <w:tc>
          <w:tcPr>
            <w:tcW w:w="993" w:type="dxa"/>
            <w:tcBorders>
              <w:top w:val="nil"/>
              <w:left w:val="nil"/>
              <w:bottom w:val="single" w:sz="12" w:space="0" w:color="FF9E3C"/>
              <w:right w:val="single" w:sz="12" w:space="0" w:color="FF9E3C"/>
            </w:tcBorders>
            <w:shd w:val="clear" w:color="auto" w:fill="auto"/>
            <w:vAlign w:val="center"/>
          </w:tcPr>
          <w:p w14:paraId="495BD9D0"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19,334</w:t>
            </w:r>
          </w:p>
        </w:tc>
        <w:tc>
          <w:tcPr>
            <w:tcW w:w="850" w:type="dxa"/>
            <w:tcBorders>
              <w:top w:val="nil"/>
              <w:left w:val="nil"/>
              <w:bottom w:val="single" w:sz="12" w:space="0" w:color="FF9E3C"/>
              <w:right w:val="single" w:sz="12" w:space="0" w:color="FF9E3C"/>
            </w:tcBorders>
            <w:shd w:val="clear" w:color="auto" w:fill="auto"/>
            <w:vAlign w:val="center"/>
          </w:tcPr>
          <w:p w14:paraId="63BFE63D"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rPr>
              <w:t>100</w:t>
            </w:r>
          </w:p>
        </w:tc>
      </w:tr>
    </w:tbl>
    <w:p w14:paraId="51036D78" w14:textId="2F011C76" w:rsidR="006C7F31" w:rsidRPr="00AF621D" w:rsidRDefault="006C7F31" w:rsidP="002901C9">
      <w:pPr>
        <w:pStyle w:val="VRGFBodycontent"/>
        <w:rPr>
          <w:rFonts w:eastAsia="MS Mincho" w:cs="Arial"/>
          <w:color w:val="1C3158"/>
          <w:sz w:val="16"/>
        </w:rPr>
      </w:pPr>
      <w:r w:rsidRPr="00AF621D">
        <w:rPr>
          <w:rFonts w:cs="Arial"/>
          <w:color w:val="1C3158"/>
          <w:sz w:val="16"/>
          <w:szCs w:val="16"/>
        </w:rPr>
        <w:t xml:space="preserve">Weighted population bases: </w:t>
      </w:r>
      <w:r w:rsidRPr="00AF621D">
        <w:rPr>
          <w:rFonts w:eastAsia="MS Mincho" w:cs="Arial"/>
          <w:color w:val="1C3158"/>
          <w:sz w:val="16"/>
        </w:rPr>
        <w:t>Total Born Overseas &amp; PGSI 1+ (n=74,679)</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PGSI: low-risk (n=48,207), moderate-risk (n=22,577), problem gambling (n=12,341)</w:t>
      </w:r>
      <w:r w:rsidR="00E832B0" w:rsidRPr="00AF621D">
        <w:rPr>
          <w:rFonts w:eastAsia="MS Mincho" w:cs="Arial"/>
          <w:color w:val="1C3158"/>
          <w:sz w:val="16"/>
        </w:rPr>
        <w:t>.</w:t>
      </w:r>
      <w:r w:rsidR="008610D3" w:rsidRPr="00AF621D">
        <w:rPr>
          <w:rFonts w:eastAsia="MS Mincho" w:cs="Arial"/>
          <w:color w:val="1C3158"/>
          <w:sz w:val="16"/>
        </w:rPr>
        <w:t xml:space="preserve"> </w:t>
      </w:r>
      <w:r w:rsidRPr="00AF621D">
        <w:rPr>
          <w:rFonts w:eastAsia="MS Mincho" w:cs="Arial"/>
          <w:color w:val="1C3158"/>
          <w:sz w:val="16"/>
        </w:rPr>
        <w:t>Year Arrived to live in NZ &amp; PGSI 1+: 2008 or later (n=</w:t>
      </w:r>
      <w:r w:rsidRPr="00AF621D">
        <w:t xml:space="preserve"> </w:t>
      </w:r>
      <w:r w:rsidRPr="00AF621D">
        <w:rPr>
          <w:rFonts w:eastAsia="MS Mincho" w:cs="Arial"/>
          <w:color w:val="1C3158"/>
          <w:sz w:val="16"/>
        </w:rPr>
        <w:t>60,007), before 2008 (n=14,672).</w:t>
      </w:r>
    </w:p>
    <w:p w14:paraId="0079FA18" w14:textId="50981673" w:rsidR="006C7F31" w:rsidRPr="00AF621D" w:rsidRDefault="006C7F31" w:rsidP="006C7F31">
      <w:pPr>
        <w:pStyle w:val="VRGFBodycontent"/>
        <w:rPr>
          <w:rFonts w:eastAsia="MS Mincho"/>
        </w:rPr>
      </w:pPr>
      <w:r w:rsidRPr="00AF621D">
        <w:rPr>
          <w:rFonts w:eastAsia="MS Mincho"/>
        </w:rPr>
        <w:t xml:space="preserve">Just over three-quarters of the total </w:t>
      </w:r>
      <w:r w:rsidR="00286F9C">
        <w:rPr>
          <w:rFonts w:eastAsia="MS Mincho"/>
        </w:rPr>
        <w:t>QALY</w:t>
      </w:r>
      <w:r w:rsidR="00286F9C" w:rsidRPr="00AF621D">
        <w:rPr>
          <w:rFonts w:eastAsia="MS Mincho"/>
          <w:sz w:val="12"/>
        </w:rPr>
        <w:t>1</w:t>
      </w:r>
      <w:r w:rsidR="00286F9C" w:rsidRPr="00AF621D">
        <w:rPr>
          <w:rFonts w:eastAsia="MS Mincho"/>
        </w:rPr>
        <w:t xml:space="preserve"> </w:t>
      </w:r>
      <w:r w:rsidRPr="00AF621D">
        <w:rPr>
          <w:rFonts w:eastAsia="MS Mincho"/>
        </w:rPr>
        <w:t>due to harms from their own gambling were for the NZ adult population whose first language was English (76.3%)</w:t>
      </w:r>
      <w:r w:rsidR="00E832B0" w:rsidRPr="00AF621D">
        <w:rPr>
          <w:rFonts w:eastAsia="MS Mincho"/>
        </w:rPr>
        <w:t>.</w:t>
      </w:r>
      <w:r w:rsidR="008610D3" w:rsidRPr="00AF621D">
        <w:rPr>
          <w:rFonts w:eastAsia="MS Mincho"/>
        </w:rPr>
        <w:t xml:space="preserve"> </w:t>
      </w:r>
      <w:r w:rsidRPr="00AF621D">
        <w:rPr>
          <w:rFonts w:eastAsia="MS Mincho"/>
        </w:rPr>
        <w:t xml:space="preserve">Only a small proportion of the harm was for the population whose first language was </w:t>
      </w:r>
      <w:r w:rsidR="002901C9" w:rsidRPr="00AF621D">
        <w:rPr>
          <w:rFonts w:eastAsia="MS Mincho"/>
        </w:rPr>
        <w:t>Māori</w:t>
      </w:r>
      <w:r w:rsidRPr="00AF621D">
        <w:rPr>
          <w:rFonts w:eastAsia="MS Mincho"/>
        </w:rPr>
        <w:t xml:space="preserve"> (2.8%) or Samoan (4.6%)</w:t>
      </w:r>
      <w:r w:rsidR="00E832B0" w:rsidRPr="00AF621D">
        <w:rPr>
          <w:rFonts w:eastAsia="MS Mincho"/>
        </w:rPr>
        <w:t>.</w:t>
      </w:r>
      <w:r w:rsidR="008610D3" w:rsidRPr="00AF621D">
        <w:rPr>
          <w:rFonts w:eastAsia="MS Mincho"/>
        </w:rPr>
        <w:t xml:space="preserve"> </w:t>
      </w:r>
      <w:r w:rsidRPr="00AF621D">
        <w:rPr>
          <w:rFonts w:eastAsia="MS Mincho"/>
        </w:rPr>
        <w:t>See</w:t>
      </w:r>
      <w:r w:rsidR="004677FC" w:rsidRPr="00AF621D">
        <w:rPr>
          <w:rFonts w:eastAsia="MS Mincho"/>
        </w:rPr>
        <w:t xml:space="preserve"> </w:t>
      </w:r>
      <w:r w:rsidR="004677FC" w:rsidRPr="00AF621D">
        <w:rPr>
          <w:rFonts w:eastAsia="MS Mincho"/>
        </w:rPr>
        <w:fldChar w:fldCharType="begin"/>
      </w:r>
      <w:r w:rsidR="004677FC" w:rsidRPr="00AF621D">
        <w:rPr>
          <w:rFonts w:eastAsia="MS Mincho"/>
        </w:rPr>
        <w:instrText xml:space="preserve"> REF _Ref445566869 \h </w:instrText>
      </w:r>
      <w:r w:rsidR="00AF621D">
        <w:rPr>
          <w:rFonts w:eastAsia="MS Mincho"/>
        </w:rPr>
        <w:instrText xml:space="preserve"> \* MERGEFORMAT </w:instrText>
      </w:r>
      <w:r w:rsidR="004677FC" w:rsidRPr="00AF621D">
        <w:rPr>
          <w:rFonts w:eastAsia="MS Mincho"/>
        </w:rPr>
      </w:r>
      <w:r w:rsidR="004677FC" w:rsidRPr="00AF621D">
        <w:rPr>
          <w:rFonts w:eastAsia="MS Mincho"/>
        </w:rPr>
        <w:fldChar w:fldCharType="separate"/>
      </w:r>
      <w:r w:rsidR="0006479A" w:rsidRPr="00AF621D">
        <w:t xml:space="preserve">Table </w:t>
      </w:r>
      <w:r w:rsidR="0006479A">
        <w:rPr>
          <w:noProof/>
        </w:rPr>
        <w:t>36</w:t>
      </w:r>
      <w:r w:rsidR="004677FC" w:rsidRPr="00AF621D">
        <w:rPr>
          <w:rFonts w:eastAsia="MS Mincho"/>
        </w:rPr>
        <w:fldChar w:fldCharType="end"/>
      </w:r>
      <w:r w:rsidRPr="00AF621D">
        <w:rPr>
          <w:rFonts w:eastAsia="MS Mincho"/>
        </w:rPr>
        <w:t>.</w:t>
      </w:r>
    </w:p>
    <w:p w14:paraId="627C1593" w14:textId="69FB20AA" w:rsidR="006C7F31" w:rsidRPr="00AF621D" w:rsidRDefault="004677FC" w:rsidP="004677FC">
      <w:pPr>
        <w:pStyle w:val="Caption"/>
        <w:rPr>
          <w:color w:val="1C3158"/>
        </w:rPr>
      </w:pPr>
      <w:bookmarkStart w:id="395" w:name="_Ref445566869"/>
      <w:bookmarkStart w:id="396" w:name="_Ref429651759"/>
      <w:bookmarkStart w:id="397" w:name="_Toc440900356"/>
      <w:bookmarkStart w:id="398" w:name="_Toc462738139"/>
      <w:r w:rsidRPr="00AF621D">
        <w:t xml:space="preserve">Table </w:t>
      </w:r>
      <w:fldSimple w:instr=" SEQ Table \* ARABIC ">
        <w:r w:rsidR="0006479A">
          <w:rPr>
            <w:noProof/>
          </w:rPr>
          <w:t>36</w:t>
        </w:r>
      </w:fldSimple>
      <w:bookmarkEnd w:id="395"/>
      <w:r w:rsidR="00E832B0" w:rsidRPr="00AF621D">
        <w:t>.</w:t>
      </w:r>
      <w:r w:rsidR="008610D3" w:rsidRPr="00AF621D">
        <w:t xml:space="preserve"> </w:t>
      </w:r>
      <w:bookmarkEnd w:id="396"/>
      <w:r w:rsidR="006C7F31" w:rsidRPr="00AF621D">
        <w:rPr>
          <w:color w:val="1C3158"/>
        </w:rPr>
        <w:t>Gambling</w:t>
      </w:r>
      <w:r w:rsidR="00286F9C">
        <w:rPr>
          <w:color w:val="1C3158"/>
        </w:rPr>
        <w:t>-related</w:t>
      </w:r>
      <w:r w:rsidR="006C7F31" w:rsidRPr="00AF621D">
        <w:rPr>
          <w:color w:val="1C3158"/>
        </w:rPr>
        <w:t xml:space="preserve"> harms to the New Zealand adult population by first language spoken and PGSI category</w:t>
      </w:r>
      <w:bookmarkEnd w:id="397"/>
      <w:bookmarkEnd w:id="398"/>
    </w:p>
    <w:tbl>
      <w:tblPr>
        <w:tblW w:w="8632" w:type="dxa"/>
        <w:tblLayout w:type="fixed"/>
        <w:tblLook w:val="04A0" w:firstRow="1" w:lastRow="0" w:firstColumn="1" w:lastColumn="0" w:noHBand="0" w:noVBand="1"/>
      </w:tblPr>
      <w:tblGrid>
        <w:gridCol w:w="1309"/>
        <w:gridCol w:w="803"/>
        <w:gridCol w:w="851"/>
        <w:gridCol w:w="1133"/>
        <w:gridCol w:w="851"/>
        <w:gridCol w:w="992"/>
        <w:gridCol w:w="850"/>
        <w:gridCol w:w="993"/>
        <w:gridCol w:w="850"/>
      </w:tblGrid>
      <w:tr w:rsidR="006C7F31" w:rsidRPr="00AF621D" w14:paraId="5645E0C4" w14:textId="77777777" w:rsidTr="00A91BC1">
        <w:trPr>
          <w:trHeight w:val="330"/>
        </w:trPr>
        <w:tc>
          <w:tcPr>
            <w:tcW w:w="1309" w:type="dxa"/>
            <w:vMerge w:val="restart"/>
            <w:tcBorders>
              <w:top w:val="single" w:sz="12" w:space="0" w:color="FF9E3C"/>
              <w:left w:val="single" w:sz="12" w:space="0" w:color="FF9E3C"/>
              <w:bottom w:val="single" w:sz="12" w:space="0" w:color="FF9E3C"/>
              <w:right w:val="single" w:sz="12" w:space="0" w:color="FF9E3C"/>
            </w:tcBorders>
            <w:shd w:val="clear" w:color="000000" w:fill="FFBC64"/>
            <w:vAlign w:val="center"/>
          </w:tcPr>
          <w:p w14:paraId="4D54A4B6"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r w:rsidRPr="00AF621D">
              <w:rPr>
                <w:rFonts w:cs="Arial"/>
                <w:b/>
                <w:bCs/>
                <w:color w:val="1C3158"/>
                <w:sz w:val="18"/>
              </w:rPr>
              <w:t>First Language Spoken</w:t>
            </w:r>
          </w:p>
        </w:tc>
        <w:tc>
          <w:tcPr>
            <w:tcW w:w="1654"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433FA62B"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Low-Risk</w:t>
            </w:r>
          </w:p>
        </w:tc>
        <w:tc>
          <w:tcPr>
            <w:tcW w:w="1984"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7BD6A778"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Moderate-Risk</w:t>
            </w:r>
          </w:p>
        </w:tc>
        <w:tc>
          <w:tcPr>
            <w:tcW w:w="1842"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74E39D5A"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Problem Gambler</w:t>
            </w:r>
          </w:p>
        </w:tc>
        <w:tc>
          <w:tcPr>
            <w:tcW w:w="1843" w:type="dxa"/>
            <w:gridSpan w:val="2"/>
            <w:tcBorders>
              <w:top w:val="single" w:sz="12" w:space="0" w:color="FF9E3C"/>
              <w:left w:val="nil"/>
              <w:bottom w:val="single" w:sz="12" w:space="0" w:color="FF9E3C"/>
              <w:right w:val="single" w:sz="12" w:space="0" w:color="FF9E3C"/>
            </w:tcBorders>
            <w:shd w:val="clear" w:color="000000" w:fill="FFBC64"/>
            <w:noWrap/>
            <w:vAlign w:val="center"/>
            <w:hideMark/>
          </w:tcPr>
          <w:p w14:paraId="5B188226"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Total</w:t>
            </w:r>
          </w:p>
        </w:tc>
      </w:tr>
      <w:tr w:rsidR="006C7F31" w:rsidRPr="00AF621D" w14:paraId="17B1EDFB" w14:textId="77777777" w:rsidTr="00A91BC1">
        <w:trPr>
          <w:trHeight w:val="330"/>
        </w:trPr>
        <w:tc>
          <w:tcPr>
            <w:tcW w:w="1309" w:type="dxa"/>
            <w:vMerge/>
            <w:tcBorders>
              <w:top w:val="single" w:sz="12" w:space="0" w:color="FF9E3C"/>
              <w:left w:val="single" w:sz="12" w:space="0" w:color="FF9E3C"/>
              <w:bottom w:val="single" w:sz="12" w:space="0" w:color="FF9E3C"/>
              <w:right w:val="single" w:sz="12" w:space="0" w:color="FF9E3C"/>
            </w:tcBorders>
            <w:vAlign w:val="center"/>
          </w:tcPr>
          <w:p w14:paraId="51CCADCC" w14:textId="77777777" w:rsidR="006C7F31" w:rsidRPr="00AF621D" w:rsidRDefault="006C7F31" w:rsidP="006C7F31">
            <w:pPr>
              <w:tabs>
                <w:tab w:val="clear" w:pos="426"/>
              </w:tabs>
              <w:spacing w:before="0" w:after="0" w:line="240" w:lineRule="auto"/>
              <w:ind w:left="0" w:right="0"/>
              <w:rPr>
                <w:rFonts w:cs="Arial"/>
                <w:b/>
                <w:bCs/>
                <w:color w:val="1C3158"/>
                <w:sz w:val="18"/>
                <w:lang w:eastAsia="ja-JP"/>
              </w:rPr>
            </w:pPr>
          </w:p>
        </w:tc>
        <w:tc>
          <w:tcPr>
            <w:tcW w:w="803" w:type="dxa"/>
            <w:tcBorders>
              <w:top w:val="nil"/>
              <w:left w:val="nil"/>
              <w:bottom w:val="single" w:sz="12" w:space="0" w:color="FF9E3C"/>
              <w:right w:val="single" w:sz="12" w:space="0" w:color="FF9E3C"/>
            </w:tcBorders>
            <w:shd w:val="clear" w:color="000000" w:fill="FFBC64"/>
            <w:vAlign w:val="center"/>
            <w:hideMark/>
          </w:tcPr>
          <w:p w14:paraId="343448D9" w14:textId="68B46517"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54DB6939"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1133" w:type="dxa"/>
            <w:tcBorders>
              <w:top w:val="nil"/>
              <w:left w:val="nil"/>
              <w:bottom w:val="single" w:sz="12" w:space="0" w:color="FF9E3C"/>
              <w:right w:val="single" w:sz="12" w:space="0" w:color="FF9E3C"/>
            </w:tcBorders>
            <w:shd w:val="clear" w:color="000000" w:fill="FFBC64"/>
            <w:vAlign w:val="center"/>
            <w:hideMark/>
          </w:tcPr>
          <w:p w14:paraId="006098FC" w14:textId="1DEBD144"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1" w:type="dxa"/>
            <w:tcBorders>
              <w:top w:val="nil"/>
              <w:left w:val="nil"/>
              <w:bottom w:val="single" w:sz="12" w:space="0" w:color="FF9E3C"/>
              <w:right w:val="single" w:sz="12" w:space="0" w:color="FF9E3C"/>
            </w:tcBorders>
            <w:shd w:val="clear" w:color="000000" w:fill="FFBC64"/>
            <w:vAlign w:val="center"/>
            <w:hideMark/>
          </w:tcPr>
          <w:p w14:paraId="14D9B6E5"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2" w:type="dxa"/>
            <w:tcBorders>
              <w:top w:val="nil"/>
              <w:left w:val="nil"/>
              <w:bottom w:val="single" w:sz="12" w:space="0" w:color="FF9E3C"/>
              <w:right w:val="single" w:sz="12" w:space="0" w:color="FF9E3C"/>
            </w:tcBorders>
            <w:shd w:val="clear" w:color="000000" w:fill="FFBC64"/>
            <w:vAlign w:val="center"/>
            <w:hideMark/>
          </w:tcPr>
          <w:p w14:paraId="7F4A1D45" w14:textId="5F5D1B9F"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5951E378"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c>
          <w:tcPr>
            <w:tcW w:w="993" w:type="dxa"/>
            <w:tcBorders>
              <w:top w:val="nil"/>
              <w:left w:val="nil"/>
              <w:bottom w:val="single" w:sz="12" w:space="0" w:color="FF9E3C"/>
              <w:right w:val="single" w:sz="12" w:space="0" w:color="FF9E3C"/>
            </w:tcBorders>
            <w:shd w:val="clear" w:color="000000" w:fill="FFBC64"/>
            <w:vAlign w:val="center"/>
            <w:hideMark/>
          </w:tcPr>
          <w:p w14:paraId="35906B4E" w14:textId="2E52CD68" w:rsidR="006C7F31" w:rsidRPr="00AF621D" w:rsidRDefault="00286F9C"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QALY</w:t>
            </w:r>
            <w:r w:rsidRPr="00AF621D">
              <w:rPr>
                <w:rFonts w:cs="Arial"/>
                <w:b/>
                <w:bCs/>
                <w:color w:val="1C3158"/>
                <w:szCs w:val="20"/>
                <w:vertAlign w:val="subscript"/>
                <w:lang w:eastAsia="ja-JP"/>
              </w:rPr>
              <w:t>1</w:t>
            </w:r>
          </w:p>
        </w:tc>
        <w:tc>
          <w:tcPr>
            <w:tcW w:w="850" w:type="dxa"/>
            <w:tcBorders>
              <w:top w:val="nil"/>
              <w:left w:val="nil"/>
              <w:bottom w:val="single" w:sz="12" w:space="0" w:color="FF9E3C"/>
              <w:right w:val="single" w:sz="12" w:space="0" w:color="FF9E3C"/>
            </w:tcBorders>
            <w:shd w:val="clear" w:color="000000" w:fill="FFBC64"/>
            <w:vAlign w:val="center"/>
            <w:hideMark/>
          </w:tcPr>
          <w:p w14:paraId="00715AB8" w14:textId="77777777" w:rsidR="006C7F31" w:rsidRPr="00AF621D" w:rsidRDefault="006C7F31" w:rsidP="006C7F31">
            <w:pPr>
              <w:tabs>
                <w:tab w:val="clear" w:pos="426"/>
              </w:tabs>
              <w:spacing w:before="0" w:after="0" w:line="240" w:lineRule="auto"/>
              <w:ind w:left="0" w:right="0"/>
              <w:jc w:val="center"/>
              <w:rPr>
                <w:rFonts w:cs="Arial"/>
                <w:b/>
                <w:bCs/>
                <w:color w:val="1C3158"/>
                <w:sz w:val="18"/>
                <w:lang w:eastAsia="ja-JP"/>
              </w:rPr>
            </w:pPr>
            <w:r w:rsidRPr="00AF621D">
              <w:rPr>
                <w:rFonts w:cs="Arial"/>
                <w:b/>
                <w:bCs/>
                <w:color w:val="1C3158"/>
                <w:sz w:val="18"/>
                <w:lang w:eastAsia="ja-JP"/>
              </w:rPr>
              <w:t>% Pop. Harm</w:t>
            </w:r>
          </w:p>
        </w:tc>
      </w:tr>
      <w:tr w:rsidR="006C7F31" w:rsidRPr="0054450E" w14:paraId="430797C3" w14:textId="77777777" w:rsidTr="00A91BC1">
        <w:trPr>
          <w:trHeight w:val="330"/>
        </w:trPr>
        <w:tc>
          <w:tcPr>
            <w:tcW w:w="1309" w:type="dxa"/>
            <w:tcBorders>
              <w:top w:val="nil"/>
              <w:left w:val="single" w:sz="12" w:space="0" w:color="FF9E3C"/>
              <w:bottom w:val="single" w:sz="12" w:space="0" w:color="FF9E3C"/>
              <w:right w:val="single" w:sz="12" w:space="0" w:color="FF9E3C"/>
            </w:tcBorders>
            <w:shd w:val="clear" w:color="auto" w:fill="auto"/>
            <w:vAlign w:val="center"/>
          </w:tcPr>
          <w:p w14:paraId="20038550" w14:textId="77777777" w:rsidR="006C7F31" w:rsidRPr="00AF621D" w:rsidRDefault="006C7F31" w:rsidP="006C7F31">
            <w:pPr>
              <w:tabs>
                <w:tab w:val="clear" w:pos="426"/>
              </w:tabs>
              <w:spacing w:before="0" w:after="0" w:line="240" w:lineRule="auto"/>
              <w:ind w:left="0" w:right="0"/>
              <w:rPr>
                <w:rFonts w:cs="Arial"/>
                <w:color w:val="1C3158"/>
                <w:sz w:val="18"/>
                <w:lang w:eastAsia="ja-JP"/>
              </w:rPr>
            </w:pPr>
            <w:r w:rsidRPr="00AF621D">
              <w:rPr>
                <w:rFonts w:cs="Arial"/>
                <w:color w:val="1C3158"/>
                <w:sz w:val="18"/>
              </w:rPr>
              <w:t>English</w:t>
            </w:r>
          </w:p>
        </w:tc>
        <w:tc>
          <w:tcPr>
            <w:tcW w:w="803" w:type="dxa"/>
            <w:tcBorders>
              <w:top w:val="nil"/>
              <w:left w:val="nil"/>
              <w:bottom w:val="single" w:sz="12" w:space="0" w:color="FF9E3C"/>
              <w:right w:val="single" w:sz="12" w:space="0" w:color="FF9E3C"/>
            </w:tcBorders>
            <w:shd w:val="clear" w:color="auto" w:fill="auto"/>
            <w:vAlign w:val="center"/>
          </w:tcPr>
          <w:p w14:paraId="421E05D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25,576</w:t>
            </w:r>
          </w:p>
        </w:tc>
        <w:tc>
          <w:tcPr>
            <w:tcW w:w="851" w:type="dxa"/>
            <w:tcBorders>
              <w:top w:val="nil"/>
              <w:left w:val="nil"/>
              <w:bottom w:val="single" w:sz="12" w:space="0" w:color="FF9E3C"/>
              <w:right w:val="single" w:sz="12" w:space="0" w:color="FF9E3C"/>
            </w:tcBorders>
            <w:shd w:val="clear" w:color="auto" w:fill="auto"/>
            <w:vAlign w:val="center"/>
          </w:tcPr>
          <w:p w14:paraId="14D3255F"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38.1</w:t>
            </w:r>
          </w:p>
        </w:tc>
        <w:tc>
          <w:tcPr>
            <w:tcW w:w="1133" w:type="dxa"/>
            <w:tcBorders>
              <w:top w:val="nil"/>
              <w:left w:val="nil"/>
              <w:bottom w:val="single" w:sz="12" w:space="0" w:color="FF9E3C"/>
              <w:right w:val="single" w:sz="12" w:space="0" w:color="FF9E3C"/>
            </w:tcBorders>
            <w:shd w:val="clear" w:color="auto" w:fill="auto"/>
            <w:vAlign w:val="center"/>
          </w:tcPr>
          <w:p w14:paraId="034D6CE8"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15,767</w:t>
            </w:r>
          </w:p>
        </w:tc>
        <w:tc>
          <w:tcPr>
            <w:tcW w:w="851" w:type="dxa"/>
            <w:tcBorders>
              <w:top w:val="nil"/>
              <w:left w:val="nil"/>
              <w:bottom w:val="single" w:sz="12" w:space="0" w:color="FF9E3C"/>
              <w:right w:val="single" w:sz="12" w:space="0" w:color="FF9E3C"/>
            </w:tcBorders>
            <w:shd w:val="clear" w:color="auto" w:fill="auto"/>
            <w:vAlign w:val="center"/>
          </w:tcPr>
          <w:p w14:paraId="4C57A705"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23.5</w:t>
            </w:r>
          </w:p>
        </w:tc>
        <w:tc>
          <w:tcPr>
            <w:tcW w:w="992" w:type="dxa"/>
            <w:tcBorders>
              <w:top w:val="nil"/>
              <w:left w:val="nil"/>
              <w:bottom w:val="single" w:sz="12" w:space="0" w:color="FF9E3C"/>
              <w:right w:val="single" w:sz="12" w:space="0" w:color="FF9E3C"/>
            </w:tcBorders>
            <w:shd w:val="clear" w:color="auto" w:fill="auto"/>
            <w:vAlign w:val="center"/>
          </w:tcPr>
          <w:p w14:paraId="59AF4123"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9,922</w:t>
            </w:r>
          </w:p>
        </w:tc>
        <w:tc>
          <w:tcPr>
            <w:tcW w:w="850" w:type="dxa"/>
            <w:tcBorders>
              <w:top w:val="nil"/>
              <w:left w:val="nil"/>
              <w:bottom w:val="single" w:sz="12" w:space="0" w:color="FF9E3C"/>
              <w:right w:val="single" w:sz="12" w:space="0" w:color="FF9E3C"/>
            </w:tcBorders>
            <w:shd w:val="clear" w:color="auto" w:fill="auto"/>
            <w:vAlign w:val="center"/>
          </w:tcPr>
          <w:p w14:paraId="3362AFC9"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14.8</w:t>
            </w:r>
          </w:p>
        </w:tc>
        <w:tc>
          <w:tcPr>
            <w:tcW w:w="993" w:type="dxa"/>
            <w:tcBorders>
              <w:top w:val="nil"/>
              <w:left w:val="nil"/>
              <w:bottom w:val="single" w:sz="12" w:space="0" w:color="FF9E3C"/>
              <w:right w:val="single" w:sz="12" w:space="0" w:color="FF9E3C"/>
            </w:tcBorders>
            <w:shd w:val="clear" w:color="auto" w:fill="auto"/>
            <w:vAlign w:val="center"/>
          </w:tcPr>
          <w:p w14:paraId="6BFE8437" w14:textId="77777777" w:rsidR="006C7F31" w:rsidRPr="00AF621D"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51,265</w:t>
            </w:r>
          </w:p>
        </w:tc>
        <w:tc>
          <w:tcPr>
            <w:tcW w:w="850" w:type="dxa"/>
            <w:tcBorders>
              <w:top w:val="nil"/>
              <w:left w:val="nil"/>
              <w:bottom w:val="single" w:sz="12" w:space="0" w:color="FF9E3C"/>
              <w:right w:val="single" w:sz="12" w:space="0" w:color="FF9E3C"/>
            </w:tcBorders>
            <w:shd w:val="clear" w:color="auto" w:fill="auto"/>
            <w:vAlign w:val="center"/>
          </w:tcPr>
          <w:p w14:paraId="1E2315CA"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sidRPr="00AF621D">
              <w:rPr>
                <w:rFonts w:cs="Arial"/>
                <w:color w:val="1C3158"/>
                <w:sz w:val="18"/>
              </w:rPr>
              <w:t>76.3</w:t>
            </w:r>
          </w:p>
        </w:tc>
      </w:tr>
      <w:tr w:rsidR="006C7F31" w:rsidRPr="0054450E" w14:paraId="74112CA2" w14:textId="77777777" w:rsidTr="00A91BC1">
        <w:trPr>
          <w:trHeight w:val="330"/>
        </w:trPr>
        <w:tc>
          <w:tcPr>
            <w:tcW w:w="1309" w:type="dxa"/>
            <w:tcBorders>
              <w:top w:val="nil"/>
              <w:left w:val="single" w:sz="12" w:space="0" w:color="FF9E3C"/>
              <w:bottom w:val="single" w:sz="12" w:space="0" w:color="FF9E3C"/>
              <w:right w:val="single" w:sz="12" w:space="0" w:color="FF9E3C"/>
            </w:tcBorders>
            <w:shd w:val="clear" w:color="auto" w:fill="auto"/>
            <w:vAlign w:val="center"/>
          </w:tcPr>
          <w:p w14:paraId="1555E238" w14:textId="6DDE81E9" w:rsidR="006C7F31" w:rsidRPr="00FD29C7" w:rsidRDefault="002901C9" w:rsidP="006C7F31">
            <w:pPr>
              <w:tabs>
                <w:tab w:val="clear" w:pos="426"/>
              </w:tabs>
              <w:spacing w:before="0" w:after="0" w:line="240" w:lineRule="auto"/>
              <w:ind w:left="0" w:right="0"/>
              <w:rPr>
                <w:rFonts w:cs="Arial"/>
                <w:color w:val="1C3158"/>
                <w:sz w:val="18"/>
                <w:lang w:eastAsia="ja-JP"/>
              </w:rPr>
            </w:pPr>
            <w:r>
              <w:rPr>
                <w:rFonts w:cs="Arial"/>
                <w:color w:val="1C3158"/>
                <w:sz w:val="18"/>
              </w:rPr>
              <w:t>Māori</w:t>
            </w:r>
          </w:p>
        </w:tc>
        <w:tc>
          <w:tcPr>
            <w:tcW w:w="803" w:type="dxa"/>
            <w:tcBorders>
              <w:top w:val="nil"/>
              <w:left w:val="nil"/>
              <w:bottom w:val="single" w:sz="12" w:space="0" w:color="FF9E3C"/>
              <w:right w:val="single" w:sz="12" w:space="0" w:color="FF9E3C"/>
            </w:tcBorders>
            <w:shd w:val="clear" w:color="auto" w:fill="auto"/>
            <w:vAlign w:val="center"/>
          </w:tcPr>
          <w:p w14:paraId="1AD431AC"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581</w:t>
            </w:r>
          </w:p>
        </w:tc>
        <w:tc>
          <w:tcPr>
            <w:tcW w:w="851" w:type="dxa"/>
            <w:tcBorders>
              <w:top w:val="nil"/>
              <w:left w:val="nil"/>
              <w:bottom w:val="single" w:sz="12" w:space="0" w:color="FF9E3C"/>
              <w:right w:val="single" w:sz="12" w:space="0" w:color="FF9E3C"/>
            </w:tcBorders>
            <w:shd w:val="clear" w:color="auto" w:fill="auto"/>
            <w:vAlign w:val="center"/>
          </w:tcPr>
          <w:p w14:paraId="59825738"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0.9</w:t>
            </w:r>
          </w:p>
        </w:tc>
        <w:tc>
          <w:tcPr>
            <w:tcW w:w="1133" w:type="dxa"/>
            <w:tcBorders>
              <w:top w:val="nil"/>
              <w:left w:val="nil"/>
              <w:bottom w:val="single" w:sz="12" w:space="0" w:color="FF9E3C"/>
              <w:right w:val="single" w:sz="12" w:space="0" w:color="FF9E3C"/>
            </w:tcBorders>
            <w:shd w:val="clear" w:color="auto" w:fill="auto"/>
            <w:vAlign w:val="center"/>
          </w:tcPr>
          <w:p w14:paraId="7858E0F9"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787</w:t>
            </w:r>
          </w:p>
        </w:tc>
        <w:tc>
          <w:tcPr>
            <w:tcW w:w="851" w:type="dxa"/>
            <w:tcBorders>
              <w:top w:val="nil"/>
              <w:left w:val="nil"/>
              <w:bottom w:val="single" w:sz="12" w:space="0" w:color="FF9E3C"/>
              <w:right w:val="single" w:sz="12" w:space="0" w:color="FF9E3C"/>
            </w:tcBorders>
            <w:shd w:val="clear" w:color="auto" w:fill="auto"/>
            <w:vAlign w:val="center"/>
          </w:tcPr>
          <w:p w14:paraId="04BBA44D"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1.2</w:t>
            </w:r>
          </w:p>
        </w:tc>
        <w:tc>
          <w:tcPr>
            <w:tcW w:w="992" w:type="dxa"/>
            <w:tcBorders>
              <w:top w:val="nil"/>
              <w:left w:val="nil"/>
              <w:bottom w:val="single" w:sz="12" w:space="0" w:color="FF9E3C"/>
              <w:right w:val="single" w:sz="12" w:space="0" w:color="FF9E3C"/>
            </w:tcBorders>
            <w:shd w:val="clear" w:color="auto" w:fill="auto"/>
            <w:vAlign w:val="center"/>
          </w:tcPr>
          <w:p w14:paraId="2D9ACA8E"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503</w:t>
            </w:r>
          </w:p>
        </w:tc>
        <w:tc>
          <w:tcPr>
            <w:tcW w:w="850" w:type="dxa"/>
            <w:tcBorders>
              <w:top w:val="nil"/>
              <w:left w:val="nil"/>
              <w:bottom w:val="single" w:sz="12" w:space="0" w:color="FF9E3C"/>
              <w:right w:val="single" w:sz="12" w:space="0" w:color="FF9E3C"/>
            </w:tcBorders>
            <w:shd w:val="clear" w:color="auto" w:fill="auto"/>
            <w:vAlign w:val="center"/>
          </w:tcPr>
          <w:p w14:paraId="26598659"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0.7</w:t>
            </w:r>
          </w:p>
        </w:tc>
        <w:tc>
          <w:tcPr>
            <w:tcW w:w="993" w:type="dxa"/>
            <w:tcBorders>
              <w:top w:val="nil"/>
              <w:left w:val="nil"/>
              <w:bottom w:val="single" w:sz="12" w:space="0" w:color="FF9E3C"/>
              <w:right w:val="single" w:sz="12" w:space="0" w:color="FF9E3C"/>
            </w:tcBorders>
            <w:shd w:val="clear" w:color="auto" w:fill="auto"/>
            <w:vAlign w:val="center"/>
          </w:tcPr>
          <w:p w14:paraId="5383D93A"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1,871</w:t>
            </w:r>
          </w:p>
        </w:tc>
        <w:tc>
          <w:tcPr>
            <w:tcW w:w="850" w:type="dxa"/>
            <w:tcBorders>
              <w:top w:val="nil"/>
              <w:left w:val="nil"/>
              <w:bottom w:val="single" w:sz="12" w:space="0" w:color="FF9E3C"/>
              <w:right w:val="single" w:sz="12" w:space="0" w:color="FF9E3C"/>
            </w:tcBorders>
            <w:shd w:val="clear" w:color="auto" w:fill="auto"/>
            <w:vAlign w:val="center"/>
          </w:tcPr>
          <w:p w14:paraId="04315832"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2.8</w:t>
            </w:r>
          </w:p>
        </w:tc>
      </w:tr>
      <w:tr w:rsidR="006C7F31" w:rsidRPr="0054450E" w14:paraId="0853BEF3" w14:textId="77777777" w:rsidTr="00A91BC1">
        <w:trPr>
          <w:trHeight w:val="330"/>
        </w:trPr>
        <w:tc>
          <w:tcPr>
            <w:tcW w:w="1309" w:type="dxa"/>
            <w:tcBorders>
              <w:top w:val="nil"/>
              <w:left w:val="single" w:sz="12" w:space="0" w:color="FF9E3C"/>
              <w:bottom w:val="single" w:sz="12" w:space="0" w:color="FF9E3C"/>
              <w:right w:val="single" w:sz="12" w:space="0" w:color="FF9E3C"/>
            </w:tcBorders>
            <w:shd w:val="clear" w:color="auto" w:fill="auto"/>
            <w:vAlign w:val="center"/>
          </w:tcPr>
          <w:p w14:paraId="51EA4514" w14:textId="77777777" w:rsidR="006C7F31" w:rsidRPr="00FD29C7" w:rsidRDefault="006C7F31" w:rsidP="006C7F31">
            <w:pPr>
              <w:tabs>
                <w:tab w:val="clear" w:pos="426"/>
              </w:tabs>
              <w:spacing w:before="0" w:after="0" w:line="240" w:lineRule="auto"/>
              <w:ind w:left="0" w:right="0"/>
              <w:rPr>
                <w:rFonts w:cs="Arial"/>
                <w:color w:val="1C3158"/>
                <w:sz w:val="18"/>
                <w:lang w:eastAsia="ja-JP"/>
              </w:rPr>
            </w:pPr>
            <w:r w:rsidRPr="00FD29C7">
              <w:rPr>
                <w:rFonts w:cs="Arial"/>
                <w:color w:val="1C3158"/>
                <w:sz w:val="18"/>
              </w:rPr>
              <w:t>Samoan</w:t>
            </w:r>
          </w:p>
        </w:tc>
        <w:tc>
          <w:tcPr>
            <w:tcW w:w="803" w:type="dxa"/>
            <w:tcBorders>
              <w:top w:val="nil"/>
              <w:left w:val="nil"/>
              <w:bottom w:val="single" w:sz="12" w:space="0" w:color="FF9E3C"/>
              <w:right w:val="single" w:sz="12" w:space="0" w:color="FF9E3C"/>
            </w:tcBorders>
            <w:shd w:val="clear" w:color="auto" w:fill="auto"/>
            <w:vAlign w:val="center"/>
          </w:tcPr>
          <w:p w14:paraId="2368DE6B"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1,125</w:t>
            </w:r>
          </w:p>
        </w:tc>
        <w:tc>
          <w:tcPr>
            <w:tcW w:w="851" w:type="dxa"/>
            <w:tcBorders>
              <w:top w:val="nil"/>
              <w:left w:val="nil"/>
              <w:bottom w:val="single" w:sz="12" w:space="0" w:color="FF9E3C"/>
              <w:right w:val="single" w:sz="12" w:space="0" w:color="FF9E3C"/>
            </w:tcBorders>
            <w:shd w:val="clear" w:color="auto" w:fill="auto"/>
            <w:vAlign w:val="center"/>
          </w:tcPr>
          <w:p w14:paraId="092973A9"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1.7</w:t>
            </w:r>
          </w:p>
        </w:tc>
        <w:tc>
          <w:tcPr>
            <w:tcW w:w="1133" w:type="dxa"/>
            <w:tcBorders>
              <w:top w:val="nil"/>
              <w:left w:val="nil"/>
              <w:bottom w:val="single" w:sz="12" w:space="0" w:color="FF9E3C"/>
              <w:right w:val="single" w:sz="12" w:space="0" w:color="FF9E3C"/>
            </w:tcBorders>
            <w:shd w:val="clear" w:color="auto" w:fill="auto"/>
            <w:vAlign w:val="center"/>
          </w:tcPr>
          <w:p w14:paraId="1646C422"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1,503</w:t>
            </w:r>
          </w:p>
        </w:tc>
        <w:tc>
          <w:tcPr>
            <w:tcW w:w="851" w:type="dxa"/>
            <w:tcBorders>
              <w:top w:val="nil"/>
              <w:left w:val="nil"/>
              <w:bottom w:val="single" w:sz="12" w:space="0" w:color="FF9E3C"/>
              <w:right w:val="single" w:sz="12" w:space="0" w:color="FF9E3C"/>
            </w:tcBorders>
            <w:shd w:val="clear" w:color="auto" w:fill="auto"/>
            <w:vAlign w:val="center"/>
          </w:tcPr>
          <w:p w14:paraId="33DF067F"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2.2</w:t>
            </w:r>
          </w:p>
        </w:tc>
        <w:tc>
          <w:tcPr>
            <w:tcW w:w="992" w:type="dxa"/>
            <w:tcBorders>
              <w:top w:val="nil"/>
              <w:left w:val="nil"/>
              <w:bottom w:val="single" w:sz="12" w:space="0" w:color="FF9E3C"/>
              <w:right w:val="single" w:sz="12" w:space="0" w:color="FF9E3C"/>
            </w:tcBorders>
            <w:shd w:val="clear" w:color="auto" w:fill="auto"/>
            <w:vAlign w:val="center"/>
          </w:tcPr>
          <w:p w14:paraId="0E090E2E"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481</w:t>
            </w:r>
          </w:p>
        </w:tc>
        <w:tc>
          <w:tcPr>
            <w:tcW w:w="850" w:type="dxa"/>
            <w:tcBorders>
              <w:top w:val="nil"/>
              <w:left w:val="nil"/>
              <w:bottom w:val="single" w:sz="12" w:space="0" w:color="FF9E3C"/>
              <w:right w:val="single" w:sz="12" w:space="0" w:color="FF9E3C"/>
            </w:tcBorders>
            <w:shd w:val="clear" w:color="auto" w:fill="auto"/>
            <w:vAlign w:val="center"/>
          </w:tcPr>
          <w:p w14:paraId="0C71BE99"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0.7</w:t>
            </w:r>
          </w:p>
        </w:tc>
        <w:tc>
          <w:tcPr>
            <w:tcW w:w="993" w:type="dxa"/>
            <w:tcBorders>
              <w:top w:val="nil"/>
              <w:left w:val="nil"/>
              <w:bottom w:val="single" w:sz="12" w:space="0" w:color="FF9E3C"/>
              <w:right w:val="single" w:sz="12" w:space="0" w:color="FF9E3C"/>
            </w:tcBorders>
            <w:shd w:val="clear" w:color="auto" w:fill="auto"/>
            <w:vAlign w:val="center"/>
          </w:tcPr>
          <w:p w14:paraId="02A9BCCB"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3,109</w:t>
            </w:r>
          </w:p>
        </w:tc>
        <w:tc>
          <w:tcPr>
            <w:tcW w:w="850" w:type="dxa"/>
            <w:tcBorders>
              <w:top w:val="nil"/>
              <w:left w:val="nil"/>
              <w:bottom w:val="single" w:sz="12" w:space="0" w:color="FF9E3C"/>
              <w:right w:val="single" w:sz="12" w:space="0" w:color="FF9E3C"/>
            </w:tcBorders>
            <w:shd w:val="clear" w:color="auto" w:fill="auto"/>
            <w:vAlign w:val="center"/>
          </w:tcPr>
          <w:p w14:paraId="44BC569E"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4.6</w:t>
            </w:r>
          </w:p>
        </w:tc>
      </w:tr>
      <w:tr w:rsidR="006C7F31" w:rsidRPr="0054450E" w14:paraId="262D194B" w14:textId="77777777" w:rsidTr="00A91BC1">
        <w:trPr>
          <w:trHeight w:val="330"/>
        </w:trPr>
        <w:tc>
          <w:tcPr>
            <w:tcW w:w="1309" w:type="dxa"/>
            <w:tcBorders>
              <w:top w:val="nil"/>
              <w:left w:val="single" w:sz="12" w:space="0" w:color="FF9E3C"/>
              <w:bottom w:val="single" w:sz="12" w:space="0" w:color="FF9E3C"/>
              <w:right w:val="single" w:sz="12" w:space="0" w:color="FF9E3C"/>
            </w:tcBorders>
            <w:shd w:val="clear" w:color="auto" w:fill="auto"/>
            <w:vAlign w:val="center"/>
          </w:tcPr>
          <w:p w14:paraId="0FD128B4" w14:textId="77777777" w:rsidR="006C7F31" w:rsidRPr="00FD29C7" w:rsidRDefault="006C7F31" w:rsidP="006C7F31">
            <w:pPr>
              <w:tabs>
                <w:tab w:val="clear" w:pos="426"/>
              </w:tabs>
              <w:spacing w:before="0" w:after="0" w:line="240" w:lineRule="auto"/>
              <w:ind w:left="0" w:right="0"/>
              <w:rPr>
                <w:rFonts w:cs="Arial"/>
                <w:color w:val="1C3158"/>
                <w:sz w:val="18"/>
                <w:lang w:eastAsia="ja-JP"/>
              </w:rPr>
            </w:pPr>
            <w:r w:rsidRPr="00FD29C7">
              <w:rPr>
                <w:rFonts w:cs="Arial"/>
                <w:color w:val="1C3158"/>
                <w:sz w:val="18"/>
              </w:rPr>
              <w:t>Other Language</w:t>
            </w:r>
          </w:p>
        </w:tc>
        <w:tc>
          <w:tcPr>
            <w:tcW w:w="803" w:type="dxa"/>
            <w:tcBorders>
              <w:top w:val="nil"/>
              <w:left w:val="nil"/>
              <w:bottom w:val="single" w:sz="12" w:space="0" w:color="FF9E3C"/>
              <w:right w:val="single" w:sz="12" w:space="0" w:color="FF9E3C"/>
            </w:tcBorders>
            <w:shd w:val="clear" w:color="auto" w:fill="auto"/>
            <w:vAlign w:val="center"/>
          </w:tcPr>
          <w:p w14:paraId="66132C3F"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4,999</w:t>
            </w:r>
          </w:p>
        </w:tc>
        <w:tc>
          <w:tcPr>
            <w:tcW w:w="851" w:type="dxa"/>
            <w:tcBorders>
              <w:top w:val="nil"/>
              <w:left w:val="nil"/>
              <w:bottom w:val="single" w:sz="12" w:space="0" w:color="FF9E3C"/>
              <w:right w:val="single" w:sz="12" w:space="0" w:color="FF9E3C"/>
            </w:tcBorders>
            <w:shd w:val="clear" w:color="auto" w:fill="auto"/>
            <w:vAlign w:val="center"/>
          </w:tcPr>
          <w:p w14:paraId="08956932"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7.4</w:t>
            </w:r>
          </w:p>
        </w:tc>
        <w:tc>
          <w:tcPr>
            <w:tcW w:w="1133" w:type="dxa"/>
            <w:tcBorders>
              <w:top w:val="nil"/>
              <w:left w:val="nil"/>
              <w:bottom w:val="single" w:sz="12" w:space="0" w:color="FF9E3C"/>
              <w:right w:val="single" w:sz="12" w:space="0" w:color="FF9E3C"/>
            </w:tcBorders>
            <w:shd w:val="clear" w:color="auto" w:fill="auto"/>
            <w:vAlign w:val="center"/>
          </w:tcPr>
          <w:p w14:paraId="66F163C0"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4,520</w:t>
            </w:r>
          </w:p>
        </w:tc>
        <w:tc>
          <w:tcPr>
            <w:tcW w:w="851" w:type="dxa"/>
            <w:tcBorders>
              <w:top w:val="nil"/>
              <w:left w:val="nil"/>
              <w:bottom w:val="single" w:sz="12" w:space="0" w:color="FF9E3C"/>
              <w:right w:val="single" w:sz="12" w:space="0" w:color="FF9E3C"/>
            </w:tcBorders>
            <w:shd w:val="clear" w:color="auto" w:fill="auto"/>
            <w:vAlign w:val="center"/>
          </w:tcPr>
          <w:p w14:paraId="558CAC9E"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6.7</w:t>
            </w:r>
          </w:p>
        </w:tc>
        <w:tc>
          <w:tcPr>
            <w:tcW w:w="992" w:type="dxa"/>
            <w:tcBorders>
              <w:top w:val="nil"/>
              <w:left w:val="nil"/>
              <w:bottom w:val="single" w:sz="12" w:space="0" w:color="FF9E3C"/>
              <w:right w:val="single" w:sz="12" w:space="0" w:color="FF9E3C"/>
            </w:tcBorders>
            <w:shd w:val="clear" w:color="auto" w:fill="auto"/>
            <w:vAlign w:val="center"/>
          </w:tcPr>
          <w:p w14:paraId="10C70A82"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1,434</w:t>
            </w:r>
          </w:p>
        </w:tc>
        <w:tc>
          <w:tcPr>
            <w:tcW w:w="850" w:type="dxa"/>
            <w:tcBorders>
              <w:top w:val="nil"/>
              <w:left w:val="nil"/>
              <w:bottom w:val="single" w:sz="12" w:space="0" w:color="FF9E3C"/>
              <w:right w:val="single" w:sz="12" w:space="0" w:color="FF9E3C"/>
            </w:tcBorders>
            <w:shd w:val="clear" w:color="auto" w:fill="auto"/>
            <w:vAlign w:val="center"/>
          </w:tcPr>
          <w:p w14:paraId="3EEAE04A"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2.1</w:t>
            </w:r>
          </w:p>
        </w:tc>
        <w:tc>
          <w:tcPr>
            <w:tcW w:w="993" w:type="dxa"/>
            <w:tcBorders>
              <w:top w:val="nil"/>
              <w:left w:val="nil"/>
              <w:bottom w:val="single" w:sz="12" w:space="0" w:color="FF9E3C"/>
              <w:right w:val="single" w:sz="12" w:space="0" w:color="FF9E3C"/>
            </w:tcBorders>
            <w:shd w:val="clear" w:color="auto" w:fill="auto"/>
            <w:vAlign w:val="center"/>
          </w:tcPr>
          <w:p w14:paraId="53AB4029"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10,953</w:t>
            </w:r>
          </w:p>
        </w:tc>
        <w:tc>
          <w:tcPr>
            <w:tcW w:w="850" w:type="dxa"/>
            <w:tcBorders>
              <w:top w:val="nil"/>
              <w:left w:val="nil"/>
              <w:bottom w:val="single" w:sz="12" w:space="0" w:color="FF9E3C"/>
              <w:right w:val="single" w:sz="12" w:space="0" w:color="FF9E3C"/>
            </w:tcBorders>
            <w:shd w:val="clear" w:color="auto" w:fill="auto"/>
            <w:vAlign w:val="center"/>
          </w:tcPr>
          <w:p w14:paraId="6BC95775" w14:textId="77777777" w:rsidR="006C7F31" w:rsidRPr="00FD29C7" w:rsidRDefault="006C7F31" w:rsidP="006C7F31">
            <w:pPr>
              <w:tabs>
                <w:tab w:val="clear" w:pos="426"/>
              </w:tabs>
              <w:spacing w:before="0" w:after="0" w:line="240" w:lineRule="auto"/>
              <w:ind w:left="0" w:right="0"/>
              <w:jc w:val="center"/>
              <w:rPr>
                <w:rFonts w:cs="Arial"/>
                <w:color w:val="1C3158"/>
                <w:sz w:val="18"/>
                <w:lang w:eastAsia="ja-JP"/>
              </w:rPr>
            </w:pPr>
            <w:r>
              <w:rPr>
                <w:rFonts w:cs="Arial"/>
                <w:color w:val="1C3158"/>
                <w:sz w:val="18"/>
              </w:rPr>
              <w:t>16.3</w:t>
            </w:r>
          </w:p>
        </w:tc>
      </w:tr>
      <w:tr w:rsidR="006C7F31" w:rsidRPr="0054450E" w14:paraId="5D66B80B" w14:textId="77777777" w:rsidTr="00A91BC1">
        <w:trPr>
          <w:trHeight w:val="330"/>
        </w:trPr>
        <w:tc>
          <w:tcPr>
            <w:tcW w:w="1309" w:type="dxa"/>
            <w:tcBorders>
              <w:top w:val="nil"/>
              <w:left w:val="single" w:sz="12" w:space="0" w:color="FF9E3C"/>
              <w:bottom w:val="single" w:sz="12" w:space="0" w:color="FF9E3C"/>
              <w:right w:val="single" w:sz="12" w:space="0" w:color="FF9E3C"/>
            </w:tcBorders>
            <w:shd w:val="clear" w:color="auto" w:fill="auto"/>
            <w:vAlign w:val="center"/>
            <w:hideMark/>
          </w:tcPr>
          <w:p w14:paraId="2B301A67" w14:textId="77777777" w:rsidR="006C7F31" w:rsidRPr="00FD29C7" w:rsidRDefault="006C7F31" w:rsidP="006C7F31">
            <w:pPr>
              <w:tabs>
                <w:tab w:val="clear" w:pos="426"/>
              </w:tabs>
              <w:spacing w:before="0" w:after="0" w:line="240" w:lineRule="auto"/>
              <w:ind w:left="0" w:right="0"/>
              <w:rPr>
                <w:rFonts w:cs="Arial"/>
                <w:b/>
                <w:bCs/>
                <w:color w:val="1C3158"/>
                <w:sz w:val="18"/>
                <w:lang w:eastAsia="ja-JP"/>
              </w:rPr>
            </w:pPr>
            <w:r w:rsidRPr="00CF3EE6">
              <w:rPr>
                <w:rFonts w:cs="Arial"/>
                <w:b/>
                <w:bCs/>
                <w:color w:val="1C3158"/>
                <w:sz w:val="18"/>
                <w:lang w:eastAsia="ja-JP"/>
              </w:rPr>
              <w:lastRenderedPageBreak/>
              <w:t>Total</w:t>
            </w:r>
          </w:p>
        </w:tc>
        <w:tc>
          <w:tcPr>
            <w:tcW w:w="803" w:type="dxa"/>
            <w:tcBorders>
              <w:top w:val="nil"/>
              <w:left w:val="nil"/>
              <w:bottom w:val="single" w:sz="12" w:space="0" w:color="FF9E3C"/>
              <w:right w:val="single" w:sz="12" w:space="0" w:color="FF9E3C"/>
            </w:tcBorders>
            <w:shd w:val="clear" w:color="auto" w:fill="auto"/>
            <w:vAlign w:val="center"/>
          </w:tcPr>
          <w:p w14:paraId="6F71B82F" w14:textId="77777777" w:rsidR="006C7F31" w:rsidRPr="00FD29C7" w:rsidRDefault="006C7F31"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rPr>
              <w:t>32,280</w:t>
            </w:r>
          </w:p>
        </w:tc>
        <w:tc>
          <w:tcPr>
            <w:tcW w:w="851" w:type="dxa"/>
            <w:tcBorders>
              <w:top w:val="nil"/>
              <w:left w:val="nil"/>
              <w:bottom w:val="single" w:sz="12" w:space="0" w:color="FF9E3C"/>
              <w:right w:val="single" w:sz="12" w:space="0" w:color="FF9E3C"/>
            </w:tcBorders>
            <w:shd w:val="clear" w:color="auto" w:fill="auto"/>
            <w:vAlign w:val="center"/>
          </w:tcPr>
          <w:p w14:paraId="78B3C9F3" w14:textId="77777777" w:rsidR="006C7F31" w:rsidRPr="00FD29C7" w:rsidRDefault="006C7F31"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rPr>
              <w:t>48.0</w:t>
            </w:r>
          </w:p>
        </w:tc>
        <w:tc>
          <w:tcPr>
            <w:tcW w:w="1133" w:type="dxa"/>
            <w:tcBorders>
              <w:top w:val="nil"/>
              <w:left w:val="nil"/>
              <w:bottom w:val="single" w:sz="12" w:space="0" w:color="FF9E3C"/>
              <w:right w:val="single" w:sz="12" w:space="0" w:color="FF9E3C"/>
            </w:tcBorders>
            <w:shd w:val="clear" w:color="auto" w:fill="auto"/>
            <w:vAlign w:val="center"/>
          </w:tcPr>
          <w:p w14:paraId="24575841" w14:textId="77777777" w:rsidR="006C7F31" w:rsidRPr="00FD29C7" w:rsidRDefault="006C7F31"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rPr>
              <w:t>22,577</w:t>
            </w:r>
          </w:p>
        </w:tc>
        <w:tc>
          <w:tcPr>
            <w:tcW w:w="851" w:type="dxa"/>
            <w:tcBorders>
              <w:top w:val="nil"/>
              <w:left w:val="nil"/>
              <w:bottom w:val="single" w:sz="12" w:space="0" w:color="FF9E3C"/>
              <w:right w:val="single" w:sz="12" w:space="0" w:color="FF9E3C"/>
            </w:tcBorders>
            <w:shd w:val="clear" w:color="auto" w:fill="auto"/>
            <w:vAlign w:val="center"/>
          </w:tcPr>
          <w:p w14:paraId="45E17B85" w14:textId="77777777" w:rsidR="006C7F31" w:rsidRPr="00FD29C7" w:rsidRDefault="006C7F31"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rPr>
              <w:t>33.6</w:t>
            </w:r>
          </w:p>
        </w:tc>
        <w:tc>
          <w:tcPr>
            <w:tcW w:w="992" w:type="dxa"/>
            <w:tcBorders>
              <w:top w:val="nil"/>
              <w:left w:val="nil"/>
              <w:bottom w:val="single" w:sz="12" w:space="0" w:color="FF9E3C"/>
              <w:right w:val="single" w:sz="12" w:space="0" w:color="FF9E3C"/>
            </w:tcBorders>
            <w:shd w:val="clear" w:color="auto" w:fill="auto"/>
            <w:vAlign w:val="center"/>
          </w:tcPr>
          <w:p w14:paraId="764C8936" w14:textId="77777777" w:rsidR="006C7F31" w:rsidRPr="00FD29C7" w:rsidRDefault="006C7F31"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rPr>
              <w:t>12,341</w:t>
            </w:r>
          </w:p>
        </w:tc>
        <w:tc>
          <w:tcPr>
            <w:tcW w:w="850" w:type="dxa"/>
            <w:tcBorders>
              <w:top w:val="nil"/>
              <w:left w:val="nil"/>
              <w:bottom w:val="single" w:sz="12" w:space="0" w:color="FF9E3C"/>
              <w:right w:val="single" w:sz="12" w:space="0" w:color="FF9E3C"/>
            </w:tcBorders>
            <w:shd w:val="clear" w:color="auto" w:fill="auto"/>
            <w:vAlign w:val="center"/>
          </w:tcPr>
          <w:p w14:paraId="7138CC08" w14:textId="77777777" w:rsidR="006C7F31" w:rsidRPr="00FD29C7" w:rsidRDefault="006C7F31"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rPr>
              <w:t>18.4</w:t>
            </w:r>
          </w:p>
        </w:tc>
        <w:tc>
          <w:tcPr>
            <w:tcW w:w="993" w:type="dxa"/>
            <w:tcBorders>
              <w:top w:val="nil"/>
              <w:left w:val="nil"/>
              <w:bottom w:val="single" w:sz="12" w:space="0" w:color="FF9E3C"/>
              <w:right w:val="single" w:sz="12" w:space="0" w:color="FF9E3C"/>
            </w:tcBorders>
            <w:shd w:val="clear" w:color="auto" w:fill="auto"/>
            <w:vAlign w:val="center"/>
          </w:tcPr>
          <w:p w14:paraId="2AF85302" w14:textId="77777777" w:rsidR="006C7F31" w:rsidRPr="00FD29C7" w:rsidRDefault="006C7F31"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rPr>
              <w:t>67,199</w:t>
            </w:r>
          </w:p>
        </w:tc>
        <w:tc>
          <w:tcPr>
            <w:tcW w:w="850" w:type="dxa"/>
            <w:tcBorders>
              <w:top w:val="nil"/>
              <w:left w:val="nil"/>
              <w:bottom w:val="single" w:sz="12" w:space="0" w:color="FF9E3C"/>
              <w:right w:val="single" w:sz="12" w:space="0" w:color="FF9E3C"/>
            </w:tcBorders>
            <w:shd w:val="clear" w:color="auto" w:fill="auto"/>
            <w:vAlign w:val="center"/>
          </w:tcPr>
          <w:p w14:paraId="13953032" w14:textId="77777777" w:rsidR="006C7F31" w:rsidRPr="00FD29C7" w:rsidRDefault="006C7F31" w:rsidP="006C7F31">
            <w:pPr>
              <w:tabs>
                <w:tab w:val="clear" w:pos="426"/>
              </w:tabs>
              <w:spacing w:before="0" w:after="0" w:line="240" w:lineRule="auto"/>
              <w:ind w:left="0" w:right="0"/>
              <w:jc w:val="center"/>
              <w:rPr>
                <w:rFonts w:cs="Arial"/>
                <w:b/>
                <w:bCs/>
                <w:color w:val="1C3158"/>
                <w:sz w:val="18"/>
                <w:lang w:eastAsia="ja-JP"/>
              </w:rPr>
            </w:pPr>
            <w:r>
              <w:rPr>
                <w:rFonts w:cs="Arial"/>
                <w:b/>
                <w:bCs/>
                <w:color w:val="1C3158"/>
                <w:sz w:val="18"/>
              </w:rPr>
              <w:t>100</w:t>
            </w:r>
          </w:p>
        </w:tc>
      </w:tr>
    </w:tbl>
    <w:p w14:paraId="48AF5B95" w14:textId="1944F58A" w:rsidR="006C7F31" w:rsidRDefault="006C7F31" w:rsidP="002901C9">
      <w:pPr>
        <w:ind w:left="0"/>
        <w:rPr>
          <w:rFonts w:eastAsia="MS Mincho" w:cs="Arial"/>
          <w:color w:val="1C3158"/>
          <w:sz w:val="16"/>
        </w:rPr>
      </w:pPr>
      <w:r w:rsidRPr="00CA1F28">
        <w:rPr>
          <w:rFonts w:cs="Arial"/>
          <w:color w:val="1C3158"/>
          <w:sz w:val="16"/>
          <w:szCs w:val="16"/>
        </w:rPr>
        <w:t xml:space="preserve">Weighted population bases: </w:t>
      </w:r>
      <w:r w:rsidRPr="00CA1F28">
        <w:rPr>
          <w:rFonts w:eastAsia="MS Mincho" w:cs="Arial"/>
          <w:color w:val="1C3158"/>
          <w:sz w:val="16"/>
        </w:rPr>
        <w:t>Total New Zealand PGSI 1+ (n=260,011)</w:t>
      </w:r>
      <w:r w:rsidR="00E832B0">
        <w:rPr>
          <w:rFonts w:eastAsia="MS Mincho" w:cs="Arial"/>
          <w:color w:val="1C3158"/>
          <w:sz w:val="16"/>
        </w:rPr>
        <w:t>.</w:t>
      </w:r>
      <w:r w:rsidR="008610D3">
        <w:rPr>
          <w:rFonts w:eastAsia="MS Mincho" w:cs="Arial"/>
          <w:color w:val="1C3158"/>
          <w:sz w:val="16"/>
        </w:rPr>
        <w:t xml:space="preserve"> </w:t>
      </w:r>
      <w:r w:rsidRPr="00CA1F28">
        <w:rPr>
          <w:rFonts w:eastAsia="MS Mincho" w:cs="Arial"/>
          <w:color w:val="1C3158"/>
          <w:sz w:val="16"/>
        </w:rPr>
        <w:t>PGSI: low-risk (n=175,511), moderate-risk (n=61,470), problem gambling (n=23,029)</w:t>
      </w:r>
      <w:r w:rsidR="00E832B0">
        <w:rPr>
          <w:rFonts w:eastAsia="MS Mincho" w:cs="Arial"/>
          <w:color w:val="1C3158"/>
          <w:sz w:val="16"/>
        </w:rPr>
        <w:t>.</w:t>
      </w:r>
      <w:r w:rsidR="008610D3">
        <w:rPr>
          <w:rFonts w:eastAsia="MS Mincho" w:cs="Arial"/>
          <w:color w:val="1C3158"/>
          <w:sz w:val="16"/>
        </w:rPr>
        <w:t xml:space="preserve"> </w:t>
      </w:r>
      <w:r>
        <w:rPr>
          <w:rFonts w:eastAsia="MS Mincho" w:cs="Arial"/>
          <w:color w:val="1C3158"/>
          <w:sz w:val="16"/>
        </w:rPr>
        <w:t>First Language Spoken &amp; PGSI 1+: English (n=</w:t>
      </w:r>
      <w:r w:rsidRPr="002C03E0">
        <w:rPr>
          <w:rFonts w:eastAsia="MS Mincho" w:cs="Arial"/>
          <w:color w:val="1C3158"/>
          <w:sz w:val="16"/>
        </w:rPr>
        <w:t>200</w:t>
      </w:r>
      <w:r>
        <w:rPr>
          <w:rFonts w:eastAsia="MS Mincho" w:cs="Arial"/>
          <w:color w:val="1C3158"/>
          <w:sz w:val="16"/>
        </w:rPr>
        <w:t>,</w:t>
      </w:r>
      <w:r w:rsidRPr="002C03E0">
        <w:rPr>
          <w:rFonts w:eastAsia="MS Mincho" w:cs="Arial"/>
          <w:color w:val="1C3158"/>
          <w:sz w:val="16"/>
        </w:rPr>
        <w:t>503</w:t>
      </w:r>
      <w:r>
        <w:rPr>
          <w:rFonts w:eastAsia="MS Mincho" w:cs="Arial"/>
          <w:color w:val="1C3158"/>
          <w:sz w:val="16"/>
        </w:rPr>
        <w:t xml:space="preserve">), </w:t>
      </w:r>
      <w:r w:rsidR="002901C9">
        <w:rPr>
          <w:rFonts w:eastAsia="MS Mincho" w:cs="Arial"/>
          <w:color w:val="1C3158"/>
          <w:sz w:val="16"/>
        </w:rPr>
        <w:t>Māori</w:t>
      </w:r>
      <w:r>
        <w:rPr>
          <w:rFonts w:eastAsia="MS Mincho" w:cs="Arial"/>
          <w:color w:val="1C3158"/>
          <w:sz w:val="16"/>
        </w:rPr>
        <w:t xml:space="preserve"> (n=6,240), Samoan (n=1</w:t>
      </w:r>
      <w:r w:rsidRPr="00972D20">
        <w:rPr>
          <w:rFonts w:eastAsia="MS Mincho" w:cs="Arial"/>
          <w:color w:val="1C3158"/>
          <w:sz w:val="16"/>
        </w:rPr>
        <w:t>1</w:t>
      </w:r>
      <w:r>
        <w:rPr>
          <w:rFonts w:eastAsia="MS Mincho" w:cs="Arial"/>
          <w:color w:val="1C3158"/>
          <w:sz w:val="16"/>
        </w:rPr>
        <w:t>,107), and Other Language (n=42,161).</w:t>
      </w:r>
    </w:p>
    <w:p w14:paraId="1BC4306F" w14:textId="77777777" w:rsidR="006C7F31" w:rsidRPr="00C1085B" w:rsidRDefault="006C7F31" w:rsidP="006C7F31">
      <w:pPr>
        <w:pStyle w:val="VRGFHead2"/>
      </w:pPr>
      <w:bookmarkStart w:id="399" w:name="_Toc440900298"/>
      <w:bookmarkStart w:id="400" w:name="_Toc462738075"/>
      <w:r w:rsidRPr="00C1085B">
        <w:t>Discussion</w:t>
      </w:r>
      <w:bookmarkEnd w:id="399"/>
      <w:bookmarkEnd w:id="400"/>
    </w:p>
    <w:p w14:paraId="5082CCEB" w14:textId="77777777" w:rsidR="006C7F31" w:rsidRPr="00412993" w:rsidRDefault="006C7F31" w:rsidP="006C7F31">
      <w:pPr>
        <w:pStyle w:val="VRGFHead3"/>
      </w:pPr>
      <w:bookmarkStart w:id="401" w:name="_Toc462738076"/>
      <w:r w:rsidRPr="00412993">
        <w:t xml:space="preserve">Population level harm from gambling in </w:t>
      </w:r>
      <w:r>
        <w:t>New Zealand</w:t>
      </w:r>
      <w:bookmarkEnd w:id="401"/>
    </w:p>
    <w:p w14:paraId="44FC2EDC" w14:textId="30D0C915" w:rsidR="006C7F31" w:rsidRPr="00A91BC1" w:rsidRDefault="006C7F31" w:rsidP="002901C9">
      <w:pPr>
        <w:pStyle w:val="VRGFBodycontent"/>
        <w:rPr>
          <w:rFonts w:eastAsia="MS Mincho"/>
        </w:rPr>
      </w:pPr>
      <w:r w:rsidRPr="00A91BC1">
        <w:rPr>
          <w:rFonts w:eastAsia="MS Mincho"/>
        </w:rPr>
        <w:t xml:space="preserve">An important finding of the study </w:t>
      </w:r>
      <w:r w:rsidR="00BC50B3" w:rsidRPr="00A91BC1">
        <w:rPr>
          <w:rFonts w:eastAsia="MS Mincho"/>
        </w:rPr>
        <w:t xml:space="preserve">is </w:t>
      </w:r>
      <w:r w:rsidRPr="00A91BC1">
        <w:rPr>
          <w:rFonts w:eastAsia="MS Mincho"/>
        </w:rPr>
        <w:t>the aggregate amount of harm occurring across the spectrum of gambling problems</w:t>
      </w:r>
      <w:r w:rsidR="00E832B0" w:rsidRPr="00A91BC1">
        <w:rPr>
          <w:rFonts w:eastAsia="MS Mincho"/>
        </w:rPr>
        <w:t>.</w:t>
      </w:r>
      <w:r w:rsidR="008610D3" w:rsidRPr="00A91BC1">
        <w:rPr>
          <w:rFonts w:eastAsia="MS Mincho"/>
        </w:rPr>
        <w:t xml:space="preserve"> </w:t>
      </w:r>
      <w:r w:rsidRPr="00A91BC1">
        <w:rPr>
          <w:rFonts w:eastAsia="MS Mincho"/>
        </w:rPr>
        <w:t xml:space="preserve">Somewhat counter-intuitively, but in line with our expectations, we found that a greater proportion of harm is attributable to the less severe end of the </w:t>
      </w:r>
      <w:r w:rsidR="006C180E" w:rsidRPr="00A91BC1">
        <w:rPr>
          <w:rFonts w:eastAsia="MS Mincho"/>
        </w:rPr>
        <w:t xml:space="preserve">problem gambling </w:t>
      </w:r>
      <w:r w:rsidRPr="00A91BC1">
        <w:rPr>
          <w:rFonts w:eastAsia="MS Mincho"/>
        </w:rPr>
        <w:t>spectrum</w:t>
      </w:r>
      <w:r w:rsidR="00E832B0" w:rsidRPr="00A91BC1">
        <w:rPr>
          <w:rFonts w:eastAsia="MS Mincho"/>
        </w:rPr>
        <w:t>.</w:t>
      </w:r>
      <w:r w:rsidR="008610D3" w:rsidRPr="00A91BC1">
        <w:rPr>
          <w:rFonts w:eastAsia="MS Mincho"/>
        </w:rPr>
        <w:t xml:space="preserve"> </w:t>
      </w:r>
      <w:r w:rsidRPr="00A91BC1">
        <w:rPr>
          <w:rFonts w:eastAsia="MS Mincho"/>
        </w:rPr>
        <w:t xml:space="preserve">Although problem gamblers’ quality of life is affected 3 times more than </w:t>
      </w:r>
      <w:r w:rsidR="00BC50B3" w:rsidRPr="00A91BC1">
        <w:rPr>
          <w:rFonts w:eastAsia="MS Mincho"/>
        </w:rPr>
        <w:t xml:space="preserve">for </w:t>
      </w:r>
      <w:r w:rsidRPr="00A91BC1">
        <w:rPr>
          <w:rFonts w:eastAsia="MS Mincho"/>
        </w:rPr>
        <w:t>low-risk gambler</w:t>
      </w:r>
      <w:r w:rsidR="00BC50B3" w:rsidRPr="00A91BC1">
        <w:rPr>
          <w:rFonts w:eastAsia="MS Mincho"/>
        </w:rPr>
        <w:t>s</w:t>
      </w:r>
      <w:r w:rsidRPr="00A91BC1">
        <w:rPr>
          <w:rFonts w:eastAsia="MS Mincho"/>
        </w:rPr>
        <w:t>, this is outweighed by the much larger prevalence of individuals in the low-risk category</w:t>
      </w:r>
      <w:r w:rsidR="00E832B0" w:rsidRPr="00A91BC1">
        <w:rPr>
          <w:rFonts w:eastAsia="MS Mincho"/>
        </w:rPr>
        <w:t>.</w:t>
      </w:r>
      <w:r w:rsidR="008610D3" w:rsidRPr="00A91BC1">
        <w:rPr>
          <w:rFonts w:eastAsia="MS Mincho"/>
        </w:rPr>
        <w:t xml:space="preserve"> </w:t>
      </w:r>
      <w:r w:rsidRPr="00A91BC1">
        <w:rPr>
          <w:rFonts w:eastAsia="MS Mincho"/>
        </w:rPr>
        <w:t>A notable concern with our estimate for low-risk gamblers, is that it is supported by relatively fewer condition descriptions</w:t>
      </w:r>
      <w:r w:rsidR="00E832B0" w:rsidRPr="00A91BC1">
        <w:rPr>
          <w:rFonts w:eastAsia="MS Mincho"/>
        </w:rPr>
        <w:t>.</w:t>
      </w:r>
      <w:r w:rsidR="008610D3" w:rsidRPr="00A91BC1">
        <w:rPr>
          <w:rFonts w:eastAsia="MS Mincho"/>
        </w:rPr>
        <w:t xml:space="preserve"> </w:t>
      </w:r>
      <w:r w:rsidRPr="00A91BC1">
        <w:rPr>
          <w:rFonts w:eastAsia="MS Mincho"/>
        </w:rPr>
        <w:t xml:space="preserve">However, even allowing for a wide margin of error in estimating the relative harm caused to the low-risk group, the clear conclusion would be that they contribute the </w:t>
      </w:r>
      <w:r w:rsidR="002A2602" w:rsidRPr="00A91BC1">
        <w:rPr>
          <w:rFonts w:eastAsia="MS Mincho"/>
        </w:rPr>
        <w:t>majority</w:t>
      </w:r>
      <w:r w:rsidRPr="00A91BC1">
        <w:rPr>
          <w:rFonts w:eastAsia="MS Mincho"/>
        </w:rPr>
        <w:t xml:space="preserve"> of </w:t>
      </w:r>
      <w:r w:rsidR="002A2602" w:rsidRPr="00A91BC1">
        <w:rPr>
          <w:rFonts w:eastAsia="MS Mincho"/>
        </w:rPr>
        <w:t>gambling-related</w:t>
      </w:r>
      <w:r w:rsidRPr="00A91BC1">
        <w:rPr>
          <w:rFonts w:eastAsia="MS Mincho"/>
        </w:rPr>
        <w:t xml:space="preserve"> harm</w:t>
      </w:r>
      <w:r w:rsidR="00E832B0" w:rsidRPr="00A91BC1">
        <w:rPr>
          <w:rFonts w:eastAsia="MS Mincho"/>
        </w:rPr>
        <w:t>.</w:t>
      </w:r>
      <w:r w:rsidR="008610D3" w:rsidRPr="00A91BC1">
        <w:rPr>
          <w:rFonts w:eastAsia="MS Mincho"/>
        </w:rPr>
        <w:t xml:space="preserve"> </w:t>
      </w:r>
      <w:r w:rsidRPr="00A91BC1">
        <w:rPr>
          <w:rFonts w:eastAsia="MS Mincho"/>
        </w:rPr>
        <w:t xml:space="preserve">Our study </w:t>
      </w:r>
      <w:r w:rsidR="00BA709F" w:rsidRPr="00A91BC1">
        <w:rPr>
          <w:rFonts w:eastAsia="MS Mincho"/>
        </w:rPr>
        <w:t xml:space="preserve">shows </w:t>
      </w:r>
      <w:r w:rsidRPr="00A91BC1">
        <w:rPr>
          <w:rFonts w:eastAsia="MS Mincho"/>
        </w:rPr>
        <w:t xml:space="preserve">that attention should </w:t>
      </w:r>
      <w:r w:rsidR="00BA709F" w:rsidRPr="00A91BC1">
        <w:rPr>
          <w:rFonts w:eastAsia="MS Mincho"/>
        </w:rPr>
        <w:t xml:space="preserve">not just </w:t>
      </w:r>
      <w:r w:rsidRPr="00A91BC1">
        <w:rPr>
          <w:rFonts w:eastAsia="MS Mincho"/>
        </w:rPr>
        <w:t xml:space="preserve">be focused </w:t>
      </w:r>
      <w:r w:rsidR="00BA709F" w:rsidRPr="00A91BC1">
        <w:rPr>
          <w:rFonts w:eastAsia="MS Mincho"/>
        </w:rPr>
        <w:t xml:space="preserve">on </w:t>
      </w:r>
      <w:r w:rsidRPr="00A91BC1">
        <w:rPr>
          <w:rFonts w:eastAsia="MS Mincho"/>
        </w:rPr>
        <w:t xml:space="preserve">problem gamblers </w:t>
      </w:r>
      <w:r w:rsidR="00BA709F" w:rsidRPr="00A91BC1">
        <w:rPr>
          <w:rFonts w:eastAsia="MS Mincho"/>
        </w:rPr>
        <w:t>but to all people affected by gambling harms</w:t>
      </w:r>
      <w:r w:rsidR="006C180E" w:rsidRPr="00A91BC1">
        <w:rPr>
          <w:rFonts w:eastAsia="MS Mincho"/>
        </w:rPr>
        <w:t>,</w:t>
      </w:r>
      <w:r w:rsidRPr="00A91BC1">
        <w:rPr>
          <w:rFonts w:eastAsia="MS Mincho"/>
        </w:rPr>
        <w:t xml:space="preserve"> which are concentrated in some individuals, but nevertheless spread widely throughout the population</w:t>
      </w:r>
      <w:r w:rsidR="00E832B0" w:rsidRPr="00A91BC1">
        <w:rPr>
          <w:rFonts w:eastAsia="MS Mincho"/>
        </w:rPr>
        <w:t>.</w:t>
      </w:r>
      <w:r w:rsidR="008610D3" w:rsidRPr="00A91BC1">
        <w:rPr>
          <w:rFonts w:eastAsia="MS Mincho"/>
        </w:rPr>
        <w:t xml:space="preserve"> </w:t>
      </w:r>
      <w:r w:rsidR="00BA709F" w:rsidRPr="00A91BC1">
        <w:rPr>
          <w:rFonts w:eastAsia="MS Mincho"/>
        </w:rPr>
        <w:t>This supports the Ministry of Health’s strategy to prevent and minimise gambling harm by addressing that harm across different population groups, and to aim for health equality for everyone in New Zealand (Ministry of Health, 2010).</w:t>
      </w:r>
      <w:r w:rsidR="008610D3" w:rsidRPr="00A91BC1">
        <w:rPr>
          <w:rFonts w:eastAsia="MS Mincho"/>
        </w:rPr>
        <w:t xml:space="preserve"> </w:t>
      </w:r>
      <w:r w:rsidRPr="00A91BC1">
        <w:rPr>
          <w:rFonts w:eastAsia="MS Mincho"/>
        </w:rPr>
        <w:t>Compared to anxiety and depressive disorders, gambling problems are less than half as prevalent</w:t>
      </w:r>
      <w:r w:rsidR="00E832B0" w:rsidRPr="00A91BC1">
        <w:rPr>
          <w:rFonts w:eastAsia="MS Mincho"/>
        </w:rPr>
        <w:t>.</w:t>
      </w:r>
      <w:r w:rsidR="008610D3" w:rsidRPr="00A91BC1">
        <w:rPr>
          <w:rFonts w:eastAsia="MS Mincho"/>
        </w:rPr>
        <w:t xml:space="preserve"> </w:t>
      </w:r>
      <w:r w:rsidRPr="00A91BC1">
        <w:rPr>
          <w:rFonts w:eastAsia="MS Mincho"/>
        </w:rPr>
        <w:t>Low-risk gambling problems are more than twice as common as drug use disorders</w:t>
      </w:r>
      <w:r w:rsidR="00E832B0" w:rsidRPr="00A91BC1">
        <w:rPr>
          <w:rFonts w:eastAsia="MS Mincho"/>
        </w:rPr>
        <w:t>.</w:t>
      </w:r>
      <w:r w:rsidR="008610D3" w:rsidRPr="00A91BC1">
        <w:rPr>
          <w:rFonts w:eastAsia="MS Mincho"/>
        </w:rPr>
        <w:t xml:space="preserve"> </w:t>
      </w:r>
      <w:r w:rsidRPr="00A91BC1">
        <w:rPr>
          <w:rFonts w:eastAsia="MS Mincho"/>
        </w:rPr>
        <w:t xml:space="preserve">Overall, gambling problems are a third as </w:t>
      </w:r>
      <w:r w:rsidR="00562B86" w:rsidRPr="00A91BC1">
        <w:rPr>
          <w:rFonts w:eastAsia="MS Mincho"/>
        </w:rPr>
        <w:t>prevalent</w:t>
      </w:r>
      <w:r w:rsidRPr="00A91BC1">
        <w:rPr>
          <w:rFonts w:eastAsia="MS Mincho"/>
        </w:rPr>
        <w:t xml:space="preserve"> as hazardous </w:t>
      </w:r>
      <w:r w:rsidR="00BD664C" w:rsidRPr="00A91BC1">
        <w:rPr>
          <w:rFonts w:eastAsia="MS Mincho"/>
        </w:rPr>
        <w:t xml:space="preserve">alcohol </w:t>
      </w:r>
      <w:r w:rsidRPr="00A91BC1">
        <w:rPr>
          <w:rFonts w:eastAsia="MS Mincho"/>
        </w:rPr>
        <w:t xml:space="preserve">drinking, which is one of the most </w:t>
      </w:r>
      <w:r w:rsidR="009C3B53" w:rsidRPr="00A91BC1">
        <w:rPr>
          <w:rFonts w:eastAsia="MS Mincho"/>
        </w:rPr>
        <w:t xml:space="preserve">predominant </w:t>
      </w:r>
      <w:r w:rsidRPr="00A91BC1">
        <w:rPr>
          <w:rFonts w:eastAsia="MS Mincho"/>
        </w:rPr>
        <w:t>conditions affecting population health in New Zealand.</w:t>
      </w:r>
      <w:r w:rsidR="00BD664C" w:rsidRPr="00A91BC1">
        <w:rPr>
          <w:rFonts w:eastAsia="MS Mincho"/>
        </w:rPr>
        <w:t xml:space="preserve"> However, gambling problems cannot be directly compared against drug use disorders and hazardous alcohol drinking. Both the latter only include people with a severe level of problems whereas gambling problems include people at low-risk </w:t>
      </w:r>
      <w:r w:rsidR="00636144" w:rsidRPr="00A91BC1">
        <w:rPr>
          <w:rFonts w:eastAsia="MS Mincho"/>
        </w:rPr>
        <w:t xml:space="preserve">and who </w:t>
      </w:r>
      <w:r w:rsidR="00BD664C" w:rsidRPr="00A91BC1">
        <w:rPr>
          <w:rFonts w:eastAsia="MS Mincho"/>
        </w:rPr>
        <w:t>exhibit a low level of problems</w:t>
      </w:r>
      <w:r w:rsidR="00636144" w:rsidRPr="00A91BC1">
        <w:rPr>
          <w:rFonts w:eastAsia="MS Mincho"/>
        </w:rPr>
        <w:t xml:space="preserve"> (i.e. it includes people at a subclinical level as well as at a severe level)</w:t>
      </w:r>
      <w:r w:rsidR="00BD664C" w:rsidRPr="00A91BC1">
        <w:rPr>
          <w:rFonts w:eastAsia="MS Mincho"/>
        </w:rPr>
        <w:t>.</w:t>
      </w:r>
    </w:p>
    <w:p w14:paraId="199E7F72" w14:textId="77777777" w:rsidR="006C7F31" w:rsidRPr="00A91BC1" w:rsidRDefault="006C7F31" w:rsidP="002901C9">
      <w:pPr>
        <w:pStyle w:val="VRGFBodycontent"/>
        <w:rPr>
          <w:rFonts w:eastAsia="MS Mincho"/>
        </w:rPr>
      </w:pPr>
    </w:p>
    <w:p w14:paraId="708C03DD" w14:textId="77777777" w:rsidR="006C7F31" w:rsidRPr="00A91BC1" w:rsidRDefault="006C7F31" w:rsidP="006C7F31">
      <w:pPr>
        <w:pStyle w:val="VRGFHead3"/>
      </w:pPr>
      <w:bookmarkStart w:id="402" w:name="_Toc462738077"/>
      <w:r w:rsidRPr="00A91BC1">
        <w:t>Harm caused to self and others</w:t>
      </w:r>
      <w:bookmarkEnd w:id="402"/>
    </w:p>
    <w:p w14:paraId="467D321E" w14:textId="5A3968AB" w:rsidR="006C7F31" w:rsidRPr="00A91BC1" w:rsidRDefault="006C7F31" w:rsidP="006C7F31">
      <w:pPr>
        <w:pStyle w:val="VRGFBodycontent"/>
        <w:rPr>
          <w:rFonts w:eastAsia="MS Mincho"/>
        </w:rPr>
      </w:pPr>
      <w:r w:rsidRPr="00A91BC1">
        <w:rPr>
          <w:rFonts w:eastAsia="MS Mincho"/>
        </w:rPr>
        <w:t xml:space="preserve">Combining prevalence information from previous studies with the HRQL </w:t>
      </w:r>
      <w:r w:rsidR="00A91BC1">
        <w:rPr>
          <w:rFonts w:eastAsia="MS Mincho"/>
        </w:rPr>
        <w:t>utility weights</w:t>
      </w:r>
      <w:r w:rsidRPr="00A91BC1">
        <w:rPr>
          <w:rFonts w:eastAsia="MS Mincho"/>
        </w:rPr>
        <w:t xml:space="preserve"> in the present study, gambling was found to contribute to 67,199 years of </w:t>
      </w:r>
      <w:r w:rsidR="00A91BC1">
        <w:rPr>
          <w:rFonts w:eastAsia="MS Mincho"/>
        </w:rPr>
        <w:t xml:space="preserve">healthy </w:t>
      </w:r>
      <w:r w:rsidRPr="00A91BC1">
        <w:rPr>
          <w:rFonts w:eastAsia="MS Mincho"/>
        </w:rPr>
        <w:t>life lost (</w:t>
      </w:r>
      <w:r w:rsidR="00A91BC1">
        <w:rPr>
          <w:rFonts w:eastAsia="MS Mincho"/>
        </w:rPr>
        <w:t>QALY</w:t>
      </w:r>
      <w:r w:rsidR="00A91BC1" w:rsidRPr="00A91BC1">
        <w:rPr>
          <w:rFonts w:eastAsia="MS Mincho"/>
          <w:vertAlign w:val="subscript"/>
        </w:rPr>
        <w:t>1</w:t>
      </w:r>
      <w:r w:rsidRPr="00A91BC1">
        <w:rPr>
          <w:rFonts w:eastAsia="MS Mincho"/>
        </w:rPr>
        <w:t>) due to decreased quality of life, per year</w:t>
      </w:r>
      <w:r w:rsidR="00E832B0" w:rsidRPr="00A91BC1">
        <w:rPr>
          <w:rFonts w:eastAsia="MS Mincho"/>
        </w:rPr>
        <w:t>.</w:t>
      </w:r>
      <w:r w:rsidR="008610D3" w:rsidRPr="00A91BC1">
        <w:rPr>
          <w:rFonts w:eastAsia="MS Mincho"/>
        </w:rPr>
        <w:t xml:space="preserve"> </w:t>
      </w:r>
      <w:r w:rsidRPr="00A91BC1">
        <w:rPr>
          <w:rFonts w:eastAsia="MS Mincho"/>
        </w:rPr>
        <w:t>Even without reference to comparison conditions, this is a figure that suggests a large quantity of avoidable human suffering arising from one’s own gambling</w:t>
      </w:r>
      <w:r w:rsidR="00E832B0" w:rsidRPr="00A91BC1">
        <w:rPr>
          <w:rFonts w:eastAsia="MS Mincho"/>
        </w:rPr>
        <w:t>.</w:t>
      </w:r>
      <w:r w:rsidR="008610D3" w:rsidRPr="00A91BC1">
        <w:rPr>
          <w:rFonts w:eastAsia="MS Mincho"/>
        </w:rPr>
        <w:t xml:space="preserve"> </w:t>
      </w:r>
      <w:r w:rsidRPr="00A91BC1">
        <w:rPr>
          <w:rFonts w:eastAsia="MS Mincho"/>
        </w:rPr>
        <w:t xml:space="preserve">Additionally, we estimated a figure of </w:t>
      </w:r>
      <w:r w:rsidR="00A21C7B" w:rsidRPr="00A91BC1">
        <w:rPr>
          <w:rFonts w:eastAsia="MS Mincho"/>
        </w:rPr>
        <w:t>94</w:t>
      </w:r>
      <w:r w:rsidRPr="00A91BC1">
        <w:rPr>
          <w:rFonts w:eastAsia="MS Mincho"/>
        </w:rPr>
        <w:t>,</w:t>
      </w:r>
      <w:r w:rsidR="00A21C7B" w:rsidRPr="00A91BC1">
        <w:rPr>
          <w:rFonts w:eastAsia="MS Mincho"/>
        </w:rPr>
        <w:t>730</w:t>
      </w:r>
      <w:r w:rsidRPr="00A91BC1">
        <w:rPr>
          <w:rFonts w:eastAsia="MS Mincho"/>
        </w:rPr>
        <w:t xml:space="preserve"> </w:t>
      </w:r>
      <w:r w:rsidR="00A91BC1">
        <w:rPr>
          <w:rFonts w:eastAsia="MS Mincho"/>
        </w:rPr>
        <w:t>QALY</w:t>
      </w:r>
      <w:r w:rsidR="00A91BC1" w:rsidRPr="00A91BC1">
        <w:rPr>
          <w:rFonts w:eastAsia="MS Mincho"/>
          <w:vertAlign w:val="subscript"/>
        </w:rPr>
        <w:t>1</w:t>
      </w:r>
      <w:r w:rsidR="00A91BC1" w:rsidRPr="00A91BC1">
        <w:rPr>
          <w:rFonts w:eastAsia="MS Mincho"/>
        </w:rPr>
        <w:t xml:space="preserve"> </w:t>
      </w:r>
      <w:r w:rsidRPr="00A91BC1">
        <w:rPr>
          <w:rFonts w:eastAsia="MS Mincho"/>
        </w:rPr>
        <w:t>caused to affected individuals connected to people with gambling problems</w:t>
      </w:r>
      <w:r w:rsidR="00E832B0" w:rsidRPr="00A91BC1">
        <w:rPr>
          <w:rFonts w:eastAsia="MS Mincho"/>
        </w:rPr>
        <w:t>.</w:t>
      </w:r>
      <w:r w:rsidR="008610D3" w:rsidRPr="00A91BC1">
        <w:rPr>
          <w:rFonts w:eastAsia="MS Mincho"/>
        </w:rPr>
        <w:t xml:space="preserve"> </w:t>
      </w:r>
      <w:r w:rsidRPr="00A91BC1">
        <w:rPr>
          <w:rFonts w:eastAsia="MS Mincho"/>
        </w:rPr>
        <w:t xml:space="preserve">Given that previous research has suggested that each gambler may affect </w:t>
      </w:r>
      <w:r w:rsidR="006C180E" w:rsidRPr="00A91BC1">
        <w:rPr>
          <w:rFonts w:eastAsia="MS Mincho"/>
        </w:rPr>
        <w:t xml:space="preserve">more than </w:t>
      </w:r>
      <w:r w:rsidR="00B36BAC" w:rsidRPr="00A91BC1">
        <w:rPr>
          <w:rFonts w:eastAsia="MS Mincho"/>
        </w:rPr>
        <w:t xml:space="preserve">five </w:t>
      </w:r>
      <w:r w:rsidRPr="00A91BC1">
        <w:rPr>
          <w:rFonts w:eastAsia="MS Mincho"/>
        </w:rPr>
        <w:t>other individuals (Ladouceur, 1993; Lobsinger, Bechett, &amp; Relationships Australia, 1996; Productivity Commission, 1999), this is a somewhat surprisingly small proportion of gambling harm occurring to others</w:t>
      </w:r>
      <w:r w:rsidR="00E832B0" w:rsidRPr="00A91BC1">
        <w:rPr>
          <w:rFonts w:eastAsia="MS Mincho"/>
        </w:rPr>
        <w:t>.</w:t>
      </w:r>
      <w:r w:rsidR="008610D3" w:rsidRPr="00A91BC1">
        <w:rPr>
          <w:rFonts w:eastAsia="MS Mincho"/>
        </w:rPr>
        <w:t xml:space="preserve"> </w:t>
      </w:r>
      <w:r w:rsidRPr="00A91BC1">
        <w:rPr>
          <w:rFonts w:eastAsia="MS Mincho"/>
        </w:rPr>
        <w:t>Our figure is based on the percentage of respondents to the NZ National Gambling Study who indicated that their relationship with someone with possible gambling problems had been negatively affected</w:t>
      </w:r>
      <w:r w:rsidR="006C7043" w:rsidRPr="00A91BC1">
        <w:rPr>
          <w:rFonts w:eastAsia="MS Mincho"/>
        </w:rPr>
        <w:t>.</w:t>
      </w:r>
      <w:r w:rsidR="008610D3" w:rsidRPr="00A91BC1">
        <w:rPr>
          <w:rFonts w:eastAsia="MS Mincho"/>
        </w:rPr>
        <w:t xml:space="preserve"> </w:t>
      </w:r>
      <w:r w:rsidR="006C7043" w:rsidRPr="00A91BC1">
        <w:rPr>
          <w:rFonts w:eastAsia="MS Mincho"/>
        </w:rPr>
        <w:t xml:space="preserve">Overall, </w:t>
      </w:r>
      <w:r w:rsidR="00B43A94" w:rsidRPr="00A91BC1">
        <w:rPr>
          <w:rFonts w:eastAsia="MS Mincho"/>
        </w:rPr>
        <w:t>14</w:t>
      </w:r>
      <w:r w:rsidR="006C7043" w:rsidRPr="00A91BC1">
        <w:rPr>
          <w:rFonts w:eastAsia="MS Mincho"/>
        </w:rPr>
        <w:t>.</w:t>
      </w:r>
      <w:r w:rsidR="00B43A94" w:rsidRPr="00A91BC1">
        <w:rPr>
          <w:rFonts w:eastAsia="MS Mincho"/>
        </w:rPr>
        <w:t>4</w:t>
      </w:r>
      <w:r w:rsidR="006C7043" w:rsidRPr="00A91BC1">
        <w:rPr>
          <w:rFonts w:eastAsia="MS Mincho"/>
        </w:rPr>
        <w:t>% of participants indicated negative effects from someone</w:t>
      </w:r>
      <w:r w:rsidR="002516C7" w:rsidRPr="00A91BC1">
        <w:rPr>
          <w:rFonts w:eastAsia="MS Mincho"/>
        </w:rPr>
        <w:t xml:space="preserve"> they knew who had a problem with gambling</w:t>
      </w:r>
      <w:r w:rsidR="00264A7E" w:rsidRPr="00A91BC1">
        <w:rPr>
          <w:rFonts w:eastAsia="MS Mincho"/>
        </w:rPr>
        <w:t>.</w:t>
      </w:r>
      <w:r w:rsidR="008610D3" w:rsidRPr="00A91BC1">
        <w:rPr>
          <w:rFonts w:eastAsia="MS Mincho"/>
        </w:rPr>
        <w:t xml:space="preserve"> </w:t>
      </w:r>
      <w:r w:rsidR="00264A7E" w:rsidRPr="00A91BC1">
        <w:rPr>
          <w:rFonts w:eastAsia="MS Mincho"/>
        </w:rPr>
        <w:t>However,</w:t>
      </w:r>
      <w:r w:rsidR="001A214D" w:rsidRPr="00A91BC1">
        <w:rPr>
          <w:rFonts w:eastAsia="MS Mincho"/>
        </w:rPr>
        <w:t xml:space="preserve"> a third (32.3%)</w:t>
      </w:r>
      <w:r w:rsidR="00264A7E" w:rsidRPr="00A91BC1">
        <w:rPr>
          <w:rFonts w:eastAsia="MS Mincho"/>
        </w:rPr>
        <w:t xml:space="preserve"> of participants report</w:t>
      </w:r>
      <w:r w:rsidR="001A214D" w:rsidRPr="00A91BC1">
        <w:rPr>
          <w:rFonts w:eastAsia="MS Mincho"/>
        </w:rPr>
        <w:t>ed</w:t>
      </w:r>
      <w:r w:rsidR="00264A7E" w:rsidRPr="00A91BC1">
        <w:rPr>
          <w:rFonts w:eastAsia="MS Mincho"/>
        </w:rPr>
        <w:t xml:space="preserve"> knowing someone who currently or previously had a problem with gambling and of those people,</w:t>
      </w:r>
      <w:r w:rsidR="001A214D" w:rsidRPr="00A91BC1">
        <w:rPr>
          <w:rFonts w:eastAsia="MS Mincho"/>
        </w:rPr>
        <w:t xml:space="preserve"> nearly half (44.6%)</w:t>
      </w:r>
      <w:r w:rsidR="00264A7E" w:rsidRPr="00A91BC1">
        <w:rPr>
          <w:rFonts w:eastAsia="MS Mincho"/>
        </w:rPr>
        <w:t xml:space="preserve"> reported some form of negative effects from that person’s gambling.</w:t>
      </w:r>
      <w:r w:rsidR="001A214D" w:rsidRPr="00A91BC1">
        <w:rPr>
          <w:rFonts w:eastAsia="MS Mincho"/>
        </w:rPr>
        <w:t xml:space="preserve"> </w:t>
      </w:r>
      <w:r w:rsidRPr="00A91BC1">
        <w:rPr>
          <w:rFonts w:eastAsia="MS Mincho"/>
        </w:rPr>
        <w:t xml:space="preserve">Also, contributing to this relatively low estimate, our utility decrement used for harm to others was </w:t>
      </w:r>
      <w:r w:rsidRPr="00A91BC1">
        <w:rPr>
          <w:rFonts w:eastAsia="MS Mincho"/>
        </w:rPr>
        <w:lastRenderedPageBreak/>
        <w:t>0.195 – which is based on the assumption that the gambler causing the harm was a randomly selected individual from the population of the NZ population with a PGSI score greater than zero</w:t>
      </w:r>
      <w:r w:rsidR="00E832B0" w:rsidRPr="00A91BC1">
        <w:rPr>
          <w:rFonts w:eastAsia="MS Mincho"/>
        </w:rPr>
        <w:t>.</w:t>
      </w:r>
      <w:r w:rsidR="008610D3" w:rsidRPr="00A91BC1">
        <w:rPr>
          <w:rFonts w:eastAsia="MS Mincho"/>
        </w:rPr>
        <w:t xml:space="preserve"> </w:t>
      </w:r>
      <w:r w:rsidRPr="00A91BC1">
        <w:rPr>
          <w:rFonts w:eastAsia="MS Mincho"/>
        </w:rPr>
        <w:t>As noted in the previous section, the accuracy of this weighting is limited by the information available in the prevalence survey, and is likely to be conservative</w:t>
      </w:r>
      <w:r w:rsidR="00E832B0" w:rsidRPr="00A91BC1">
        <w:rPr>
          <w:rFonts w:eastAsia="MS Mincho"/>
        </w:rPr>
        <w:t>.</w:t>
      </w:r>
      <w:r w:rsidR="008610D3" w:rsidRPr="00A91BC1">
        <w:rPr>
          <w:rFonts w:eastAsia="MS Mincho"/>
        </w:rPr>
        <w:t xml:space="preserve"> </w:t>
      </w:r>
      <w:r w:rsidRPr="00A91BC1">
        <w:rPr>
          <w:rFonts w:eastAsia="MS Mincho"/>
        </w:rPr>
        <w:t>Conducting a representative population survey of harms caused by others’ gambling would refine this figure, and would likely result in an increased estimate of harm to others.</w:t>
      </w:r>
    </w:p>
    <w:p w14:paraId="4BF8740D" w14:textId="77777777" w:rsidR="006C7F31" w:rsidRPr="00A91BC1" w:rsidRDefault="006C7F31" w:rsidP="006C7F31">
      <w:pPr>
        <w:pStyle w:val="VRGFBodycontent"/>
        <w:rPr>
          <w:rFonts w:eastAsia="MS Mincho"/>
        </w:rPr>
      </w:pPr>
    </w:p>
    <w:p w14:paraId="1588F7AF" w14:textId="0FDF4287" w:rsidR="006C7F31" w:rsidRPr="00A91BC1" w:rsidRDefault="006C7F31" w:rsidP="006C7F31">
      <w:pPr>
        <w:pStyle w:val="VRGFHead3"/>
      </w:pPr>
      <w:bookmarkStart w:id="403" w:name="_Toc462738078"/>
      <w:r w:rsidRPr="00A91BC1">
        <w:t xml:space="preserve">Different domains of </w:t>
      </w:r>
      <w:r w:rsidR="00AE4FEB" w:rsidRPr="00A91BC1">
        <w:t>gambling</w:t>
      </w:r>
      <w:r w:rsidR="00A91BC1">
        <w:t>-related</w:t>
      </w:r>
      <w:r w:rsidR="00AE4FEB" w:rsidRPr="00A91BC1">
        <w:t xml:space="preserve"> </w:t>
      </w:r>
      <w:r w:rsidRPr="00A91BC1">
        <w:t>harm and quality of life</w:t>
      </w:r>
      <w:bookmarkEnd w:id="403"/>
    </w:p>
    <w:p w14:paraId="4292A9B3" w14:textId="3BBC9000" w:rsidR="006C7F31" w:rsidRPr="00A91BC1" w:rsidRDefault="006C7F31" w:rsidP="006C7F31">
      <w:pPr>
        <w:pStyle w:val="VRGFBodycontent"/>
        <w:rPr>
          <w:rFonts w:eastAsia="MS Mincho"/>
        </w:rPr>
      </w:pPr>
      <w:r w:rsidRPr="00A91BC1">
        <w:rPr>
          <w:rFonts w:eastAsia="MS Mincho"/>
        </w:rPr>
        <w:t xml:space="preserve">Decomposing the contributions of the different domains of </w:t>
      </w:r>
      <w:r w:rsidR="00A91BC1">
        <w:rPr>
          <w:rFonts w:eastAsia="MS Mincho"/>
        </w:rPr>
        <w:t xml:space="preserve">gambling-related </w:t>
      </w:r>
      <w:r w:rsidRPr="00A91BC1">
        <w:rPr>
          <w:rFonts w:eastAsia="MS Mincho"/>
        </w:rPr>
        <w:t>harm to overall quality of life impact is difficult, due to the high degree of co-variation between different domains</w:t>
      </w:r>
      <w:r w:rsidR="00E832B0" w:rsidRPr="00A91BC1">
        <w:rPr>
          <w:rFonts w:eastAsia="MS Mincho"/>
        </w:rPr>
        <w:t>.</w:t>
      </w:r>
      <w:r w:rsidR="008610D3" w:rsidRPr="00A91BC1">
        <w:rPr>
          <w:rFonts w:eastAsia="MS Mincho"/>
        </w:rPr>
        <w:t xml:space="preserve"> </w:t>
      </w:r>
      <w:r w:rsidRPr="00A91BC1">
        <w:rPr>
          <w:rFonts w:eastAsia="MS Mincho"/>
        </w:rPr>
        <w:t>For example, an individual who is suffering financial harms is very often also suffering emotional/psychological and relationship harm</w:t>
      </w:r>
      <w:r w:rsidR="00E832B0" w:rsidRPr="00A91BC1">
        <w:rPr>
          <w:rFonts w:eastAsia="MS Mincho"/>
        </w:rPr>
        <w:t>.</w:t>
      </w:r>
      <w:r w:rsidR="008610D3" w:rsidRPr="00A91BC1">
        <w:rPr>
          <w:rFonts w:eastAsia="MS Mincho"/>
        </w:rPr>
        <w:t xml:space="preserve"> </w:t>
      </w:r>
      <w:r w:rsidRPr="00A91BC1">
        <w:rPr>
          <w:rFonts w:eastAsia="MS Mincho"/>
        </w:rPr>
        <w:t>Therefore, determining which domains are instrumental in determining overall quality of life decrements is to some degree intractable</w:t>
      </w:r>
      <w:r w:rsidR="00E832B0" w:rsidRPr="00A91BC1">
        <w:rPr>
          <w:rFonts w:eastAsia="MS Mincho"/>
        </w:rPr>
        <w:t>.</w:t>
      </w:r>
      <w:r w:rsidR="008610D3" w:rsidRPr="00A91BC1">
        <w:rPr>
          <w:rFonts w:eastAsia="MS Mincho"/>
        </w:rPr>
        <w:t xml:space="preserve"> </w:t>
      </w:r>
      <w:r w:rsidRPr="00A91BC1">
        <w:rPr>
          <w:rFonts w:eastAsia="MS Mincho"/>
        </w:rPr>
        <w:t>However, the analyses presented provide an insight into how harm is manifested, which is consistent with our expectations, and also our theoretical understanding of how a person experiences harm</w:t>
      </w:r>
      <w:r w:rsidR="00E832B0" w:rsidRPr="00A91BC1">
        <w:rPr>
          <w:rFonts w:eastAsia="MS Mincho"/>
        </w:rPr>
        <w:t>.</w:t>
      </w:r>
      <w:r w:rsidR="008610D3" w:rsidRPr="00A91BC1">
        <w:rPr>
          <w:rFonts w:eastAsia="MS Mincho"/>
        </w:rPr>
        <w:t xml:space="preserve"> </w:t>
      </w:r>
      <w:r w:rsidRPr="00A91BC1">
        <w:rPr>
          <w:rFonts w:eastAsia="MS Mincho"/>
        </w:rPr>
        <w:t>Our regression analysis suggested that financial and emotional/psychological harms were instrumental in determining utility decrements, followed by work/study, relationship, and ‘other’ harms</w:t>
      </w:r>
      <w:r w:rsidR="00E832B0" w:rsidRPr="00A91BC1">
        <w:rPr>
          <w:rFonts w:eastAsia="MS Mincho"/>
        </w:rPr>
        <w:t>.</w:t>
      </w:r>
      <w:r w:rsidR="008610D3" w:rsidRPr="00A91BC1">
        <w:rPr>
          <w:rFonts w:eastAsia="MS Mincho"/>
        </w:rPr>
        <w:t xml:space="preserve"> </w:t>
      </w:r>
      <w:r w:rsidRPr="00A91BC1">
        <w:rPr>
          <w:rFonts w:eastAsia="MS Mincho"/>
        </w:rPr>
        <w:t>Note that ‘other’ included a range of harms involving crime, shame, neglect of children and other responsibilities</w:t>
      </w:r>
      <w:r w:rsidR="00E832B0" w:rsidRPr="00A91BC1">
        <w:rPr>
          <w:rFonts w:eastAsia="MS Mincho"/>
        </w:rPr>
        <w:t>.</w:t>
      </w:r>
      <w:r w:rsidR="008610D3" w:rsidRPr="00A91BC1">
        <w:rPr>
          <w:rFonts w:eastAsia="MS Mincho"/>
        </w:rPr>
        <w:t xml:space="preserve"> </w:t>
      </w:r>
      <w:r w:rsidRPr="00A91BC1">
        <w:rPr>
          <w:rFonts w:eastAsia="MS Mincho"/>
        </w:rPr>
        <w:t>Whilst these harms are certainly severe, they tend to be much less prevalent and</w:t>
      </w:r>
      <w:r w:rsidR="00986FE5" w:rsidRPr="00A91BC1">
        <w:rPr>
          <w:rFonts w:eastAsia="MS Mincho"/>
        </w:rPr>
        <w:t>,</w:t>
      </w:r>
      <w:r w:rsidRPr="00A91BC1">
        <w:rPr>
          <w:rFonts w:eastAsia="MS Mincho"/>
        </w:rPr>
        <w:t xml:space="preserve"> accordingly</w:t>
      </w:r>
      <w:r w:rsidR="00986FE5" w:rsidRPr="00A91BC1">
        <w:rPr>
          <w:rFonts w:eastAsia="MS Mincho"/>
        </w:rPr>
        <w:t>,</w:t>
      </w:r>
      <w:r w:rsidRPr="00A91BC1">
        <w:rPr>
          <w:rFonts w:eastAsia="MS Mincho"/>
        </w:rPr>
        <w:t xml:space="preserve"> have less overall impact on the amount of harm caused</w:t>
      </w:r>
      <w:r w:rsidR="00E832B0" w:rsidRPr="00A91BC1">
        <w:rPr>
          <w:rFonts w:eastAsia="MS Mincho"/>
        </w:rPr>
        <w:t>.</w:t>
      </w:r>
      <w:r w:rsidR="008610D3" w:rsidRPr="00A91BC1">
        <w:rPr>
          <w:rFonts w:eastAsia="MS Mincho"/>
        </w:rPr>
        <w:t xml:space="preserve"> </w:t>
      </w:r>
      <w:r w:rsidRPr="00A91BC1">
        <w:rPr>
          <w:rFonts w:eastAsia="MS Mincho"/>
        </w:rPr>
        <w:t>Therefore, these can be conceptually grouped with relationship and psychological harms</w:t>
      </w:r>
      <w:r w:rsidR="00E832B0" w:rsidRPr="00A91BC1">
        <w:rPr>
          <w:rFonts w:eastAsia="MS Mincho"/>
        </w:rPr>
        <w:t>.</w:t>
      </w:r>
      <w:r w:rsidR="008610D3" w:rsidRPr="00A91BC1">
        <w:rPr>
          <w:rFonts w:eastAsia="MS Mincho"/>
        </w:rPr>
        <w:t xml:space="preserve"> </w:t>
      </w:r>
      <w:r w:rsidRPr="00A91BC1">
        <w:rPr>
          <w:rFonts w:eastAsia="MS Mincho"/>
        </w:rPr>
        <w:t>Interestingly, health harms had no relationship to quality of life impact, once controlling for psychosocial harms</w:t>
      </w:r>
      <w:r w:rsidR="00E832B0" w:rsidRPr="00A91BC1">
        <w:rPr>
          <w:rFonts w:eastAsia="MS Mincho"/>
        </w:rPr>
        <w:t>.</w:t>
      </w:r>
      <w:r w:rsidR="008610D3" w:rsidRPr="00A91BC1">
        <w:rPr>
          <w:rFonts w:eastAsia="MS Mincho"/>
        </w:rPr>
        <w:t xml:space="preserve"> </w:t>
      </w:r>
      <w:r w:rsidRPr="00A91BC1">
        <w:rPr>
          <w:rFonts w:eastAsia="MS Mincho"/>
        </w:rPr>
        <w:t>This finding was broadly supported by the more conservative Random Forest approach for ascertaining the relative contributions of each domain</w:t>
      </w:r>
      <w:r w:rsidR="00E832B0" w:rsidRPr="00A91BC1">
        <w:rPr>
          <w:rFonts w:eastAsia="MS Mincho"/>
        </w:rPr>
        <w:t>.</w:t>
      </w:r>
      <w:r w:rsidR="008610D3" w:rsidRPr="00A91BC1">
        <w:rPr>
          <w:rFonts w:eastAsia="MS Mincho"/>
        </w:rPr>
        <w:t xml:space="preserve"> </w:t>
      </w:r>
      <w:r w:rsidRPr="00A91BC1">
        <w:rPr>
          <w:rFonts w:eastAsia="MS Mincho"/>
        </w:rPr>
        <w:t>This may be due to some conceptual overlap between the health and psychological harms, with several health harms (e.g. lack of sleep due to stress) encompassing both domains</w:t>
      </w:r>
      <w:r w:rsidR="00E832B0" w:rsidRPr="00A91BC1">
        <w:rPr>
          <w:rFonts w:eastAsia="MS Mincho"/>
        </w:rPr>
        <w:t>.</w:t>
      </w:r>
      <w:r w:rsidR="008610D3" w:rsidRPr="00A91BC1">
        <w:rPr>
          <w:rFonts w:eastAsia="MS Mincho"/>
        </w:rPr>
        <w:t xml:space="preserve"> </w:t>
      </w:r>
      <w:r w:rsidRPr="00A91BC1">
        <w:rPr>
          <w:rFonts w:eastAsia="MS Mincho"/>
        </w:rPr>
        <w:t>These results accord with the theoretical approach to quality of life as a subjective lived experience</w:t>
      </w:r>
      <w:r w:rsidR="00E832B0" w:rsidRPr="00A91BC1">
        <w:rPr>
          <w:rFonts w:eastAsia="MS Mincho"/>
        </w:rPr>
        <w:t>.</w:t>
      </w:r>
      <w:r w:rsidR="008610D3" w:rsidRPr="00A91BC1">
        <w:rPr>
          <w:rFonts w:eastAsia="MS Mincho"/>
        </w:rPr>
        <w:t xml:space="preserve"> </w:t>
      </w:r>
      <w:r w:rsidRPr="00A91BC1">
        <w:rPr>
          <w:rFonts w:eastAsia="MS Mincho"/>
        </w:rPr>
        <w:t>From this point of view, psychological effects are primary since they are immediately experienced</w:t>
      </w:r>
      <w:r w:rsidR="00E832B0" w:rsidRPr="00A91BC1">
        <w:rPr>
          <w:rFonts w:eastAsia="MS Mincho"/>
        </w:rPr>
        <w:t>.</w:t>
      </w:r>
      <w:r w:rsidR="008610D3" w:rsidRPr="00A91BC1">
        <w:rPr>
          <w:rFonts w:eastAsia="MS Mincho"/>
        </w:rPr>
        <w:t xml:space="preserve"> </w:t>
      </w:r>
      <w:r w:rsidRPr="00A91BC1">
        <w:rPr>
          <w:rFonts w:eastAsia="MS Mincho"/>
        </w:rPr>
        <w:t>Because humans are intrinsically social animals, relationship harms are implicitly tied to psychological harms – harm to an intimate relationship is interpreted as intrinsically bound to a corresponding psychological experience</w:t>
      </w:r>
      <w:r w:rsidR="00E832B0" w:rsidRPr="00A91BC1">
        <w:rPr>
          <w:rFonts w:eastAsia="MS Mincho"/>
        </w:rPr>
        <w:t>.</w:t>
      </w:r>
      <w:r w:rsidR="008610D3" w:rsidRPr="00A91BC1">
        <w:rPr>
          <w:rFonts w:eastAsia="MS Mincho"/>
        </w:rPr>
        <w:t xml:space="preserve"> </w:t>
      </w:r>
      <w:r w:rsidRPr="00A91BC1">
        <w:rPr>
          <w:rFonts w:eastAsia="MS Mincho"/>
        </w:rPr>
        <w:t>The finding also confirms our proposed theoretical model, in which gambling reduces one’s time and money resources to meet one’s needs, including meeting obligations to others</w:t>
      </w:r>
      <w:r w:rsidR="00E832B0" w:rsidRPr="00A91BC1">
        <w:rPr>
          <w:rFonts w:eastAsia="MS Mincho"/>
        </w:rPr>
        <w:t>.</w:t>
      </w:r>
      <w:r w:rsidR="008610D3" w:rsidRPr="00A91BC1">
        <w:rPr>
          <w:rFonts w:eastAsia="MS Mincho"/>
        </w:rPr>
        <w:t xml:space="preserve"> </w:t>
      </w:r>
      <w:r w:rsidRPr="00A91BC1">
        <w:rPr>
          <w:rFonts w:eastAsia="MS Mincho"/>
        </w:rPr>
        <w:t>Thus, the time and money absorbed by gambling mediated the relationship between gambling problems and psychosocial harms, which in turn are the primary drivers of a decrease in quality of life.</w:t>
      </w:r>
    </w:p>
    <w:p w14:paraId="0F85098D" w14:textId="77777777" w:rsidR="006C7F31" w:rsidRPr="00A91BC1" w:rsidRDefault="006C7F31" w:rsidP="006C7F31">
      <w:pPr>
        <w:pStyle w:val="VRGFBodycontent"/>
        <w:rPr>
          <w:rFonts w:eastAsia="MS Mincho"/>
        </w:rPr>
      </w:pPr>
    </w:p>
    <w:p w14:paraId="7DCC31AC" w14:textId="77777777" w:rsidR="006C7F31" w:rsidRPr="00A91BC1" w:rsidRDefault="006C7F31" w:rsidP="006C7F31">
      <w:pPr>
        <w:pStyle w:val="VRGFHead3"/>
      </w:pPr>
      <w:bookmarkStart w:id="404" w:name="_Toc462738079"/>
      <w:r w:rsidRPr="00A91BC1">
        <w:t>The burden of gambling harm compared to other conditions</w:t>
      </w:r>
      <w:bookmarkEnd w:id="404"/>
    </w:p>
    <w:p w14:paraId="1D9A9051" w14:textId="54BEFD20" w:rsidR="006C7F31" w:rsidRPr="00A91BC1" w:rsidRDefault="006C7F31" w:rsidP="006C7F31">
      <w:pPr>
        <w:pStyle w:val="VRGFBodycontent"/>
        <w:rPr>
          <w:rFonts w:eastAsia="MS Mincho"/>
        </w:rPr>
      </w:pPr>
      <w:r w:rsidRPr="00A91BC1">
        <w:rPr>
          <w:rFonts w:eastAsia="MS Mincho"/>
        </w:rPr>
        <w:t>Our results indicate that gambling presents a</w:t>
      </w:r>
      <w:r w:rsidR="004170F5" w:rsidRPr="00A91BC1">
        <w:rPr>
          <w:rFonts w:eastAsia="MS Mincho"/>
        </w:rPr>
        <w:t xml:space="preserve"> significant burden to the well</w:t>
      </w:r>
      <w:r w:rsidRPr="00A91BC1">
        <w:rPr>
          <w:rFonts w:eastAsia="MS Mincho"/>
        </w:rPr>
        <w:t>being of the New Zealand population</w:t>
      </w:r>
      <w:r w:rsidR="00E832B0" w:rsidRPr="00A91BC1">
        <w:rPr>
          <w:rFonts w:eastAsia="MS Mincho"/>
        </w:rPr>
        <w:t>.</w:t>
      </w:r>
      <w:r w:rsidR="008610D3" w:rsidRPr="00A91BC1">
        <w:rPr>
          <w:rFonts w:eastAsia="MS Mincho"/>
        </w:rPr>
        <w:t xml:space="preserve"> </w:t>
      </w:r>
      <w:r w:rsidRPr="00A91BC1">
        <w:rPr>
          <w:rFonts w:eastAsia="MS Mincho"/>
        </w:rPr>
        <w:t>Comparisons to other conditions confirm that gambling has an impact in the same class as excessive alcohol consumption and anxiety and depressive disorders</w:t>
      </w:r>
      <w:r w:rsidR="00E832B0" w:rsidRPr="00A91BC1">
        <w:rPr>
          <w:rFonts w:eastAsia="MS Mincho"/>
        </w:rPr>
        <w:t>.</w:t>
      </w:r>
      <w:r w:rsidR="008610D3" w:rsidRPr="00A91BC1">
        <w:rPr>
          <w:rFonts w:eastAsia="MS Mincho"/>
        </w:rPr>
        <w:t xml:space="preserve"> </w:t>
      </w:r>
      <w:r w:rsidRPr="00A91BC1">
        <w:rPr>
          <w:rFonts w:eastAsia="MS Mincho"/>
        </w:rPr>
        <w:t>The aggregate impact of gambling problems is close to twice that of drug use disorders, bipolar affective disorder, eating disorders and schizophrenia combined</w:t>
      </w:r>
      <w:r w:rsidR="00E832B0" w:rsidRPr="00A91BC1">
        <w:rPr>
          <w:rFonts w:eastAsia="MS Mincho"/>
        </w:rPr>
        <w:t>.</w:t>
      </w:r>
      <w:r w:rsidR="008610D3" w:rsidRPr="00A91BC1">
        <w:rPr>
          <w:rFonts w:eastAsia="MS Mincho"/>
        </w:rPr>
        <w:t xml:space="preserve"> </w:t>
      </w:r>
      <w:r w:rsidRPr="00A91BC1">
        <w:rPr>
          <w:rFonts w:eastAsia="MS Mincho"/>
        </w:rPr>
        <w:t>This is a significant result, as it is the first time that the aggregate impact of gambling harm has been quantified in a meaningful way</w:t>
      </w:r>
      <w:r w:rsidR="00E832B0" w:rsidRPr="00A91BC1">
        <w:rPr>
          <w:rFonts w:eastAsia="MS Mincho"/>
        </w:rPr>
        <w:t>.</w:t>
      </w:r>
      <w:r w:rsidR="008610D3" w:rsidRPr="00A91BC1">
        <w:rPr>
          <w:rFonts w:eastAsia="MS Mincho"/>
        </w:rPr>
        <w:t xml:space="preserve"> </w:t>
      </w:r>
      <w:r w:rsidR="00636144" w:rsidRPr="00A91BC1">
        <w:rPr>
          <w:rFonts w:eastAsia="MS Mincho"/>
        </w:rPr>
        <w:t>However, as previously mentioned, these comparisons must be considered with caution as gambling harm includes the spectrum of harm from a low</w:t>
      </w:r>
      <w:r w:rsidR="00A60F8B" w:rsidRPr="00A91BC1">
        <w:rPr>
          <w:rFonts w:eastAsia="MS Mincho"/>
        </w:rPr>
        <w:t xml:space="preserve"> sub</w:t>
      </w:r>
      <w:r w:rsidR="00636144" w:rsidRPr="00A91BC1">
        <w:rPr>
          <w:rFonts w:eastAsia="MS Mincho"/>
        </w:rPr>
        <w:t xml:space="preserve">clinical level to the severest levels, whilst the other disorders that gambling harm is compared against all reflect clinically severe harmful behaviours. </w:t>
      </w:r>
      <w:r w:rsidR="00636144" w:rsidRPr="00A91BC1">
        <w:rPr>
          <w:rFonts w:eastAsia="MS Mincho"/>
        </w:rPr>
        <w:lastRenderedPageBreak/>
        <w:t>Notwithstanding this caveat, t</w:t>
      </w:r>
      <w:r w:rsidRPr="00A91BC1">
        <w:rPr>
          <w:rFonts w:eastAsia="MS Mincho"/>
        </w:rPr>
        <w:t>his knowledge of harms from gambling can be weighed against the recreational and social benefits of gambling, to determine appropriate policy, regulation, prevention initiatives, and treatment</w:t>
      </w:r>
      <w:r w:rsidR="00E832B0" w:rsidRPr="00A91BC1">
        <w:rPr>
          <w:rFonts w:eastAsia="MS Mincho"/>
        </w:rPr>
        <w:t>.</w:t>
      </w:r>
      <w:r w:rsidR="008610D3" w:rsidRPr="00A91BC1">
        <w:rPr>
          <w:rFonts w:eastAsia="MS Mincho"/>
        </w:rPr>
        <w:t xml:space="preserve"> </w:t>
      </w:r>
      <w:r w:rsidRPr="00A91BC1">
        <w:rPr>
          <w:rFonts w:eastAsia="MS Mincho"/>
        </w:rPr>
        <w:t>Arguably, the cost of gambling has hitherto been implicitly ascribed to the number of people experiencing clinically defined gambling problems (i.e. addiction)</w:t>
      </w:r>
      <w:r w:rsidR="00E832B0" w:rsidRPr="00A91BC1">
        <w:rPr>
          <w:rFonts w:eastAsia="MS Mincho"/>
        </w:rPr>
        <w:t>.</w:t>
      </w:r>
      <w:r w:rsidR="008610D3" w:rsidRPr="00A91BC1">
        <w:rPr>
          <w:rFonts w:eastAsia="MS Mincho"/>
        </w:rPr>
        <w:t xml:space="preserve"> </w:t>
      </w:r>
      <w:r w:rsidRPr="00A91BC1">
        <w:rPr>
          <w:rFonts w:eastAsia="MS Mincho"/>
        </w:rPr>
        <w:t>Our results suggest that, like alcohol, gambling generates significant harms to individuals below the threshold of clinical addiction</w:t>
      </w:r>
      <w:r w:rsidR="00E832B0" w:rsidRPr="00A91BC1">
        <w:rPr>
          <w:rFonts w:eastAsia="MS Mincho"/>
        </w:rPr>
        <w:t>.</w:t>
      </w:r>
      <w:r w:rsidR="008610D3" w:rsidRPr="00A91BC1">
        <w:rPr>
          <w:rFonts w:eastAsia="MS Mincho"/>
        </w:rPr>
        <w:t xml:space="preserve"> </w:t>
      </w:r>
      <w:r w:rsidRPr="00A91BC1">
        <w:rPr>
          <w:rFonts w:eastAsia="MS Mincho"/>
        </w:rPr>
        <w:t xml:space="preserve">This result </w:t>
      </w:r>
      <w:r w:rsidR="0044419D" w:rsidRPr="00A91BC1">
        <w:rPr>
          <w:rFonts w:eastAsia="MS Mincho"/>
        </w:rPr>
        <w:t xml:space="preserve">validates the Ministry of Health’s </w:t>
      </w:r>
      <w:r w:rsidRPr="00A91BC1">
        <w:rPr>
          <w:rFonts w:eastAsia="MS Mincho"/>
        </w:rPr>
        <w:t>orientation towards reduc</w:t>
      </w:r>
      <w:r w:rsidR="0044419D" w:rsidRPr="00A91BC1">
        <w:rPr>
          <w:rFonts w:eastAsia="MS Mincho"/>
        </w:rPr>
        <w:t>ing</w:t>
      </w:r>
      <w:r w:rsidRPr="00A91BC1">
        <w:rPr>
          <w:rFonts w:eastAsia="MS Mincho"/>
        </w:rPr>
        <w:t xml:space="preserve"> the aggregate burden of harm</w:t>
      </w:r>
      <w:r w:rsidR="0044419D" w:rsidRPr="00A91BC1">
        <w:rPr>
          <w:rFonts w:eastAsia="MS Mincho"/>
        </w:rPr>
        <w:t xml:space="preserve"> through a public health approach</w:t>
      </w:r>
      <w:r w:rsidRPr="00A91BC1">
        <w:rPr>
          <w:rFonts w:eastAsia="MS Mincho"/>
        </w:rPr>
        <w:t>, rather than restrict</w:t>
      </w:r>
      <w:r w:rsidR="0044419D" w:rsidRPr="00A91BC1">
        <w:rPr>
          <w:rFonts w:eastAsia="MS Mincho"/>
        </w:rPr>
        <w:t>ing it</w:t>
      </w:r>
      <w:r w:rsidRPr="00A91BC1">
        <w:rPr>
          <w:rFonts w:eastAsia="MS Mincho"/>
        </w:rPr>
        <w:t xml:space="preserve"> to the treatment or avoidance of the clinical condition of problem gambling. </w:t>
      </w:r>
    </w:p>
    <w:p w14:paraId="4D9F3E94" w14:textId="77777777" w:rsidR="006C7F31" w:rsidRPr="00A91BC1" w:rsidRDefault="006C7F31" w:rsidP="006C7F31">
      <w:pPr>
        <w:pStyle w:val="VRGFBodycontent"/>
        <w:rPr>
          <w:rFonts w:eastAsia="MS Mincho"/>
        </w:rPr>
      </w:pPr>
    </w:p>
    <w:p w14:paraId="713094B8" w14:textId="77777777" w:rsidR="006C7F31" w:rsidRPr="00A91BC1" w:rsidRDefault="006C7F31" w:rsidP="006C7F31">
      <w:pPr>
        <w:pStyle w:val="VRGFHead3"/>
      </w:pPr>
      <w:bookmarkStart w:id="405" w:name="_Toc462738080"/>
      <w:r w:rsidRPr="00A91BC1">
        <w:t>Demographic breakdown of the burden of harm</w:t>
      </w:r>
      <w:bookmarkEnd w:id="405"/>
    </w:p>
    <w:p w14:paraId="6FC658B1" w14:textId="14873E48" w:rsidR="006C7F31" w:rsidRPr="00A91BC1" w:rsidRDefault="006C7F31" w:rsidP="006C7F31">
      <w:pPr>
        <w:pStyle w:val="VRGFBodycontent"/>
        <w:rPr>
          <w:rFonts w:eastAsia="MS Mincho"/>
        </w:rPr>
      </w:pPr>
      <w:r w:rsidRPr="00A91BC1">
        <w:rPr>
          <w:rFonts w:eastAsia="MS Mincho"/>
        </w:rPr>
        <w:t>Males make up a higher proportion of problem and moderate</w:t>
      </w:r>
      <w:r w:rsidR="00687B99" w:rsidRPr="00A91BC1">
        <w:rPr>
          <w:rFonts w:eastAsia="MS Mincho"/>
        </w:rPr>
        <w:t>-</w:t>
      </w:r>
      <w:r w:rsidRPr="00A91BC1">
        <w:rPr>
          <w:rFonts w:eastAsia="MS Mincho"/>
        </w:rPr>
        <w:t>risk gamblers, but females are over-represented in the low-risk category</w:t>
      </w:r>
      <w:r w:rsidR="00E832B0" w:rsidRPr="00A91BC1">
        <w:rPr>
          <w:rFonts w:eastAsia="MS Mincho"/>
        </w:rPr>
        <w:t>.</w:t>
      </w:r>
      <w:r w:rsidR="008610D3" w:rsidRPr="00A91BC1">
        <w:rPr>
          <w:rFonts w:eastAsia="MS Mincho"/>
        </w:rPr>
        <w:t xml:space="preserve"> </w:t>
      </w:r>
      <w:r w:rsidRPr="00A91BC1">
        <w:rPr>
          <w:rFonts w:eastAsia="MS Mincho"/>
        </w:rPr>
        <w:t>From this, harms are reasonably equally distributed between males (56.3%) and females (43.7%)</w:t>
      </w:r>
      <w:r w:rsidR="00E832B0" w:rsidRPr="00A91BC1">
        <w:rPr>
          <w:rFonts w:eastAsia="MS Mincho"/>
        </w:rPr>
        <w:t>.</w:t>
      </w:r>
      <w:r w:rsidR="008610D3" w:rsidRPr="00A91BC1">
        <w:rPr>
          <w:rFonts w:eastAsia="MS Mincho"/>
        </w:rPr>
        <w:t xml:space="preserve"> </w:t>
      </w:r>
      <w:r w:rsidRPr="00A91BC1">
        <w:rPr>
          <w:rFonts w:eastAsia="MS Mincho"/>
        </w:rPr>
        <w:t xml:space="preserve">Our findings with respect to age were </w:t>
      </w:r>
      <w:r w:rsidR="00DD72DE" w:rsidRPr="00A91BC1">
        <w:rPr>
          <w:rFonts w:eastAsia="MS Mincho"/>
        </w:rPr>
        <w:t>in accordance with previous findings with respect to age</w:t>
      </w:r>
      <w:r w:rsidRPr="00A91BC1">
        <w:rPr>
          <w:rFonts w:eastAsia="MS Mincho"/>
        </w:rPr>
        <w:t xml:space="preserve">; </w:t>
      </w:r>
      <w:r w:rsidR="00DD72DE" w:rsidRPr="00A91BC1">
        <w:rPr>
          <w:rFonts w:eastAsia="MS Mincho"/>
        </w:rPr>
        <w:t>nearly</w:t>
      </w:r>
      <w:r w:rsidRPr="00A91BC1">
        <w:rPr>
          <w:rFonts w:eastAsia="MS Mincho"/>
        </w:rPr>
        <w:t xml:space="preserve"> half (44.2%) of harm in total being attributable to those aged 18-34 years</w:t>
      </w:r>
      <w:r w:rsidR="00E832B0" w:rsidRPr="00A91BC1">
        <w:rPr>
          <w:rFonts w:eastAsia="MS Mincho"/>
        </w:rPr>
        <w:t>.</w:t>
      </w:r>
      <w:r w:rsidR="008610D3" w:rsidRPr="00A91BC1">
        <w:rPr>
          <w:rFonts w:eastAsia="MS Mincho"/>
        </w:rPr>
        <w:t xml:space="preserve"> </w:t>
      </w:r>
      <w:r w:rsidRPr="00A91BC1">
        <w:rPr>
          <w:rFonts w:eastAsia="MS Mincho"/>
        </w:rPr>
        <w:t>Broken down by age and gender simultaneously, males aged 18-34 years made the greatest single contribution (11.7%) to the aggregate burden of harm - almost double the contributions of males aged 55+ years (6.0%)</w:t>
      </w:r>
      <w:r w:rsidR="00E832B0" w:rsidRPr="00A91BC1">
        <w:rPr>
          <w:rFonts w:eastAsia="MS Mincho"/>
        </w:rPr>
        <w:t>.</w:t>
      </w:r>
      <w:r w:rsidR="008610D3" w:rsidRPr="00A91BC1">
        <w:rPr>
          <w:rFonts w:eastAsia="MS Mincho"/>
        </w:rPr>
        <w:t xml:space="preserve"> </w:t>
      </w:r>
      <w:r w:rsidRPr="00A91BC1">
        <w:rPr>
          <w:rFonts w:eastAsia="MS Mincho"/>
        </w:rPr>
        <w:t xml:space="preserve">This is in line with research </w:t>
      </w:r>
      <w:r w:rsidR="00687B99" w:rsidRPr="00A91BC1">
        <w:rPr>
          <w:rFonts w:eastAsia="MS Mincho"/>
        </w:rPr>
        <w:t xml:space="preserve">that </w:t>
      </w:r>
      <w:r w:rsidRPr="00A91BC1">
        <w:rPr>
          <w:rFonts w:eastAsia="MS Mincho"/>
        </w:rPr>
        <w:t xml:space="preserve">has focused on young men, who are more likely to develop gambling problems than other demographic groups. </w:t>
      </w:r>
    </w:p>
    <w:p w14:paraId="27457643" w14:textId="0FBA2DED" w:rsidR="006C7F31" w:rsidRPr="00A91BC1" w:rsidRDefault="006C7F31" w:rsidP="006C7F31">
      <w:pPr>
        <w:pStyle w:val="VRGFBodycontent"/>
        <w:rPr>
          <w:rFonts w:eastAsia="MS Mincho"/>
        </w:rPr>
      </w:pPr>
      <w:r w:rsidRPr="00A91BC1">
        <w:rPr>
          <w:rFonts w:eastAsia="MS Mincho"/>
        </w:rPr>
        <w:t xml:space="preserve">The New Zealand adult population identifying as European/Other ethnicity attributed to just over half of the burden of harm (53.1%), followed by </w:t>
      </w:r>
      <w:r w:rsidR="002901C9" w:rsidRPr="00A91BC1">
        <w:rPr>
          <w:rFonts w:eastAsia="MS Mincho"/>
        </w:rPr>
        <w:t>Māori</w:t>
      </w:r>
      <w:r w:rsidRPr="00A91BC1">
        <w:rPr>
          <w:rFonts w:eastAsia="MS Mincho"/>
        </w:rPr>
        <w:t xml:space="preserve"> (22.3%)</w:t>
      </w:r>
      <w:r w:rsidR="00E832B0" w:rsidRPr="00A91BC1">
        <w:rPr>
          <w:rFonts w:eastAsia="MS Mincho"/>
        </w:rPr>
        <w:t>.</w:t>
      </w:r>
      <w:r w:rsidR="008610D3" w:rsidRPr="00A91BC1">
        <w:rPr>
          <w:rFonts w:eastAsia="MS Mincho"/>
        </w:rPr>
        <w:t xml:space="preserve"> </w:t>
      </w:r>
      <w:r w:rsidRPr="00A91BC1">
        <w:rPr>
          <w:rFonts w:eastAsia="MS Mincho"/>
        </w:rPr>
        <w:t>However, the distribution of harm by PGSI category within ethnic group differed</w:t>
      </w:r>
      <w:r w:rsidR="00E832B0" w:rsidRPr="00A91BC1">
        <w:rPr>
          <w:rFonts w:eastAsia="MS Mincho"/>
        </w:rPr>
        <w:t>.</w:t>
      </w:r>
      <w:r w:rsidR="008610D3" w:rsidRPr="00A91BC1">
        <w:rPr>
          <w:rFonts w:eastAsia="MS Mincho"/>
        </w:rPr>
        <w:t xml:space="preserve"> </w:t>
      </w:r>
      <w:r w:rsidRPr="00A91BC1">
        <w:rPr>
          <w:rFonts w:eastAsia="MS Mincho"/>
        </w:rPr>
        <w:t xml:space="preserve">The population identifying as </w:t>
      </w:r>
      <w:r w:rsidR="002901C9" w:rsidRPr="00A91BC1">
        <w:rPr>
          <w:rFonts w:eastAsia="MS Mincho"/>
        </w:rPr>
        <w:t>Māori</w:t>
      </w:r>
      <w:r w:rsidRPr="00A91BC1">
        <w:rPr>
          <w:rFonts w:eastAsia="MS Mincho"/>
        </w:rPr>
        <w:t xml:space="preserve"> harmed due to gambling, were higher in proportion of low-risk gamblers (53.6%) than European/Other (48.1%) and the overall population (48.0%)</w:t>
      </w:r>
      <w:r w:rsidR="00E832B0" w:rsidRPr="00A91BC1">
        <w:rPr>
          <w:rFonts w:eastAsia="MS Mincho"/>
        </w:rPr>
        <w:t>.</w:t>
      </w:r>
      <w:r w:rsidR="008610D3" w:rsidRPr="00A91BC1">
        <w:rPr>
          <w:rFonts w:eastAsia="MS Mincho"/>
        </w:rPr>
        <w:t xml:space="preserve"> </w:t>
      </w:r>
      <w:r w:rsidRPr="00A91BC1">
        <w:rPr>
          <w:rFonts w:eastAsia="MS Mincho"/>
        </w:rPr>
        <w:t>Pacific peoples’ harm was evenly distributed across the PGSI spectrum (all around 30</w:t>
      </w:r>
      <w:r w:rsidR="00687B99" w:rsidRPr="00A91BC1">
        <w:rPr>
          <w:rFonts w:eastAsia="MS Mincho"/>
        </w:rPr>
        <w:t>%</w:t>
      </w:r>
      <w:r w:rsidRPr="00A91BC1">
        <w:rPr>
          <w:rFonts w:eastAsia="MS Mincho"/>
        </w:rPr>
        <w:t xml:space="preserve">-35%), and those of Asian ethnicity </w:t>
      </w:r>
      <w:r w:rsidR="00687B99" w:rsidRPr="00A91BC1">
        <w:rPr>
          <w:rFonts w:eastAsia="MS Mincho"/>
        </w:rPr>
        <w:t xml:space="preserve">had </w:t>
      </w:r>
      <w:r w:rsidRPr="00A91BC1">
        <w:rPr>
          <w:rFonts w:eastAsia="MS Mincho"/>
        </w:rPr>
        <w:t>a higher distribution of harm arising from moderate-risk gamblers</w:t>
      </w:r>
      <w:r w:rsidR="00E832B0" w:rsidRPr="00A91BC1">
        <w:rPr>
          <w:rFonts w:eastAsia="MS Mincho"/>
        </w:rPr>
        <w:t>.</w:t>
      </w:r>
      <w:r w:rsidR="008610D3" w:rsidRPr="00A91BC1">
        <w:rPr>
          <w:rFonts w:eastAsia="MS Mincho"/>
        </w:rPr>
        <w:t xml:space="preserve"> </w:t>
      </w:r>
      <w:r w:rsidRPr="00A91BC1">
        <w:rPr>
          <w:rFonts w:eastAsia="MS Mincho"/>
        </w:rPr>
        <w:t>Thus, the distribution of harm with respect to PGSI category appeared to differ depending on ethnic</w:t>
      </w:r>
      <w:r w:rsidR="00687B99" w:rsidRPr="00A91BC1">
        <w:rPr>
          <w:rFonts w:eastAsia="MS Mincho"/>
        </w:rPr>
        <w:t>ity</w:t>
      </w:r>
      <w:r w:rsidRPr="00A91BC1">
        <w:rPr>
          <w:rFonts w:eastAsia="MS Mincho"/>
        </w:rPr>
        <w:t>.</w:t>
      </w:r>
    </w:p>
    <w:p w14:paraId="42E87672" w14:textId="0A4AC842" w:rsidR="003D2F3D" w:rsidRPr="00A91BC1" w:rsidRDefault="006C7F31" w:rsidP="003D2F3D">
      <w:pPr>
        <w:pStyle w:val="VRGFBodycontent"/>
      </w:pPr>
      <w:r w:rsidRPr="00A91BC1">
        <w:rPr>
          <w:rFonts w:eastAsia="MS Mincho"/>
        </w:rPr>
        <w:t xml:space="preserve">The proportion of </w:t>
      </w:r>
      <w:r w:rsidR="002A2602" w:rsidRPr="00A91BC1">
        <w:rPr>
          <w:rFonts w:eastAsia="MS Mincho"/>
        </w:rPr>
        <w:t>gambling-related</w:t>
      </w:r>
      <w:r w:rsidRPr="00A91BC1">
        <w:rPr>
          <w:rFonts w:eastAsia="MS Mincho"/>
        </w:rPr>
        <w:t xml:space="preserve"> harm was mainly accounted for by these population demographics: residing in </w:t>
      </w:r>
      <w:r w:rsidR="00497D17" w:rsidRPr="00A91BC1">
        <w:rPr>
          <w:rFonts w:eastAsia="MS Mincho"/>
        </w:rPr>
        <w:t>the r</w:t>
      </w:r>
      <w:r w:rsidRPr="00A91BC1">
        <w:rPr>
          <w:rFonts w:eastAsia="MS Mincho"/>
        </w:rPr>
        <w:t xml:space="preserve">est of </w:t>
      </w:r>
      <w:r w:rsidR="007357E2" w:rsidRPr="00A91BC1">
        <w:rPr>
          <w:rFonts w:eastAsia="MS Mincho"/>
        </w:rPr>
        <w:t xml:space="preserve">New Zealand </w:t>
      </w:r>
      <w:r w:rsidRPr="00A91BC1">
        <w:rPr>
          <w:rFonts w:eastAsia="MS Mincho"/>
        </w:rPr>
        <w:t>and Auckland, being employed, lower annual incomes, being born in New Zealand, speaking English as a first language</w:t>
      </w:r>
      <w:r w:rsidR="00E832B0" w:rsidRPr="00A91BC1">
        <w:rPr>
          <w:rFonts w:eastAsia="MS Mincho"/>
        </w:rPr>
        <w:t>.</w:t>
      </w:r>
      <w:r w:rsidR="008610D3" w:rsidRPr="00A91BC1">
        <w:rPr>
          <w:rFonts w:eastAsia="MS Mincho"/>
        </w:rPr>
        <w:t xml:space="preserve"> </w:t>
      </w:r>
      <w:r w:rsidRPr="00A91BC1">
        <w:rPr>
          <w:rFonts w:eastAsia="MS Mincho"/>
        </w:rPr>
        <w:t>The proportion of harm attributable to these groups was approximately in line with population prevalence.</w:t>
      </w:r>
    </w:p>
    <w:p w14:paraId="6B14D8F1" w14:textId="77777777" w:rsidR="003D2F3D" w:rsidRPr="00A91BC1" w:rsidRDefault="003D2F3D" w:rsidP="003D2F3D">
      <w:pPr>
        <w:pStyle w:val="VRGFBodycontent"/>
      </w:pPr>
    </w:p>
    <w:p w14:paraId="19D3741D" w14:textId="601A3900" w:rsidR="003D2F3D" w:rsidRPr="00A91BC1" w:rsidRDefault="003D2F3D" w:rsidP="003D2F3D">
      <w:pPr>
        <w:pStyle w:val="VRGFHead1"/>
      </w:pPr>
      <w:bookmarkStart w:id="406" w:name="_Toc462738081"/>
      <w:r w:rsidRPr="00A91BC1">
        <w:lastRenderedPageBreak/>
        <w:t>Discussion</w:t>
      </w:r>
      <w:bookmarkEnd w:id="406"/>
    </w:p>
    <w:p w14:paraId="284DA9F9" w14:textId="677140FC" w:rsidR="007435D6" w:rsidRPr="00A91BC1" w:rsidRDefault="007435D6" w:rsidP="007435D6">
      <w:pPr>
        <w:pStyle w:val="VRGFBodycontent"/>
      </w:pPr>
      <w:r w:rsidRPr="00A91BC1">
        <w:t xml:space="preserve">New Zealand faces the same fundamental challenges as </w:t>
      </w:r>
      <w:r w:rsidR="00157C44" w:rsidRPr="00A91BC1">
        <w:t xml:space="preserve">other </w:t>
      </w:r>
      <w:r w:rsidRPr="00A91BC1">
        <w:t>countries in effectively addressing public health problems</w:t>
      </w:r>
      <w:r w:rsidR="00E832B0" w:rsidRPr="00A91BC1">
        <w:t>.</w:t>
      </w:r>
      <w:r w:rsidR="008610D3" w:rsidRPr="00A91BC1">
        <w:t xml:space="preserve"> </w:t>
      </w:r>
      <w:r w:rsidRPr="00A91BC1">
        <w:t>Resources are limited, and there is often insufficient knowledge about the relative impacts of various diseases, including addictions</w:t>
      </w:r>
      <w:r w:rsidR="00E832B0" w:rsidRPr="00A91BC1">
        <w:t>.</w:t>
      </w:r>
      <w:r w:rsidR="008610D3" w:rsidRPr="00A91BC1">
        <w:t xml:space="preserve"> </w:t>
      </w:r>
      <w:r w:rsidRPr="00A91BC1">
        <w:t>The</w:t>
      </w:r>
      <w:r w:rsidR="00A91BC1">
        <w:t xml:space="preserve"> HRQL </w:t>
      </w:r>
      <w:r w:rsidRPr="00A91BC1">
        <w:t>paradigm offers a valuable common metric on which to judge the relative impacts that physical ailments play on both quantity and quality of lives lived</w:t>
      </w:r>
      <w:r w:rsidR="00E832B0" w:rsidRPr="00A91BC1">
        <w:t>.</w:t>
      </w:r>
      <w:r w:rsidR="008610D3" w:rsidRPr="00A91BC1">
        <w:t xml:space="preserve"> </w:t>
      </w:r>
      <w:r w:rsidRPr="00A91BC1">
        <w:t>The use of a comparable summary measure of health impact allows for a clear basis for allocations of efforts to where they are likely to have the greatest return.</w:t>
      </w:r>
    </w:p>
    <w:p w14:paraId="467E87A7" w14:textId="53EA07F5" w:rsidR="007435D6" w:rsidRPr="00A91BC1" w:rsidRDefault="007435D6" w:rsidP="007435D6">
      <w:pPr>
        <w:pStyle w:val="VRGFBodycontent"/>
      </w:pPr>
      <w:r w:rsidRPr="00A91BC1">
        <w:t>Apart from the common and important metric of economic development, as for example represented by Gross Domestic Product (GDP), there is a natural interest that people in New Zealand should not just lead long lives but also healthy lives</w:t>
      </w:r>
      <w:r w:rsidR="00E832B0" w:rsidRPr="00A91BC1">
        <w:t>.</w:t>
      </w:r>
      <w:r w:rsidR="008610D3" w:rsidRPr="00A91BC1">
        <w:t xml:space="preserve"> </w:t>
      </w:r>
      <w:r w:rsidRPr="00A91BC1">
        <w:t xml:space="preserve">Health includes </w:t>
      </w:r>
      <w:r w:rsidR="00542208" w:rsidRPr="00A91BC1">
        <w:t xml:space="preserve">not just </w:t>
      </w:r>
      <w:r w:rsidRPr="00A91BC1">
        <w:t>physical health, but also mental health, personal wellbeing and community wellbeing</w:t>
      </w:r>
      <w:r w:rsidR="00E832B0" w:rsidRPr="00A91BC1">
        <w:t>.</w:t>
      </w:r>
      <w:r w:rsidR="008610D3" w:rsidRPr="00A91BC1">
        <w:t xml:space="preserve"> </w:t>
      </w:r>
      <w:r w:rsidRPr="00A91BC1">
        <w:t xml:space="preserve">The harms that result from excessive time and money spent on gambling, as well as feelings of social and moral failure, clearly </w:t>
      </w:r>
      <w:r w:rsidR="003E7081" w:rsidRPr="00A91BC1">
        <w:t>affect</w:t>
      </w:r>
      <w:r w:rsidRPr="00A91BC1">
        <w:t xml:space="preserve"> these domains, and can subtract significantly from the happy and productive enjoyment of life that the population value</w:t>
      </w:r>
      <w:r w:rsidR="003E7081" w:rsidRPr="00A91BC1">
        <w:t>s</w:t>
      </w:r>
      <w:r w:rsidRPr="00A91BC1">
        <w:t>.</w:t>
      </w:r>
    </w:p>
    <w:p w14:paraId="28B11898" w14:textId="008C3DF7" w:rsidR="001C3B71" w:rsidRPr="00A91BC1" w:rsidRDefault="007435D6" w:rsidP="007435D6">
      <w:pPr>
        <w:pStyle w:val="VRGFBodycontent"/>
      </w:pPr>
      <w:r w:rsidRPr="00A91BC1">
        <w:t xml:space="preserve">The contributions of this report to understanding </w:t>
      </w:r>
      <w:r w:rsidR="002A2602" w:rsidRPr="00A91BC1">
        <w:t>gambling-related</w:t>
      </w:r>
      <w:r w:rsidRPr="00A91BC1">
        <w:t xml:space="preserve"> harm are varied, but can be organised by the phases of the research</w:t>
      </w:r>
      <w:r w:rsidR="00E832B0" w:rsidRPr="00A91BC1">
        <w:t>.</w:t>
      </w:r>
      <w:r w:rsidR="008610D3" w:rsidRPr="00A91BC1">
        <w:t xml:space="preserve"> </w:t>
      </w:r>
      <w:r w:rsidRPr="00A91BC1">
        <w:t>Results from both qualitative and quantitative phases confirmed that gambling problems are reliably associated with financial pressures, resulting in damage to relationships and emotional and psychological distress, which are themselves instrumental in determining one’s quality of life</w:t>
      </w:r>
      <w:r w:rsidR="00E832B0" w:rsidRPr="00A91BC1">
        <w:t>.</w:t>
      </w:r>
      <w:r w:rsidR="008610D3" w:rsidRPr="00A91BC1">
        <w:t xml:space="preserve"> </w:t>
      </w:r>
    </w:p>
    <w:p w14:paraId="55571F66" w14:textId="7ED6EDB7" w:rsidR="00CA2411" w:rsidRPr="00A91BC1" w:rsidRDefault="006E1CA1" w:rsidP="007435D6">
      <w:pPr>
        <w:pStyle w:val="VRGFBodycontent"/>
      </w:pPr>
      <w:r w:rsidRPr="00A91BC1">
        <w:t>Following a comprehensive review of literature in the first phase of our study, in a subsequent consultative phase, qualitative studies were conducted with gambling treatment providers, health</w:t>
      </w:r>
      <w:r w:rsidR="00B2663F" w:rsidRPr="00A91BC1">
        <w:t xml:space="preserve"> and social service professionals</w:t>
      </w:r>
      <w:r w:rsidRPr="00A91BC1">
        <w:t>,</w:t>
      </w:r>
      <w:r w:rsidR="00B2663F" w:rsidRPr="00A91BC1">
        <w:t xml:space="preserve"> regulators,</w:t>
      </w:r>
      <w:r w:rsidRPr="00A91BC1">
        <w:t xml:space="preserve"> people who gamble and people affected by someone else’s gambling, to understand the potentially unique harms that the New Zealand population were experiencing.</w:t>
      </w:r>
      <w:r w:rsidR="008610D3" w:rsidRPr="00A91BC1">
        <w:t xml:space="preserve"> </w:t>
      </w:r>
      <w:r w:rsidR="007435D6" w:rsidRPr="00A91BC1">
        <w:t xml:space="preserve">These studies </w:t>
      </w:r>
      <w:r w:rsidR="004B65F8" w:rsidRPr="00A91BC1">
        <w:t xml:space="preserve">were </w:t>
      </w:r>
      <w:r w:rsidR="007435D6" w:rsidRPr="00A91BC1">
        <w:t>important to create a detailed taxonomy of harms, sampling from the diverse experiences and perspectives of various groups</w:t>
      </w:r>
      <w:r w:rsidR="00E832B0" w:rsidRPr="00A91BC1">
        <w:t>.</w:t>
      </w:r>
      <w:r w:rsidR="008610D3" w:rsidRPr="00A91BC1">
        <w:t xml:space="preserve"> </w:t>
      </w:r>
      <w:r w:rsidR="007435D6" w:rsidRPr="00A91BC1">
        <w:t xml:space="preserve">In </w:t>
      </w:r>
      <w:r w:rsidR="00451889" w:rsidRPr="00A91BC1">
        <w:t xml:space="preserve">this </w:t>
      </w:r>
      <w:r w:rsidR="007435D6" w:rsidRPr="00A91BC1">
        <w:t>second phase, the harms discovered in the qualitative studies added to harms previously described in the literature, and allowed for the creation of a conceptual framework for understanding the typology of harm</w:t>
      </w:r>
      <w:r w:rsidR="00E832B0" w:rsidRPr="00A91BC1">
        <w:t>.</w:t>
      </w:r>
      <w:r w:rsidR="008610D3" w:rsidRPr="00A91BC1">
        <w:t xml:space="preserve"> </w:t>
      </w:r>
      <w:r w:rsidR="007435D6" w:rsidRPr="00A91BC1">
        <w:t xml:space="preserve">Although detailed, the framework </w:t>
      </w:r>
      <w:r w:rsidR="00451889" w:rsidRPr="00A91BC1">
        <w:t>helped</w:t>
      </w:r>
      <w:r w:rsidR="007435D6" w:rsidRPr="00A91BC1">
        <w:t xml:space="preserve"> identify a diverse set of harms that </w:t>
      </w:r>
      <w:r w:rsidR="00451889" w:rsidRPr="00A91BC1">
        <w:t xml:space="preserve">fell </w:t>
      </w:r>
      <w:r w:rsidR="007435D6" w:rsidRPr="00A91BC1">
        <w:t xml:space="preserve">outside the physical disabilities commonly explored with </w:t>
      </w:r>
      <w:r w:rsidR="00A91BC1">
        <w:t xml:space="preserve">HRQL </w:t>
      </w:r>
      <w:r w:rsidR="007435D6" w:rsidRPr="00A91BC1">
        <w:t>methodologies</w:t>
      </w:r>
      <w:r w:rsidR="00E832B0" w:rsidRPr="00A91BC1">
        <w:t xml:space="preserve">. </w:t>
      </w:r>
    </w:p>
    <w:p w14:paraId="749DB3E2" w14:textId="629478FB" w:rsidR="00D76476" w:rsidRPr="00A91BC1" w:rsidRDefault="007435D6" w:rsidP="007435D6">
      <w:pPr>
        <w:pStyle w:val="VRGFBodycontent"/>
      </w:pPr>
      <w:r w:rsidRPr="00A91BC1">
        <w:t xml:space="preserve">In the third phase, a </w:t>
      </w:r>
      <w:r w:rsidR="001728A5" w:rsidRPr="00A91BC1">
        <w:t xml:space="preserve">national </w:t>
      </w:r>
      <w:r w:rsidRPr="00A91BC1">
        <w:t>survey explored the frequencies of 83 harms, as outlined in the framework, in a large set of current gamblers</w:t>
      </w:r>
      <w:r w:rsidR="00E832B0" w:rsidRPr="00A91BC1">
        <w:t>.</w:t>
      </w:r>
      <w:r w:rsidR="008610D3" w:rsidRPr="00A91BC1">
        <w:t xml:space="preserve"> </w:t>
      </w:r>
      <w:r w:rsidRPr="00A91BC1">
        <w:t>This resulted in a detailed accounting of the types of harms experience by people with varying levels of gambling risk as determined by the Problem Gambling Severity Index (PGSI)</w:t>
      </w:r>
      <w:r w:rsidR="00E832B0" w:rsidRPr="00A91BC1">
        <w:t>.</w:t>
      </w:r>
      <w:r w:rsidR="008610D3" w:rsidRPr="00A91BC1">
        <w:t xml:space="preserve"> </w:t>
      </w:r>
      <w:r w:rsidRPr="00A91BC1">
        <w:t>This result by itself is valuable for understanding the relative likelihoods of experiencing each type of harm dependent on a person’s level of problem gambling risk</w:t>
      </w:r>
      <w:r w:rsidR="00E832B0" w:rsidRPr="00A91BC1">
        <w:t>.</w:t>
      </w:r>
      <w:r w:rsidR="008610D3" w:rsidRPr="00A91BC1">
        <w:t xml:space="preserve"> </w:t>
      </w:r>
    </w:p>
    <w:p w14:paraId="691FA6BB" w14:textId="6BA947F6" w:rsidR="00CA2411" w:rsidRPr="00A91BC1" w:rsidRDefault="007435D6" w:rsidP="007435D6">
      <w:pPr>
        <w:pStyle w:val="VRGFBodycontent"/>
      </w:pPr>
      <w:r w:rsidRPr="00A91BC1">
        <w:t xml:space="preserve">In the fourth phase, a separate survey then “graded” </w:t>
      </w:r>
      <w:r w:rsidR="00D76476" w:rsidRPr="00A91BC1">
        <w:t xml:space="preserve">the above </w:t>
      </w:r>
      <w:r w:rsidRPr="00A91BC1">
        <w:t>profiles of harm, to create a picture of how individuals in each category of gambling-risk (low, medium and problem gambler) experienced harm as a decrement to their quality of life</w:t>
      </w:r>
      <w:r w:rsidR="003E7081" w:rsidRPr="00A91BC1">
        <w:t>,</w:t>
      </w:r>
      <w:r w:rsidRPr="00A91BC1">
        <w:t xml:space="preserve"> using a metric common to prior </w:t>
      </w:r>
      <w:r w:rsidR="00A91BC1">
        <w:t>h</w:t>
      </w:r>
      <w:r w:rsidR="00A91BC1" w:rsidRPr="00A91BC1">
        <w:t xml:space="preserve">ealth </w:t>
      </w:r>
      <w:r w:rsidR="00A91BC1">
        <w:t>s</w:t>
      </w:r>
      <w:r w:rsidR="00A91BC1" w:rsidRPr="00A91BC1">
        <w:t xml:space="preserve">tate </w:t>
      </w:r>
      <w:r w:rsidR="00A91BC1">
        <w:t>v</w:t>
      </w:r>
      <w:r w:rsidRPr="00A91BC1">
        <w:t>alu</w:t>
      </w:r>
      <w:r w:rsidR="00A91BC1">
        <w:t>ation</w:t>
      </w:r>
      <w:r w:rsidRPr="00A91BC1">
        <w:t xml:space="preserve"> studies</w:t>
      </w:r>
      <w:r w:rsidR="00E832B0" w:rsidRPr="00A91BC1">
        <w:t>.</w:t>
      </w:r>
      <w:r w:rsidR="008610D3" w:rsidRPr="00A91BC1">
        <w:t xml:space="preserve"> </w:t>
      </w:r>
      <w:r w:rsidRPr="00A91BC1">
        <w:t>The results revealed that the experience of problem gambling by a single person is approaching the level of severe alcohol use disorder and severe migraines, in terms of impact on their quality of life</w:t>
      </w:r>
      <w:r w:rsidR="00E832B0" w:rsidRPr="00A91BC1">
        <w:t>.</w:t>
      </w:r>
      <w:r w:rsidR="008610D3" w:rsidRPr="00A91BC1">
        <w:t xml:space="preserve"> </w:t>
      </w:r>
    </w:p>
    <w:p w14:paraId="7F26F578" w14:textId="4891A7A7" w:rsidR="007435D6" w:rsidRPr="00A91BC1" w:rsidRDefault="007435D6" w:rsidP="007435D6">
      <w:pPr>
        <w:pStyle w:val="VRGFBodycontent"/>
      </w:pPr>
      <w:r w:rsidRPr="00A91BC1">
        <w:t>Lastly, the individual impacts of the experience of harms from gambling were “scaled up” to reflect the known prevalence of gambling problems within the New Zealand adult population</w:t>
      </w:r>
      <w:r w:rsidR="00E832B0" w:rsidRPr="00A91BC1">
        <w:t>.</w:t>
      </w:r>
      <w:r w:rsidR="008610D3" w:rsidRPr="00A91BC1">
        <w:t xml:space="preserve"> </w:t>
      </w:r>
      <w:r w:rsidRPr="00A91BC1">
        <w:t xml:space="preserve">These results </w:t>
      </w:r>
      <w:r w:rsidRPr="00A91BC1">
        <w:lastRenderedPageBreak/>
        <w:t>allowed for some critical reflections on gambling harms at the individual and the population level</w:t>
      </w:r>
      <w:r w:rsidR="00E832B0" w:rsidRPr="00A91BC1">
        <w:t>.</w:t>
      </w:r>
      <w:r w:rsidR="008610D3" w:rsidRPr="00A91BC1">
        <w:t xml:space="preserve"> </w:t>
      </w:r>
      <w:r w:rsidRPr="00A91BC1">
        <w:t xml:space="preserve">A surprisingly large contribution of harm from gambling </w:t>
      </w:r>
      <w:r w:rsidR="00DF0893" w:rsidRPr="00A91BC1">
        <w:t xml:space="preserve">was </w:t>
      </w:r>
      <w:r w:rsidRPr="00A91BC1">
        <w:t>attributable to “low risk” gamblers</w:t>
      </w:r>
      <w:r w:rsidR="00E832B0" w:rsidRPr="00A91BC1">
        <w:t>.</w:t>
      </w:r>
      <w:r w:rsidR="008610D3" w:rsidRPr="00A91BC1">
        <w:t xml:space="preserve"> </w:t>
      </w:r>
      <w:r w:rsidRPr="00A91BC1">
        <w:t xml:space="preserve">These </w:t>
      </w:r>
      <w:r w:rsidR="00DF0893" w:rsidRPr="00A91BC1">
        <w:t xml:space="preserve">were </w:t>
      </w:r>
      <w:r w:rsidRPr="00A91BC1">
        <w:t xml:space="preserve">gamblers who </w:t>
      </w:r>
      <w:r w:rsidR="00DF0893" w:rsidRPr="00A91BC1">
        <w:t xml:space="preserve">were </w:t>
      </w:r>
      <w:r w:rsidRPr="00A91BC1">
        <w:t>at the lower-end of experiencing gambling problems, but who</w:t>
      </w:r>
      <w:r w:rsidR="003E7081" w:rsidRPr="00A91BC1">
        <w:t>,</w:t>
      </w:r>
      <w:r w:rsidRPr="00A91BC1">
        <w:t xml:space="preserve"> nevertheless</w:t>
      </w:r>
      <w:r w:rsidR="003E7081" w:rsidRPr="00A91BC1">
        <w:t>,</w:t>
      </w:r>
      <w:r w:rsidRPr="00A91BC1">
        <w:t xml:space="preserve"> </w:t>
      </w:r>
      <w:r w:rsidR="00FC3C45" w:rsidRPr="00A91BC1">
        <w:t xml:space="preserve">represented </w:t>
      </w:r>
      <w:r w:rsidRPr="00A91BC1">
        <w:t>a sizable percentage of the whole New Zealand population</w:t>
      </w:r>
      <w:r w:rsidR="00E832B0" w:rsidRPr="00A91BC1">
        <w:t>.</w:t>
      </w:r>
      <w:r w:rsidR="008610D3" w:rsidRPr="00A91BC1">
        <w:t xml:space="preserve"> </w:t>
      </w:r>
      <w:r w:rsidRPr="00A91BC1">
        <w:t xml:space="preserve">As a result, the accumulation of harms, in terms of the decrement to quality of life, </w:t>
      </w:r>
      <w:r w:rsidR="00FC3C45" w:rsidRPr="00A91BC1">
        <w:t xml:space="preserve">was </w:t>
      </w:r>
      <w:r w:rsidRPr="00A91BC1">
        <w:t>largest for the sum of people in the low-risk category, and this group include</w:t>
      </w:r>
      <w:r w:rsidR="005047E7" w:rsidRPr="00A91BC1">
        <w:t>d</w:t>
      </w:r>
      <w:r w:rsidRPr="00A91BC1">
        <w:t xml:space="preserve"> roughly half of all harms</w:t>
      </w:r>
      <w:r w:rsidR="00E832B0" w:rsidRPr="00A91BC1">
        <w:t>.</w:t>
      </w:r>
      <w:r w:rsidR="008610D3" w:rsidRPr="00A91BC1">
        <w:t xml:space="preserve"> </w:t>
      </w:r>
      <w:r w:rsidRPr="00A91BC1">
        <w:t>Accepting this at face</w:t>
      </w:r>
      <w:r w:rsidR="005047E7" w:rsidRPr="00A91BC1">
        <w:t xml:space="preserve"> </w:t>
      </w:r>
      <w:r w:rsidRPr="00A91BC1">
        <w:t xml:space="preserve">value </w:t>
      </w:r>
      <w:r w:rsidR="005047E7" w:rsidRPr="00A91BC1">
        <w:t xml:space="preserve">endorses </w:t>
      </w:r>
      <w:r w:rsidRPr="00A91BC1">
        <w:t xml:space="preserve">the need for a </w:t>
      </w:r>
      <w:r w:rsidR="005047E7" w:rsidRPr="00A91BC1">
        <w:t xml:space="preserve">whole-of-population public health </w:t>
      </w:r>
      <w:r w:rsidRPr="00A91BC1">
        <w:t>approach to gambling policy</w:t>
      </w:r>
      <w:r w:rsidR="00E832B0" w:rsidRPr="00A91BC1">
        <w:t>.</w:t>
      </w:r>
      <w:r w:rsidR="008610D3" w:rsidRPr="00A91BC1">
        <w:t xml:space="preserve"> </w:t>
      </w:r>
      <w:r w:rsidR="005047E7" w:rsidRPr="00A91BC1">
        <w:t>Whilst much</w:t>
      </w:r>
      <w:r w:rsidRPr="00A91BC1">
        <w:t xml:space="preserve"> of the attention given to gambling reform and public health efforts focuses on preventing people from becoming problem gamblers or assisting people who are problem gamblers</w:t>
      </w:r>
      <w:r w:rsidR="005047E7" w:rsidRPr="00A91BC1">
        <w:t xml:space="preserve">, </w:t>
      </w:r>
      <w:r w:rsidRPr="00A91BC1">
        <w:t>the largest aggregate source of harm is occurring outside this group</w:t>
      </w:r>
      <w:r w:rsidR="00E832B0" w:rsidRPr="00A91BC1">
        <w:t>.</w:t>
      </w:r>
      <w:r w:rsidR="008610D3" w:rsidRPr="00A91BC1">
        <w:t xml:space="preserve"> </w:t>
      </w:r>
      <w:r w:rsidRPr="00A91BC1">
        <w:t>As a result, we are obliged to consider that public health approaches should focus effective evidenced-based efforts on also addressing these low and medium experiences of gambling harm</w:t>
      </w:r>
      <w:r w:rsidR="00E832B0" w:rsidRPr="00A91BC1">
        <w:t>.</w:t>
      </w:r>
      <w:r w:rsidR="008610D3" w:rsidRPr="00A91BC1">
        <w:t xml:space="preserve"> </w:t>
      </w:r>
      <w:r w:rsidRPr="00A91BC1">
        <w:t xml:space="preserve">In short, </w:t>
      </w:r>
      <w:r w:rsidR="005047E7" w:rsidRPr="00A91BC1">
        <w:t>this validates the necessity of</w:t>
      </w:r>
      <w:r w:rsidRPr="00A91BC1">
        <w:t xml:space="preserve"> develop</w:t>
      </w:r>
      <w:r w:rsidR="005047E7" w:rsidRPr="00A91BC1">
        <w:t>ing</w:t>
      </w:r>
      <w:r w:rsidRPr="00A91BC1">
        <w:t xml:space="preserve"> a broader public health focus on gambling problems rather than the </w:t>
      </w:r>
      <w:r w:rsidR="005047E7" w:rsidRPr="00A91BC1">
        <w:t xml:space="preserve">having </w:t>
      </w:r>
      <w:r w:rsidRPr="00A91BC1">
        <w:t xml:space="preserve">narrow focus on chronic gamblers with severe problems. </w:t>
      </w:r>
    </w:p>
    <w:p w14:paraId="14A3FAB3" w14:textId="4EA4BAD3" w:rsidR="007435D6" w:rsidRDefault="007435D6" w:rsidP="007435D6">
      <w:pPr>
        <w:pStyle w:val="VRGFBodycontent"/>
      </w:pPr>
      <w:r w:rsidRPr="00A91BC1">
        <w:t>A final and most critical result from the present research is regarding absolute scale of harms from gambling to the New Zealand population</w:t>
      </w:r>
      <w:r w:rsidR="00E832B0" w:rsidRPr="00A91BC1">
        <w:t>.</w:t>
      </w:r>
      <w:r w:rsidR="008610D3" w:rsidRPr="00A91BC1">
        <w:t xml:space="preserve"> </w:t>
      </w:r>
      <w:r w:rsidRPr="00A91BC1">
        <w:t>There was an estimated 16</w:t>
      </w:r>
      <w:r w:rsidR="00F06E46" w:rsidRPr="00A91BC1">
        <w:t>1</w:t>
      </w:r>
      <w:r w:rsidRPr="00A91BC1">
        <w:t>,</w:t>
      </w:r>
      <w:r w:rsidR="00F06E46" w:rsidRPr="00A91BC1">
        <w:t>928</w:t>
      </w:r>
      <w:r w:rsidRPr="00A91BC1">
        <w:t xml:space="preserve"> </w:t>
      </w:r>
      <w:r w:rsidR="00A91BC1">
        <w:t>y</w:t>
      </w:r>
      <w:r w:rsidRPr="00A91BC1">
        <w:t>ears</w:t>
      </w:r>
      <w:r w:rsidR="00A91BC1">
        <w:t xml:space="preserve"> </w:t>
      </w:r>
      <w:r w:rsidRPr="00A91BC1">
        <w:t>of</w:t>
      </w:r>
      <w:r w:rsidR="00A91BC1">
        <w:t xml:space="preserve"> healthy l</w:t>
      </w:r>
      <w:r w:rsidRPr="00A91BC1">
        <w:t>ife</w:t>
      </w:r>
      <w:r w:rsidR="00A91BC1">
        <w:t xml:space="preserve"> l</w:t>
      </w:r>
      <w:r w:rsidRPr="00A91BC1">
        <w:t>ost (</w:t>
      </w:r>
      <w:r w:rsidR="00A91BC1">
        <w:rPr>
          <w:rFonts w:eastAsia="MS Mincho"/>
        </w:rPr>
        <w:t>QALY</w:t>
      </w:r>
      <w:r w:rsidR="00A91BC1" w:rsidRPr="00A91BC1">
        <w:rPr>
          <w:rFonts w:eastAsia="MS Mincho"/>
          <w:vertAlign w:val="subscript"/>
        </w:rPr>
        <w:t>1</w:t>
      </w:r>
      <w:r w:rsidRPr="00A91BC1">
        <w:t>) due to harms from gambling in 2012</w:t>
      </w:r>
      <w:r w:rsidR="00E832B0" w:rsidRPr="00A91BC1">
        <w:t>.</w:t>
      </w:r>
      <w:r w:rsidR="008610D3" w:rsidRPr="00A91BC1">
        <w:t xml:space="preserve"> </w:t>
      </w:r>
      <w:r w:rsidRPr="00A91BC1">
        <w:t>Subjectively, this can be interpreted as a total of 1</w:t>
      </w:r>
      <w:r w:rsidR="009346C0" w:rsidRPr="00A91BC1">
        <w:t>,</w:t>
      </w:r>
      <w:r w:rsidRPr="00A91BC1">
        <w:t xml:space="preserve">374 that </w:t>
      </w:r>
      <w:r w:rsidR="005C6429" w:rsidRPr="00A91BC1">
        <w:t xml:space="preserve">were </w:t>
      </w:r>
      <w:r w:rsidRPr="00A91BC1">
        <w:t>perceived as barely worth living due to the experience of gambling problems</w:t>
      </w:r>
      <w:r w:rsidR="00E832B0" w:rsidRPr="00A91BC1">
        <w:t>.</w:t>
      </w:r>
      <w:r w:rsidR="008610D3" w:rsidRPr="00A91BC1">
        <w:t xml:space="preserve"> </w:t>
      </w:r>
      <w:r w:rsidRPr="00A91BC1">
        <w:t xml:space="preserve">Although some of this ‘burden of harm’ </w:t>
      </w:r>
      <w:r w:rsidR="005C6429" w:rsidRPr="00A91BC1">
        <w:t xml:space="preserve">was </w:t>
      </w:r>
      <w:r w:rsidRPr="00A91BC1">
        <w:t xml:space="preserve">concentrated in problem gamblers, our results </w:t>
      </w:r>
      <w:r w:rsidR="005C6429" w:rsidRPr="00A91BC1">
        <w:t xml:space="preserve">suggested </w:t>
      </w:r>
      <w:r w:rsidRPr="00A91BC1">
        <w:t xml:space="preserve">that at a population level the majority of harm </w:t>
      </w:r>
      <w:r w:rsidR="005C6429" w:rsidRPr="00A91BC1">
        <w:t xml:space="preserve">was </w:t>
      </w:r>
      <w:r w:rsidRPr="00A91BC1">
        <w:t>attributable to a wider cross-section of the community</w:t>
      </w:r>
      <w:r w:rsidR="00E832B0" w:rsidRPr="00A91BC1">
        <w:t>.</w:t>
      </w:r>
      <w:r w:rsidR="008610D3" w:rsidRPr="00A91BC1">
        <w:t xml:space="preserve"> </w:t>
      </w:r>
      <w:r w:rsidRPr="00A91BC1">
        <w:t>One must acknowledge that this social cost of gambling is offset by benefits in terms of entertainment, industry and government revenue</w:t>
      </w:r>
      <w:r w:rsidR="00E832B0" w:rsidRPr="00A91BC1">
        <w:t>.</w:t>
      </w:r>
      <w:r w:rsidR="008610D3" w:rsidRPr="00A91BC1">
        <w:t xml:space="preserve"> </w:t>
      </w:r>
      <w:r w:rsidRPr="00A91BC1">
        <w:t xml:space="preserve">Nevertheless, the level of harms is substantial in comparison to our estimates of harm attributable to other acknowledged priority areas. </w:t>
      </w:r>
      <w:r w:rsidR="003111A9" w:rsidRPr="00A91BC1">
        <w:t xml:space="preserve">Furthermore, our methodology encompassed only harms that were incurred within a year of the problematic gambling behaviour. Thus, our harm estimates do not include much of the impact of legacy </w:t>
      </w:r>
      <w:r w:rsidR="00520C28" w:rsidRPr="00A91BC1">
        <w:t>harms, which</w:t>
      </w:r>
      <w:r w:rsidR="003111A9" w:rsidRPr="00A91BC1">
        <w:t xml:space="preserve"> may extend years after the behaviour has ceased. Thus, our estimate of harm is likely a conservative one in this respect.</w:t>
      </w:r>
    </w:p>
    <w:p w14:paraId="1CE04088" w14:textId="39F19394" w:rsidR="00912460" w:rsidRPr="00A91BC1" w:rsidRDefault="00912460" w:rsidP="007435D6">
      <w:pPr>
        <w:pStyle w:val="VRGFBodycontent"/>
      </w:pPr>
      <w:r>
        <w:t xml:space="preserve">Whilst the absolute estimates of the population-level impact of gambling-related harm may appear to be large, this is primarily a direct consequence of the prevalence and </w:t>
      </w:r>
      <w:r w:rsidR="00FD75E7">
        <w:t>severity</w:t>
      </w:r>
      <w:r>
        <w:t xml:space="preserve"> of the condition. Our estimation of both these parameters were</w:t>
      </w:r>
      <w:r w:rsidR="00FD75E7">
        <w:t xml:space="preserve"> obtained via </w:t>
      </w:r>
      <w:r>
        <w:t>application of established methodologies</w:t>
      </w:r>
      <w:r w:rsidR="00FD75E7">
        <w:t xml:space="preserve"> (in the case of DW) or well-established figures (in the case of prevalence)</w:t>
      </w:r>
      <w:r>
        <w:t xml:space="preserve">, and accordingly are not likely to be affected by significant error or bias. </w:t>
      </w:r>
      <w:r w:rsidR="00FD75E7">
        <w:t>However, the present method</w:t>
      </w:r>
      <w:r>
        <w:t xml:space="preserve"> did not apply discounting </w:t>
      </w:r>
      <w:r w:rsidR="00FD75E7">
        <w:t xml:space="preserve">due to comorbidities among conditions. Nevertheless, our interpretation has focused on relative comparisons between conditions, which would be relatively unaffected by this issue. </w:t>
      </w:r>
      <w:r w:rsidR="002B0BA1">
        <w:t>Ga</w:t>
      </w:r>
      <w:r w:rsidR="00FD75E7">
        <w:t xml:space="preserve">mbling can result in significant </w:t>
      </w:r>
      <w:r w:rsidR="002B0BA1">
        <w:t>‘legacy’ harms, which persist long after the problematic behaviour has ceased. Our prevalence-based approach only considered harms occurring at the time the problematic behaviour was occurring, which would have contributed to a negative bias in the estimate of aggregate harm.</w:t>
      </w:r>
    </w:p>
    <w:p w14:paraId="71D57379" w14:textId="4BC24C93" w:rsidR="007435D6" w:rsidRPr="007435D6" w:rsidRDefault="007435D6" w:rsidP="007435D6">
      <w:pPr>
        <w:pStyle w:val="VRGFBodycontent"/>
      </w:pPr>
      <w:r w:rsidRPr="00A91BC1">
        <w:t xml:space="preserve">The estimates </w:t>
      </w:r>
      <w:r w:rsidR="002B0BA1">
        <w:t xml:space="preserve">mentioned above </w:t>
      </w:r>
      <w:r w:rsidRPr="00A91BC1">
        <w:t>put the total burden of harms occurring to gamblers greater than common health conditions (such as diabetes and arthritis) and approaching the level of anxiety and depressive</w:t>
      </w:r>
      <w:r w:rsidRPr="007435D6">
        <w:t xml:space="preserve"> disorders</w:t>
      </w:r>
      <w:r w:rsidR="00E832B0">
        <w:t>.</w:t>
      </w:r>
      <w:r w:rsidR="008610D3">
        <w:t xml:space="preserve"> </w:t>
      </w:r>
      <w:r w:rsidRPr="007435D6">
        <w:t xml:space="preserve">Further, it provides an empirical basis for decisions regarding an appropriate level of investment in public health measures to reduce </w:t>
      </w:r>
      <w:r w:rsidR="002A2602">
        <w:t>gambling-related</w:t>
      </w:r>
      <w:r w:rsidRPr="007435D6">
        <w:t xml:space="preserve"> harm, harm reduction strategies, prevention, treatment and related services</w:t>
      </w:r>
      <w:r w:rsidR="00E832B0">
        <w:t>.</w:t>
      </w:r>
      <w:r w:rsidR="008610D3">
        <w:t xml:space="preserve"> </w:t>
      </w:r>
      <w:r w:rsidRPr="007435D6">
        <w:t xml:space="preserve">The results of this report make a potent argument for serious public investments </w:t>
      </w:r>
      <w:r w:rsidR="00B55A9E">
        <w:t xml:space="preserve">from </w:t>
      </w:r>
      <w:r w:rsidRPr="007435D6">
        <w:t xml:space="preserve">the government into reducing the full extent of </w:t>
      </w:r>
      <w:r w:rsidR="002A2602">
        <w:t>gambling-related</w:t>
      </w:r>
      <w:r w:rsidRPr="007435D6">
        <w:t xml:space="preserve"> harms, and provide important direction to guide where these efforts should be targeted.</w:t>
      </w:r>
    </w:p>
    <w:p w14:paraId="5462D70C" w14:textId="77777777" w:rsidR="007435D6" w:rsidRPr="007435D6" w:rsidRDefault="007435D6" w:rsidP="007435D6">
      <w:pPr>
        <w:pStyle w:val="VRGFBodycontent"/>
      </w:pPr>
    </w:p>
    <w:p w14:paraId="70602098" w14:textId="36DF9E0B" w:rsidR="001B2940" w:rsidRPr="00531DE5" w:rsidRDefault="001B2940" w:rsidP="001B2940">
      <w:pPr>
        <w:pStyle w:val="VRGFHead1"/>
      </w:pPr>
      <w:bookmarkStart w:id="407" w:name="_Toc273165998"/>
      <w:bookmarkStart w:id="408" w:name="_Toc285109138"/>
      <w:bookmarkStart w:id="409" w:name="_Toc462738082"/>
      <w:r w:rsidRPr="00531DE5">
        <w:lastRenderedPageBreak/>
        <w:t>References</w:t>
      </w:r>
      <w:bookmarkEnd w:id="407"/>
      <w:bookmarkEnd w:id="408"/>
      <w:bookmarkEnd w:id="409"/>
    </w:p>
    <w:p w14:paraId="2288C2F3" w14:textId="16F9482C" w:rsidR="0044690A" w:rsidRPr="0044690A" w:rsidRDefault="0044690A" w:rsidP="00DC248F">
      <w:pPr>
        <w:ind w:left="567" w:hanging="567"/>
      </w:pPr>
      <w:r w:rsidRPr="0044690A">
        <w:t xml:space="preserve">Aaronson, N. K., Acquadro, C., Alonso, J., Apolone, G., Bucquet, D., Bullinger, M., … Ware, J. E. </w:t>
      </w:r>
      <w:r w:rsidR="0077491D">
        <w:t>(</w:t>
      </w:r>
      <w:r w:rsidRPr="0044690A">
        <w:t>1992</w:t>
      </w:r>
      <w:r w:rsidR="0077491D">
        <w:t>)</w:t>
      </w:r>
      <w:r w:rsidRPr="0044690A">
        <w:t xml:space="preserve">. International quality of life assessment (IQOLA) project. </w:t>
      </w:r>
      <w:r w:rsidRPr="0044690A">
        <w:rPr>
          <w:i/>
          <w:iCs/>
        </w:rPr>
        <w:t>Quality of Life Research</w:t>
      </w:r>
      <w:r w:rsidRPr="0044690A">
        <w:t xml:space="preserve">, </w:t>
      </w:r>
      <w:r w:rsidRPr="0044690A">
        <w:rPr>
          <w:i/>
          <w:iCs/>
        </w:rPr>
        <w:t>1</w:t>
      </w:r>
      <w:r w:rsidRPr="0044690A">
        <w:t>(5), 349–351. doi: 10.1007/BF00434949</w:t>
      </w:r>
    </w:p>
    <w:p w14:paraId="32CF513E" w14:textId="19A2ED5D" w:rsidR="001B2940" w:rsidRPr="00531DE5" w:rsidRDefault="001B2940" w:rsidP="00DC248F">
      <w:pPr>
        <w:ind w:left="567" w:hanging="567"/>
      </w:pPr>
      <w:r w:rsidRPr="00531DE5">
        <w:t>Abbott, M</w:t>
      </w:r>
      <w:r w:rsidRPr="00531DE5">
        <w:rPr>
          <w:caps/>
        </w:rPr>
        <w:t>.</w:t>
      </w:r>
      <w:r w:rsidRPr="00531DE5">
        <w:t xml:space="preserve"> </w:t>
      </w:r>
      <w:r w:rsidR="0077491D">
        <w:t>(</w:t>
      </w:r>
      <w:r w:rsidRPr="00531DE5">
        <w:t>2001a</w:t>
      </w:r>
      <w:r w:rsidR="0077491D">
        <w:t>)</w:t>
      </w:r>
      <w:r w:rsidRPr="00531DE5">
        <w:t xml:space="preserve">. </w:t>
      </w:r>
      <w:r w:rsidRPr="007F5766">
        <w:rPr>
          <w:i/>
        </w:rPr>
        <w:t>Problem and non-problem gamblers in New Zealand: A report on phase two of the 1999 national prevalence survey</w:t>
      </w:r>
      <w:r w:rsidRPr="00531DE5">
        <w:t>. Wellington: The Department of Internal Affairs.</w:t>
      </w:r>
    </w:p>
    <w:p w14:paraId="566C9243" w14:textId="23D873A7" w:rsidR="001B2940" w:rsidRPr="00531DE5" w:rsidRDefault="001B2940" w:rsidP="00DC248F">
      <w:pPr>
        <w:ind w:left="567" w:hanging="567"/>
      </w:pPr>
      <w:r w:rsidRPr="00531DE5">
        <w:t xml:space="preserve">Abbott, M. </w:t>
      </w:r>
      <w:r w:rsidR="0077491D">
        <w:t>(</w:t>
      </w:r>
      <w:r w:rsidRPr="00531DE5">
        <w:t>2001b</w:t>
      </w:r>
      <w:r w:rsidR="0077491D">
        <w:t>)</w:t>
      </w:r>
      <w:r w:rsidRPr="00531DE5">
        <w:t xml:space="preserve">. </w:t>
      </w:r>
      <w:r w:rsidRPr="007F5766">
        <w:rPr>
          <w:i/>
        </w:rPr>
        <w:t xml:space="preserve">What do we know about gambling and problem gambling in New Zealand? </w:t>
      </w:r>
      <w:r w:rsidRPr="00531DE5">
        <w:t>Wellington: Department of Internal Affairs.</w:t>
      </w:r>
    </w:p>
    <w:p w14:paraId="1E33ECE8" w14:textId="54020EA9" w:rsidR="001B2940" w:rsidRPr="001B2940" w:rsidRDefault="001B2940" w:rsidP="00DC248F">
      <w:pPr>
        <w:ind w:left="567" w:hanging="567"/>
        <w:rPr>
          <w:rFonts w:cs="Arial"/>
          <w:lang w:eastAsia="en-AU"/>
        </w:rPr>
      </w:pPr>
      <w:r w:rsidRPr="001B2940">
        <w:rPr>
          <w:rFonts w:cs="Arial"/>
          <w:lang w:eastAsia="en-AU"/>
        </w:rPr>
        <w:t xml:space="preserve">Abbott, M. </w:t>
      </w:r>
      <w:r w:rsidR="0077491D">
        <w:rPr>
          <w:rFonts w:cs="Arial"/>
          <w:lang w:eastAsia="en-AU"/>
        </w:rPr>
        <w:t>(</w:t>
      </w:r>
      <w:r w:rsidRPr="001B2940">
        <w:rPr>
          <w:rFonts w:cs="Arial"/>
          <w:lang w:eastAsia="en-AU"/>
        </w:rPr>
        <w:t>2006</w:t>
      </w:r>
      <w:r w:rsidR="0077491D">
        <w:rPr>
          <w:rFonts w:cs="Arial"/>
          <w:lang w:eastAsia="en-AU"/>
        </w:rPr>
        <w:t>)</w:t>
      </w:r>
      <w:r w:rsidRPr="001B2940">
        <w:rPr>
          <w:rFonts w:cs="Arial"/>
          <w:lang w:eastAsia="en-AU"/>
        </w:rPr>
        <w:t>. Do EGMs and problem gambling go together like a horse and carriage? </w:t>
      </w:r>
      <w:r w:rsidRPr="001B2940">
        <w:rPr>
          <w:rFonts w:cs="Arial"/>
          <w:i/>
          <w:iCs/>
          <w:lang w:eastAsia="en-AU"/>
        </w:rPr>
        <w:t>Gambling Research</w:t>
      </w:r>
      <w:r w:rsidRPr="001B2940">
        <w:rPr>
          <w:rFonts w:cs="Arial"/>
          <w:iCs/>
          <w:lang w:eastAsia="en-AU"/>
        </w:rPr>
        <w:t>, 18</w:t>
      </w:r>
      <w:r w:rsidRPr="001B2940">
        <w:rPr>
          <w:rFonts w:cs="Arial"/>
          <w:lang w:eastAsia="en-AU"/>
        </w:rPr>
        <w:t>, 7-38. Retrieved from &lt;http://search.informit.com.au/document-Summary;dn=836321688700553;res=IELHSS&gt;</w:t>
      </w:r>
    </w:p>
    <w:p w14:paraId="49144E95" w14:textId="3796D0C4" w:rsidR="001B2940" w:rsidRPr="001B2940" w:rsidRDefault="001B2940" w:rsidP="00DC248F">
      <w:pPr>
        <w:ind w:left="567" w:hanging="567"/>
        <w:rPr>
          <w:rFonts w:cs="Arial"/>
          <w:lang w:eastAsia="en-AU"/>
        </w:rPr>
      </w:pPr>
      <w:r w:rsidRPr="001B2940">
        <w:rPr>
          <w:rFonts w:cs="Arial"/>
          <w:lang w:eastAsia="en-AU"/>
        </w:rPr>
        <w:t xml:space="preserve">Abbott, M.W. </w:t>
      </w:r>
      <w:r w:rsidR="0077491D">
        <w:rPr>
          <w:rFonts w:cs="Arial"/>
          <w:lang w:eastAsia="en-AU"/>
        </w:rPr>
        <w:t>(</w:t>
      </w:r>
      <w:r w:rsidRPr="001B2940">
        <w:rPr>
          <w:rFonts w:cs="Arial"/>
          <w:lang w:eastAsia="en-AU"/>
        </w:rPr>
        <w:t>2007</w:t>
      </w:r>
      <w:r w:rsidR="0077491D">
        <w:rPr>
          <w:rFonts w:cs="Arial"/>
          <w:lang w:eastAsia="en-AU"/>
        </w:rPr>
        <w:t>)</w:t>
      </w:r>
      <w:r w:rsidRPr="001B2940">
        <w:rPr>
          <w:rFonts w:cs="Arial"/>
          <w:lang w:eastAsia="en-AU"/>
        </w:rPr>
        <w:t xml:space="preserve">. Situational factors that affect gambling behaviour. In G. Smith, D.C. Hodgins, &amp; R.J. Williams (Eds.), </w:t>
      </w:r>
      <w:r w:rsidRPr="001B2940">
        <w:rPr>
          <w:rFonts w:cs="Arial"/>
          <w:i/>
          <w:lang w:eastAsia="en-AU"/>
        </w:rPr>
        <w:t>Research and measurement issues in gambling studies</w:t>
      </w:r>
      <w:r w:rsidRPr="001B2940">
        <w:rPr>
          <w:rFonts w:cs="Arial"/>
          <w:lang w:eastAsia="en-AU"/>
        </w:rPr>
        <w:t xml:space="preserve"> (pp. 251-278). Burlington, MA: Academic Press.</w:t>
      </w:r>
    </w:p>
    <w:p w14:paraId="2B177CDA" w14:textId="1D7D0C1E" w:rsidR="001B2940" w:rsidRPr="00531DE5" w:rsidRDefault="001B2940" w:rsidP="00DC248F">
      <w:pPr>
        <w:ind w:left="567" w:hanging="567"/>
      </w:pPr>
      <w:r w:rsidRPr="00011259">
        <w:t>Abbott</w:t>
      </w:r>
      <w:r w:rsidRPr="00531DE5">
        <w:rPr>
          <w:caps/>
        </w:rPr>
        <w:t>, M</w:t>
      </w:r>
      <w:r w:rsidRPr="00531DE5">
        <w:t xml:space="preserve">., Bellringer, M., Garrett, N., &amp; Mundy-Mcpherson, S. </w:t>
      </w:r>
      <w:r w:rsidR="0077491D">
        <w:t>(</w:t>
      </w:r>
      <w:r w:rsidRPr="00531DE5">
        <w:t>2014a</w:t>
      </w:r>
      <w:r w:rsidR="0077491D">
        <w:t>)</w:t>
      </w:r>
      <w:r w:rsidRPr="00531DE5">
        <w:t>.</w:t>
      </w:r>
      <w:r w:rsidRPr="001F5F13">
        <w:t xml:space="preserve"> </w:t>
      </w:r>
      <w:r w:rsidRPr="007F5766">
        <w:rPr>
          <w:i/>
        </w:rPr>
        <w:t>New Zealand 2012 National Gambling Study: Gambling harm and problem gambling. Report number 2.</w:t>
      </w:r>
      <w:r w:rsidRPr="00531DE5">
        <w:t xml:space="preserve"> Auckland:</w:t>
      </w:r>
      <w:r>
        <w:t xml:space="preserve"> </w:t>
      </w:r>
      <w:r w:rsidRPr="00531DE5">
        <w:t>Auckland University of Technology, Gambling and Addictions Research Centre.</w:t>
      </w:r>
    </w:p>
    <w:p w14:paraId="3F1D7F0D" w14:textId="6C40B9FE" w:rsidR="001B2940" w:rsidRPr="00531DE5" w:rsidRDefault="001B2940" w:rsidP="00DC248F">
      <w:pPr>
        <w:ind w:left="567" w:hanging="567"/>
      </w:pPr>
      <w:r w:rsidRPr="00531DE5">
        <w:t xml:space="preserve">Abbott, M., Bellringer, M., Garrett, N., &amp; Mundy-Mcpherson, S. </w:t>
      </w:r>
      <w:r w:rsidR="0077491D">
        <w:t>(</w:t>
      </w:r>
      <w:r w:rsidRPr="00531DE5">
        <w:t>2014b</w:t>
      </w:r>
      <w:r w:rsidR="0077491D">
        <w:t>)</w:t>
      </w:r>
      <w:r w:rsidRPr="00531DE5">
        <w:t xml:space="preserve">. </w:t>
      </w:r>
      <w:r w:rsidRPr="007F5766">
        <w:rPr>
          <w:i/>
        </w:rPr>
        <w:t>New Zealand 2012 National gambling study: Gambling harm and problem gambling. Report number 1</w:t>
      </w:r>
      <w:r w:rsidRPr="00531DE5">
        <w:t>. Auckland:</w:t>
      </w:r>
      <w:r>
        <w:t xml:space="preserve"> </w:t>
      </w:r>
      <w:r w:rsidRPr="00531DE5">
        <w:t>Auckland University of Technology, Gambling and Addictions Research Centre.</w:t>
      </w:r>
    </w:p>
    <w:p w14:paraId="25964319" w14:textId="77777777" w:rsidR="00F925EA" w:rsidRPr="002A7B5E" w:rsidRDefault="00F925EA" w:rsidP="00F925EA">
      <w:pPr>
        <w:ind w:left="567" w:hanging="567"/>
      </w:pPr>
      <w:r w:rsidRPr="002A7B5E">
        <w:t>Abbott, M., Bellringer, M., Garr</w:t>
      </w:r>
      <w:r>
        <w:t>ett, N., &amp; Mundy-McPherson, S. (</w:t>
      </w:r>
      <w:r w:rsidRPr="002A7B5E">
        <w:t>2015</w:t>
      </w:r>
      <w:r>
        <w:t>)</w:t>
      </w:r>
      <w:r w:rsidRPr="002A7B5E">
        <w:t xml:space="preserve">. </w:t>
      </w:r>
      <w:r w:rsidRPr="002A7B5E">
        <w:rPr>
          <w:i/>
        </w:rPr>
        <w:t>New Zealand 2012 National Gambling Study: 12-month follow-up (Wave 2). Report Number 4</w:t>
      </w:r>
      <w:r w:rsidRPr="002A7B5E">
        <w:t>. Auckland: Auckland University of Technology</w:t>
      </w:r>
      <w:r>
        <w:t>,</w:t>
      </w:r>
      <w:r w:rsidRPr="002A7B5E">
        <w:t xml:space="preserve"> Gambling and Addictions Research Centre.</w:t>
      </w:r>
    </w:p>
    <w:p w14:paraId="699FF6FA" w14:textId="5B111D81" w:rsidR="001B2940" w:rsidRDefault="001B2940" w:rsidP="00DC248F">
      <w:pPr>
        <w:ind w:left="567" w:hanging="567"/>
      </w:pPr>
      <w:r w:rsidRPr="00531DE5">
        <w:t>Abbott, M., Bellringer, M., Vandal, A., Hodgins, D., Palmer Du Preez, K., Landon, J.,</w:t>
      </w:r>
      <w:r>
        <w:t xml:space="preserve"> </w:t>
      </w:r>
      <w:r w:rsidRPr="00531DE5">
        <w:t xml:space="preserve">Sullivan, S., &amp; Feigin, V. </w:t>
      </w:r>
      <w:r w:rsidR="0077491D">
        <w:t>(</w:t>
      </w:r>
      <w:r w:rsidRPr="00531DE5">
        <w:t>2012</w:t>
      </w:r>
      <w:r w:rsidR="0077491D">
        <w:t>)</w:t>
      </w:r>
      <w:r w:rsidRPr="00531DE5">
        <w:t xml:space="preserve">. </w:t>
      </w:r>
      <w:r w:rsidRPr="007F5766">
        <w:rPr>
          <w:i/>
        </w:rPr>
        <w:t>Effectiveness of problem gambling brief telephone interventions: A randomised controlled trial</w:t>
      </w:r>
      <w:r w:rsidRPr="00531DE5">
        <w:t>. Auckland: Auckland University of Technology,</w:t>
      </w:r>
      <w:r>
        <w:t xml:space="preserve"> </w:t>
      </w:r>
      <w:r w:rsidRPr="00531DE5">
        <w:t>Gambling and Addictions Research Centre.</w:t>
      </w:r>
    </w:p>
    <w:p w14:paraId="5A40B092" w14:textId="50B3C10A" w:rsidR="00C64FD3" w:rsidRPr="00531DE5" w:rsidRDefault="00C64FD3" w:rsidP="00DC248F">
      <w:pPr>
        <w:ind w:left="567" w:hanging="567"/>
      </w:pPr>
      <w:r w:rsidRPr="00C64FD3">
        <w:t>Abbott, M</w:t>
      </w:r>
      <w:r>
        <w:t>.,</w:t>
      </w:r>
      <w:r w:rsidRPr="00C64FD3">
        <w:t xml:space="preserve"> Binde, P</w:t>
      </w:r>
      <w:r>
        <w:t>.,</w:t>
      </w:r>
      <w:r w:rsidRPr="00C64FD3">
        <w:t xml:space="preserve"> Clark, L</w:t>
      </w:r>
      <w:r>
        <w:t>.,</w:t>
      </w:r>
      <w:r w:rsidRPr="00C64FD3">
        <w:t xml:space="preserve"> Hodgins, D</w:t>
      </w:r>
      <w:r>
        <w:t>.,</w:t>
      </w:r>
      <w:r w:rsidRPr="00C64FD3">
        <w:t xml:space="preserve"> Korn, D</w:t>
      </w:r>
      <w:r>
        <w:t>.,</w:t>
      </w:r>
      <w:r w:rsidRPr="00C64FD3">
        <w:t xml:space="preserve"> Pereira, A</w:t>
      </w:r>
      <w:r>
        <w:t>.,</w:t>
      </w:r>
      <w:r w:rsidRPr="00C64FD3">
        <w:t xml:space="preserve"> Quilty, L</w:t>
      </w:r>
      <w:r>
        <w:t>.,</w:t>
      </w:r>
      <w:r w:rsidRPr="00C64FD3">
        <w:t xml:space="preserve"> Thomas, A</w:t>
      </w:r>
      <w:r>
        <w:t>.,</w:t>
      </w:r>
      <w:r w:rsidRPr="00C64FD3">
        <w:t xml:space="preserve"> Volberg, R</w:t>
      </w:r>
      <w:r>
        <w:t>.,</w:t>
      </w:r>
      <w:r w:rsidRPr="00C64FD3">
        <w:t xml:space="preserve"> Walker, D</w:t>
      </w:r>
      <w:r>
        <w:t>.,</w:t>
      </w:r>
      <w:r w:rsidRPr="00C64FD3">
        <w:t xml:space="preserve"> Williams, R. (2015). </w:t>
      </w:r>
      <w:r w:rsidRPr="00520C28">
        <w:rPr>
          <w:i/>
        </w:rPr>
        <w:t xml:space="preserve">Conceptual Framework of Harmful Gambling: An </w:t>
      </w:r>
      <w:r w:rsidR="0021326A" w:rsidRPr="00520C28">
        <w:rPr>
          <w:i/>
        </w:rPr>
        <w:t>international collaboration revised edition</w:t>
      </w:r>
      <w:r w:rsidRPr="00C64FD3">
        <w:t xml:space="preserve">. </w:t>
      </w:r>
      <w:r w:rsidR="0021326A" w:rsidRPr="00C64FD3">
        <w:t>Ontario, Canada</w:t>
      </w:r>
      <w:r w:rsidR="0021326A">
        <w:t>:</w:t>
      </w:r>
      <w:r w:rsidR="0021326A" w:rsidRPr="00C64FD3">
        <w:t xml:space="preserve"> </w:t>
      </w:r>
      <w:r w:rsidRPr="00C64FD3">
        <w:t>Gam</w:t>
      </w:r>
      <w:r w:rsidR="0021326A">
        <w:t>bling Research Exchange Ontario</w:t>
      </w:r>
      <w:r w:rsidRPr="00C64FD3">
        <w:t>.</w:t>
      </w:r>
    </w:p>
    <w:p w14:paraId="09EFE81E" w14:textId="61EE6E5B" w:rsidR="001B2940" w:rsidRPr="00531DE5" w:rsidRDefault="001B2940" w:rsidP="00DC248F">
      <w:pPr>
        <w:ind w:left="567" w:hanging="567"/>
      </w:pPr>
      <w:r w:rsidRPr="00531DE5">
        <w:t>Abbott, M., &amp; Mc</w:t>
      </w:r>
      <w:r w:rsidR="00AD1049">
        <w:t>K</w:t>
      </w:r>
      <w:r w:rsidRPr="00531DE5">
        <w:t xml:space="preserve">enna, B. </w:t>
      </w:r>
      <w:r w:rsidR="0077491D">
        <w:t>(</w:t>
      </w:r>
      <w:r w:rsidRPr="00531DE5">
        <w:t>2000</w:t>
      </w:r>
      <w:r w:rsidR="0077491D">
        <w:t>)</w:t>
      </w:r>
      <w:r w:rsidRPr="00531DE5">
        <w:t xml:space="preserve">. </w:t>
      </w:r>
      <w:r w:rsidRPr="00B97B62">
        <w:rPr>
          <w:i/>
        </w:rPr>
        <w:t>Gambling and problem gambling among recently sentenced women prisoners in New Zealand.</w:t>
      </w:r>
      <w:r w:rsidRPr="00531DE5">
        <w:t xml:space="preserve"> Wellington: Department of Internal Affairs.</w:t>
      </w:r>
    </w:p>
    <w:p w14:paraId="53A86D7C" w14:textId="130C95D1" w:rsidR="001B2940" w:rsidRPr="00531DE5" w:rsidRDefault="001B2940" w:rsidP="00DC248F">
      <w:pPr>
        <w:ind w:left="567" w:hanging="567"/>
      </w:pPr>
      <w:r w:rsidRPr="00531DE5">
        <w:t>Abbott, M. W. &amp; Mc</w:t>
      </w:r>
      <w:r w:rsidR="00AD1049">
        <w:t>K</w:t>
      </w:r>
      <w:r w:rsidRPr="00531DE5">
        <w:t xml:space="preserve">enna, B. G. </w:t>
      </w:r>
      <w:r w:rsidR="0077491D">
        <w:t>(</w:t>
      </w:r>
      <w:r w:rsidRPr="00531DE5">
        <w:t>2005</w:t>
      </w:r>
      <w:r w:rsidR="0077491D">
        <w:t>)</w:t>
      </w:r>
      <w:r w:rsidRPr="00531DE5">
        <w:t xml:space="preserve">. Gambling and problem gambling among recently sentenced women in New Zealand prisons. </w:t>
      </w:r>
      <w:r>
        <w:rPr>
          <w:i/>
        </w:rPr>
        <w:t>Journal of Gambling St</w:t>
      </w:r>
      <w:r w:rsidRPr="00B97B62">
        <w:rPr>
          <w:i/>
        </w:rPr>
        <w:t>udies</w:t>
      </w:r>
      <w:r w:rsidRPr="00531DE5">
        <w:t xml:space="preserve"> / co-sponsored by the National Council on Problem Gambling and Institute for the Study of Gambling and Commercial</w:t>
      </w:r>
      <w:r>
        <w:t xml:space="preserve"> </w:t>
      </w:r>
      <w:r w:rsidRPr="00531DE5">
        <w:t>Gaming, 21, 559-581.</w:t>
      </w:r>
      <w:r>
        <w:t xml:space="preserve"> doi: </w:t>
      </w:r>
      <w:r w:rsidRPr="00011259">
        <w:t>10.1007/s10899-005-5563-5</w:t>
      </w:r>
    </w:p>
    <w:p w14:paraId="7F7D1CCA" w14:textId="64DC36F5" w:rsidR="001B2940" w:rsidRDefault="001B2940" w:rsidP="00DC248F">
      <w:pPr>
        <w:ind w:left="567" w:hanging="567"/>
      </w:pPr>
      <w:r w:rsidRPr="00531DE5">
        <w:lastRenderedPageBreak/>
        <w:t>Abbott, M., Mc</w:t>
      </w:r>
      <w:r w:rsidR="00AD1049">
        <w:t>K</w:t>
      </w:r>
      <w:r w:rsidRPr="00531DE5">
        <w:t xml:space="preserve">enna, B., &amp; Giles, </w:t>
      </w:r>
      <w:r w:rsidRPr="00531DE5">
        <w:rPr>
          <w:caps/>
        </w:rPr>
        <w:t>L.</w:t>
      </w:r>
      <w:r w:rsidRPr="00531DE5">
        <w:t xml:space="preserve"> </w:t>
      </w:r>
      <w:r w:rsidR="0077491D">
        <w:t>(</w:t>
      </w:r>
      <w:r w:rsidRPr="00531DE5">
        <w:t>2000</w:t>
      </w:r>
      <w:r w:rsidR="0077491D">
        <w:t>)</w:t>
      </w:r>
      <w:r w:rsidRPr="00531DE5">
        <w:t xml:space="preserve">. </w:t>
      </w:r>
      <w:r w:rsidRPr="00011259">
        <w:rPr>
          <w:i/>
        </w:rPr>
        <w:t xml:space="preserve">Gambling and problem gambling among recently sentenced males in four New Zealand prisons - Report Number Five of the New Zealand Gaming Survey. </w:t>
      </w:r>
      <w:r w:rsidRPr="00531DE5">
        <w:t>Wellington: Department of Internal Affairs.</w:t>
      </w:r>
    </w:p>
    <w:p w14:paraId="3DECBCAD" w14:textId="1C466668" w:rsidR="001B2940" w:rsidRPr="00531DE5" w:rsidRDefault="00E028FD" w:rsidP="00DC248F">
      <w:pPr>
        <w:ind w:left="567" w:hanging="567"/>
      </w:pPr>
      <w:r>
        <w:t xml:space="preserve">Abbott, M.W., &amp; Volberg, R.A. </w:t>
      </w:r>
      <w:r w:rsidR="0077491D">
        <w:t>(</w:t>
      </w:r>
      <w:r>
        <w:t>1991</w:t>
      </w:r>
      <w:r w:rsidR="0077491D">
        <w:t>)</w:t>
      </w:r>
      <w:r>
        <w:t xml:space="preserve">. </w:t>
      </w:r>
      <w:r>
        <w:rPr>
          <w:i/>
        </w:rPr>
        <w:t>Gambling and problem gambling in New Zealand.</w:t>
      </w:r>
      <w:r>
        <w:t xml:space="preserve"> Research Series No. 12. Wellington: Department of Internal Affairs. </w:t>
      </w:r>
    </w:p>
    <w:p w14:paraId="3E0F038D" w14:textId="728FD98E" w:rsidR="001B2940" w:rsidRPr="00531DE5" w:rsidRDefault="001B2940" w:rsidP="00DC248F">
      <w:pPr>
        <w:ind w:left="567" w:hanging="567"/>
      </w:pPr>
      <w:r w:rsidRPr="00531DE5">
        <w:t xml:space="preserve">Abbott, M.W., &amp; Volberg, R. A. </w:t>
      </w:r>
      <w:r w:rsidR="0077491D">
        <w:t>(</w:t>
      </w:r>
      <w:r w:rsidRPr="00531DE5">
        <w:t>1996</w:t>
      </w:r>
      <w:r w:rsidR="0077491D">
        <w:t>)</w:t>
      </w:r>
      <w:r w:rsidRPr="00531DE5">
        <w:t>. The New Zealand National Survey of Problem and Pathological</w:t>
      </w:r>
      <w:r>
        <w:t xml:space="preserve"> </w:t>
      </w:r>
      <w:r w:rsidRPr="00531DE5">
        <w:t xml:space="preserve">Gambling. </w:t>
      </w:r>
      <w:r w:rsidRPr="00011259">
        <w:rPr>
          <w:i/>
        </w:rPr>
        <w:t>Journal of Gambling Studies</w:t>
      </w:r>
      <w:r w:rsidRPr="00531DE5">
        <w:t>, 12, 143-160.</w:t>
      </w:r>
      <w:r>
        <w:t xml:space="preserve"> doi: </w:t>
      </w:r>
      <w:r w:rsidRPr="00011259">
        <w:t>10.1007/BF01539171</w:t>
      </w:r>
    </w:p>
    <w:p w14:paraId="610815BB" w14:textId="15DCF658" w:rsidR="001B2940" w:rsidRPr="00531DE5" w:rsidRDefault="001B2940" w:rsidP="00DC248F">
      <w:pPr>
        <w:ind w:left="567" w:hanging="567"/>
      </w:pPr>
      <w:r w:rsidRPr="00531DE5">
        <w:t xml:space="preserve">Abbott, M., &amp; Volberg, R. </w:t>
      </w:r>
      <w:r w:rsidR="0077491D">
        <w:t>(</w:t>
      </w:r>
      <w:r w:rsidRPr="00531DE5">
        <w:t>2000</w:t>
      </w:r>
      <w:r w:rsidR="0077491D">
        <w:t>)</w:t>
      </w:r>
      <w:r w:rsidRPr="00531DE5">
        <w:t xml:space="preserve">. </w:t>
      </w:r>
      <w:r w:rsidRPr="00011259">
        <w:rPr>
          <w:i/>
        </w:rPr>
        <w:t>Taking the pulse on gambling and problem gambling in the community: Phase One of the 1999 National Prevalence Study.</w:t>
      </w:r>
      <w:r w:rsidRPr="00531DE5">
        <w:t xml:space="preserve"> Wellington: Department of Internal Affairs.</w:t>
      </w:r>
    </w:p>
    <w:p w14:paraId="0E369B27" w14:textId="2565F524" w:rsidR="001B2940" w:rsidRDefault="001B2940" w:rsidP="00DC248F">
      <w:pPr>
        <w:ind w:left="567" w:hanging="567"/>
      </w:pPr>
      <w:r w:rsidRPr="00531DE5">
        <w:t>Abbott, M., Volberg, R., Bellringer, M. &amp; Reith, G</w:t>
      </w:r>
      <w:r>
        <w:t xml:space="preserve">. </w:t>
      </w:r>
      <w:r w:rsidR="0077491D">
        <w:t>(</w:t>
      </w:r>
      <w:r>
        <w:t>2004</w:t>
      </w:r>
      <w:r w:rsidR="0077491D">
        <w:t>)</w:t>
      </w:r>
      <w:r>
        <w:t xml:space="preserve">. </w:t>
      </w:r>
      <w:r w:rsidRPr="00011259">
        <w:rPr>
          <w:i/>
        </w:rPr>
        <w:t>A review of research on aspects of problem gambling.</w:t>
      </w:r>
      <w:r w:rsidRPr="00531DE5">
        <w:t xml:space="preserve"> Auckland University of Technology Gambling Research Centre for Responsibility in Gambling Trust.</w:t>
      </w:r>
    </w:p>
    <w:p w14:paraId="5FEAD014" w14:textId="697D5D16" w:rsidR="001B2940" w:rsidRPr="00531DE5" w:rsidRDefault="001B2940" w:rsidP="00DC248F">
      <w:pPr>
        <w:ind w:left="567" w:hanging="567"/>
      </w:pPr>
      <w:r w:rsidRPr="00531DE5">
        <w:rPr>
          <w:iCs/>
        </w:rPr>
        <w:t xml:space="preserve">Abbott, M.W., Williams, M., &amp; Volberg, R. </w:t>
      </w:r>
      <w:r w:rsidR="0077491D">
        <w:t>(</w:t>
      </w:r>
      <w:r w:rsidRPr="00531DE5">
        <w:rPr>
          <w:iCs/>
        </w:rPr>
        <w:t>1999</w:t>
      </w:r>
      <w:r w:rsidR="0077491D" w:rsidRPr="00531DE5">
        <w:t>)</w:t>
      </w:r>
      <w:r w:rsidRPr="00531DE5">
        <w:rPr>
          <w:iCs/>
        </w:rPr>
        <w:t xml:space="preserve">. </w:t>
      </w:r>
      <w:r w:rsidRPr="00011259">
        <w:rPr>
          <w:i/>
          <w:iCs/>
        </w:rPr>
        <w:t xml:space="preserve">Seven years on: A follow-up study of frequent and problem gamblers living in the community. Report No. 2 of the New Zealand Gaming Survey. </w:t>
      </w:r>
      <w:r w:rsidRPr="00531DE5">
        <w:rPr>
          <w:iCs/>
        </w:rPr>
        <w:t>Wellington: Department of Internal Affairs.</w:t>
      </w:r>
    </w:p>
    <w:p w14:paraId="4E3D6FD9" w14:textId="48A127B6" w:rsidR="001B2940" w:rsidRPr="00531DE5" w:rsidRDefault="001B2940" w:rsidP="00DC248F">
      <w:pPr>
        <w:ind w:left="567" w:hanging="567"/>
      </w:pPr>
      <w:r w:rsidRPr="00531DE5">
        <w:t>Abdollahnejad, M., Delfabbro, P. &amp; Denson, L</w:t>
      </w:r>
      <w:r>
        <w:t xml:space="preserve">. </w:t>
      </w:r>
      <w:r w:rsidR="0077491D">
        <w:t>(</w:t>
      </w:r>
      <w:r>
        <w:t>2013</w:t>
      </w:r>
      <w:r w:rsidR="0077491D" w:rsidRPr="00531DE5">
        <w:t>)</w:t>
      </w:r>
      <w:r>
        <w:t>. The clustering of psychiatric disorders in high-risk gambling p</w:t>
      </w:r>
      <w:r w:rsidRPr="00531DE5">
        <w:t xml:space="preserve">opulations. </w:t>
      </w:r>
      <w:r w:rsidRPr="00011259">
        <w:rPr>
          <w:i/>
        </w:rPr>
        <w:t>Journal of Gambling Studies</w:t>
      </w:r>
      <w:r w:rsidRPr="00531DE5">
        <w:t>,</w:t>
      </w:r>
      <w:r>
        <w:t xml:space="preserve"> </w:t>
      </w:r>
      <w:r w:rsidRPr="00A6692A">
        <w:rPr>
          <w:i/>
        </w:rPr>
        <w:t>104</w:t>
      </w:r>
      <w:r>
        <w:t>(5),</w:t>
      </w:r>
      <w:r w:rsidRPr="00531DE5">
        <w:t xml:space="preserve"> 1-15.</w:t>
      </w:r>
      <w:r>
        <w:t xml:space="preserve"> doi: </w:t>
      </w:r>
      <w:r w:rsidRPr="00011259">
        <w:t>10.1007/s10899-013-9392-7</w:t>
      </w:r>
    </w:p>
    <w:p w14:paraId="25F8B6D8" w14:textId="1AA86115" w:rsidR="001B2940" w:rsidRPr="00531DE5" w:rsidRDefault="001B2940" w:rsidP="00DC248F">
      <w:pPr>
        <w:ind w:left="567" w:hanging="567"/>
      </w:pPr>
      <w:r w:rsidRPr="00531DE5">
        <w:t xml:space="preserve">Adams, P. J., Raeburn, J. &amp; De Silva, K. </w:t>
      </w:r>
      <w:r w:rsidR="0077491D">
        <w:t>(</w:t>
      </w:r>
      <w:r>
        <w:t>2009</w:t>
      </w:r>
      <w:r w:rsidR="0077491D" w:rsidRPr="00531DE5">
        <w:t>)</w:t>
      </w:r>
      <w:r>
        <w:t>. A question of balance: P</w:t>
      </w:r>
      <w:r w:rsidRPr="00531DE5">
        <w:t>rioritizing public health responses to harm from gambling.</w:t>
      </w:r>
      <w:r w:rsidRPr="00011259">
        <w:rPr>
          <w:i/>
        </w:rPr>
        <w:t xml:space="preserve"> Addiction</w:t>
      </w:r>
      <w:r w:rsidRPr="00531DE5">
        <w:t>, 104, 688-688.</w:t>
      </w:r>
      <w:r>
        <w:t xml:space="preserve"> doi: </w:t>
      </w:r>
      <w:r w:rsidRPr="00A6692A">
        <w:t>10.1111/j.1360-0443.2008.02414</w:t>
      </w:r>
    </w:p>
    <w:p w14:paraId="518B3C3B" w14:textId="4790D782" w:rsidR="001B2940" w:rsidRPr="00531DE5" w:rsidRDefault="001B2940" w:rsidP="00DC248F">
      <w:pPr>
        <w:ind w:left="567" w:hanging="567"/>
      </w:pPr>
      <w:r w:rsidRPr="00531DE5">
        <w:t xml:space="preserve">Afifi, T. O., Brownridge, D. A., Macmillan, H. &amp; Sareen, J. </w:t>
      </w:r>
      <w:r w:rsidR="0077491D">
        <w:t>(</w:t>
      </w:r>
      <w:r w:rsidRPr="00531DE5">
        <w:t>2010</w:t>
      </w:r>
      <w:r w:rsidR="0077491D" w:rsidRPr="00531DE5">
        <w:t>)</w:t>
      </w:r>
      <w:r w:rsidRPr="00531DE5">
        <w:t xml:space="preserve">. The relationship of gambling to intimate partner violence and child maltreatment in a nationally representative sample. </w:t>
      </w:r>
      <w:r w:rsidRPr="00A6692A">
        <w:rPr>
          <w:i/>
        </w:rPr>
        <w:t>Journal of Psychiatric Research</w:t>
      </w:r>
      <w:r w:rsidRPr="00531DE5">
        <w:t>,</w:t>
      </w:r>
      <w:r w:rsidRPr="00A6692A">
        <w:rPr>
          <w:i/>
        </w:rPr>
        <w:t xml:space="preserve"> 44</w:t>
      </w:r>
      <w:r>
        <w:t>(5)</w:t>
      </w:r>
      <w:r w:rsidRPr="00531DE5">
        <w:t>, 331-337.</w:t>
      </w:r>
      <w:r>
        <w:t xml:space="preserve"> doi: </w:t>
      </w:r>
      <w:r w:rsidRPr="00A6692A">
        <w:t>10.1016/j.jpsychires.2009.07.010</w:t>
      </w:r>
    </w:p>
    <w:p w14:paraId="08640F61" w14:textId="70B0BEB3" w:rsidR="00A80DEC" w:rsidRPr="00A80DEC" w:rsidRDefault="002C0907" w:rsidP="00A80DEC">
      <w:pPr>
        <w:ind w:left="567" w:hanging="567"/>
      </w:pPr>
      <w:r>
        <w:t xml:space="preserve">Alla, S., &amp; Mason, D. F. </w:t>
      </w:r>
      <w:r w:rsidR="0077491D">
        <w:t>(</w:t>
      </w:r>
      <w:r w:rsidR="00A80DEC" w:rsidRPr="00A80DEC">
        <w:t>2014</w:t>
      </w:r>
      <w:r w:rsidR="0077491D" w:rsidRPr="00531DE5">
        <w:t>)</w:t>
      </w:r>
      <w:r w:rsidR="00A80DEC" w:rsidRPr="00A80DEC">
        <w:t xml:space="preserve">. Multiple sclerosis in New Zealand. </w:t>
      </w:r>
      <w:r w:rsidR="00A80DEC" w:rsidRPr="00A80DEC">
        <w:rPr>
          <w:i/>
        </w:rPr>
        <w:t>Journal of Clinical Neuroscience, 21</w:t>
      </w:r>
      <w:r w:rsidR="00A80DEC" w:rsidRPr="00A80DEC">
        <w:t>(8), 1288-1291. http://dx.doi.org/10.1016/j.jocn.2013.09.009</w:t>
      </w:r>
    </w:p>
    <w:p w14:paraId="65929360" w14:textId="0FC0C0CA" w:rsidR="001B2940" w:rsidRPr="00531DE5" w:rsidRDefault="001B2940" w:rsidP="00DC248F">
      <w:pPr>
        <w:ind w:left="567" w:hanging="567"/>
      </w:pPr>
      <w:r w:rsidRPr="00531DE5">
        <w:t xml:space="preserve">Allcock, C. </w:t>
      </w:r>
      <w:r w:rsidR="0077491D">
        <w:t>(</w:t>
      </w:r>
      <w:r w:rsidRPr="00531DE5">
        <w:t>1995</w:t>
      </w:r>
      <w:r w:rsidR="0077491D" w:rsidRPr="00531DE5">
        <w:t>)</w:t>
      </w:r>
      <w:r w:rsidRPr="00531DE5">
        <w:t>. ‘Some ponderings on pathological gambling: an introspective essay’. In J. O’Connor</w:t>
      </w:r>
      <w:r>
        <w:t xml:space="preserve"> </w:t>
      </w:r>
      <w:r w:rsidRPr="00531DE5">
        <w:t xml:space="preserve">(ed.) </w:t>
      </w:r>
      <w:r w:rsidRPr="00A6692A">
        <w:rPr>
          <w:i/>
        </w:rPr>
        <w:t>High Stakes in the Nineties</w:t>
      </w:r>
      <w:r w:rsidRPr="00531DE5">
        <w:t>, Melbourne, National Ass</w:t>
      </w:r>
      <w:r w:rsidRPr="001F5F13">
        <w:t xml:space="preserve">ociation for Gambling Studies, </w:t>
      </w:r>
      <w:r w:rsidRPr="00531DE5">
        <w:t>87</w:t>
      </w:r>
      <w:r w:rsidRPr="00531DE5">
        <w:rPr>
          <w:rFonts w:eastAsia="MS Gothic" w:cs="MS Gothic"/>
        </w:rPr>
        <w:noBreakHyphen/>
      </w:r>
      <w:r w:rsidRPr="00531DE5">
        <w:t>95.</w:t>
      </w:r>
    </w:p>
    <w:p w14:paraId="432CB1F3" w14:textId="7BB5FD3B" w:rsidR="001B2940" w:rsidRPr="00531DE5" w:rsidRDefault="001B2940" w:rsidP="00DC248F">
      <w:pPr>
        <w:ind w:left="567" w:hanging="567"/>
      </w:pPr>
      <w:r w:rsidRPr="00531DE5">
        <w:t xml:space="preserve">American Psychiatric Association. </w:t>
      </w:r>
      <w:r w:rsidR="0077491D">
        <w:t>(</w:t>
      </w:r>
      <w:r w:rsidRPr="00531DE5">
        <w:t>2013</w:t>
      </w:r>
      <w:r w:rsidR="0077491D" w:rsidRPr="00531DE5">
        <w:t>)</w:t>
      </w:r>
      <w:r w:rsidRPr="00531DE5">
        <w:t xml:space="preserve">. </w:t>
      </w:r>
      <w:r w:rsidRPr="00A6692A">
        <w:rPr>
          <w:i/>
        </w:rPr>
        <w:t>Diagnostic and Statistical Manual of Mental Disorders (DSM). 5</w:t>
      </w:r>
      <w:r w:rsidRPr="00A6692A">
        <w:rPr>
          <w:i/>
          <w:vertAlign w:val="superscript"/>
        </w:rPr>
        <w:t>th</w:t>
      </w:r>
      <w:r w:rsidRPr="00A6692A">
        <w:rPr>
          <w:i/>
        </w:rPr>
        <w:t xml:space="preserve"> ed</w:t>
      </w:r>
      <w:r w:rsidRPr="00531DE5">
        <w:t xml:space="preserve">. </w:t>
      </w:r>
      <w:r>
        <w:t>American Psychiatric Publications</w:t>
      </w:r>
    </w:p>
    <w:p w14:paraId="24B39C95" w14:textId="77777777" w:rsidR="001B2940" w:rsidRPr="00531DE5" w:rsidRDefault="001B2940" w:rsidP="00DC248F">
      <w:pPr>
        <w:ind w:left="567" w:hanging="567"/>
      </w:pPr>
      <w:r w:rsidRPr="00531DE5">
        <w:t xml:space="preserve">Anae, M., Coxon, E., Lima, I., Atiga, L., &amp; Tolley, H. (2008). </w:t>
      </w:r>
      <w:r w:rsidRPr="00A6692A">
        <w:rPr>
          <w:i/>
        </w:rPr>
        <w:t>Pacific consumers’ behaviour and experience in credit markets, with particular reference to the ‘fringe lending’ market.</w:t>
      </w:r>
      <w:r>
        <w:t xml:space="preserve"> </w:t>
      </w:r>
      <w:r w:rsidRPr="00531DE5">
        <w:t>Auckland: University of Auckland, Auckland UniServices Ltd.</w:t>
      </w:r>
    </w:p>
    <w:p w14:paraId="198AC9C9" w14:textId="4CDD0F8D" w:rsidR="001B2940" w:rsidRPr="00531DE5" w:rsidRDefault="001B2940" w:rsidP="00DC248F">
      <w:pPr>
        <w:ind w:left="567" w:hanging="567"/>
      </w:pPr>
      <w:r w:rsidRPr="00531DE5">
        <w:t xml:space="preserve">Ariyabuddhiphongs, V. </w:t>
      </w:r>
      <w:r w:rsidR="0077491D">
        <w:t>(</w:t>
      </w:r>
      <w:r w:rsidRPr="00531DE5">
        <w:t>2012</w:t>
      </w:r>
      <w:r w:rsidR="0077491D" w:rsidRPr="00531DE5">
        <w:t>)</w:t>
      </w:r>
      <w:r w:rsidRPr="00531DE5">
        <w:t xml:space="preserve">. Older Adults and Gambling: A Review. </w:t>
      </w:r>
      <w:r w:rsidRPr="00A6692A">
        <w:rPr>
          <w:i/>
        </w:rPr>
        <w:t>International Journal of Mental Health and Addiction,</w:t>
      </w:r>
      <w:r w:rsidRPr="00531DE5">
        <w:t xml:space="preserve"> </w:t>
      </w:r>
      <w:r w:rsidRPr="00A6692A">
        <w:rPr>
          <w:i/>
        </w:rPr>
        <w:t xml:space="preserve">10 </w:t>
      </w:r>
      <w:r>
        <w:t>(2)</w:t>
      </w:r>
      <w:r w:rsidRPr="00531DE5">
        <w:t>, 297-308.</w:t>
      </w:r>
      <w:r>
        <w:t xml:space="preserve"> </w:t>
      </w:r>
      <w:r w:rsidRPr="00A6692A">
        <w:t>10.1007/s11469-011-9325-6</w:t>
      </w:r>
    </w:p>
    <w:p w14:paraId="7C6BECB2" w14:textId="76D62E66" w:rsidR="001B2940" w:rsidRPr="00531DE5" w:rsidRDefault="001B2940" w:rsidP="00DC248F">
      <w:pPr>
        <w:ind w:left="0"/>
      </w:pPr>
      <w:r w:rsidRPr="00531DE5">
        <w:lastRenderedPageBreak/>
        <w:t xml:space="preserve">Ariyabuddhiphongs, V. </w:t>
      </w:r>
      <w:r w:rsidR="006946F7">
        <w:t>(</w:t>
      </w:r>
      <w:r>
        <w:t>2013</w:t>
      </w:r>
      <w:r w:rsidR="0077491D" w:rsidRPr="00531DE5">
        <w:t>)</w:t>
      </w:r>
      <w:r>
        <w:t>. Problem gambling prevention: Before, during, and after m</w:t>
      </w:r>
      <w:r w:rsidRPr="00531DE5">
        <w:t>easures.</w:t>
      </w:r>
      <w:r>
        <w:t xml:space="preserve"> </w:t>
      </w:r>
      <w:r w:rsidRPr="00A6692A">
        <w:rPr>
          <w:i/>
        </w:rPr>
        <w:t>International Journal of Mental Health and Addiction</w:t>
      </w:r>
      <w:r>
        <w:rPr>
          <w:i/>
        </w:rPr>
        <w:t xml:space="preserve"> 11</w:t>
      </w:r>
      <w:r w:rsidRPr="00A6692A">
        <w:t>(5),</w:t>
      </w:r>
      <w:r w:rsidRPr="00531DE5">
        <w:t xml:space="preserve"> 1-15.</w:t>
      </w:r>
      <w:r>
        <w:t xml:space="preserve"> doi: </w:t>
      </w:r>
      <w:r w:rsidRPr="00A6692A">
        <w:t>10.1007/s11469-013-9429-2</w:t>
      </w:r>
    </w:p>
    <w:p w14:paraId="740A9AC7" w14:textId="2B69DAF9" w:rsidR="0044690A" w:rsidRPr="00AF2240" w:rsidRDefault="0044690A" w:rsidP="00DC248F">
      <w:pPr>
        <w:ind w:left="567" w:hanging="567"/>
      </w:pPr>
      <w:r w:rsidRPr="00AF2240">
        <w:t xml:space="preserve">Arnold, D., Girling, A., Stevens, A., Lilford, R. (2009). Comparison of direct and indirect methods of estimating health state utilities for resource allocation: Review and empirical analysis. </w:t>
      </w:r>
      <w:r w:rsidRPr="00AF2240">
        <w:rPr>
          <w:i/>
        </w:rPr>
        <w:t>British</w:t>
      </w:r>
      <w:r w:rsidR="00AF2240" w:rsidRPr="00AF2240">
        <w:rPr>
          <w:i/>
        </w:rPr>
        <w:t xml:space="preserve"> </w:t>
      </w:r>
      <w:r w:rsidRPr="00AF2240">
        <w:rPr>
          <w:i/>
        </w:rPr>
        <w:t>Medical Journal</w:t>
      </w:r>
      <w:r w:rsidRPr="00AF2240">
        <w:t xml:space="preserve">, </w:t>
      </w:r>
      <w:r w:rsidRPr="00AF2240">
        <w:rPr>
          <w:i/>
        </w:rPr>
        <w:t>339</w:t>
      </w:r>
      <w:r w:rsidRPr="00AF2240">
        <w:t>. doi: 10.1136/bmj.b2688</w:t>
      </w:r>
    </w:p>
    <w:p w14:paraId="53647035" w14:textId="422FBBD0" w:rsidR="001B2940" w:rsidRDefault="001B2940" w:rsidP="00DC248F">
      <w:pPr>
        <w:ind w:left="567" w:hanging="567"/>
      </w:pPr>
      <w:r w:rsidRPr="00531DE5">
        <w:t xml:space="preserve">Australian Institute For Gambling Research. </w:t>
      </w:r>
      <w:r w:rsidR="0077491D">
        <w:t>(</w:t>
      </w:r>
      <w:r w:rsidRPr="00531DE5">
        <w:t>2001</w:t>
      </w:r>
      <w:r w:rsidR="0077491D" w:rsidRPr="00531DE5">
        <w:t>)</w:t>
      </w:r>
      <w:r w:rsidRPr="00531DE5">
        <w:t xml:space="preserve">. </w:t>
      </w:r>
      <w:r w:rsidRPr="00A6692A">
        <w:rPr>
          <w:i/>
        </w:rPr>
        <w:t xml:space="preserve">Social and economic impacts of gambling in New Zealand. </w:t>
      </w:r>
      <w:r>
        <w:t xml:space="preserve">Sydney: </w:t>
      </w:r>
      <w:r w:rsidRPr="00A6692A">
        <w:t xml:space="preserve">Australian Institute For Gambling Research </w:t>
      </w:r>
    </w:p>
    <w:p w14:paraId="4F3191B8" w14:textId="3C44E69E" w:rsidR="001B2940" w:rsidRPr="00531DE5" w:rsidRDefault="001B2940" w:rsidP="00DC248F">
      <w:pPr>
        <w:ind w:left="567" w:hanging="567"/>
      </w:pPr>
      <w:r w:rsidRPr="00531DE5">
        <w:t xml:space="preserve">Australian Institute Of Health And Welfare </w:t>
      </w:r>
      <w:r w:rsidR="0077491D">
        <w:t>(</w:t>
      </w:r>
      <w:r w:rsidRPr="00531DE5">
        <w:t>2009</w:t>
      </w:r>
      <w:r w:rsidR="0077491D" w:rsidRPr="00531DE5">
        <w:t>)</w:t>
      </w:r>
      <w:r w:rsidRPr="00531DE5">
        <w:t xml:space="preserve">. </w:t>
      </w:r>
      <w:r w:rsidRPr="00A6692A">
        <w:rPr>
          <w:i/>
        </w:rPr>
        <w:t xml:space="preserve">Problem gambling among those seeking homelessness services. </w:t>
      </w:r>
      <w:r w:rsidRPr="00A6692A">
        <w:t>Cat no. HOU 215</w:t>
      </w:r>
      <w:r w:rsidRPr="00A6692A">
        <w:rPr>
          <w:i/>
        </w:rPr>
        <w:t>.</w:t>
      </w:r>
      <w:r w:rsidRPr="00531DE5">
        <w:t xml:space="preserve"> Canberra: AIHW.</w:t>
      </w:r>
    </w:p>
    <w:p w14:paraId="3BB03256" w14:textId="3A4FFCE3" w:rsidR="001B2940" w:rsidRPr="00531DE5" w:rsidRDefault="001B2940" w:rsidP="00DC248F">
      <w:pPr>
        <w:ind w:left="567" w:hanging="567"/>
      </w:pPr>
      <w:r w:rsidRPr="00531DE5">
        <w:t xml:space="preserve">Australian Institute Of Health And Welfare </w:t>
      </w:r>
      <w:r w:rsidR="0077491D">
        <w:t>(</w:t>
      </w:r>
      <w:r w:rsidRPr="00531DE5">
        <w:t>2014</w:t>
      </w:r>
      <w:r w:rsidR="0077491D" w:rsidRPr="00531DE5">
        <w:t>)</w:t>
      </w:r>
      <w:r w:rsidRPr="00531DE5">
        <w:t xml:space="preserve">. </w:t>
      </w:r>
      <w:r w:rsidRPr="000E2DB5">
        <w:rPr>
          <w:i/>
        </w:rPr>
        <w:t>Australia's health 2014.</w:t>
      </w:r>
      <w:r w:rsidRPr="00531DE5">
        <w:t xml:space="preserve"> Australia's health</w:t>
      </w:r>
      <w:r>
        <w:t xml:space="preserve"> </w:t>
      </w:r>
      <w:r w:rsidRPr="00531DE5">
        <w:t>series no 14. Canberra: AIHW.</w:t>
      </w:r>
    </w:p>
    <w:p w14:paraId="09216398" w14:textId="77777777" w:rsidR="0044690A" w:rsidRPr="0044690A" w:rsidRDefault="0044690A" w:rsidP="00DC248F">
      <w:pPr>
        <w:ind w:left="567" w:hanging="567"/>
      </w:pPr>
      <w:r w:rsidRPr="0044690A">
        <w:t xml:space="preserve">Badia, X., Monserrat, S., Roset, M., &amp; Herdman, M. (1999). Feasibility, validity and test–retest reliability of scaling methods for health states: The visual analogue scale and the time trade-off. </w:t>
      </w:r>
      <w:r w:rsidRPr="0044690A">
        <w:rPr>
          <w:i/>
          <w:iCs/>
        </w:rPr>
        <w:t>Quality of Life Research, 8</w:t>
      </w:r>
      <w:r w:rsidRPr="0044690A">
        <w:t>(4), 303–310. http://doi.org/10.1023/A:1008952423122</w:t>
      </w:r>
    </w:p>
    <w:p w14:paraId="7187D5B2" w14:textId="7564F733" w:rsidR="001B2940" w:rsidRPr="00531DE5" w:rsidRDefault="001B2940" w:rsidP="00DC248F">
      <w:pPr>
        <w:ind w:left="567" w:hanging="567"/>
      </w:pPr>
      <w:r w:rsidRPr="00531DE5">
        <w:t xml:space="preserve">Bakken, I. J., Gøtestam, K. G., Gråwe, R. W., Wenzel, H. G. &amp; Øren, A. </w:t>
      </w:r>
      <w:r w:rsidR="0077491D">
        <w:t>(</w:t>
      </w:r>
      <w:r w:rsidRPr="00531DE5">
        <w:t>2009</w:t>
      </w:r>
      <w:r w:rsidR="0077491D">
        <w:t>)</w:t>
      </w:r>
      <w:r w:rsidRPr="00531DE5">
        <w:t xml:space="preserve">. Gambling behavior and gambling problems in Norway 2007. </w:t>
      </w:r>
      <w:r w:rsidRPr="00A6692A">
        <w:rPr>
          <w:i/>
        </w:rPr>
        <w:t>Scandinavian</w:t>
      </w:r>
      <w:r w:rsidR="00BE3642">
        <w:rPr>
          <w:i/>
        </w:rPr>
        <w:t xml:space="preserve"> </w:t>
      </w:r>
      <w:r w:rsidRPr="00A6692A">
        <w:rPr>
          <w:i/>
        </w:rPr>
        <w:t>Journal</w:t>
      </w:r>
      <w:r>
        <w:t xml:space="preserve"> of</w:t>
      </w:r>
      <w:r w:rsidRPr="00531DE5">
        <w:t xml:space="preserve"> </w:t>
      </w:r>
      <w:r w:rsidR="0044690A" w:rsidRPr="00531DE5">
        <w:t>Psychol</w:t>
      </w:r>
      <w:r w:rsidR="0044690A">
        <w:t>ogy</w:t>
      </w:r>
      <w:r w:rsidR="0044690A" w:rsidRPr="00531DE5">
        <w:t>,</w:t>
      </w:r>
      <w:r w:rsidRPr="00531DE5">
        <w:t xml:space="preserve"> 50, 333-9.</w:t>
      </w:r>
    </w:p>
    <w:p w14:paraId="76E54742" w14:textId="77777777" w:rsidR="0044690A" w:rsidRPr="0044690A" w:rsidRDefault="0044690A" w:rsidP="00DC248F">
      <w:pPr>
        <w:ind w:left="567" w:hanging="567"/>
      </w:pPr>
      <w:r w:rsidRPr="0044690A">
        <w:t xml:space="preserve">Baltussen, R. M., Sanon, M., Sommerfeld, J., and Wurthwein, R. (2002). Obtaining disability weights in rural Burkina Faso using a culturally adapted visual analogue scale. </w:t>
      </w:r>
      <w:r w:rsidRPr="0044690A">
        <w:rPr>
          <w:i/>
          <w:iCs/>
        </w:rPr>
        <w:t>Health Econ, 11</w:t>
      </w:r>
      <w:r w:rsidRPr="0044690A">
        <w:t>:155–163.</w:t>
      </w:r>
    </w:p>
    <w:p w14:paraId="2491138A" w14:textId="11097116" w:rsidR="00C86901" w:rsidRDefault="00C86901" w:rsidP="00DC248F">
      <w:pPr>
        <w:ind w:left="567" w:hanging="567"/>
      </w:pPr>
      <w:r w:rsidRPr="00C86901">
        <w:t xml:space="preserve">Bansback, N., Brazier, J., Tsuchiya, A., &amp; Anis, A. (2012). Using a discrete choice experiment to estimate health state utility values. </w:t>
      </w:r>
      <w:r w:rsidRPr="00C86901">
        <w:rPr>
          <w:i/>
        </w:rPr>
        <w:t>Journal of Health Economics, 31</w:t>
      </w:r>
      <w:r w:rsidRPr="00C86901">
        <w:t>(1), 306–318. http://doi.org/10.1016/j.jhealeco.2011.11.004</w:t>
      </w:r>
    </w:p>
    <w:p w14:paraId="322A2EC2" w14:textId="1FA045B3" w:rsidR="00C86901" w:rsidRDefault="00C86901" w:rsidP="00DC248F">
      <w:pPr>
        <w:ind w:left="567" w:hanging="567"/>
      </w:pPr>
      <w:r w:rsidRPr="00C86901">
        <w:t xml:space="preserve">Bansback, N., Hole, A. R., Mulhern, B., &amp; Tsuchiya, A. (2014). Testing a discrete choice experiment including duration to value health states for large descriptive systems: addressing design and sampling issues. </w:t>
      </w:r>
      <w:r w:rsidRPr="00C86901">
        <w:rPr>
          <w:i/>
        </w:rPr>
        <w:t>Social Science &amp; Medicine, 114</w:t>
      </w:r>
      <w:r w:rsidRPr="00C86901">
        <w:t>, 38–48. http://doi.org/10.1016/j.socscimed.2014.05.026</w:t>
      </w:r>
    </w:p>
    <w:p w14:paraId="202EE6C2" w14:textId="6DD9C67F" w:rsidR="0044690A" w:rsidRPr="0044690A" w:rsidRDefault="0044690A" w:rsidP="00DC248F">
      <w:pPr>
        <w:ind w:left="567" w:hanging="567"/>
      </w:pPr>
      <w:r w:rsidRPr="0044690A">
        <w:t xml:space="preserve">Barbist, M.-T., Renn, D., Noisternig, B., Rumpold, G., &amp; Hofer, S. (2008). How do medical students value health on the EQ-5D? Evaluation of hypothetical health states compared to the general population. </w:t>
      </w:r>
      <w:r w:rsidRPr="0044690A">
        <w:rPr>
          <w:i/>
          <w:iCs/>
        </w:rPr>
        <w:t>Health and Quality of Life Outcomes, 6</w:t>
      </w:r>
      <w:r w:rsidRPr="0044690A">
        <w:t>, 111. http://doi.org/10.1186/1477-7525-6-111</w:t>
      </w:r>
    </w:p>
    <w:p w14:paraId="7DE4A7E9" w14:textId="7ADD13F9" w:rsidR="0044690A" w:rsidRPr="0044690A" w:rsidRDefault="0044690A" w:rsidP="00DC248F">
      <w:pPr>
        <w:ind w:left="567" w:hanging="567"/>
      </w:pPr>
      <w:r w:rsidRPr="0044690A">
        <w:t xml:space="preserve">Barlow, R. E., Bartholomew, D. J., Bremner, J. M., &amp; Brunk, H. D. (1972). </w:t>
      </w:r>
      <w:r w:rsidRPr="0044690A">
        <w:rPr>
          <w:i/>
          <w:iCs/>
        </w:rPr>
        <w:t>Statistical Inference Under</w:t>
      </w:r>
      <w:r>
        <w:rPr>
          <w:i/>
          <w:iCs/>
        </w:rPr>
        <w:t xml:space="preserve"> </w:t>
      </w:r>
      <w:r w:rsidRPr="0044690A">
        <w:rPr>
          <w:i/>
          <w:iCs/>
        </w:rPr>
        <w:t>Order Restrictions</w:t>
      </w:r>
      <w:r w:rsidRPr="0044690A">
        <w:t>. Wiley: London.</w:t>
      </w:r>
    </w:p>
    <w:p w14:paraId="1AD1C94B" w14:textId="77777777" w:rsidR="00A80DEC" w:rsidRPr="00A80DEC" w:rsidRDefault="00A80DEC" w:rsidP="00A80DEC">
      <w:pPr>
        <w:ind w:left="567" w:hanging="567"/>
      </w:pPr>
      <w:r w:rsidRPr="00A80DEC">
        <w:t xml:space="preserve">Barnard, L., Baker, M., Pierse, N., &amp; Zhang, J. (2015). The impact of respiratory disease in New Zealand: 2014 update. Wellington: The Asthma Foundation. </w:t>
      </w:r>
    </w:p>
    <w:p w14:paraId="031E004F" w14:textId="1403EB42" w:rsidR="001B2940" w:rsidRPr="00531DE5" w:rsidRDefault="001B2940" w:rsidP="00DC248F">
      <w:pPr>
        <w:ind w:left="567" w:hanging="567"/>
      </w:pPr>
      <w:r w:rsidRPr="00531DE5">
        <w:t xml:space="preserve">Barrault, S., &amp; Varescon, I. </w:t>
      </w:r>
      <w:r w:rsidR="0077491D">
        <w:t>(</w:t>
      </w:r>
      <w:r w:rsidRPr="00531DE5">
        <w:t>2013</w:t>
      </w:r>
      <w:r w:rsidR="0077491D">
        <w:t>)</w:t>
      </w:r>
      <w:r w:rsidRPr="00531DE5">
        <w:t>. Cognitive distortions, anxiety</w:t>
      </w:r>
      <w:r w:rsidRPr="001F5F13">
        <w:t xml:space="preserve">, and depression among regular </w:t>
      </w:r>
      <w:r w:rsidRPr="00531DE5">
        <w:t xml:space="preserve">and pathological gambling online poker players. </w:t>
      </w:r>
      <w:r w:rsidRPr="00D61833">
        <w:rPr>
          <w:i/>
        </w:rPr>
        <w:t>Cyberspace, Behavior and Social Networks, 16</w:t>
      </w:r>
      <w:r w:rsidRPr="00531DE5">
        <w:t>(3), 183-188. doi:10.1089/cyber.2012.0150.</w:t>
      </w:r>
    </w:p>
    <w:p w14:paraId="30FE86E1" w14:textId="07AE4788" w:rsidR="001B2940" w:rsidRPr="00531DE5" w:rsidRDefault="001B2940" w:rsidP="00DC248F">
      <w:pPr>
        <w:ind w:left="567" w:hanging="567"/>
      </w:pPr>
      <w:r w:rsidRPr="00531DE5">
        <w:lastRenderedPageBreak/>
        <w:t xml:space="preserve">Battersby, M., Tolchard, B., Scurrah, M. &amp; Thomas, L. </w:t>
      </w:r>
      <w:r w:rsidR="006946F7" w:rsidRPr="0044690A">
        <w:t>(</w:t>
      </w:r>
      <w:r w:rsidRPr="00531DE5">
        <w:t>2006</w:t>
      </w:r>
      <w:r w:rsidR="006946F7">
        <w:t>)</w:t>
      </w:r>
      <w:r w:rsidRPr="00531DE5">
        <w:t xml:space="preserve">. Suicide Ideation and Behaviour in People with Pathological Gambling Attending a Treatment Service. </w:t>
      </w:r>
      <w:r w:rsidRPr="00A6692A">
        <w:rPr>
          <w:i/>
        </w:rPr>
        <w:t xml:space="preserve">International Journal of Mental Health and Addiction, </w:t>
      </w:r>
      <w:r>
        <w:rPr>
          <w:i/>
        </w:rPr>
        <w:t>(</w:t>
      </w:r>
      <w:r w:rsidRPr="00A6692A">
        <w:rPr>
          <w:i/>
        </w:rPr>
        <w:t>50)</w:t>
      </w:r>
      <w:r w:rsidRPr="00531DE5">
        <w:t>4, 233-246. </w:t>
      </w:r>
      <w:r>
        <w:t xml:space="preserve">doi: </w:t>
      </w:r>
      <w:r w:rsidRPr="00A6692A">
        <w:t>10.1111/j.1467-9450.2009.00713.x</w:t>
      </w:r>
    </w:p>
    <w:p w14:paraId="2C6A1F8C" w14:textId="1742C208" w:rsidR="0077491D" w:rsidRDefault="0077491D" w:rsidP="00DC248F">
      <w:pPr>
        <w:ind w:left="567" w:hanging="567"/>
      </w:pPr>
      <w:r>
        <w:t xml:space="preserve">Basiri, A., Mousavi, S. M., Naghavi, M., Araghi, I. A., &amp; Namini, S. A. (2008). Urologic diseases in the Islamic Republic of Iran: what are the public health priorities? </w:t>
      </w:r>
      <w:r>
        <w:rPr>
          <w:i/>
          <w:iCs/>
        </w:rPr>
        <w:t>Eastern Mediterranean Health Journal, 14</w:t>
      </w:r>
      <w:r>
        <w:t xml:space="preserve">(6), 1338–1348. </w:t>
      </w:r>
    </w:p>
    <w:p w14:paraId="2F8937B7" w14:textId="5F295265" w:rsidR="001B2940" w:rsidRPr="00531DE5" w:rsidRDefault="001B2940" w:rsidP="00DC248F">
      <w:pPr>
        <w:ind w:left="567" w:hanging="567"/>
      </w:pPr>
      <w:r w:rsidRPr="00531DE5">
        <w:t xml:space="preserve">Bellringer, M., Abbott, M., Coombes, R., Brown, R., Mckenna, B., Dyall, L., &amp; Rossen, F. </w:t>
      </w:r>
      <w:r w:rsidR="006946F7" w:rsidRPr="0044690A">
        <w:t>(</w:t>
      </w:r>
      <w:r w:rsidRPr="00531DE5">
        <w:t>2009</w:t>
      </w:r>
      <w:r w:rsidR="006946F7">
        <w:t>)</w:t>
      </w:r>
      <w:r w:rsidRPr="00531DE5">
        <w:t xml:space="preserve">. </w:t>
      </w:r>
      <w:r w:rsidRPr="00A6692A">
        <w:rPr>
          <w:i/>
        </w:rPr>
        <w:t>Formative investigation of the links between gambling (including problem gambling) and crime in New Zealand</w:t>
      </w:r>
      <w:r w:rsidRPr="00531DE5">
        <w:t>. Auckland: Auckland University of Technology Gambling and Addictions Research Centre and the University of Auckland Centre for Gambling Studies.</w:t>
      </w:r>
    </w:p>
    <w:p w14:paraId="3E2B2705" w14:textId="4F4AE7DF" w:rsidR="001B2940" w:rsidRPr="00531DE5" w:rsidRDefault="001B2940" w:rsidP="00DC248F">
      <w:pPr>
        <w:ind w:left="567" w:hanging="567"/>
        <w:rPr>
          <w:caps/>
        </w:rPr>
      </w:pPr>
      <w:r w:rsidRPr="00531DE5">
        <w:t xml:space="preserve">Bellringer, M., Abbott, M., Williams, M., &amp; Gao, W. </w:t>
      </w:r>
      <w:r w:rsidR="006946F7" w:rsidRPr="0044690A">
        <w:t>(</w:t>
      </w:r>
      <w:r w:rsidRPr="00531DE5">
        <w:t>2008</w:t>
      </w:r>
      <w:r w:rsidR="006946F7">
        <w:t>)</w:t>
      </w:r>
      <w:r w:rsidRPr="00531DE5">
        <w:t xml:space="preserve">. </w:t>
      </w:r>
      <w:r w:rsidRPr="00A6692A">
        <w:rPr>
          <w:i/>
        </w:rPr>
        <w:t>Problem Gambling - Pacific Island Families longitudinal study.</w:t>
      </w:r>
      <w:r w:rsidRPr="00531DE5">
        <w:t xml:space="preserve"> Auckland: Auckland University of Technology</w:t>
      </w:r>
      <w:r w:rsidR="00D456FF">
        <w:t>,</w:t>
      </w:r>
      <w:r w:rsidRPr="00531DE5">
        <w:t xml:space="preserve"> Gambling and Addictions Research Centre and Centre for Pacific Health and Development Research</w:t>
      </w:r>
    </w:p>
    <w:p w14:paraId="1884C5DB" w14:textId="7821A8A8" w:rsidR="001B2940" w:rsidRPr="00531DE5" w:rsidRDefault="001B2940" w:rsidP="00DC248F">
      <w:pPr>
        <w:ind w:left="567" w:hanging="567"/>
      </w:pPr>
      <w:r w:rsidRPr="00531DE5">
        <w:t xml:space="preserve">Bellringer, M., Fa’amatuainu, B., Taylor, S., Coombes, R., Poon, Z., &amp; Abbott, </w:t>
      </w:r>
      <w:r w:rsidRPr="00531DE5">
        <w:rPr>
          <w:caps/>
        </w:rPr>
        <w:t>M</w:t>
      </w:r>
      <w:r w:rsidRPr="001F5F13">
        <w:t>. (2013</w:t>
      </w:r>
      <w:r w:rsidRPr="00A6692A">
        <w:rPr>
          <w:i/>
        </w:rPr>
        <w:t>). Exploration of the impact of gambling and problem gambling on Pacific families and communities in New Zealand.</w:t>
      </w:r>
      <w:r w:rsidRPr="00531DE5">
        <w:t xml:space="preserve"> Auckland: Auckland University of Technology</w:t>
      </w:r>
      <w:r w:rsidR="00D456FF">
        <w:t>,</w:t>
      </w:r>
      <w:r w:rsidRPr="00531DE5">
        <w:t xml:space="preserve"> Gambling and Addictions Research Centre.</w:t>
      </w:r>
    </w:p>
    <w:p w14:paraId="38A730A2" w14:textId="5AE35B10" w:rsidR="001B2940" w:rsidRPr="00531DE5" w:rsidRDefault="001B2940" w:rsidP="00DC248F">
      <w:pPr>
        <w:ind w:left="567" w:hanging="567"/>
      </w:pPr>
      <w:r w:rsidRPr="00531DE5">
        <w:t xml:space="preserve">Bellringer, M. E., Perese, L. M., Abbott, M. W., &amp; Williams, M. M. </w:t>
      </w:r>
      <w:r w:rsidR="006946F7" w:rsidRPr="0044690A">
        <w:t>(</w:t>
      </w:r>
      <w:r w:rsidRPr="00531DE5">
        <w:t>2006</w:t>
      </w:r>
      <w:r w:rsidR="006946F7">
        <w:t>)</w:t>
      </w:r>
      <w:r w:rsidRPr="00531DE5">
        <w:t xml:space="preserve">. Gambling Among Pacific Mothers Living in New Zealand. </w:t>
      </w:r>
      <w:r w:rsidRPr="00A6692A">
        <w:rPr>
          <w:i/>
        </w:rPr>
        <w:t>International Gambling Studies, 6</w:t>
      </w:r>
      <w:r w:rsidRPr="00531DE5">
        <w:t>(2), 217 – 235.</w:t>
      </w:r>
      <w:r>
        <w:t xml:space="preserve"> doi: </w:t>
      </w:r>
      <w:r w:rsidRPr="00F1068F">
        <w:t>10.1080/14459790600928751</w:t>
      </w:r>
    </w:p>
    <w:p w14:paraId="01019B09" w14:textId="2E461BF9" w:rsidR="001B2940" w:rsidRPr="00531DE5" w:rsidRDefault="001B2940" w:rsidP="00DC248F">
      <w:pPr>
        <w:ind w:left="567" w:hanging="567"/>
      </w:pPr>
      <w:r w:rsidRPr="00531DE5">
        <w:t xml:space="preserve">Bellringer, M., Taylor, S., Savila, F., &amp; Abbott, M. </w:t>
      </w:r>
      <w:r w:rsidR="006946F7" w:rsidRPr="0044690A">
        <w:t>(</w:t>
      </w:r>
      <w:r w:rsidRPr="00531DE5">
        <w:t>2014</w:t>
      </w:r>
      <w:r w:rsidR="006946F7">
        <w:t>)</w:t>
      </w:r>
      <w:r w:rsidRPr="00531DE5">
        <w:t xml:space="preserve">. Gambling behaviours and associated familial influences among 9-year old Pacific children in New Zealand. </w:t>
      </w:r>
      <w:r w:rsidRPr="00F1068F">
        <w:rPr>
          <w:i/>
        </w:rPr>
        <w:t>International Gambling Studies, 14</w:t>
      </w:r>
      <w:r>
        <w:t>(3), 457-471. doi</w:t>
      </w:r>
      <w:r w:rsidRPr="00531DE5">
        <w:t>: 10.1080/14459795.2014.937728.</w:t>
      </w:r>
    </w:p>
    <w:p w14:paraId="53004F3C" w14:textId="1E5BE9CD" w:rsidR="0044690A" w:rsidRPr="0044690A" w:rsidRDefault="0044690A" w:rsidP="00DC248F">
      <w:pPr>
        <w:ind w:left="567" w:hanging="567"/>
      </w:pPr>
      <w:r w:rsidRPr="0044690A">
        <w:t xml:space="preserve">Bennett, K. J., Torrance, G. W., Boyle, M. H., Guscott, R., &amp; Moran, L. A. (2000). Development and testing of a utility measure for major, unipolar depression (McSad). </w:t>
      </w:r>
      <w:r w:rsidRPr="0044690A">
        <w:rPr>
          <w:i/>
          <w:iCs/>
        </w:rPr>
        <w:t>Quality of Life Research,</w:t>
      </w:r>
      <w:r>
        <w:t xml:space="preserve"> </w:t>
      </w:r>
      <w:r w:rsidRPr="0044690A">
        <w:rPr>
          <w:i/>
          <w:iCs/>
        </w:rPr>
        <w:t>9</w:t>
      </w:r>
      <w:r w:rsidRPr="0044690A">
        <w:t>(1), 109–120. doi: 10.1023/A:1008952602494</w:t>
      </w:r>
    </w:p>
    <w:p w14:paraId="4DECA469" w14:textId="77777777" w:rsidR="0044690A" w:rsidRPr="0044690A" w:rsidRDefault="0044690A" w:rsidP="00DC248F">
      <w:pPr>
        <w:ind w:left="567" w:hanging="567"/>
      </w:pPr>
      <w:r w:rsidRPr="0044690A">
        <w:t xml:space="preserve">Bennett, K. J., Torrance, G. W., Moran, L. A., Smith, F., &amp; Goldsmith, C. H. (1997). Health state utilities in knee replacement surgery: the development and evaluation of McKnee. </w:t>
      </w:r>
      <w:r w:rsidRPr="0044690A">
        <w:rPr>
          <w:i/>
          <w:iCs/>
        </w:rPr>
        <w:t>The Journal of Rheumatology, 24</w:t>
      </w:r>
      <w:r w:rsidRPr="0044690A">
        <w:t>(9), 1796–1805. Retrieved from: http://europepmc.org/abstract/med/9292806</w:t>
      </w:r>
    </w:p>
    <w:p w14:paraId="35A55620" w14:textId="0B7CC67E" w:rsidR="001B2940" w:rsidRPr="00531DE5" w:rsidRDefault="001B2940" w:rsidP="00DC248F">
      <w:pPr>
        <w:ind w:left="567" w:hanging="567"/>
      </w:pPr>
      <w:r w:rsidRPr="00531DE5">
        <w:t xml:space="preserve">Bertossa, S. &amp; Harvey, P. </w:t>
      </w:r>
      <w:r w:rsidR="006946F7">
        <w:t>(</w:t>
      </w:r>
      <w:r w:rsidRPr="00531DE5">
        <w:t>2012</w:t>
      </w:r>
      <w:r w:rsidR="006946F7">
        <w:t>)</w:t>
      </w:r>
      <w:r w:rsidRPr="00531DE5">
        <w:t>. Measuring problem gambling</w:t>
      </w:r>
      <w:r w:rsidRPr="001F5F13">
        <w:t xml:space="preserve"> in Indigenous communities: An </w:t>
      </w:r>
      <w:r w:rsidRPr="00531DE5">
        <w:t xml:space="preserve">Australian response to the research dilemmas. </w:t>
      </w:r>
      <w:r w:rsidRPr="00F1068F">
        <w:rPr>
          <w:i/>
        </w:rPr>
        <w:t>Australian Aboriginal Studies,</w:t>
      </w:r>
      <w:r>
        <w:rPr>
          <w:i/>
        </w:rPr>
        <w:t xml:space="preserve"> 2,</w:t>
      </w:r>
      <w:r w:rsidRPr="00531DE5">
        <w:t xml:space="preserve"> 21-30.</w:t>
      </w:r>
      <w:r>
        <w:t xml:space="preserve"> Retrieved from: </w:t>
      </w:r>
      <w:r w:rsidRPr="00F1068F">
        <w:t>&lt;http://search.informit.com.au/documentSummary;dn=0206</w:t>
      </w:r>
      <w:r>
        <w:t>-</w:t>
      </w:r>
      <w:r w:rsidRPr="00F1068F">
        <w:t>85154111478;res=IELIND&gt;</w:t>
      </w:r>
    </w:p>
    <w:p w14:paraId="22E5E9C3" w14:textId="0193EE48" w:rsidR="001B2940" w:rsidRPr="00531DE5" w:rsidRDefault="001B2940" w:rsidP="00DC248F">
      <w:pPr>
        <w:ind w:left="567" w:hanging="567"/>
      </w:pPr>
      <w:r w:rsidRPr="00531DE5">
        <w:t xml:space="preserve">Bicego, B. </w:t>
      </w:r>
      <w:r w:rsidR="006946F7">
        <w:t>(</w:t>
      </w:r>
      <w:r w:rsidRPr="00531DE5">
        <w:t>2002</w:t>
      </w:r>
      <w:r w:rsidR="006946F7">
        <w:t>)</w:t>
      </w:r>
      <w:r w:rsidRPr="00531DE5">
        <w:t xml:space="preserve">. When a Woman's Best Friend Is Doing Her Harm. </w:t>
      </w:r>
      <w:r w:rsidRPr="00F1068F">
        <w:rPr>
          <w:i/>
        </w:rPr>
        <w:t>Aboriginal and Islander Health Worker Journal,</w:t>
      </w:r>
      <w:r w:rsidRPr="00531DE5">
        <w:t xml:space="preserve"> </w:t>
      </w:r>
      <w:r w:rsidRPr="00F1068F">
        <w:rPr>
          <w:i/>
        </w:rPr>
        <w:t>26</w:t>
      </w:r>
      <w:r>
        <w:rPr>
          <w:i/>
        </w:rPr>
        <w:t xml:space="preserve"> (5)</w:t>
      </w:r>
      <w:r w:rsidRPr="00531DE5">
        <w:t>, 7-10.</w:t>
      </w:r>
      <w:r>
        <w:t xml:space="preserve"> Retrieved from: </w:t>
      </w:r>
      <w:r w:rsidRPr="00F1068F">
        <w:t>&lt;http://search.informit.com.au/document</w:t>
      </w:r>
      <w:r>
        <w:t xml:space="preserve"> </w:t>
      </w:r>
      <w:r w:rsidRPr="00F1068F">
        <w:t>Summary;dn=185546535002321;res=IELIND&gt;</w:t>
      </w:r>
    </w:p>
    <w:p w14:paraId="69459E80" w14:textId="08286B23" w:rsidR="001B2940" w:rsidRPr="00531DE5" w:rsidRDefault="001B2940" w:rsidP="00DC248F">
      <w:pPr>
        <w:ind w:left="567" w:hanging="567"/>
      </w:pPr>
      <w:r w:rsidRPr="00531DE5">
        <w:t xml:space="preserve">Billi, R., Stone, C., Marden, P., &amp; Yeung, K. </w:t>
      </w:r>
      <w:r w:rsidR="006946F7">
        <w:t>(</w:t>
      </w:r>
      <w:r w:rsidRPr="00531DE5">
        <w:t>2014</w:t>
      </w:r>
      <w:r w:rsidR="006946F7">
        <w:t>)</w:t>
      </w:r>
      <w:r w:rsidRPr="00531DE5">
        <w:t xml:space="preserve">. </w:t>
      </w:r>
      <w:r w:rsidRPr="004E1270">
        <w:rPr>
          <w:i/>
        </w:rPr>
        <w:t>The Victorian Gambling Study: A longitudinal study of gambling and health in Victoria, 2008-2012.</w:t>
      </w:r>
      <w:r w:rsidRPr="00531DE5">
        <w:t xml:space="preserve"> Victoria, Au</w:t>
      </w:r>
      <w:r w:rsidRPr="001F5F13">
        <w:t xml:space="preserve">stralia: Victorian Responsible </w:t>
      </w:r>
      <w:r w:rsidRPr="00531DE5">
        <w:t xml:space="preserve">Gambling Foundation. </w:t>
      </w:r>
    </w:p>
    <w:p w14:paraId="2EDE8B56" w14:textId="3AEFB16B" w:rsidR="001B2940" w:rsidRPr="00531DE5" w:rsidRDefault="001B2940" w:rsidP="00DC248F">
      <w:pPr>
        <w:ind w:left="567" w:hanging="567"/>
      </w:pPr>
      <w:r w:rsidRPr="00531DE5">
        <w:lastRenderedPageBreak/>
        <w:t xml:space="preserve">Binde, P. </w:t>
      </w:r>
      <w:r w:rsidR="006946F7">
        <w:t>(</w:t>
      </w:r>
      <w:r w:rsidRPr="00531DE5">
        <w:t>2011</w:t>
      </w:r>
      <w:r w:rsidR="006946F7">
        <w:t>)</w:t>
      </w:r>
      <w:r w:rsidRPr="00531DE5">
        <w:t>. What are the most harmful forms of gambli</w:t>
      </w:r>
      <w:r w:rsidRPr="001F5F13">
        <w:t xml:space="preserve">ng? Analyzing problem gambling </w:t>
      </w:r>
      <w:r w:rsidRPr="00531DE5">
        <w:t xml:space="preserve">prevalence surveys. </w:t>
      </w:r>
      <w:r w:rsidRPr="004E1270">
        <w:rPr>
          <w:i/>
        </w:rPr>
        <w:t>CEFOS Working Papers 12</w:t>
      </w:r>
      <w:r w:rsidRPr="00531DE5">
        <w:t>.</w:t>
      </w:r>
      <w:r>
        <w:t xml:space="preserve"> Retrieved from: </w:t>
      </w:r>
      <w:r w:rsidRPr="004E1270">
        <w:t>http://hdl.handle.net</w:t>
      </w:r>
      <w:r>
        <w:t>-</w:t>
      </w:r>
      <w:r w:rsidRPr="004E1270">
        <w:t>/2077/26165</w:t>
      </w:r>
    </w:p>
    <w:p w14:paraId="2A943F3B" w14:textId="2C65CBD0" w:rsidR="001B2940" w:rsidRPr="00531DE5" w:rsidRDefault="001B2940" w:rsidP="00DC248F">
      <w:pPr>
        <w:ind w:left="567" w:hanging="567"/>
      </w:pPr>
      <w:r w:rsidRPr="00531DE5">
        <w:t xml:space="preserve">Bissitt, D., Crate-Lionel, P. &amp; Lambert, R. </w:t>
      </w:r>
      <w:r w:rsidR="006946F7">
        <w:t>(</w:t>
      </w:r>
      <w:r w:rsidRPr="00531DE5">
        <w:t>1988</w:t>
      </w:r>
      <w:r w:rsidR="006946F7">
        <w:t>)</w:t>
      </w:r>
      <w:r w:rsidRPr="00531DE5">
        <w:t>. Winsome,</w:t>
      </w:r>
      <w:r>
        <w:t xml:space="preserve"> Lose Some: Beating the g</w:t>
      </w:r>
      <w:r w:rsidRPr="001F5F13">
        <w:t xml:space="preserve">aming </w:t>
      </w:r>
      <w:r>
        <w:t>m</w:t>
      </w:r>
      <w:r w:rsidRPr="00531DE5">
        <w:t xml:space="preserve">achine. </w:t>
      </w:r>
      <w:r w:rsidRPr="004E1270">
        <w:rPr>
          <w:i/>
        </w:rPr>
        <w:t>Probation Journal, 35</w:t>
      </w:r>
      <w:r>
        <w:rPr>
          <w:i/>
        </w:rPr>
        <w:t xml:space="preserve"> </w:t>
      </w:r>
      <w:r w:rsidRPr="004E1270">
        <w:t>(3),</w:t>
      </w:r>
      <w:r w:rsidRPr="00531DE5">
        <w:t xml:space="preserve"> 116-117.</w:t>
      </w:r>
      <w:r>
        <w:t xml:space="preserve"> doi: </w:t>
      </w:r>
      <w:r w:rsidRPr="004E1270">
        <w:t>10.1177/026455058803500316</w:t>
      </w:r>
    </w:p>
    <w:p w14:paraId="144A7DDF" w14:textId="78FCE819" w:rsidR="001B2940" w:rsidRPr="00531DE5" w:rsidRDefault="001B2940" w:rsidP="00DC248F">
      <w:pPr>
        <w:ind w:left="567" w:hanging="567"/>
      </w:pPr>
      <w:r w:rsidRPr="00531DE5">
        <w:t xml:space="preserve">Black, D. W., Shaw, M., Mccormick, B. &amp; Allen, J. </w:t>
      </w:r>
      <w:r w:rsidR="006946F7">
        <w:t>(</w:t>
      </w:r>
      <w:r w:rsidRPr="00531DE5">
        <w:t>2013</w:t>
      </w:r>
      <w:r w:rsidR="006946F7">
        <w:t>)</w:t>
      </w:r>
      <w:r w:rsidRPr="00531DE5">
        <w:t>. Patholog</w:t>
      </w:r>
      <w:r>
        <w:t>ical gambling: R</w:t>
      </w:r>
      <w:r w:rsidRPr="001F5F13">
        <w:t xml:space="preserve">elationship to </w:t>
      </w:r>
      <w:r w:rsidRPr="00531DE5">
        <w:t>obesity, self-reported chronic medical conditions, poor lifestyle</w:t>
      </w:r>
      <w:r w:rsidRPr="001F5F13">
        <w:t xml:space="preserve"> choices, and impaired quality </w:t>
      </w:r>
      <w:r w:rsidRPr="00531DE5">
        <w:t xml:space="preserve">of life. </w:t>
      </w:r>
      <w:r>
        <w:rPr>
          <w:i/>
        </w:rPr>
        <w:t>Comprehensive P</w:t>
      </w:r>
      <w:r w:rsidRPr="004E1270">
        <w:rPr>
          <w:i/>
        </w:rPr>
        <w:t>sychiatry, 54</w:t>
      </w:r>
      <w:r>
        <w:rPr>
          <w:i/>
        </w:rPr>
        <w:t xml:space="preserve"> </w:t>
      </w:r>
      <w:r w:rsidRPr="004E1270">
        <w:t>(2),</w:t>
      </w:r>
      <w:r w:rsidRPr="00531DE5">
        <w:t xml:space="preserve"> 97-104.</w:t>
      </w:r>
      <w:r>
        <w:t xml:space="preserve"> doi: </w:t>
      </w:r>
      <w:r w:rsidRPr="004E1270">
        <w:t>10.1016/j.comppsych.</w:t>
      </w:r>
      <w:r>
        <w:t xml:space="preserve"> </w:t>
      </w:r>
      <w:r w:rsidRPr="004E1270">
        <w:t>2012.07.001</w:t>
      </w:r>
    </w:p>
    <w:p w14:paraId="08CB99C6" w14:textId="1960FED2" w:rsidR="001B2940" w:rsidRPr="00531DE5" w:rsidRDefault="001B2940" w:rsidP="00DC248F">
      <w:pPr>
        <w:ind w:left="567" w:hanging="567"/>
      </w:pPr>
      <w:r w:rsidRPr="00531DE5">
        <w:t xml:space="preserve">Blaszczynski, A. </w:t>
      </w:r>
      <w:r w:rsidR="006946F7">
        <w:t>(</w:t>
      </w:r>
      <w:r w:rsidRPr="00531DE5">
        <w:t>2009</w:t>
      </w:r>
      <w:r w:rsidR="006946F7">
        <w:t>)</w:t>
      </w:r>
      <w:r w:rsidRPr="00531DE5">
        <w:t xml:space="preserve">. Problem gambling: we should measure harm </w:t>
      </w:r>
      <w:r w:rsidRPr="001F5F13">
        <w:t xml:space="preserve">rather than 'cases'. </w:t>
      </w:r>
      <w:r w:rsidRPr="004E1270">
        <w:rPr>
          <w:i/>
        </w:rPr>
        <w:t>Addiction</w:t>
      </w:r>
      <w:r w:rsidRPr="00531DE5">
        <w:t xml:space="preserve">, </w:t>
      </w:r>
      <w:r w:rsidRPr="004E1270">
        <w:rPr>
          <w:i/>
        </w:rPr>
        <w:t>104</w:t>
      </w:r>
      <w:r>
        <w:t>(7)</w:t>
      </w:r>
      <w:r w:rsidRPr="00531DE5">
        <w:t>, 1072-1072.</w:t>
      </w:r>
      <w:r>
        <w:t xml:space="preserve"> doi: </w:t>
      </w:r>
      <w:r w:rsidRPr="004E1270">
        <w:t>10.1111/j.1360-0443.2009.02505.x</w:t>
      </w:r>
    </w:p>
    <w:p w14:paraId="05D6F888" w14:textId="391C7BF5" w:rsidR="001B2940" w:rsidRPr="00531DE5" w:rsidRDefault="001B2940" w:rsidP="00DC248F">
      <w:pPr>
        <w:ind w:left="567" w:hanging="567"/>
      </w:pPr>
      <w:r w:rsidRPr="00531DE5">
        <w:t xml:space="preserve">Blaszczynski, A. </w:t>
      </w:r>
      <w:r w:rsidR="006946F7">
        <w:t>(</w:t>
      </w:r>
      <w:r w:rsidRPr="00531DE5">
        <w:t>2013</w:t>
      </w:r>
      <w:r w:rsidR="006946F7">
        <w:t>)</w:t>
      </w:r>
      <w:r w:rsidRPr="00531DE5">
        <w:t>. A critical examination of the link between gaming machines and gambling- related harm</w:t>
      </w:r>
      <w:r w:rsidRPr="004E1270">
        <w:rPr>
          <w:i/>
        </w:rPr>
        <w:t>. Journal of Gambling Business &amp; Economics</w:t>
      </w:r>
      <w:r w:rsidRPr="00531DE5">
        <w:t xml:space="preserve">, </w:t>
      </w:r>
      <w:r w:rsidRPr="000D50EA">
        <w:rPr>
          <w:i/>
        </w:rPr>
        <w:t>7</w:t>
      </w:r>
      <w:r>
        <w:t>(3)</w:t>
      </w:r>
      <w:r w:rsidRPr="00531DE5">
        <w:t>.</w:t>
      </w:r>
      <w:r>
        <w:t xml:space="preserve"> doi: </w:t>
      </w:r>
      <w:r w:rsidRPr="000D50EA">
        <w:t>http://ubplj.org</w:t>
      </w:r>
      <w:r>
        <w:t>-</w:t>
      </w:r>
      <w:r w:rsidRPr="000D50EA">
        <w:t>/index.php/jgbe/article/view/818</w:t>
      </w:r>
    </w:p>
    <w:p w14:paraId="23092458" w14:textId="14CC2C4A" w:rsidR="001B2940" w:rsidRPr="00531DE5" w:rsidRDefault="001B2940" w:rsidP="00DC248F">
      <w:pPr>
        <w:ind w:left="567" w:hanging="567"/>
      </w:pPr>
      <w:r w:rsidRPr="00531DE5">
        <w:t xml:space="preserve">Blaszczynski, A. &amp; Farrell, E. </w:t>
      </w:r>
      <w:r w:rsidR="006946F7">
        <w:t>(</w:t>
      </w:r>
      <w:r w:rsidRPr="00531DE5">
        <w:t>1998</w:t>
      </w:r>
      <w:r w:rsidR="006946F7">
        <w:t>)</w:t>
      </w:r>
      <w:r w:rsidRPr="00531DE5">
        <w:t>. A case series of 44 completed gamb</w:t>
      </w:r>
      <w:r w:rsidRPr="001F5F13">
        <w:t xml:space="preserve">ling-related suicides. </w:t>
      </w:r>
      <w:r w:rsidRPr="000D50EA">
        <w:rPr>
          <w:i/>
        </w:rPr>
        <w:t>Journal of Gambling Studies, 14</w:t>
      </w:r>
      <w:r>
        <w:rPr>
          <w:i/>
        </w:rPr>
        <w:t xml:space="preserve"> </w:t>
      </w:r>
      <w:r w:rsidRPr="000D50EA">
        <w:t>(2),</w:t>
      </w:r>
      <w:r w:rsidRPr="00531DE5">
        <w:t xml:space="preserve"> 93-109.</w:t>
      </w:r>
      <w:r>
        <w:t xml:space="preserve"> doi: </w:t>
      </w:r>
      <w:r w:rsidRPr="000D50EA">
        <w:t>10.1023/A:1023016224147</w:t>
      </w:r>
    </w:p>
    <w:p w14:paraId="30C3FA85" w14:textId="77CBD4E4" w:rsidR="001B2940" w:rsidRPr="00531DE5" w:rsidRDefault="001B2940" w:rsidP="00DC248F">
      <w:pPr>
        <w:ind w:left="567" w:hanging="567"/>
      </w:pPr>
      <w:r w:rsidRPr="00531DE5">
        <w:t xml:space="preserve">Blaszczynski, A. &amp; Marfels, C. </w:t>
      </w:r>
      <w:r w:rsidR="006946F7">
        <w:t>(</w:t>
      </w:r>
      <w:r w:rsidRPr="00531DE5">
        <w:t>2003</w:t>
      </w:r>
      <w:r w:rsidR="006946F7">
        <w:t>)</w:t>
      </w:r>
      <w:r w:rsidRPr="00531DE5">
        <w:t>. A protocol for determining gambl</w:t>
      </w:r>
      <w:r w:rsidRPr="001F5F13">
        <w:t xml:space="preserve">ing-related suicides in </w:t>
      </w:r>
      <w:r w:rsidRPr="00531DE5">
        <w:t xml:space="preserve">psychological autopsy studies. </w:t>
      </w:r>
      <w:r w:rsidRPr="000D50EA">
        <w:rPr>
          <w:i/>
        </w:rPr>
        <w:t>Gaming Law Review, 7</w:t>
      </w:r>
      <w:r w:rsidRPr="000D50EA">
        <w:t>(5),</w:t>
      </w:r>
      <w:r w:rsidRPr="00531DE5">
        <w:t xml:space="preserve"> 353-361.</w:t>
      </w:r>
      <w:r>
        <w:t xml:space="preserve"> doi: </w:t>
      </w:r>
      <w:r w:rsidRPr="000D50EA">
        <w:t>10.1089/109218803770238489</w:t>
      </w:r>
    </w:p>
    <w:p w14:paraId="696E7CC8" w14:textId="61B33001" w:rsidR="001B2940" w:rsidRPr="00531DE5" w:rsidRDefault="001B2940" w:rsidP="00DC248F">
      <w:pPr>
        <w:ind w:left="567" w:hanging="567"/>
      </w:pPr>
      <w:r w:rsidRPr="00531DE5">
        <w:t>Boldero, J. M., Bell,</w:t>
      </w:r>
      <w:r>
        <w:t xml:space="preserve"> R. C. &amp; Moore, S. M. </w:t>
      </w:r>
      <w:r w:rsidR="006946F7">
        <w:t>(</w:t>
      </w:r>
      <w:r>
        <w:t>2010</w:t>
      </w:r>
      <w:r w:rsidR="006946F7">
        <w:t>)</w:t>
      </w:r>
      <w:r>
        <w:t>. Do gambling a</w:t>
      </w:r>
      <w:r w:rsidRPr="00531DE5">
        <w:t>cti</w:t>
      </w:r>
      <w:r>
        <w:t>vity patterns predict g</w:t>
      </w:r>
      <w:r w:rsidRPr="001F5F13">
        <w:t xml:space="preserve">ambling </w:t>
      </w:r>
      <w:r w:rsidRPr="00531DE5">
        <w:t>problems? A latent class analysis of gambling forms among Australian you</w:t>
      </w:r>
      <w:r w:rsidRPr="001F5F13">
        <w:t xml:space="preserve">th. </w:t>
      </w:r>
      <w:r w:rsidRPr="000D50EA">
        <w:rPr>
          <w:i/>
        </w:rPr>
        <w:t>International Gambling Studies, 10</w:t>
      </w:r>
      <w:r w:rsidRPr="00531DE5">
        <w:t>, 151-163.</w:t>
      </w:r>
      <w:r>
        <w:t xml:space="preserve"> doi: </w:t>
      </w:r>
      <w:r w:rsidRPr="000D50EA">
        <w:t>10.1080/14459795.2010.501808</w:t>
      </w:r>
    </w:p>
    <w:p w14:paraId="4EB5F4E6" w14:textId="324575E6" w:rsidR="001B2940" w:rsidRPr="00531DE5" w:rsidRDefault="001B2940" w:rsidP="00DC248F">
      <w:pPr>
        <w:ind w:left="567" w:hanging="567"/>
      </w:pPr>
      <w:r w:rsidRPr="00531DE5">
        <w:t xml:space="preserve">Borrell, J. </w:t>
      </w:r>
      <w:r w:rsidR="006946F7">
        <w:t>(</w:t>
      </w:r>
      <w:r w:rsidRPr="00531DE5">
        <w:t>2008</w:t>
      </w:r>
      <w:r w:rsidR="006946F7">
        <w:t>)</w:t>
      </w:r>
      <w:r w:rsidRPr="00531DE5">
        <w:t>. A thematic analysis identifying concepts of</w:t>
      </w:r>
      <w:r w:rsidRPr="001F5F13">
        <w:t xml:space="preserve"> problem gambling agency: With </w:t>
      </w:r>
      <w:r w:rsidRPr="00531DE5">
        <w:t xml:space="preserve">preliminary exploration of discourses in selected industry and research documents. </w:t>
      </w:r>
      <w:r w:rsidRPr="00A406F2">
        <w:rPr>
          <w:i/>
        </w:rPr>
        <w:t>Journal of Gambling Issue</w:t>
      </w:r>
      <w:r>
        <w:rPr>
          <w:i/>
        </w:rPr>
        <w:t>s, 22</w:t>
      </w:r>
      <w:r w:rsidRPr="00531DE5">
        <w:t>, 195-218.</w:t>
      </w:r>
      <w:r>
        <w:t xml:space="preserve"> doi: </w:t>
      </w:r>
      <w:r w:rsidRPr="00A406F2">
        <w:t>10.4309/jgi.2008.22.4</w:t>
      </w:r>
    </w:p>
    <w:p w14:paraId="3580F924" w14:textId="09E37965" w:rsidR="001B2940" w:rsidRPr="00A406F2" w:rsidRDefault="001B2940" w:rsidP="00DC248F">
      <w:pPr>
        <w:ind w:left="567" w:hanging="567"/>
      </w:pPr>
      <w:r w:rsidRPr="00531DE5">
        <w:t xml:space="preserve">Borrell, J. &amp; Boulet, J. </w:t>
      </w:r>
      <w:r w:rsidR="006946F7">
        <w:t>(</w:t>
      </w:r>
      <w:r w:rsidRPr="00531DE5">
        <w:t>2005</w:t>
      </w:r>
      <w:r w:rsidR="006946F7">
        <w:t>)</w:t>
      </w:r>
      <w:r w:rsidRPr="00531DE5">
        <w:t>. A theoretical exploration of culture and community health:</w:t>
      </w:r>
      <w:r>
        <w:t xml:space="preserve"> </w:t>
      </w:r>
      <w:r w:rsidRPr="00531DE5">
        <w:t xml:space="preserve">Implications for prevention, research, and problem gambling. </w:t>
      </w:r>
      <w:r w:rsidRPr="00A406F2">
        <w:rPr>
          <w:i/>
        </w:rPr>
        <w:t>Journal of Gambling Issues</w:t>
      </w:r>
      <w:r>
        <w:rPr>
          <w:i/>
        </w:rPr>
        <w:t>, 13</w:t>
      </w:r>
      <w:r w:rsidRPr="00A406F2">
        <w:t>. doi: 10.4309/jgi.2005.13.3</w:t>
      </w:r>
    </w:p>
    <w:p w14:paraId="2FE2AEE6" w14:textId="2DC8C2BC" w:rsidR="001B2940" w:rsidRDefault="001B2940" w:rsidP="00DC248F">
      <w:pPr>
        <w:ind w:left="567" w:hanging="567"/>
      </w:pPr>
      <w:r w:rsidRPr="00531DE5">
        <w:t xml:space="preserve">Boughton, R. &amp; Falenchuk, O. </w:t>
      </w:r>
      <w:r w:rsidR="006946F7">
        <w:t>(</w:t>
      </w:r>
      <w:r w:rsidRPr="00531DE5">
        <w:t>2007</w:t>
      </w:r>
      <w:r w:rsidR="006946F7">
        <w:t>)</w:t>
      </w:r>
      <w:r w:rsidRPr="00531DE5">
        <w:t>. Vulnerability and comorbidity fac</w:t>
      </w:r>
      <w:r w:rsidRPr="001F5F13">
        <w:t xml:space="preserve">tors of female problem </w:t>
      </w:r>
      <w:r w:rsidRPr="00531DE5">
        <w:t xml:space="preserve">gambling. </w:t>
      </w:r>
      <w:r w:rsidRPr="00A406F2">
        <w:rPr>
          <w:i/>
        </w:rPr>
        <w:t>Journal of Gambling Studies, 23</w:t>
      </w:r>
      <w:r w:rsidRPr="00A406F2">
        <w:t xml:space="preserve">(3), </w:t>
      </w:r>
      <w:r w:rsidRPr="00531DE5">
        <w:t>323-334.</w:t>
      </w:r>
      <w:r>
        <w:t xml:space="preserve"> doi: </w:t>
      </w:r>
      <w:r w:rsidRPr="00A406F2">
        <w:t>10.1007/s10899-007-9056-6</w:t>
      </w:r>
    </w:p>
    <w:p w14:paraId="5EBB45FE" w14:textId="77777777" w:rsidR="00490924" w:rsidRPr="00490924" w:rsidRDefault="00490924" w:rsidP="00490924">
      <w:pPr>
        <w:ind w:left="567" w:hanging="567"/>
      </w:pPr>
      <w:bookmarkStart w:id="410" w:name="_ENREF_1"/>
      <w:r w:rsidRPr="00490924">
        <w:t xml:space="preserve">Bowen, G. (2008a). Grounded theory and sensitizing concepts. </w:t>
      </w:r>
      <w:r w:rsidRPr="00490924">
        <w:rPr>
          <w:i/>
        </w:rPr>
        <w:t>International journal of qualitative methods, 5</w:t>
      </w:r>
      <w:r w:rsidRPr="00490924">
        <w:t xml:space="preserve">(3), 12-23. </w:t>
      </w:r>
      <w:bookmarkEnd w:id="410"/>
    </w:p>
    <w:p w14:paraId="51791051" w14:textId="77777777" w:rsidR="00490924" w:rsidRPr="00490924" w:rsidRDefault="00490924" w:rsidP="00490924">
      <w:pPr>
        <w:ind w:left="567" w:hanging="567"/>
      </w:pPr>
      <w:bookmarkStart w:id="411" w:name="_ENREF_2"/>
      <w:r w:rsidRPr="00490924">
        <w:t xml:space="preserve">Bowen, G. (2008b). Naturalistic inquiry and the saturation concept: a research note. </w:t>
      </w:r>
      <w:r w:rsidRPr="00490924">
        <w:rPr>
          <w:i/>
        </w:rPr>
        <w:t>Qualitative research, 8</w:t>
      </w:r>
      <w:r w:rsidRPr="00490924">
        <w:t xml:space="preserve">(1), 137-152. </w:t>
      </w:r>
      <w:bookmarkEnd w:id="411"/>
    </w:p>
    <w:p w14:paraId="265C78B6" w14:textId="76B4DC06" w:rsidR="001B2940" w:rsidRPr="00531DE5" w:rsidRDefault="001B2940" w:rsidP="00DC248F">
      <w:pPr>
        <w:ind w:left="567" w:hanging="567"/>
      </w:pPr>
      <w:r w:rsidRPr="00531DE5">
        <w:t xml:space="preserve">Braverman, J. &amp; Shaffer, H. J. </w:t>
      </w:r>
      <w:r w:rsidR="006946F7">
        <w:t>(</w:t>
      </w:r>
      <w:r w:rsidRPr="00531DE5">
        <w:t>2012</w:t>
      </w:r>
      <w:r w:rsidR="006946F7">
        <w:t>)</w:t>
      </w:r>
      <w:r w:rsidRPr="00531DE5">
        <w:t>. How do gamblers start gam</w:t>
      </w:r>
      <w:r w:rsidRPr="001F5F13">
        <w:t xml:space="preserve">bling: identifying behavioural </w:t>
      </w:r>
      <w:r>
        <w:t>markers for high-risk I</w:t>
      </w:r>
      <w:r w:rsidRPr="00531DE5">
        <w:t xml:space="preserve">nternet gambling. </w:t>
      </w:r>
      <w:r w:rsidRPr="003F7C14">
        <w:rPr>
          <w:i/>
        </w:rPr>
        <w:t>European journal of public health, 22</w:t>
      </w:r>
      <w:r>
        <w:rPr>
          <w:i/>
        </w:rPr>
        <w:t xml:space="preserve"> </w:t>
      </w:r>
      <w:r w:rsidRPr="003F7C14">
        <w:t>(2),</w:t>
      </w:r>
      <w:r w:rsidRPr="00531DE5">
        <w:t xml:space="preserve"> 273-278.</w:t>
      </w:r>
      <w:r>
        <w:t xml:space="preserve"> doi: </w:t>
      </w:r>
      <w:r w:rsidRPr="003F7C14">
        <w:t>http://dx.doi.org/10.1093/eurpub/ckp232</w:t>
      </w:r>
    </w:p>
    <w:p w14:paraId="318889F0" w14:textId="36EFDAB5" w:rsidR="009C058D" w:rsidRDefault="009C058D" w:rsidP="009C058D">
      <w:pPr>
        <w:ind w:left="567" w:hanging="567"/>
      </w:pPr>
      <w:r>
        <w:t xml:space="preserve">Brazier, J., Rowen, D., Yang, Y., &amp; Tsuchiya, A. (2012). Comparison of health state utility values derived using time trade-off, rank and discrete choice data anchored on the full health-dead </w:t>
      </w:r>
      <w:r>
        <w:lastRenderedPageBreak/>
        <w:t xml:space="preserve">scale. </w:t>
      </w:r>
      <w:r w:rsidRPr="009C058D">
        <w:rPr>
          <w:i/>
        </w:rPr>
        <w:t>The European Journal of Health Economics: HEPAC: Health Economics in Prevention and Care, 13</w:t>
      </w:r>
      <w:r>
        <w:t>(5), 575–587. http://doi.org/10.1007/s10198-011-0352-9</w:t>
      </w:r>
    </w:p>
    <w:p w14:paraId="53E2599B" w14:textId="1369C533" w:rsidR="001B2940" w:rsidRPr="00531DE5" w:rsidRDefault="001B2940" w:rsidP="00DC248F">
      <w:pPr>
        <w:ind w:left="567" w:hanging="567"/>
      </w:pPr>
      <w:r w:rsidRPr="00531DE5">
        <w:t xml:space="preserve">Breen, H. </w:t>
      </w:r>
      <w:r w:rsidR="006946F7">
        <w:t>(</w:t>
      </w:r>
      <w:r w:rsidRPr="00531DE5">
        <w:t>2012a</w:t>
      </w:r>
      <w:r w:rsidR="006946F7">
        <w:t>)</w:t>
      </w:r>
      <w:r w:rsidRPr="00531DE5">
        <w:t xml:space="preserve">. Indigenous card gambler profiles in North Queensland. </w:t>
      </w:r>
      <w:r w:rsidRPr="003F7C14">
        <w:rPr>
          <w:i/>
        </w:rPr>
        <w:t>Australian Aboriginal Studies</w:t>
      </w:r>
      <w:r>
        <w:rPr>
          <w:i/>
        </w:rPr>
        <w:t xml:space="preserve"> 2</w:t>
      </w:r>
      <w:r w:rsidRPr="001F5F13">
        <w:t xml:space="preserve">, </w:t>
      </w:r>
      <w:r w:rsidRPr="00531DE5">
        <w:t xml:space="preserve">72-86. </w:t>
      </w:r>
      <w:r>
        <w:t xml:space="preserve">doi: </w:t>
      </w:r>
      <w:r w:rsidRPr="003F7C14">
        <w:t>&lt;http://search.informit.com.au/documentSummary;dn=021113712450416;res=IELAPA&gt;</w:t>
      </w:r>
    </w:p>
    <w:p w14:paraId="2D9460D5" w14:textId="2F56BDF7" w:rsidR="001B2940" w:rsidRPr="00531DE5" w:rsidRDefault="001B2940" w:rsidP="00DC248F">
      <w:pPr>
        <w:ind w:left="567" w:hanging="567"/>
      </w:pPr>
      <w:r w:rsidRPr="00531DE5">
        <w:t>Breen, H. M.</w:t>
      </w:r>
      <w:r w:rsidR="006946F7" w:rsidRPr="006946F7">
        <w:t xml:space="preserve"> </w:t>
      </w:r>
      <w:r w:rsidR="006946F7">
        <w:t>(</w:t>
      </w:r>
      <w:r w:rsidRPr="00531DE5">
        <w:t>2012b</w:t>
      </w:r>
      <w:r w:rsidR="006946F7">
        <w:t>)</w:t>
      </w:r>
      <w:r w:rsidRPr="00531DE5">
        <w:t xml:space="preserve">. Risk and Protective Factors Associated </w:t>
      </w:r>
      <w:r w:rsidRPr="001F5F13">
        <w:t xml:space="preserve">with Gambling Consequences for </w:t>
      </w:r>
      <w:r w:rsidRPr="00531DE5">
        <w:t xml:space="preserve">Indigenous Australians in North Queensland. </w:t>
      </w:r>
      <w:r w:rsidRPr="003F7C14">
        <w:rPr>
          <w:i/>
        </w:rPr>
        <w:t>International Journal of Mental Health and Addiction, 10</w:t>
      </w:r>
      <w:r>
        <w:rPr>
          <w:i/>
        </w:rPr>
        <w:t xml:space="preserve"> </w:t>
      </w:r>
      <w:r>
        <w:t>(2)</w:t>
      </w:r>
      <w:r w:rsidRPr="00531DE5">
        <w:t>, 258-272.</w:t>
      </w:r>
      <w:r>
        <w:t xml:space="preserve"> doi: </w:t>
      </w:r>
      <w:r w:rsidRPr="003F7C14">
        <w:t>0.1007/s11469-011-9315-8</w:t>
      </w:r>
    </w:p>
    <w:p w14:paraId="305396D5" w14:textId="2DC28991" w:rsidR="001B2940" w:rsidRPr="00531DE5" w:rsidRDefault="001B2940" w:rsidP="00DC248F">
      <w:pPr>
        <w:ind w:left="567" w:hanging="567"/>
      </w:pPr>
      <w:r w:rsidRPr="00531DE5">
        <w:t>Breen, H. &amp; Gainsbury, S</w:t>
      </w:r>
      <w:r>
        <w:t xml:space="preserve">. </w:t>
      </w:r>
      <w:r w:rsidR="006946F7">
        <w:t>(</w:t>
      </w:r>
      <w:r>
        <w:t>2013</w:t>
      </w:r>
      <w:r w:rsidR="006946F7">
        <w:t>)</w:t>
      </w:r>
      <w:r>
        <w:t>. Aboriginal gambling and problem g</w:t>
      </w:r>
      <w:r w:rsidRPr="00531DE5">
        <w:t>am</w:t>
      </w:r>
      <w:r>
        <w:t>bling: A r</w:t>
      </w:r>
      <w:r w:rsidRPr="001F5F13">
        <w:t xml:space="preserve">eview. </w:t>
      </w:r>
      <w:r w:rsidRPr="003F7C14">
        <w:rPr>
          <w:i/>
        </w:rPr>
        <w:t>International Journal of Mental Health and Addiction</w:t>
      </w:r>
      <w:r w:rsidRPr="00531DE5">
        <w:t>,</w:t>
      </w:r>
      <w:r w:rsidRPr="003F7C14">
        <w:rPr>
          <w:i/>
        </w:rPr>
        <w:t xml:space="preserve"> 11</w:t>
      </w:r>
      <w:r>
        <w:t xml:space="preserve"> (1)</w:t>
      </w:r>
      <w:r w:rsidRPr="00531DE5">
        <w:t>, 75-96.</w:t>
      </w:r>
      <w:r>
        <w:t xml:space="preserve"> doi: </w:t>
      </w:r>
      <w:r w:rsidRPr="003F7C14">
        <w:t>10.1007/s11469-012-9400-7</w:t>
      </w:r>
    </w:p>
    <w:p w14:paraId="11CE3FD9" w14:textId="1B245B8A" w:rsidR="001B2940" w:rsidRPr="00531DE5" w:rsidRDefault="001B2940" w:rsidP="00DC248F">
      <w:pPr>
        <w:ind w:left="567" w:hanging="567"/>
      </w:pPr>
      <w:r w:rsidRPr="00531DE5">
        <w:rPr>
          <w:spacing w:val="-2"/>
        </w:rPr>
        <w:t xml:space="preserve">Breen, H., Hing, N. &amp; Gordon, A. </w:t>
      </w:r>
      <w:r w:rsidR="006946F7">
        <w:t>(</w:t>
      </w:r>
      <w:r w:rsidRPr="00531DE5">
        <w:rPr>
          <w:spacing w:val="-2"/>
        </w:rPr>
        <w:t>2013</w:t>
      </w:r>
      <w:r w:rsidR="006946F7">
        <w:t>)</w:t>
      </w:r>
      <w:r w:rsidRPr="00531DE5">
        <w:rPr>
          <w:spacing w:val="-2"/>
        </w:rPr>
        <w:t>.</w:t>
      </w:r>
      <w:r w:rsidRPr="00531DE5">
        <w:rPr>
          <w:spacing w:val="-4"/>
        </w:rPr>
        <w:t xml:space="preserve"> Indigenous Australian gambling crime and possible interventions: a qualitative study. </w:t>
      </w:r>
      <w:r w:rsidRPr="003F7C14">
        <w:rPr>
          <w:i/>
          <w:spacing w:val="-4"/>
        </w:rPr>
        <w:t>Asian Journal of Gambling Issues and Public Health, 3</w:t>
      </w:r>
      <w:r>
        <w:rPr>
          <w:i/>
          <w:spacing w:val="-4"/>
        </w:rPr>
        <w:t xml:space="preserve"> </w:t>
      </w:r>
      <w:r w:rsidRPr="00F83FE0">
        <w:rPr>
          <w:spacing w:val="-4"/>
        </w:rPr>
        <w:t>(4),</w:t>
      </w:r>
      <w:r w:rsidRPr="00531DE5">
        <w:rPr>
          <w:spacing w:val="-4"/>
        </w:rPr>
        <w:t xml:space="preserve"> 1-16.</w:t>
      </w:r>
      <w:r>
        <w:rPr>
          <w:spacing w:val="-4"/>
        </w:rPr>
        <w:t xml:space="preserve"> doi: </w:t>
      </w:r>
      <w:r w:rsidRPr="00F83FE0">
        <w:rPr>
          <w:spacing w:val="-4"/>
        </w:rPr>
        <w:t>10.1186/2195-3007-3-4</w:t>
      </w:r>
    </w:p>
    <w:p w14:paraId="307432D6" w14:textId="5CD88B22" w:rsidR="001B2940" w:rsidRPr="00531DE5" w:rsidRDefault="001B2940" w:rsidP="00DC248F">
      <w:pPr>
        <w:ind w:left="567" w:hanging="567"/>
      </w:pPr>
      <w:r w:rsidRPr="00531DE5">
        <w:t xml:space="preserve">Breen, R. B. &amp; Zimmerman, </w:t>
      </w:r>
      <w:r>
        <w:t xml:space="preserve">M. </w:t>
      </w:r>
      <w:r w:rsidR="006946F7">
        <w:t>(</w:t>
      </w:r>
      <w:r>
        <w:t>2002</w:t>
      </w:r>
      <w:r w:rsidR="006946F7">
        <w:t>)</w:t>
      </w:r>
      <w:r>
        <w:t>. Rapid onset of p</w:t>
      </w:r>
      <w:r w:rsidRPr="00531DE5">
        <w:t>athological</w:t>
      </w:r>
      <w:r>
        <w:t xml:space="preserve"> gambling in machine g</w:t>
      </w:r>
      <w:r w:rsidRPr="001F5F13">
        <w:t xml:space="preserve">amblers. </w:t>
      </w:r>
      <w:r w:rsidRPr="00F83FE0">
        <w:rPr>
          <w:i/>
        </w:rPr>
        <w:t>Journal of Gambling Studies, 18</w:t>
      </w:r>
      <w:r>
        <w:rPr>
          <w:i/>
        </w:rPr>
        <w:t xml:space="preserve"> </w:t>
      </w:r>
      <w:r w:rsidRPr="00F83FE0">
        <w:t>(1),</w:t>
      </w:r>
      <w:r w:rsidRPr="00531DE5">
        <w:t xml:space="preserve"> 31-43.</w:t>
      </w:r>
      <w:r>
        <w:t xml:space="preserve"> doi: </w:t>
      </w:r>
      <w:r w:rsidRPr="00F83FE0">
        <w:t>10.1023/A:1014580112648</w:t>
      </w:r>
    </w:p>
    <w:p w14:paraId="74CF0EC3" w14:textId="7A5E748F" w:rsidR="001B2940" w:rsidRPr="00531DE5" w:rsidRDefault="001B2940" w:rsidP="00DC248F">
      <w:pPr>
        <w:ind w:left="567" w:hanging="567"/>
      </w:pPr>
      <w:r w:rsidRPr="00531DE5">
        <w:t>Broda, A., Laplante, D. A., Nelson, S. E., Labrie, R. A., Bosworth</w:t>
      </w:r>
      <w:r w:rsidRPr="001F5F13">
        <w:t xml:space="preserve">, L. B. &amp; Shaffer, H. J. </w:t>
      </w:r>
      <w:r w:rsidR="006946F7">
        <w:t>(</w:t>
      </w:r>
      <w:r w:rsidRPr="001F5F13">
        <w:t>2008</w:t>
      </w:r>
      <w:r w:rsidR="006946F7">
        <w:t>)</w:t>
      </w:r>
      <w:r w:rsidRPr="001F5F13">
        <w:t xml:space="preserve">. </w:t>
      </w:r>
      <w:r w:rsidRPr="00531DE5">
        <w:t xml:space="preserve">Virtual harm reduction </w:t>
      </w:r>
      <w:r>
        <w:t>efforts for Internet gambling: E</w:t>
      </w:r>
      <w:r w:rsidRPr="00531DE5">
        <w:t>ffec</w:t>
      </w:r>
      <w:r w:rsidRPr="001F5F13">
        <w:t xml:space="preserve">ts of deposit limits on actual </w:t>
      </w:r>
      <w:r w:rsidRPr="00531DE5">
        <w:t xml:space="preserve">Internet sports gambling behavior. </w:t>
      </w:r>
      <w:r>
        <w:rPr>
          <w:i/>
        </w:rPr>
        <w:t>Harm Reduction J</w:t>
      </w:r>
      <w:r w:rsidRPr="005A3FDF">
        <w:rPr>
          <w:i/>
        </w:rPr>
        <w:t>ournal, 5</w:t>
      </w:r>
      <w:r>
        <w:t>(27)</w:t>
      </w:r>
      <w:r w:rsidRPr="00531DE5">
        <w:t>.</w:t>
      </w:r>
      <w:r>
        <w:t xml:space="preserve"> doi: </w:t>
      </w:r>
      <w:r w:rsidRPr="005A3FDF">
        <w:t>10.1186/1477-7517-5-27</w:t>
      </w:r>
    </w:p>
    <w:p w14:paraId="46763292" w14:textId="67964C4F" w:rsidR="001B2940" w:rsidRDefault="001B2940" w:rsidP="00DC248F">
      <w:pPr>
        <w:ind w:left="567" w:hanging="567"/>
      </w:pPr>
      <w:r w:rsidRPr="00531DE5">
        <w:t xml:space="preserve">Brown, R., Killian, E. &amp; Evans, W. </w:t>
      </w:r>
      <w:r w:rsidR="006946F7">
        <w:t>(</w:t>
      </w:r>
      <w:r w:rsidRPr="00531DE5">
        <w:t>2005</w:t>
      </w:r>
      <w:r w:rsidR="006946F7">
        <w:t>)</w:t>
      </w:r>
      <w:r w:rsidRPr="00531DE5">
        <w:t>. Gambling attitudin</w:t>
      </w:r>
      <w:r w:rsidRPr="001F5F13">
        <w:t xml:space="preserve">al and behavioral patterns and </w:t>
      </w:r>
      <w:r w:rsidRPr="00531DE5">
        <w:t xml:space="preserve">criminality in a sample of Las Vegas area detained youth. </w:t>
      </w:r>
      <w:r w:rsidRPr="005A3FDF">
        <w:rPr>
          <w:i/>
        </w:rPr>
        <w:t>Journal of Gambling Issues</w:t>
      </w:r>
      <w:r>
        <w:rPr>
          <w:i/>
        </w:rPr>
        <w:t>, 13.</w:t>
      </w:r>
      <w:r>
        <w:t xml:space="preserve"> doi: </w:t>
      </w:r>
      <w:r w:rsidRPr="005A3FDF">
        <w:t>10.4309/jgi.2005.13.5</w:t>
      </w:r>
    </w:p>
    <w:p w14:paraId="64976D56" w14:textId="77777777" w:rsidR="00490924" w:rsidRPr="00490924" w:rsidRDefault="00490924" w:rsidP="00490924">
      <w:pPr>
        <w:ind w:left="567" w:hanging="567"/>
      </w:pPr>
      <w:r w:rsidRPr="00490924">
        <w:t xml:space="preserve">Browne, M., Langham, E., Rawat, V., Greer, N., Li, E., Rose, J., et al. (2016). Assessing gambling related harm in Victoria. </w:t>
      </w:r>
      <w:r w:rsidRPr="00490924">
        <w:rPr>
          <w:i/>
        </w:rPr>
        <w:t>Victorian Responsible Gambling Foundation</w:t>
      </w:r>
      <w:r w:rsidRPr="00490924">
        <w:t xml:space="preserve">. </w:t>
      </w:r>
    </w:p>
    <w:p w14:paraId="32441F20" w14:textId="706A2C40" w:rsidR="00C86901" w:rsidRDefault="00C86901" w:rsidP="00DC248F">
      <w:pPr>
        <w:ind w:left="567" w:hanging="567"/>
      </w:pPr>
      <w:r w:rsidRPr="00C86901">
        <w:t xml:space="preserve">Burr, J. M., Kilonzo, M., Vale, L., &amp; Ryan, M. (2007). Developing a preference-based Glaucoma Utility Index using a discrete choice experiment. </w:t>
      </w:r>
      <w:r w:rsidRPr="00C86901">
        <w:rPr>
          <w:i/>
        </w:rPr>
        <w:t>Optometry and Vision Science: Official Publication of the American Academy of Optometry, 84</w:t>
      </w:r>
      <w:r w:rsidRPr="00C86901">
        <w:t>(8), 797–808. http://doi.org/10.1097/OPX.0b013e3181339f30</w:t>
      </w:r>
    </w:p>
    <w:p w14:paraId="3F7EDBE3" w14:textId="14AA90A8" w:rsidR="001B2940" w:rsidRPr="00531DE5" w:rsidRDefault="001B2940" w:rsidP="00DC248F">
      <w:pPr>
        <w:ind w:left="567" w:hanging="567"/>
      </w:pPr>
      <w:r w:rsidRPr="00531DE5">
        <w:t xml:space="preserve">Callan, M. J., Ellard, J. H., Shead, N. W. &amp; Hodgins, D. C. </w:t>
      </w:r>
      <w:r w:rsidR="006946F7">
        <w:t>(</w:t>
      </w:r>
      <w:r w:rsidRPr="00531DE5">
        <w:t>2008</w:t>
      </w:r>
      <w:r w:rsidR="006946F7">
        <w:t>)</w:t>
      </w:r>
      <w:r w:rsidRPr="00531DE5">
        <w:t>. Gambling as a</w:t>
      </w:r>
      <w:r>
        <w:t xml:space="preserve"> search for j</w:t>
      </w:r>
      <w:r w:rsidRPr="001F5F13">
        <w:t xml:space="preserve">ustice: </w:t>
      </w:r>
      <w:r>
        <w:t>Examining the role of personal relative d</w:t>
      </w:r>
      <w:r w:rsidRPr="00531DE5">
        <w:t xml:space="preserve">eprivation </w:t>
      </w:r>
      <w:r>
        <w:t>in gambling urges and g</w:t>
      </w:r>
      <w:r w:rsidRPr="001F5F13">
        <w:t xml:space="preserve">ambling </w:t>
      </w:r>
      <w:r>
        <w:t>b</w:t>
      </w:r>
      <w:r w:rsidRPr="00531DE5">
        <w:t xml:space="preserve">ehavior. </w:t>
      </w:r>
      <w:r w:rsidRPr="005A3FDF">
        <w:rPr>
          <w:i/>
        </w:rPr>
        <w:t>Personality And Social Psychology Bulletin, 34</w:t>
      </w:r>
      <w:r>
        <w:rPr>
          <w:i/>
        </w:rPr>
        <w:t xml:space="preserve"> </w:t>
      </w:r>
      <w:r w:rsidRPr="005A3FDF">
        <w:t>(11),</w:t>
      </w:r>
      <w:r w:rsidRPr="00531DE5">
        <w:t xml:space="preserve"> 1514-1529.</w:t>
      </w:r>
      <w:r>
        <w:t xml:space="preserve"> doi: </w:t>
      </w:r>
      <w:r w:rsidRPr="005A3FDF">
        <w:t>10.1177/0146167208322956</w:t>
      </w:r>
    </w:p>
    <w:p w14:paraId="00C66CEF" w14:textId="610DE80F" w:rsidR="001B2940" w:rsidRPr="00531DE5" w:rsidRDefault="001B2940" w:rsidP="00DC248F">
      <w:pPr>
        <w:ind w:left="567" w:hanging="567"/>
      </w:pPr>
      <w:r>
        <w:t>Cantinotti</w:t>
      </w:r>
      <w:r w:rsidRPr="00531DE5">
        <w:t xml:space="preserve">, M. &amp; Ladouceur, R. </w:t>
      </w:r>
      <w:r w:rsidR="006946F7">
        <w:t>(</w:t>
      </w:r>
      <w:r>
        <w:t>2008</w:t>
      </w:r>
      <w:r w:rsidR="006946F7">
        <w:t>)</w:t>
      </w:r>
      <w:r>
        <w:t>. Harm reduction and electronic gambling m</w:t>
      </w:r>
      <w:r w:rsidRPr="00531DE5">
        <w:t>achi</w:t>
      </w:r>
      <w:r w:rsidRPr="001F5F13">
        <w:t xml:space="preserve">nes: Does </w:t>
      </w:r>
      <w:r>
        <w:t>this pair make a happy couple or is divorce f</w:t>
      </w:r>
      <w:r w:rsidRPr="00531DE5">
        <w:t xml:space="preserve">oreseen? </w:t>
      </w:r>
      <w:r w:rsidRPr="005A3FDF">
        <w:rPr>
          <w:i/>
        </w:rPr>
        <w:t>Journal of Gambling Studies, 24</w:t>
      </w:r>
      <w:r w:rsidRPr="005A3FDF">
        <w:t>(1),</w:t>
      </w:r>
      <w:r w:rsidRPr="00531DE5">
        <w:t xml:space="preserve"> 39- 54.</w:t>
      </w:r>
      <w:r>
        <w:t xml:space="preserve"> doi: </w:t>
      </w:r>
      <w:r w:rsidRPr="005A3FDF">
        <w:t>10.1007/s10899-007-9072-6</w:t>
      </w:r>
    </w:p>
    <w:p w14:paraId="574DBBA7" w14:textId="6D8C5FCA" w:rsidR="001B2940" w:rsidRPr="00531DE5" w:rsidRDefault="001B2940" w:rsidP="00DC248F">
      <w:pPr>
        <w:ind w:left="567" w:hanging="567"/>
      </w:pPr>
      <w:r w:rsidRPr="00531DE5">
        <w:t xml:space="preserve">Carlbring, P., Degerman, N., Jonsson, J. &amp; Andersson, G. </w:t>
      </w:r>
      <w:r w:rsidR="006946F7">
        <w:t>(</w:t>
      </w:r>
      <w:r w:rsidRPr="00531DE5">
        <w:t>201</w:t>
      </w:r>
      <w:r w:rsidRPr="001F5F13">
        <w:t>2</w:t>
      </w:r>
      <w:r w:rsidR="006946F7">
        <w:t>)</w:t>
      </w:r>
      <w:r w:rsidRPr="001F5F13">
        <w:t xml:space="preserve">. Internet-based treatment of </w:t>
      </w:r>
      <w:r w:rsidRPr="00531DE5">
        <w:t xml:space="preserve">pathological gambling with a three-year follow-up. </w:t>
      </w:r>
      <w:r w:rsidRPr="005A3FDF">
        <w:rPr>
          <w:i/>
        </w:rPr>
        <w:t>Cognitive behaviour therapy, 41</w:t>
      </w:r>
      <w:r>
        <w:rPr>
          <w:i/>
        </w:rPr>
        <w:t xml:space="preserve"> </w:t>
      </w:r>
      <w:r w:rsidRPr="005A3FDF">
        <w:t>(4),</w:t>
      </w:r>
      <w:r w:rsidRPr="00531DE5">
        <w:t xml:space="preserve"> 321.</w:t>
      </w:r>
      <w:r>
        <w:t xml:space="preserve"> doi: </w:t>
      </w:r>
      <w:r w:rsidRPr="005A3FDF">
        <w:t>10.1080/16506073.2012.689323</w:t>
      </w:r>
    </w:p>
    <w:p w14:paraId="5C24E3AA" w14:textId="3D43A824" w:rsidR="001B2940" w:rsidRPr="00531DE5" w:rsidRDefault="001B2940" w:rsidP="00DC248F">
      <w:pPr>
        <w:ind w:left="567" w:hanging="567"/>
      </w:pPr>
      <w:r w:rsidRPr="00531DE5">
        <w:lastRenderedPageBreak/>
        <w:t xml:space="preserve">Carlbring, P. &amp; Smit, F. </w:t>
      </w:r>
      <w:r w:rsidR="006946F7">
        <w:t>(</w:t>
      </w:r>
      <w:r w:rsidRPr="00531DE5">
        <w:t>2008</w:t>
      </w:r>
      <w:r w:rsidR="006946F7">
        <w:t>)</w:t>
      </w:r>
      <w:r w:rsidRPr="00531DE5">
        <w:t xml:space="preserve">. </w:t>
      </w:r>
      <w:r w:rsidRPr="00531DE5">
        <w:rPr>
          <w:spacing w:val="-2"/>
        </w:rPr>
        <w:t xml:space="preserve">Randomized trial of internet-delivered self-help with telephone support for pathological gamblers. </w:t>
      </w:r>
      <w:r w:rsidRPr="005A3FDF">
        <w:rPr>
          <w:i/>
          <w:spacing w:val="-2"/>
        </w:rPr>
        <w:t>Journal of consulting and clinical psychology, 76</w:t>
      </w:r>
      <w:r w:rsidRPr="005A3FDF">
        <w:rPr>
          <w:spacing w:val="-2"/>
        </w:rPr>
        <w:t>(6),</w:t>
      </w:r>
      <w:r w:rsidRPr="00531DE5">
        <w:rPr>
          <w:spacing w:val="-2"/>
        </w:rPr>
        <w:t xml:space="preserve"> 1090- 1094</w:t>
      </w:r>
      <w:r w:rsidRPr="00531DE5">
        <w:t>.</w:t>
      </w:r>
      <w:r>
        <w:t xml:space="preserve"> doi: </w:t>
      </w:r>
      <w:r w:rsidRPr="005A3FDF">
        <w:t>10.1037/a0013603</w:t>
      </w:r>
    </w:p>
    <w:p w14:paraId="0E3EC894" w14:textId="0BFA6DBC" w:rsidR="001B2940" w:rsidRPr="00531DE5" w:rsidRDefault="001B2940" w:rsidP="00DC248F">
      <w:pPr>
        <w:ind w:left="567" w:hanging="567"/>
      </w:pPr>
      <w:r w:rsidRPr="00531DE5">
        <w:t xml:space="preserve">Carroll, A., Davidson, T., Marsh, D. &amp; Rodgers, B. </w:t>
      </w:r>
      <w:r w:rsidR="006946F7">
        <w:t>(</w:t>
      </w:r>
      <w:r w:rsidRPr="00531DE5">
        <w:t>2011</w:t>
      </w:r>
      <w:r w:rsidR="006946F7">
        <w:t>)</w:t>
      </w:r>
      <w:r w:rsidRPr="00531DE5">
        <w:t xml:space="preserve">. </w:t>
      </w:r>
      <w:r w:rsidRPr="005A3FDF">
        <w:rPr>
          <w:i/>
        </w:rPr>
        <w:t>Help-seeking and uptake of services amongst people with gambling problems in the ACT</w:t>
      </w:r>
      <w:r w:rsidRPr="00531DE5">
        <w:t>. Canberra</w:t>
      </w:r>
      <w:r>
        <w:t>: Centre for Gambling Research.</w:t>
      </w:r>
    </w:p>
    <w:p w14:paraId="19A184C0" w14:textId="28ABC4CA" w:rsidR="001B2940" w:rsidRPr="00531DE5" w:rsidRDefault="001B2940" w:rsidP="00DC248F">
      <w:pPr>
        <w:ind w:left="567" w:hanging="567"/>
      </w:pPr>
      <w:r w:rsidRPr="00531DE5">
        <w:t xml:space="preserve">Carter, A., Miller, P. &amp; Hall, W. </w:t>
      </w:r>
      <w:r w:rsidR="006946F7">
        <w:t>(</w:t>
      </w:r>
      <w:r w:rsidRPr="00531DE5">
        <w:t>2012</w:t>
      </w:r>
      <w:r w:rsidR="006946F7">
        <w:t>)</w:t>
      </w:r>
      <w:r w:rsidRPr="00531DE5">
        <w:t>. The eth</w:t>
      </w:r>
      <w:r>
        <w:t>ics of harm reduction. In: R. Pates</w:t>
      </w:r>
      <w:r w:rsidRPr="00531DE5">
        <w:t>,</w:t>
      </w:r>
      <w:r>
        <w:t xml:space="preserve"> R. &amp; D. M Riley,</w:t>
      </w:r>
      <w:r w:rsidRPr="001F5F13">
        <w:t xml:space="preserve"> </w:t>
      </w:r>
      <w:r w:rsidRPr="00531DE5">
        <w:t xml:space="preserve">(eds.) </w:t>
      </w:r>
      <w:r w:rsidRPr="005A3FDF">
        <w:rPr>
          <w:i/>
        </w:rPr>
        <w:t>Harm reduction in substance use and high-risk behaviour: International policy and practice</w:t>
      </w:r>
      <w:r w:rsidRPr="00531DE5">
        <w:t>. West Sussex: Blackwell Publishing.</w:t>
      </w:r>
    </w:p>
    <w:p w14:paraId="646E68F4" w14:textId="057818C0" w:rsidR="001B2940" w:rsidRPr="00531DE5" w:rsidRDefault="001B2940" w:rsidP="00DC248F">
      <w:pPr>
        <w:ind w:left="567" w:hanging="567"/>
      </w:pPr>
      <w:r w:rsidRPr="00531DE5">
        <w:t xml:space="preserve">Casey, E. </w:t>
      </w:r>
      <w:r w:rsidR="006946F7">
        <w:t>(</w:t>
      </w:r>
      <w:r w:rsidRPr="00531DE5">
        <w:t>2003</w:t>
      </w:r>
      <w:r w:rsidR="006946F7">
        <w:t>)</w:t>
      </w:r>
      <w:r>
        <w:t>. Gambling and consumption: Working-class w</w:t>
      </w:r>
      <w:r w:rsidRPr="00531DE5">
        <w:t>omen</w:t>
      </w:r>
      <w:r>
        <w:t xml:space="preserve"> and UK</w:t>
      </w:r>
      <w:r w:rsidR="00BE3642">
        <w:t xml:space="preserve"> </w:t>
      </w:r>
      <w:r>
        <w:t xml:space="preserve">National Lottery play. </w:t>
      </w:r>
      <w:r w:rsidRPr="003714FB">
        <w:rPr>
          <w:i/>
        </w:rPr>
        <w:t xml:space="preserve">Journal of Consumer Culture, </w:t>
      </w:r>
      <w:r w:rsidRPr="003714FB">
        <w:t>3 (2),</w:t>
      </w:r>
      <w:r w:rsidRPr="003714FB">
        <w:rPr>
          <w:i/>
        </w:rPr>
        <w:t xml:space="preserve"> </w:t>
      </w:r>
      <w:r w:rsidRPr="00531DE5">
        <w:t>245-263.</w:t>
      </w:r>
      <w:r>
        <w:t xml:space="preserve"> doi: </w:t>
      </w:r>
      <w:r w:rsidRPr="003714FB">
        <w:t>10.1177/14695405030032005</w:t>
      </w:r>
    </w:p>
    <w:p w14:paraId="7ABD431C" w14:textId="6E4FC652" w:rsidR="001B2940" w:rsidRDefault="001B2940" w:rsidP="00DC248F">
      <w:pPr>
        <w:ind w:left="567" w:hanging="567"/>
      </w:pPr>
      <w:r w:rsidRPr="00531DE5">
        <w:t>Casey, D. M., Williams, R. J., Mossière, A. M., Schopflocher, D. P</w:t>
      </w:r>
      <w:r w:rsidRPr="001F5F13">
        <w:t xml:space="preserve">., El-Guebaly, N., Hodgins, D. </w:t>
      </w:r>
      <w:r w:rsidRPr="00531DE5">
        <w:t xml:space="preserve">C., Smith, G. J. &amp; Wood, R. T. </w:t>
      </w:r>
      <w:r w:rsidR="006946F7">
        <w:t>(</w:t>
      </w:r>
      <w:r w:rsidRPr="00531DE5">
        <w:t>2011</w:t>
      </w:r>
      <w:r w:rsidR="006946F7">
        <w:t>)</w:t>
      </w:r>
      <w:r w:rsidRPr="00531DE5">
        <w:t>. The role of family, religiosi</w:t>
      </w:r>
      <w:r w:rsidRPr="001F5F13">
        <w:t xml:space="preserve">ty, and behavior in adolescent </w:t>
      </w:r>
      <w:r w:rsidRPr="00531DE5">
        <w:t xml:space="preserve">gambling. </w:t>
      </w:r>
      <w:r w:rsidRPr="00F641D3">
        <w:rPr>
          <w:i/>
        </w:rPr>
        <w:t>Journal of Adolescence, 34</w:t>
      </w:r>
      <w:r>
        <w:rPr>
          <w:i/>
        </w:rPr>
        <w:t xml:space="preserve"> </w:t>
      </w:r>
      <w:r w:rsidRPr="00F641D3">
        <w:t>(5),</w:t>
      </w:r>
      <w:r w:rsidRPr="00531DE5">
        <w:t xml:space="preserve"> 841-851.</w:t>
      </w:r>
      <w:r>
        <w:t xml:space="preserve"> doi:</w:t>
      </w:r>
      <w:r w:rsidRPr="00F641D3">
        <w:t xml:space="preserve"> 10.1016/j.adolescence</w:t>
      </w:r>
      <w:r>
        <w:t>-</w:t>
      </w:r>
      <w:r w:rsidRPr="00F641D3">
        <w:t>.2011.02.002</w:t>
      </w:r>
    </w:p>
    <w:p w14:paraId="5B8C40BE" w14:textId="77777777" w:rsidR="00490924" w:rsidRPr="00490924" w:rsidRDefault="00490924" w:rsidP="00490924">
      <w:pPr>
        <w:ind w:left="567" w:hanging="567"/>
      </w:pPr>
      <w:bookmarkStart w:id="412" w:name="_ENREF_3"/>
      <w:r w:rsidRPr="00490924">
        <w:t xml:space="preserve">Charmaz, K. (2003). Grounded theory: Objectivist and constructivist methods. In N. Denzin &amp; Y. Lincoln (Eds.), </w:t>
      </w:r>
      <w:r w:rsidRPr="00490924">
        <w:rPr>
          <w:i/>
        </w:rPr>
        <w:t>Strategies for qualitative enquiry</w:t>
      </w:r>
      <w:r w:rsidRPr="00490924">
        <w:t xml:space="preserve"> (Second ed., pp. 249-291). Thousand Oaks: Sage.</w:t>
      </w:r>
      <w:bookmarkEnd w:id="412"/>
    </w:p>
    <w:p w14:paraId="2E9CAF1D" w14:textId="508BC0B1" w:rsidR="00490924" w:rsidRDefault="00490924" w:rsidP="00490924">
      <w:pPr>
        <w:ind w:left="567" w:hanging="567"/>
      </w:pPr>
      <w:bookmarkStart w:id="413" w:name="_ENREF_4"/>
      <w:r w:rsidRPr="00490924">
        <w:t xml:space="preserve">Charmaz, K. (2006). Constructing grounded theory: A practical guide through qualitative research. </w:t>
      </w:r>
      <w:r w:rsidRPr="00490924">
        <w:rPr>
          <w:i/>
        </w:rPr>
        <w:t>Sage</w:t>
      </w:r>
      <w:r>
        <w:rPr>
          <w:i/>
        </w:rPr>
        <w:t xml:space="preserve"> </w:t>
      </w:r>
      <w:r w:rsidRPr="00490924">
        <w:rPr>
          <w:i/>
        </w:rPr>
        <w:t>Publications Ltd, London</w:t>
      </w:r>
      <w:r w:rsidRPr="00490924">
        <w:t xml:space="preserve">. </w:t>
      </w:r>
      <w:bookmarkEnd w:id="413"/>
    </w:p>
    <w:p w14:paraId="34BF60A3" w14:textId="77777777" w:rsidR="00490924" w:rsidRPr="00490924" w:rsidRDefault="00490924" w:rsidP="00490924">
      <w:pPr>
        <w:ind w:left="567" w:hanging="567"/>
      </w:pPr>
      <w:bookmarkStart w:id="414" w:name="_ENREF_5"/>
      <w:r w:rsidRPr="00490924">
        <w:t xml:space="preserve">Chrisman, J. J., Hofer, C. W., &amp; Boulton, W. B. (1988). Toward a system for classifying business strategies. </w:t>
      </w:r>
      <w:r w:rsidRPr="00490924">
        <w:rPr>
          <w:i/>
        </w:rPr>
        <w:t>Academy of Management Review, 13</w:t>
      </w:r>
      <w:r w:rsidRPr="00490924">
        <w:t xml:space="preserve">(3), 413-428. </w:t>
      </w:r>
      <w:bookmarkEnd w:id="414"/>
    </w:p>
    <w:p w14:paraId="49C48DA5" w14:textId="33B97F27" w:rsidR="001B2940" w:rsidRPr="00531DE5" w:rsidRDefault="001B2940" w:rsidP="00DC248F">
      <w:pPr>
        <w:ind w:left="567" w:hanging="567"/>
      </w:pPr>
      <w:r w:rsidRPr="00531DE5">
        <w:t xml:space="preserve">Clarke, D., Tse, S., Abbott, M., Townsend, S., Kingi, P. &amp; Manaia, </w:t>
      </w:r>
      <w:r w:rsidRPr="001F5F13">
        <w:t xml:space="preserve">W. </w:t>
      </w:r>
      <w:r w:rsidR="006946F7">
        <w:t>(</w:t>
      </w:r>
      <w:r>
        <w:t>2006</w:t>
      </w:r>
      <w:r w:rsidR="006946F7">
        <w:t>)</w:t>
      </w:r>
      <w:r>
        <w:t>. Key i</w:t>
      </w:r>
      <w:r w:rsidRPr="001F5F13">
        <w:t xml:space="preserve">ndicators of the </w:t>
      </w:r>
      <w:r>
        <w:t>transition from social to problem g</w:t>
      </w:r>
      <w:r w:rsidRPr="00531DE5">
        <w:t xml:space="preserve">ambling. </w:t>
      </w:r>
      <w:r w:rsidRPr="00F641D3">
        <w:rPr>
          <w:i/>
        </w:rPr>
        <w:t>International Journal of Mental Health and Addiction, 4</w:t>
      </w:r>
      <w:r>
        <w:rPr>
          <w:i/>
        </w:rPr>
        <w:t xml:space="preserve"> </w:t>
      </w:r>
      <w:r w:rsidRPr="00F641D3">
        <w:t>(3),</w:t>
      </w:r>
      <w:r w:rsidRPr="00531DE5">
        <w:t xml:space="preserve"> 247-264.</w:t>
      </w:r>
      <w:r>
        <w:t xml:space="preserve"> doi: </w:t>
      </w:r>
      <w:r w:rsidRPr="00F641D3">
        <w:t>10.1007/s11469-006-9024-x</w:t>
      </w:r>
    </w:p>
    <w:p w14:paraId="543049E6" w14:textId="77777777" w:rsidR="00A80DEC" w:rsidRPr="00A80DEC" w:rsidRDefault="00A80DEC" w:rsidP="00A80DEC">
      <w:pPr>
        <w:ind w:left="567" w:hanging="567"/>
      </w:pPr>
      <w:r w:rsidRPr="00A80DEC">
        <w:t xml:space="preserve">Coppell, K. J., Mann, J. I., Williams, S. M., Jo, E., Drury, P. L., Miller, J., &amp; Parnell, W. R. (2013). Prevalence of diagnosed and undiagnosed diabetes and prediabetes in New Zealand: Findings from the 2008/09 adult nutrition survey. </w:t>
      </w:r>
      <w:r w:rsidRPr="00A80DEC">
        <w:rPr>
          <w:i/>
        </w:rPr>
        <w:t>New Zealand Medical Journal, 126</w:t>
      </w:r>
      <w:r w:rsidRPr="00A80DEC">
        <w:t xml:space="preserve">(1370), 23-42. </w:t>
      </w:r>
    </w:p>
    <w:p w14:paraId="147AD22E" w14:textId="6FFF6458" w:rsidR="001B2940" w:rsidRPr="00531DE5" w:rsidRDefault="001B2940" w:rsidP="00DC248F">
      <w:pPr>
        <w:ind w:left="567" w:hanging="567"/>
      </w:pPr>
      <w:r w:rsidRPr="00531DE5">
        <w:t xml:space="preserve">Cousins, S. O. B. &amp; Witcher, C. S. </w:t>
      </w:r>
      <w:r>
        <w:t xml:space="preserve">G. </w:t>
      </w:r>
      <w:r w:rsidR="006946F7">
        <w:t>(</w:t>
      </w:r>
      <w:r>
        <w:t>2007</w:t>
      </w:r>
      <w:r w:rsidR="006946F7">
        <w:t>)</w:t>
      </w:r>
      <w:r>
        <w:t>. Who plays bingo in l</w:t>
      </w:r>
      <w:r w:rsidRPr="00531DE5">
        <w:t>ater</w:t>
      </w:r>
      <w:r>
        <w:t xml:space="preserve"> l</w:t>
      </w:r>
      <w:r w:rsidRPr="00531DE5">
        <w:t>if</w:t>
      </w:r>
      <w:r>
        <w:t>e? The sedentary l</w:t>
      </w:r>
      <w:r w:rsidRPr="001F5F13">
        <w:t xml:space="preserve">ifestyles of </w:t>
      </w:r>
      <w:r w:rsidRPr="00531DE5">
        <w:t xml:space="preserve">‘Little Old Ladies’. </w:t>
      </w:r>
      <w:r w:rsidRPr="00F641D3">
        <w:rPr>
          <w:i/>
        </w:rPr>
        <w:t xml:space="preserve">Journal of Gambling Studies, </w:t>
      </w:r>
      <w:r w:rsidRPr="00F641D3">
        <w:t>23 (1),</w:t>
      </w:r>
      <w:r w:rsidRPr="00531DE5">
        <w:t xml:space="preserve"> 95-112.</w:t>
      </w:r>
      <w:r>
        <w:t xml:space="preserve"> doi: </w:t>
      </w:r>
      <w:r w:rsidRPr="00F641D3">
        <w:t>0.1007/s10899-006-9030-8</w:t>
      </w:r>
    </w:p>
    <w:p w14:paraId="46DDDD04" w14:textId="54D44F9F" w:rsidR="001B2940" w:rsidRPr="00531DE5" w:rsidRDefault="001B2940" w:rsidP="00DC248F">
      <w:pPr>
        <w:ind w:left="567" w:hanging="567"/>
      </w:pPr>
      <w:r w:rsidRPr="00531DE5">
        <w:t xml:space="preserve">Cowley, E.T., Paterson, J. &amp; Williams, </w:t>
      </w:r>
      <w:r w:rsidRPr="00531DE5">
        <w:rPr>
          <w:caps/>
        </w:rPr>
        <w:t>M</w:t>
      </w:r>
      <w:r w:rsidRPr="00531DE5">
        <w:t xml:space="preserve">. </w:t>
      </w:r>
      <w:r w:rsidR="006946F7">
        <w:t>(</w:t>
      </w:r>
      <w:r w:rsidRPr="00531DE5">
        <w:t>2004</w:t>
      </w:r>
      <w:r w:rsidR="006946F7">
        <w:t>)</w:t>
      </w:r>
      <w:r w:rsidRPr="00531DE5">
        <w:t>. Traditional gift gi</w:t>
      </w:r>
      <w:r w:rsidRPr="001F5F13">
        <w:t xml:space="preserve">ving among Pacific families in </w:t>
      </w:r>
      <w:r w:rsidRPr="00531DE5">
        <w:t xml:space="preserve">New Zealand. </w:t>
      </w:r>
      <w:r w:rsidRPr="00F641D3">
        <w:rPr>
          <w:i/>
        </w:rPr>
        <w:t>Journal of Family and Economic Issues, 25</w:t>
      </w:r>
      <w:r w:rsidRPr="00531DE5">
        <w:t>(3), 431–444.</w:t>
      </w:r>
      <w:r>
        <w:t xml:space="preserve"> doi: </w:t>
      </w:r>
      <w:r w:rsidRPr="00F641D3">
        <w:t>10.1023/B:JEEI.00</w:t>
      </w:r>
      <w:r>
        <w:t>-</w:t>
      </w:r>
      <w:r w:rsidRPr="00F641D3">
        <w:t>00039949.35285.20</w:t>
      </w:r>
    </w:p>
    <w:p w14:paraId="4874C608" w14:textId="306604D6" w:rsidR="001B2940" w:rsidRDefault="001B2940" w:rsidP="00DC248F">
      <w:pPr>
        <w:ind w:left="567" w:hanging="567"/>
      </w:pPr>
      <w:r w:rsidRPr="00531DE5">
        <w:t xml:space="preserve">Cowlishaw, S., Merkouris, S., Chapman, A. &amp; Radermacher, H. </w:t>
      </w:r>
      <w:r w:rsidR="006946F7">
        <w:t>(</w:t>
      </w:r>
      <w:r>
        <w:t>2014</w:t>
      </w:r>
      <w:r w:rsidR="006946F7">
        <w:t>)</w:t>
      </w:r>
      <w:r>
        <w:t>. Pathological a</w:t>
      </w:r>
      <w:r w:rsidRPr="001F5F13">
        <w:t xml:space="preserve">nd problem </w:t>
      </w:r>
      <w:r w:rsidRPr="00531DE5">
        <w:t>gamblin</w:t>
      </w:r>
      <w:r>
        <w:t xml:space="preserve">g in substance use treatment: A </w:t>
      </w:r>
      <w:r w:rsidRPr="00531DE5">
        <w:t>systematic review</w:t>
      </w:r>
      <w:r w:rsidRPr="001F5F13">
        <w:t xml:space="preserve"> and meta-analysis. </w:t>
      </w:r>
      <w:r w:rsidRPr="00F641D3">
        <w:rPr>
          <w:i/>
        </w:rPr>
        <w:t xml:space="preserve">Journal of </w:t>
      </w:r>
      <w:r>
        <w:rPr>
          <w:i/>
        </w:rPr>
        <w:t>Substance Abuse T</w:t>
      </w:r>
      <w:r w:rsidRPr="00F641D3">
        <w:rPr>
          <w:i/>
        </w:rPr>
        <w:t>reatment, 46</w:t>
      </w:r>
      <w:r w:rsidRPr="00F641D3">
        <w:t>(2),</w:t>
      </w:r>
      <w:r w:rsidRPr="00531DE5">
        <w:t xml:space="preserve"> 98.</w:t>
      </w:r>
      <w:r>
        <w:t xml:space="preserve"> doi: </w:t>
      </w:r>
      <w:r w:rsidRPr="00F641D3">
        <w:t>10.1016/j.jsat.2013.08.019</w:t>
      </w:r>
    </w:p>
    <w:p w14:paraId="735159E3" w14:textId="77389D59" w:rsidR="00490924" w:rsidRPr="00490924" w:rsidRDefault="00490924" w:rsidP="00490924">
      <w:pPr>
        <w:ind w:left="567" w:hanging="567"/>
      </w:pPr>
      <w:bookmarkStart w:id="415" w:name="_ENREF_6"/>
      <w:r w:rsidRPr="00490924">
        <w:lastRenderedPageBreak/>
        <w:t xml:space="preserve">Creswell, J. W. (2007). Qualitative enquiry and research design: Choosing among five approaches. </w:t>
      </w:r>
      <w:bookmarkEnd w:id="415"/>
      <w:r>
        <w:t>CA: Sage</w:t>
      </w:r>
    </w:p>
    <w:p w14:paraId="42DE0A1B" w14:textId="168967F6" w:rsidR="001B2940" w:rsidRPr="00531DE5" w:rsidRDefault="001B2940" w:rsidP="00DC248F">
      <w:pPr>
        <w:ind w:left="567" w:hanging="567"/>
      </w:pPr>
      <w:r w:rsidRPr="00531DE5">
        <w:t>Crisp, B. R., Thomas, S. A., Jackson, A. C., Smith, S., Borrell, J., Ho, W.-Y., Holt, T. A. &amp;</w:t>
      </w:r>
      <w:r>
        <w:t xml:space="preserve"> </w:t>
      </w:r>
      <w:r w:rsidRPr="00531DE5">
        <w:t>Thomason, N.</w:t>
      </w:r>
      <w:r>
        <w:t xml:space="preserve"> </w:t>
      </w:r>
      <w:r w:rsidR="006946F7">
        <w:t>(</w:t>
      </w:r>
      <w:r>
        <w:t>2004</w:t>
      </w:r>
      <w:r w:rsidR="006946F7">
        <w:t>)</w:t>
      </w:r>
      <w:r>
        <w:t>. Not the same: A</w:t>
      </w:r>
      <w:r w:rsidRPr="00531DE5">
        <w:t xml:space="preserve"> comparison of f</w:t>
      </w:r>
      <w:r w:rsidRPr="001F5F13">
        <w:t xml:space="preserve">emale and male clients seeking </w:t>
      </w:r>
      <w:r w:rsidRPr="00531DE5">
        <w:t xml:space="preserve">treatment from problem gambling counselling services. </w:t>
      </w:r>
      <w:r w:rsidRPr="002F3DD7">
        <w:rPr>
          <w:i/>
        </w:rPr>
        <w:t>Journal of gambling studies / co-sponsored by the National Council on Problem Gambling and Institute for the Study of Gambling and Commercial Gaming, 20</w:t>
      </w:r>
      <w:r>
        <w:rPr>
          <w:i/>
        </w:rPr>
        <w:t xml:space="preserve"> </w:t>
      </w:r>
      <w:r w:rsidRPr="002F3DD7">
        <w:t>(3),</w:t>
      </w:r>
      <w:r w:rsidRPr="00531DE5">
        <w:t xml:space="preserve"> 283-299.</w:t>
      </w:r>
      <w:r>
        <w:t xml:space="preserve"> doi: </w:t>
      </w:r>
      <w:r w:rsidRPr="002F3DD7">
        <w:t>10.1023/B:JOGS.0000040280.64348.d1</w:t>
      </w:r>
    </w:p>
    <w:p w14:paraId="5B36888C" w14:textId="4BC66E7C" w:rsidR="001B2940" w:rsidRPr="00531DE5" w:rsidRDefault="001B2940" w:rsidP="00DC248F">
      <w:pPr>
        <w:ind w:left="567" w:hanging="567"/>
      </w:pPr>
      <w:r w:rsidRPr="00531DE5">
        <w:t xml:space="preserve">Currie, S. R., Hodgins, D. C., Casey, D. M., El-Guebaly, N., </w:t>
      </w:r>
      <w:r w:rsidRPr="001F5F13">
        <w:t xml:space="preserve">Smith, G. J., Williams, R. J., </w:t>
      </w:r>
      <w:r w:rsidRPr="00531DE5">
        <w:t xml:space="preserve">Schopflocher, D. P. &amp; Wood, R. T. </w:t>
      </w:r>
      <w:r w:rsidR="006946F7">
        <w:t>(</w:t>
      </w:r>
      <w:r w:rsidRPr="00531DE5">
        <w:t>2012</w:t>
      </w:r>
      <w:r w:rsidR="006946F7">
        <w:t>)</w:t>
      </w:r>
      <w:r w:rsidRPr="00531DE5">
        <w:t>. Examining the p</w:t>
      </w:r>
      <w:r w:rsidRPr="001F5F13">
        <w:t xml:space="preserve">redictive validity of low-risk </w:t>
      </w:r>
      <w:r w:rsidRPr="00531DE5">
        <w:t xml:space="preserve">gambling limits with longitudinal data. </w:t>
      </w:r>
      <w:r w:rsidRPr="002F3DD7">
        <w:rPr>
          <w:i/>
        </w:rPr>
        <w:t>Addiction, 107</w:t>
      </w:r>
      <w:r>
        <w:rPr>
          <w:i/>
        </w:rPr>
        <w:t xml:space="preserve"> </w:t>
      </w:r>
      <w:r w:rsidRPr="002F3DD7">
        <w:t xml:space="preserve">(2), </w:t>
      </w:r>
      <w:r w:rsidRPr="00531DE5">
        <w:t>400-406.</w:t>
      </w:r>
      <w:r>
        <w:t xml:space="preserve"> doi: </w:t>
      </w:r>
      <w:r w:rsidRPr="002F3DD7">
        <w:t>10.1111/j.1360-0443.2011.03622.x</w:t>
      </w:r>
    </w:p>
    <w:p w14:paraId="56213B6C" w14:textId="7235D052" w:rsidR="001B2940" w:rsidRPr="00531DE5" w:rsidRDefault="001B2940" w:rsidP="00DC248F">
      <w:pPr>
        <w:ind w:left="567" w:hanging="567"/>
      </w:pPr>
      <w:r w:rsidRPr="00531DE5">
        <w:t xml:space="preserve">Currie, S. R., Hodgins, D. C., Wang, J., El-Guebaly, N., Wynne, H. &amp; Chen, S. </w:t>
      </w:r>
      <w:r w:rsidR="006946F7">
        <w:t>(</w:t>
      </w:r>
      <w:r w:rsidRPr="00531DE5">
        <w:t>2006</w:t>
      </w:r>
      <w:r w:rsidR="006946F7">
        <w:t>)</w:t>
      </w:r>
      <w:r w:rsidRPr="00531DE5">
        <w:t>. Risk of harm among gamblers in the general population as a function of level of participation in gambling</w:t>
      </w:r>
      <w:r>
        <w:t xml:space="preserve"> </w:t>
      </w:r>
      <w:r w:rsidRPr="00531DE5">
        <w:t xml:space="preserve">activities. </w:t>
      </w:r>
      <w:r w:rsidRPr="008956C7">
        <w:rPr>
          <w:i/>
        </w:rPr>
        <w:t>Addiction, 101</w:t>
      </w:r>
      <w:r>
        <w:rPr>
          <w:i/>
        </w:rPr>
        <w:t xml:space="preserve"> </w:t>
      </w:r>
      <w:r w:rsidRPr="008956C7">
        <w:t>(4),</w:t>
      </w:r>
      <w:r w:rsidRPr="00531DE5">
        <w:t xml:space="preserve"> 570-580.</w:t>
      </w:r>
      <w:r>
        <w:t xml:space="preserve"> doi: </w:t>
      </w:r>
      <w:r w:rsidRPr="008956C7">
        <w:t>10.1111/j.1360-0443.2006.01392.x</w:t>
      </w:r>
    </w:p>
    <w:p w14:paraId="53F192E6" w14:textId="27A4A40A" w:rsidR="001B2940" w:rsidRPr="00531DE5" w:rsidRDefault="001B2940" w:rsidP="00DC248F">
      <w:pPr>
        <w:ind w:left="567" w:hanging="567"/>
      </w:pPr>
      <w:r w:rsidRPr="00531DE5">
        <w:rPr>
          <w:spacing w:val="-4"/>
        </w:rPr>
        <w:t xml:space="preserve">Currie, S. R., Miller, N., Hodgins, D. C. &amp; Wang, J. </w:t>
      </w:r>
      <w:r w:rsidR="006946F7">
        <w:t>(</w:t>
      </w:r>
      <w:r w:rsidRPr="00531DE5">
        <w:rPr>
          <w:spacing w:val="-4"/>
        </w:rPr>
        <w:t>2009</w:t>
      </w:r>
      <w:r w:rsidR="006946F7">
        <w:t>)</w:t>
      </w:r>
      <w:r w:rsidRPr="00531DE5">
        <w:t>.</w:t>
      </w:r>
      <w:r>
        <w:rPr>
          <w:spacing w:val="-4"/>
        </w:rPr>
        <w:t xml:space="preserve"> Defining a threshold of harm from g</w:t>
      </w:r>
      <w:r w:rsidRPr="00531DE5">
        <w:rPr>
          <w:spacing w:val="-4"/>
        </w:rPr>
        <w:t xml:space="preserve">ambling for population health surveillance research. </w:t>
      </w:r>
      <w:r w:rsidRPr="008956C7">
        <w:rPr>
          <w:i/>
          <w:spacing w:val="-4"/>
        </w:rPr>
        <w:t>International Gambling Studies, 9</w:t>
      </w:r>
      <w:r>
        <w:rPr>
          <w:i/>
          <w:spacing w:val="-4"/>
        </w:rPr>
        <w:t xml:space="preserve"> </w:t>
      </w:r>
      <w:r w:rsidRPr="008956C7">
        <w:rPr>
          <w:spacing w:val="-4"/>
        </w:rPr>
        <w:t>(1),</w:t>
      </w:r>
      <w:r w:rsidRPr="00531DE5">
        <w:rPr>
          <w:spacing w:val="-4"/>
        </w:rPr>
        <w:t xml:space="preserve"> 19-38.</w:t>
      </w:r>
      <w:r>
        <w:rPr>
          <w:spacing w:val="-4"/>
        </w:rPr>
        <w:t xml:space="preserve"> doi: </w:t>
      </w:r>
      <w:r w:rsidRPr="008956C7">
        <w:rPr>
          <w:spacing w:val="-4"/>
        </w:rPr>
        <w:t>10.1080/14459790802652209</w:t>
      </w:r>
    </w:p>
    <w:p w14:paraId="759D5446" w14:textId="60C6046D" w:rsidR="001B2940" w:rsidRPr="00531DE5" w:rsidRDefault="001B2940" w:rsidP="00DC248F">
      <w:pPr>
        <w:ind w:left="567" w:hanging="567"/>
      </w:pPr>
      <w:r w:rsidRPr="00531DE5">
        <w:rPr>
          <w:rFonts w:cs="Helvetica"/>
        </w:rPr>
        <w:t>Currie, C. L., Wild, C. T., Schopflocher, D. P., Laing, L., Veugelers,</w:t>
      </w:r>
      <w:r w:rsidRPr="001F5F13">
        <w:rPr>
          <w:rFonts w:cs="Helvetica"/>
        </w:rPr>
        <w:t xml:space="preserve"> P., &amp; Parlee, B. </w:t>
      </w:r>
      <w:r w:rsidR="006946F7">
        <w:t>(</w:t>
      </w:r>
      <w:r w:rsidRPr="001F5F13">
        <w:rPr>
          <w:rFonts w:cs="Helvetica"/>
        </w:rPr>
        <w:t>2013</w:t>
      </w:r>
      <w:r w:rsidR="006946F7">
        <w:t>)</w:t>
      </w:r>
      <w:r w:rsidRPr="001F5F13">
        <w:rPr>
          <w:rFonts w:cs="Helvetica"/>
        </w:rPr>
        <w:t xml:space="preserve">. Racial </w:t>
      </w:r>
      <w:r w:rsidRPr="00531DE5">
        <w:rPr>
          <w:rFonts w:cs="Helvetica"/>
        </w:rPr>
        <w:t>discrimination, post-traumatic stress, and gambling problems among urban Aboriginal adu</w:t>
      </w:r>
      <w:r w:rsidRPr="001F5F13">
        <w:rPr>
          <w:rFonts w:cs="Helvetica"/>
        </w:rPr>
        <w:t xml:space="preserve">lts </w:t>
      </w:r>
      <w:r w:rsidRPr="00531DE5">
        <w:rPr>
          <w:rFonts w:cs="Helvetica"/>
        </w:rPr>
        <w:t xml:space="preserve">in Canada. </w:t>
      </w:r>
      <w:r w:rsidRPr="008956C7">
        <w:rPr>
          <w:rFonts w:cs="Helvetica"/>
          <w:i/>
        </w:rPr>
        <w:t>Journal of Gambling Studies, 29</w:t>
      </w:r>
      <w:r>
        <w:rPr>
          <w:rFonts w:cs="Helvetica"/>
          <w:i/>
        </w:rPr>
        <w:t xml:space="preserve"> </w:t>
      </w:r>
      <w:r w:rsidRPr="008956C7">
        <w:rPr>
          <w:rFonts w:cs="Helvetica"/>
        </w:rPr>
        <w:t xml:space="preserve">(3), </w:t>
      </w:r>
      <w:r w:rsidRPr="00531DE5">
        <w:rPr>
          <w:rFonts w:cs="Helvetica"/>
        </w:rPr>
        <w:t xml:space="preserve">393-415. </w:t>
      </w:r>
      <w:r>
        <w:rPr>
          <w:rFonts w:cs="Helvetica"/>
        </w:rPr>
        <w:t xml:space="preserve">doi: </w:t>
      </w:r>
      <w:r w:rsidRPr="008956C7">
        <w:rPr>
          <w:rFonts w:cs="Helvetica"/>
        </w:rPr>
        <w:t>10.1007/s10899-012-9323-z</w:t>
      </w:r>
    </w:p>
    <w:p w14:paraId="2FB6EFA7" w14:textId="6FA67AE8" w:rsidR="001B2940" w:rsidRPr="00531DE5" w:rsidRDefault="001B2940" w:rsidP="00DC248F">
      <w:pPr>
        <w:ind w:left="567" w:hanging="567"/>
      </w:pPr>
      <w:r w:rsidRPr="00531DE5">
        <w:t xml:space="preserve">Darbyshire, P., Oster, C. &amp; Carrig, H. </w:t>
      </w:r>
      <w:r w:rsidR="006946F7">
        <w:t>(</w:t>
      </w:r>
      <w:r w:rsidRPr="00531DE5">
        <w:t>2001a</w:t>
      </w:r>
      <w:r w:rsidR="006946F7">
        <w:t>)</w:t>
      </w:r>
      <w:r w:rsidRPr="00531DE5">
        <w:t>. Children of parent(s</w:t>
      </w:r>
      <w:r w:rsidRPr="001F5F13">
        <w:t xml:space="preserve">) who have a gambling problem: </w:t>
      </w:r>
      <w:r w:rsidRPr="00531DE5">
        <w:t>a review of the literature and commentary on research appro</w:t>
      </w:r>
      <w:r w:rsidRPr="001F5F13">
        <w:t>aches</w:t>
      </w:r>
      <w:r>
        <w:rPr>
          <w:i/>
        </w:rPr>
        <w:t>. Health &amp; Social C</w:t>
      </w:r>
      <w:r w:rsidRPr="008956C7">
        <w:rPr>
          <w:i/>
        </w:rPr>
        <w:t xml:space="preserve">are in </w:t>
      </w:r>
      <w:r>
        <w:rPr>
          <w:i/>
        </w:rPr>
        <w:t>the C</w:t>
      </w:r>
      <w:r w:rsidRPr="008956C7">
        <w:rPr>
          <w:i/>
        </w:rPr>
        <w:t>ommunity, 9</w:t>
      </w:r>
      <w:r>
        <w:rPr>
          <w:i/>
        </w:rPr>
        <w:t xml:space="preserve"> </w:t>
      </w:r>
      <w:r w:rsidRPr="008956C7">
        <w:t>(4),</w:t>
      </w:r>
      <w:r w:rsidRPr="00531DE5">
        <w:t xml:space="preserve"> 185-193.</w:t>
      </w:r>
      <w:r>
        <w:t xml:space="preserve"> doi: </w:t>
      </w:r>
      <w:r w:rsidRPr="008956C7">
        <w:t>10.1046/j.0966-0410.2001.00302.x</w:t>
      </w:r>
    </w:p>
    <w:p w14:paraId="181494A4" w14:textId="5C457500" w:rsidR="001B2940" w:rsidRPr="00531DE5" w:rsidRDefault="001B2940" w:rsidP="00DC248F">
      <w:pPr>
        <w:ind w:left="567" w:hanging="567"/>
      </w:pPr>
      <w:r w:rsidRPr="00531DE5">
        <w:t xml:space="preserve">Darbyshire, P., Oster, C. &amp; Carrig, H. </w:t>
      </w:r>
      <w:r w:rsidR="006946F7">
        <w:t>(</w:t>
      </w:r>
      <w:r w:rsidRPr="00531DE5">
        <w:t>2001b</w:t>
      </w:r>
      <w:r w:rsidR="006946F7">
        <w:t>)</w:t>
      </w:r>
      <w:r>
        <w:t>. The Experience of p</w:t>
      </w:r>
      <w:r w:rsidRPr="00531DE5">
        <w:t>erv</w:t>
      </w:r>
      <w:r>
        <w:t>asive loss: Children and y</w:t>
      </w:r>
      <w:r w:rsidRPr="001F5F13">
        <w:t xml:space="preserve">oung </w:t>
      </w:r>
      <w:r>
        <w:t>people living in a family where parental gambling is a p</w:t>
      </w:r>
      <w:r w:rsidRPr="00531DE5">
        <w:t xml:space="preserve">roblem. </w:t>
      </w:r>
      <w:r w:rsidRPr="008956C7">
        <w:rPr>
          <w:i/>
        </w:rPr>
        <w:t>Journal of Gambling Studies, 17</w:t>
      </w:r>
      <w:r>
        <w:rPr>
          <w:i/>
        </w:rPr>
        <w:t xml:space="preserve"> </w:t>
      </w:r>
      <w:r w:rsidRPr="008956C7">
        <w:t xml:space="preserve">(1), </w:t>
      </w:r>
      <w:r w:rsidRPr="00531DE5">
        <w:t>23-45.</w:t>
      </w:r>
      <w:r>
        <w:t xml:space="preserve"> doi: </w:t>
      </w:r>
      <w:r w:rsidRPr="008956C7">
        <w:t>10.1023/A:1014536315167</w:t>
      </w:r>
    </w:p>
    <w:p w14:paraId="58E9CC32" w14:textId="03AB5932" w:rsidR="00C86901" w:rsidRDefault="00C86901" w:rsidP="00C41955">
      <w:pPr>
        <w:ind w:left="567" w:hanging="567"/>
      </w:pPr>
      <w:r w:rsidRPr="00C86901">
        <w:t xml:space="preserve">de Bekker-Grob, E. W., Donkers, B., Jonker, M. F., &amp; Stolk, E. A. (2015). Sample Size Requirements for Discrete-Choice Experiments in Healthcare: a Practical Guide. </w:t>
      </w:r>
      <w:r w:rsidRPr="00C86901">
        <w:rPr>
          <w:i/>
        </w:rPr>
        <w:t>The Patient, 8</w:t>
      </w:r>
      <w:r w:rsidRPr="00C86901">
        <w:t>(5), 373–384. http://doi.org/10.1007/s40271-015-0118-z</w:t>
      </w:r>
    </w:p>
    <w:p w14:paraId="47ADA9AD" w14:textId="77777777" w:rsidR="00C41955" w:rsidRPr="00C41955" w:rsidRDefault="00C41955" w:rsidP="00C41955">
      <w:pPr>
        <w:ind w:left="567" w:hanging="567"/>
      </w:pPr>
      <w:r>
        <w:t xml:space="preserve">de Bekker-Grob, E. W., Ryan, M., &amp; Gerard, K. (2010). Discrete choice experiments in health economics: a review of the literature. </w:t>
      </w:r>
      <w:r w:rsidRPr="00C41955">
        <w:rPr>
          <w:i/>
        </w:rPr>
        <w:t>Health Economics, 21</w:t>
      </w:r>
      <w:r>
        <w:t>(2), 145–172. http://doi.org/10.1002/hec.1697</w:t>
      </w:r>
    </w:p>
    <w:p w14:paraId="6897092E" w14:textId="36224889" w:rsidR="001B2940" w:rsidRPr="00531DE5" w:rsidRDefault="001B2940" w:rsidP="00DC248F">
      <w:pPr>
        <w:ind w:left="567" w:hanging="567"/>
      </w:pPr>
      <w:r w:rsidRPr="00531DE5">
        <w:t xml:space="preserve">Delfabbro, P., King, D. &amp; Griffiths, M. </w:t>
      </w:r>
      <w:r w:rsidR="006946F7">
        <w:t>(</w:t>
      </w:r>
      <w:r w:rsidRPr="00531DE5">
        <w:t>2013</w:t>
      </w:r>
      <w:r w:rsidR="006946F7">
        <w:t>)</w:t>
      </w:r>
      <w:r w:rsidRPr="00531DE5">
        <w:t xml:space="preserve">. </w:t>
      </w:r>
      <w:r>
        <w:t>From a</w:t>
      </w:r>
      <w:r w:rsidRPr="00531DE5">
        <w:t xml:space="preserve">dolescent to </w:t>
      </w:r>
      <w:r>
        <w:t>adult gambling: An a</w:t>
      </w:r>
      <w:r w:rsidRPr="001F5F13">
        <w:t xml:space="preserve">nalysis of </w:t>
      </w:r>
      <w:r>
        <w:t>longitudinal gambling p</w:t>
      </w:r>
      <w:r w:rsidRPr="00531DE5">
        <w:t xml:space="preserve">atterns in South Australia. </w:t>
      </w:r>
      <w:r w:rsidRPr="008956C7">
        <w:rPr>
          <w:i/>
        </w:rPr>
        <w:t>Journal of Gambling Studies</w:t>
      </w:r>
      <w:r>
        <w:rPr>
          <w:i/>
        </w:rPr>
        <w:t>, 30</w:t>
      </w:r>
      <w:r>
        <w:t>(3)</w:t>
      </w:r>
      <w:r w:rsidRPr="00531DE5">
        <w:t>, 1-17.</w:t>
      </w:r>
      <w:r>
        <w:t xml:space="preserve"> doi: </w:t>
      </w:r>
      <w:r w:rsidRPr="008956C7">
        <w:t>10.1007/s10899-013-9384-7</w:t>
      </w:r>
    </w:p>
    <w:p w14:paraId="05480CFF" w14:textId="1F525F64" w:rsidR="001B2940" w:rsidRPr="00531DE5" w:rsidRDefault="001B2940" w:rsidP="00DC248F">
      <w:pPr>
        <w:ind w:left="567" w:hanging="567"/>
        <w:rPr>
          <w:caps/>
        </w:rPr>
      </w:pPr>
      <w:r w:rsidRPr="00531DE5">
        <w:t xml:space="preserve">Department Of Internal Affairs. </w:t>
      </w:r>
      <w:r w:rsidR="006946F7">
        <w:t>(</w:t>
      </w:r>
      <w:r w:rsidRPr="00531DE5">
        <w:t>2012</w:t>
      </w:r>
      <w:r w:rsidR="006946F7">
        <w:t>)</w:t>
      </w:r>
      <w:r>
        <w:t xml:space="preserve">. </w:t>
      </w:r>
      <w:r w:rsidRPr="009D60FE">
        <w:rPr>
          <w:i/>
        </w:rPr>
        <w:t>Fact Sheet 11: Children of problem gamblers.</w:t>
      </w:r>
      <w:r w:rsidRPr="009D60FE">
        <w:t xml:space="preserve"> </w:t>
      </w:r>
      <w:r w:rsidRPr="009D60FE">
        <w:rPr>
          <w:i/>
        </w:rPr>
        <w:t xml:space="preserve">Problem gambling Foundation of New </w:t>
      </w:r>
      <w:r>
        <w:rPr>
          <w:i/>
        </w:rPr>
        <w:t>Zealand</w:t>
      </w:r>
      <w:r w:rsidRPr="009D60FE">
        <w:rPr>
          <w:i/>
        </w:rPr>
        <w:t>.</w:t>
      </w:r>
      <w:r w:rsidR="00BE3642">
        <w:rPr>
          <w:i/>
        </w:rPr>
        <w:t xml:space="preserve"> </w:t>
      </w:r>
      <w:r w:rsidRPr="001F5F13">
        <w:t xml:space="preserve">Retrieved from </w:t>
      </w:r>
      <w:r w:rsidRPr="00531DE5">
        <w:t>http://pgfnz.org.nz/wp-content/uploads/2013/04/FS11-Children-of-problem-gamblers.pdf.</w:t>
      </w:r>
    </w:p>
    <w:p w14:paraId="3827399A" w14:textId="76CDF2AF" w:rsidR="001B2940" w:rsidRPr="00531DE5" w:rsidRDefault="001B2940" w:rsidP="00DC248F">
      <w:pPr>
        <w:ind w:left="567" w:hanging="567"/>
      </w:pPr>
      <w:r>
        <w:lastRenderedPageBreak/>
        <w:t>Department o</w:t>
      </w:r>
      <w:r w:rsidRPr="00531DE5">
        <w:t xml:space="preserve">f Internal Affairs. </w:t>
      </w:r>
      <w:r w:rsidR="006946F7">
        <w:t>(</w:t>
      </w:r>
      <w:r w:rsidRPr="00531DE5">
        <w:t>2013</w:t>
      </w:r>
      <w:r w:rsidR="006946F7">
        <w:t>)</w:t>
      </w:r>
      <w:r w:rsidRPr="00531DE5">
        <w:t xml:space="preserve">. </w:t>
      </w:r>
      <w:r w:rsidRPr="00951C31">
        <w:rPr>
          <w:i/>
        </w:rPr>
        <w:t>Gambling fact sheet 7: Problem gambling</w:t>
      </w:r>
      <w:r w:rsidRPr="001F5F13">
        <w:t xml:space="preserve">. Retrieved from </w:t>
      </w:r>
      <w:r w:rsidRPr="00531DE5">
        <w:t>http://www.dia.govt.nz/diawebsit</w:t>
      </w:r>
      <w:r w:rsidRPr="001F5F13">
        <w:t>e.nsf/Files/GamblingFactSheets-</w:t>
      </w:r>
      <w:r w:rsidRPr="00531DE5">
        <w:t>Feb2013/$file/FactSheet7-Feb2013.pdf</w:t>
      </w:r>
    </w:p>
    <w:p w14:paraId="53D98DCE" w14:textId="66697582" w:rsidR="001B2940" w:rsidRDefault="001B2940" w:rsidP="00DC248F">
      <w:pPr>
        <w:ind w:left="567" w:hanging="567"/>
      </w:pPr>
      <w:r w:rsidRPr="00531DE5">
        <w:t>Detweiler, J. B., Bedell, B. T., Salovey, P., Pronin, E. &amp; Rothma</w:t>
      </w:r>
      <w:r w:rsidRPr="001F5F13">
        <w:t xml:space="preserve">n, A. J. </w:t>
      </w:r>
      <w:r w:rsidR="006946F7">
        <w:t>(</w:t>
      </w:r>
      <w:r w:rsidRPr="001F5F13">
        <w:t>1999</w:t>
      </w:r>
      <w:r w:rsidR="006946F7">
        <w:t>)</w:t>
      </w:r>
      <w:r w:rsidRPr="001F5F13">
        <w:t xml:space="preserve">. Message framing </w:t>
      </w:r>
      <w:r>
        <w:t>and sunscreen use: G</w:t>
      </w:r>
      <w:r w:rsidRPr="00531DE5">
        <w:t>ain-framed messages motivate beach-goers</w:t>
      </w:r>
      <w:r>
        <w:t xml:space="preserve">. </w:t>
      </w:r>
      <w:r>
        <w:rPr>
          <w:i/>
        </w:rPr>
        <w:t>Health P</w:t>
      </w:r>
      <w:r w:rsidRPr="00150D30">
        <w:rPr>
          <w:i/>
        </w:rPr>
        <w:t>sychology : Official Journal of the Division of Health Psychology, American Psychological Association, 18</w:t>
      </w:r>
      <w:r w:rsidRPr="00150D30">
        <w:t>(2),</w:t>
      </w:r>
      <w:r w:rsidRPr="00D415D2">
        <w:t xml:space="preserve"> 189-196.</w:t>
      </w:r>
      <w:r>
        <w:t xml:space="preserve"> doi: </w:t>
      </w:r>
      <w:r w:rsidRPr="00150D30">
        <w:t>10.1037/0278-6133.18.2.189</w:t>
      </w:r>
    </w:p>
    <w:p w14:paraId="58AE17D4" w14:textId="77777777" w:rsidR="00490924" w:rsidRPr="00490924" w:rsidRDefault="00490924" w:rsidP="00490924">
      <w:pPr>
        <w:ind w:left="567" w:hanging="567"/>
      </w:pPr>
      <w:bookmarkStart w:id="416" w:name="_ENREF_9"/>
      <w:r w:rsidRPr="00490924">
        <w:t xml:space="preserve">Dey, I. (1999). </w:t>
      </w:r>
      <w:r w:rsidRPr="00490924">
        <w:rPr>
          <w:i/>
        </w:rPr>
        <w:t>Grounding grounded theory: Guidelines for qualitative inquiry</w:t>
      </w:r>
      <w:r w:rsidRPr="00490924">
        <w:t>: Academic Press.</w:t>
      </w:r>
      <w:bookmarkEnd w:id="416"/>
    </w:p>
    <w:p w14:paraId="5C21EEE7" w14:textId="3B6DCC53" w:rsidR="001B2940" w:rsidRPr="00D415D2" w:rsidRDefault="001B2940" w:rsidP="00DC248F">
      <w:pPr>
        <w:ind w:left="567" w:hanging="567"/>
      </w:pPr>
      <w:r w:rsidRPr="00D415D2">
        <w:t xml:space="preserve">Dickerson, M. </w:t>
      </w:r>
      <w:r w:rsidR="00747B91">
        <w:t>(</w:t>
      </w:r>
      <w:r w:rsidRPr="00D415D2">
        <w:t>1993</w:t>
      </w:r>
      <w:r w:rsidR="00747B91">
        <w:t>)</w:t>
      </w:r>
      <w:r w:rsidRPr="00D415D2">
        <w:t>. Internal and external determinants of pe</w:t>
      </w:r>
      <w:r w:rsidRPr="001F5F13">
        <w:t xml:space="preserve">rsistent gambling: Problems in </w:t>
      </w:r>
      <w:r w:rsidRPr="00D415D2">
        <w:t xml:space="preserve">generalising from one form of gambling to another. </w:t>
      </w:r>
      <w:r w:rsidRPr="00F646A7">
        <w:rPr>
          <w:i/>
        </w:rPr>
        <w:t>Journal of Gambling Studies, 9</w:t>
      </w:r>
      <w:r w:rsidRPr="00D415D2">
        <w:t>(3), 225- 245.</w:t>
      </w:r>
      <w:r>
        <w:t xml:space="preserve"> doi: </w:t>
      </w:r>
      <w:r w:rsidRPr="00F646A7">
        <w:t>10.1007/BF01015920</w:t>
      </w:r>
    </w:p>
    <w:p w14:paraId="1CD6F04F" w14:textId="1EB68DB8" w:rsidR="001B2940" w:rsidRPr="00D415D2" w:rsidRDefault="001B2940" w:rsidP="00DC248F">
      <w:pPr>
        <w:ind w:left="567" w:hanging="567"/>
      </w:pPr>
      <w:r w:rsidRPr="00D415D2">
        <w:t xml:space="preserve">Dickson, L. M., Derevensky, J. L. &amp; Gupta, R. </w:t>
      </w:r>
      <w:r w:rsidR="00747B91">
        <w:t>(</w:t>
      </w:r>
      <w:r>
        <w:t>2002</w:t>
      </w:r>
      <w:r w:rsidR="00747B91">
        <w:t>)</w:t>
      </w:r>
      <w:r>
        <w:t>. The p</w:t>
      </w:r>
      <w:r w:rsidRPr="00D415D2">
        <w:t xml:space="preserve">revention </w:t>
      </w:r>
      <w:r>
        <w:t>of gambling problems in y</w:t>
      </w:r>
      <w:r w:rsidRPr="001F5F13">
        <w:t xml:space="preserve">outh: </w:t>
      </w:r>
      <w:r>
        <w:t>A conceptual f</w:t>
      </w:r>
      <w:r w:rsidRPr="00D415D2">
        <w:t xml:space="preserve">ramework. </w:t>
      </w:r>
      <w:r w:rsidRPr="00F646A7">
        <w:rPr>
          <w:i/>
        </w:rPr>
        <w:t>Journal of Gambling Studies, 18</w:t>
      </w:r>
      <w:r>
        <w:rPr>
          <w:i/>
        </w:rPr>
        <w:t xml:space="preserve"> </w:t>
      </w:r>
      <w:r w:rsidRPr="00F646A7">
        <w:t>(2),</w:t>
      </w:r>
      <w:r w:rsidRPr="00D415D2">
        <w:t xml:space="preserve"> 97-159.</w:t>
      </w:r>
      <w:r>
        <w:t xml:space="preserve"> doi: </w:t>
      </w:r>
      <w:r w:rsidRPr="00F646A7">
        <w:t>10.1023/A:1015557115049</w:t>
      </w:r>
    </w:p>
    <w:p w14:paraId="7CCDB8BF" w14:textId="0AD9AF76" w:rsidR="001B2940" w:rsidRPr="00D415D2" w:rsidRDefault="001B2940" w:rsidP="00DC248F">
      <w:pPr>
        <w:ind w:left="567" w:hanging="567"/>
      </w:pPr>
      <w:r w:rsidRPr="00D415D2">
        <w:t xml:space="preserve">Dickson, L., Derevensky, J. &amp; Gupta, R. </w:t>
      </w:r>
      <w:r w:rsidR="00747B91">
        <w:t>(</w:t>
      </w:r>
      <w:r w:rsidRPr="00D415D2">
        <w:t>2004a</w:t>
      </w:r>
      <w:r w:rsidR="00747B91">
        <w:t>)</w:t>
      </w:r>
      <w:r w:rsidRPr="00D415D2">
        <w:t>. Harm reducti</w:t>
      </w:r>
      <w:r w:rsidRPr="001F5F13">
        <w:t xml:space="preserve">on for the prevention of youth </w:t>
      </w:r>
      <w:r>
        <w:t>gambling problems: L</w:t>
      </w:r>
      <w:r w:rsidRPr="00D415D2">
        <w:t>essons learned from adolescent</w:t>
      </w:r>
      <w:r w:rsidRPr="001F5F13">
        <w:t xml:space="preserve"> high-risk behavior prevention </w:t>
      </w:r>
      <w:r w:rsidRPr="00D415D2">
        <w:t xml:space="preserve">programs. </w:t>
      </w:r>
      <w:r w:rsidRPr="00212AFD">
        <w:rPr>
          <w:i/>
        </w:rPr>
        <w:t>Journal of Adolescent Research, 19</w:t>
      </w:r>
      <w:r w:rsidRPr="00346F0C">
        <w:t>(2),</w:t>
      </w:r>
      <w:r w:rsidRPr="00D415D2">
        <w:t xml:space="preserve"> 233-263.</w:t>
      </w:r>
      <w:r>
        <w:t xml:space="preserve"> doi: </w:t>
      </w:r>
      <w:r w:rsidRPr="00346F0C">
        <w:t>10.1177/0743558403258272</w:t>
      </w:r>
    </w:p>
    <w:p w14:paraId="7B358479" w14:textId="46D51FB9" w:rsidR="001B2940" w:rsidRPr="00D415D2" w:rsidRDefault="001B2940" w:rsidP="00DC248F">
      <w:pPr>
        <w:ind w:left="567" w:hanging="567"/>
      </w:pPr>
      <w:r w:rsidRPr="00D415D2">
        <w:t xml:space="preserve">Dickson, L., Derevensky, J. L. &amp; Gupta, R. </w:t>
      </w:r>
      <w:r w:rsidR="00747B91">
        <w:t>(</w:t>
      </w:r>
      <w:r w:rsidRPr="00D415D2">
        <w:t>2004b</w:t>
      </w:r>
      <w:r w:rsidR="00747B91">
        <w:t>)</w:t>
      </w:r>
      <w:r>
        <w:t>. Youth gambling p</w:t>
      </w:r>
      <w:r w:rsidRPr="00D415D2">
        <w:t>roblems: A</w:t>
      </w:r>
      <w:r>
        <w:t xml:space="preserve"> harm r</w:t>
      </w:r>
      <w:r w:rsidRPr="001F5F13">
        <w:t>eduction</w:t>
      </w:r>
      <w:r>
        <w:t xml:space="preserve"> prevention m</w:t>
      </w:r>
      <w:r w:rsidRPr="00D415D2">
        <w:t xml:space="preserve">odel. </w:t>
      </w:r>
      <w:r w:rsidRPr="00346F0C">
        <w:rPr>
          <w:i/>
        </w:rPr>
        <w:t>Addiction Research &amp; Theory, 12</w:t>
      </w:r>
      <w:r>
        <w:t>(4)</w:t>
      </w:r>
      <w:r w:rsidRPr="00D415D2">
        <w:t>, 305-316.</w:t>
      </w:r>
      <w:r>
        <w:t xml:space="preserve"> doi: </w:t>
      </w:r>
      <w:r w:rsidRPr="00346F0C">
        <w:t>10.1080/16066</w:t>
      </w:r>
      <w:r>
        <w:t>-</w:t>
      </w:r>
      <w:r w:rsidRPr="00346F0C">
        <w:t>35042000236466</w:t>
      </w:r>
    </w:p>
    <w:p w14:paraId="4F28175C" w14:textId="14BF5D12" w:rsidR="001B2940" w:rsidRPr="00D415D2" w:rsidRDefault="001B2940" w:rsidP="00DC248F">
      <w:pPr>
        <w:ind w:left="567" w:hanging="567"/>
      </w:pPr>
      <w:r w:rsidRPr="00D415D2">
        <w:t xml:space="preserve">Dickson-Gillespie, L., Rugle, L., Rosenthal, R. &amp; Fong, T. </w:t>
      </w:r>
      <w:r w:rsidR="00747B91">
        <w:t>(</w:t>
      </w:r>
      <w:r w:rsidRPr="00D415D2">
        <w:t>2008</w:t>
      </w:r>
      <w:r w:rsidR="00747B91">
        <w:t>)</w:t>
      </w:r>
      <w:r w:rsidRPr="00D415D2">
        <w:t>. Pre</w:t>
      </w:r>
      <w:r w:rsidRPr="001F5F13">
        <w:t xml:space="preserve">venting the incidence and harm </w:t>
      </w:r>
      <w:r>
        <w:t xml:space="preserve">of gambling problems. </w:t>
      </w:r>
      <w:r w:rsidRPr="00346F0C">
        <w:rPr>
          <w:i/>
        </w:rPr>
        <w:t>The Journal of Primary Prevention, 29</w:t>
      </w:r>
      <w:r>
        <w:rPr>
          <w:i/>
        </w:rPr>
        <w:t xml:space="preserve"> </w:t>
      </w:r>
      <w:r w:rsidRPr="00346F0C">
        <w:t>(1),</w:t>
      </w:r>
      <w:r w:rsidRPr="00D415D2">
        <w:t xml:space="preserve"> 37-55.</w:t>
      </w:r>
      <w:r>
        <w:t xml:space="preserve"> doi: </w:t>
      </w:r>
      <w:r w:rsidRPr="00346F0C">
        <w:t>10.1007/s109</w:t>
      </w:r>
      <w:r>
        <w:t>-</w:t>
      </w:r>
      <w:r w:rsidRPr="00346F0C">
        <w:t>35-008-0126-z</w:t>
      </w:r>
    </w:p>
    <w:p w14:paraId="4A31990D" w14:textId="2CD807F5" w:rsidR="000027AA" w:rsidRPr="00D415D2" w:rsidRDefault="001B2940" w:rsidP="00DC248F">
      <w:pPr>
        <w:ind w:left="567" w:hanging="567"/>
      </w:pPr>
      <w:r w:rsidRPr="00D415D2">
        <w:t xml:space="preserve">Dickson-Swift, V. A., James, E. L. &amp; Kippen, S. </w:t>
      </w:r>
      <w:r w:rsidR="00747B91">
        <w:t>(</w:t>
      </w:r>
      <w:r w:rsidRPr="00D415D2">
        <w:t>2005</w:t>
      </w:r>
      <w:r w:rsidR="00747B91">
        <w:t>)</w:t>
      </w:r>
      <w:r w:rsidRPr="00D415D2">
        <w:t>. The exper</w:t>
      </w:r>
      <w:r w:rsidRPr="001F5F13">
        <w:t xml:space="preserve">ience of living with a problem </w:t>
      </w:r>
      <w:r w:rsidRPr="00D415D2">
        <w:t xml:space="preserve">gambler: Spouses and partners speak </w:t>
      </w:r>
      <w:r>
        <w:t xml:space="preserve">out. </w:t>
      </w:r>
      <w:r w:rsidRPr="00346F0C">
        <w:rPr>
          <w:i/>
        </w:rPr>
        <w:t>Journal of Gambling Issues, 13</w:t>
      </w:r>
      <w:r>
        <w:t xml:space="preserve">. doi: </w:t>
      </w:r>
      <w:r w:rsidRPr="00346F0C">
        <w:t>10.4309/jgi.</w:t>
      </w:r>
      <w:r>
        <w:t>-</w:t>
      </w:r>
      <w:r w:rsidRPr="00346F0C">
        <w:t>2005.13.6</w:t>
      </w:r>
    </w:p>
    <w:p w14:paraId="4EAAB630" w14:textId="3E777745" w:rsidR="001B2940" w:rsidRPr="00D415D2" w:rsidRDefault="001B2940" w:rsidP="00DC248F">
      <w:pPr>
        <w:ind w:left="567" w:hanging="567"/>
      </w:pPr>
      <w:r w:rsidRPr="00D415D2">
        <w:t>Dion, J., Collin-Vézina, D., De La Sablonnière, M., Philippe-Labbé</w:t>
      </w:r>
      <w:r w:rsidRPr="001F5F13">
        <w:t xml:space="preserve">, M.-P. &amp; Giffard, T. </w:t>
      </w:r>
      <w:r w:rsidR="00747B91">
        <w:t>(</w:t>
      </w:r>
      <w:r w:rsidRPr="001F5F13">
        <w:t>2010</w:t>
      </w:r>
      <w:r w:rsidR="00747B91">
        <w:t>)</w:t>
      </w:r>
      <w:r w:rsidRPr="001F5F13">
        <w:t xml:space="preserve">. An </w:t>
      </w:r>
      <w:r>
        <w:t>e</w:t>
      </w:r>
      <w:r w:rsidRPr="00D415D2">
        <w:t>xplo</w:t>
      </w:r>
      <w:r>
        <w:t>ration of the connection between child sexual a</w:t>
      </w:r>
      <w:r w:rsidRPr="00D415D2">
        <w:t>b</w:t>
      </w:r>
      <w:r>
        <w:t>use and g</w:t>
      </w:r>
      <w:r w:rsidRPr="001F5F13">
        <w:t xml:space="preserve">ambling in Aboriginal </w:t>
      </w:r>
      <w:r>
        <w:t>c</w:t>
      </w:r>
      <w:r w:rsidRPr="00D415D2">
        <w:t xml:space="preserve">ommunities. </w:t>
      </w:r>
      <w:r w:rsidRPr="00346F0C">
        <w:rPr>
          <w:i/>
        </w:rPr>
        <w:t>International Journal of Mental Health and Addiction, 8</w:t>
      </w:r>
      <w:r>
        <w:t>(2)</w:t>
      </w:r>
      <w:r w:rsidRPr="00D415D2">
        <w:t>, 174-189.</w:t>
      </w:r>
      <w:r>
        <w:t xml:space="preserve"> doi: </w:t>
      </w:r>
      <w:r w:rsidRPr="00346F0C">
        <w:t>10.1007/s11469-009-9234-0</w:t>
      </w:r>
    </w:p>
    <w:p w14:paraId="46AF884A" w14:textId="6540DD1B" w:rsidR="0044690A" w:rsidRPr="0044690A" w:rsidRDefault="0044690A" w:rsidP="00DC248F">
      <w:pPr>
        <w:ind w:left="567" w:hanging="567"/>
        <w:rPr>
          <w:i/>
          <w:iCs/>
        </w:rPr>
      </w:pPr>
      <w:r w:rsidRPr="0044690A">
        <w:t>Dolan, P., &amp; Stalmeier, P. (2003). The validity of time trade-off values in calculating QALYs: Constant</w:t>
      </w:r>
      <w:r>
        <w:t xml:space="preserve"> </w:t>
      </w:r>
      <w:r w:rsidRPr="0044690A">
        <w:t xml:space="preserve">proportional time trade-off versus the proportional heuristic. </w:t>
      </w:r>
      <w:r w:rsidRPr="0044690A">
        <w:rPr>
          <w:i/>
          <w:iCs/>
        </w:rPr>
        <w:t>Journal of Health Economics,</w:t>
      </w:r>
      <w:r>
        <w:rPr>
          <w:i/>
          <w:iCs/>
        </w:rPr>
        <w:t xml:space="preserve"> </w:t>
      </w:r>
      <w:r w:rsidRPr="0044690A">
        <w:rPr>
          <w:i/>
          <w:iCs/>
        </w:rPr>
        <w:t>22</w:t>
      </w:r>
      <w:r w:rsidRPr="0044690A">
        <w:t xml:space="preserve">(3), 445–458. doi: 10.1016/S0167-6296(02)00120-0 </w:t>
      </w:r>
    </w:p>
    <w:p w14:paraId="061C1F8A" w14:textId="69248ED1" w:rsidR="001B2940" w:rsidRPr="00D415D2" w:rsidRDefault="001B2940" w:rsidP="00DC248F">
      <w:pPr>
        <w:ind w:left="567" w:hanging="567"/>
      </w:pPr>
      <w:r w:rsidRPr="00D415D2">
        <w:t xml:space="preserve">Dowling, N., Jackson, A., Thomas, S., &amp; Frydenberg, E. </w:t>
      </w:r>
      <w:r w:rsidR="00747B91">
        <w:t>(</w:t>
      </w:r>
      <w:r w:rsidRPr="00D415D2">
        <w:t>2010</w:t>
      </w:r>
      <w:r w:rsidR="00747B91">
        <w:t>)</w:t>
      </w:r>
      <w:r w:rsidRPr="00D415D2">
        <w:t xml:space="preserve">. </w:t>
      </w:r>
      <w:r w:rsidRPr="00346F0C">
        <w:rPr>
          <w:i/>
        </w:rPr>
        <w:t>Children at risk of developing problem gambling.</w:t>
      </w:r>
      <w:r w:rsidRPr="00D415D2">
        <w:t xml:space="preserve"> The Problem Gambling Research and Treatment Centre.</w:t>
      </w:r>
    </w:p>
    <w:p w14:paraId="7FF2AB46" w14:textId="07D8EE95" w:rsidR="001B2940" w:rsidRPr="00D415D2" w:rsidRDefault="001B2940" w:rsidP="00DC248F">
      <w:pPr>
        <w:ind w:left="567" w:hanging="567"/>
      </w:pPr>
      <w:r w:rsidRPr="00D415D2">
        <w:t xml:space="preserve">Dowling, N., Smith, D. &amp; Thomas, T. </w:t>
      </w:r>
      <w:r w:rsidR="00747B91">
        <w:t>(</w:t>
      </w:r>
      <w:r w:rsidRPr="00D415D2">
        <w:t>2005</w:t>
      </w:r>
      <w:r w:rsidR="00747B91">
        <w:t>)</w:t>
      </w:r>
      <w:r w:rsidRPr="00D415D2">
        <w:t>. Electronic gaming machines</w:t>
      </w:r>
      <w:r>
        <w:t>: A</w:t>
      </w:r>
      <w:r w:rsidRPr="001F5F13">
        <w:t xml:space="preserve">re they the 'crack-cocaine' </w:t>
      </w:r>
      <w:r w:rsidRPr="00D415D2">
        <w:t xml:space="preserve">of gambling? </w:t>
      </w:r>
      <w:r w:rsidRPr="00346F0C">
        <w:rPr>
          <w:i/>
        </w:rPr>
        <w:t>Addiction, 100</w:t>
      </w:r>
      <w:r>
        <w:rPr>
          <w:i/>
        </w:rPr>
        <w:t xml:space="preserve"> </w:t>
      </w:r>
      <w:r>
        <w:t>(1)</w:t>
      </w:r>
      <w:r w:rsidRPr="00D415D2">
        <w:t>, 33.</w:t>
      </w:r>
      <w:r>
        <w:t xml:space="preserve"> doi: </w:t>
      </w:r>
      <w:r w:rsidRPr="00346F0C">
        <w:t>10.1111/j.1360-0443.2005.00962.x</w:t>
      </w:r>
    </w:p>
    <w:p w14:paraId="1BA19AD6" w14:textId="0CE4F580" w:rsidR="001B2940" w:rsidRPr="00D415D2" w:rsidRDefault="001B2940" w:rsidP="00DC248F">
      <w:pPr>
        <w:ind w:left="567" w:hanging="567"/>
      </w:pPr>
      <w:r w:rsidRPr="00D415D2">
        <w:lastRenderedPageBreak/>
        <w:t xml:space="preserve">Dussault, F., Brendgen, M., Vitaro, F., Wanner, B. &amp; Tremblay, </w:t>
      </w:r>
      <w:r w:rsidRPr="001F5F13">
        <w:t xml:space="preserve">R. E. </w:t>
      </w:r>
      <w:r w:rsidR="00747B91">
        <w:t>(</w:t>
      </w:r>
      <w:r w:rsidRPr="001F5F13">
        <w:t>2011</w:t>
      </w:r>
      <w:r w:rsidR="00747B91">
        <w:t>)</w:t>
      </w:r>
      <w:r w:rsidRPr="001F5F13">
        <w:t xml:space="preserve">. Longitudinal links </w:t>
      </w:r>
      <w:r w:rsidRPr="00D415D2">
        <w:t>between impulsivity, gambling problems and depressive s</w:t>
      </w:r>
      <w:r>
        <w:t>ymptoms: A</w:t>
      </w:r>
      <w:r w:rsidRPr="001F5F13">
        <w:t xml:space="preserve"> transactional model </w:t>
      </w:r>
      <w:r w:rsidRPr="00D415D2">
        <w:t xml:space="preserve">from adolescence to early adulthood. </w:t>
      </w:r>
      <w:r>
        <w:rPr>
          <w:i/>
        </w:rPr>
        <w:t>Journal of Child P</w:t>
      </w:r>
      <w:r w:rsidRPr="00346F0C">
        <w:rPr>
          <w:i/>
        </w:rPr>
        <w:t>sychol</w:t>
      </w:r>
      <w:r>
        <w:rPr>
          <w:i/>
        </w:rPr>
        <w:t>ogy and Psychiatry, and A</w:t>
      </w:r>
      <w:r w:rsidRPr="00346F0C">
        <w:rPr>
          <w:i/>
        </w:rPr>
        <w:t xml:space="preserve">llied </w:t>
      </w:r>
      <w:r>
        <w:rPr>
          <w:i/>
        </w:rPr>
        <w:t>D</w:t>
      </w:r>
      <w:r w:rsidRPr="00346F0C">
        <w:rPr>
          <w:i/>
        </w:rPr>
        <w:t>isciplines, 52</w:t>
      </w:r>
      <w:r>
        <w:rPr>
          <w:i/>
        </w:rPr>
        <w:t xml:space="preserve"> </w:t>
      </w:r>
      <w:r>
        <w:t>(2)</w:t>
      </w:r>
      <w:r w:rsidRPr="00D415D2">
        <w:t>, 130-138.</w:t>
      </w:r>
      <w:r>
        <w:t xml:space="preserve"> doi: </w:t>
      </w:r>
      <w:r w:rsidRPr="00346F0C">
        <w:t>10.1111/j.1469-7610.2010.02313.x</w:t>
      </w:r>
    </w:p>
    <w:p w14:paraId="3479146E" w14:textId="273986D1" w:rsidR="00727FB1" w:rsidRPr="00727FB1" w:rsidRDefault="00727FB1" w:rsidP="00DC248F">
      <w:pPr>
        <w:ind w:left="567" w:hanging="567"/>
      </w:pPr>
      <w:r w:rsidRPr="00727FB1">
        <w:t xml:space="preserve">Dyall, L. </w:t>
      </w:r>
      <w:r w:rsidR="00747B91">
        <w:t>(</w:t>
      </w:r>
      <w:r w:rsidRPr="00727FB1">
        <w:t>2010</w:t>
      </w:r>
      <w:r w:rsidR="00747B91">
        <w:t>)</w:t>
      </w:r>
      <w:r w:rsidRPr="00727FB1">
        <w:t xml:space="preserve">. Gambling and Whānau Ora: Changing Lifestyles and Life Choices. </w:t>
      </w:r>
      <w:r w:rsidRPr="00727FB1">
        <w:rPr>
          <w:i/>
        </w:rPr>
        <w:t>He Pukenga Kōrero (A Journal of Māori Studies) 9</w:t>
      </w:r>
      <w:r w:rsidRPr="00727FB1">
        <w:t>(2), 35-43.</w:t>
      </w:r>
    </w:p>
    <w:p w14:paraId="5FF85F18" w14:textId="46B005E0" w:rsidR="002A7B5E" w:rsidRPr="00D415D2" w:rsidRDefault="002A7B5E" w:rsidP="00DC248F">
      <w:pPr>
        <w:ind w:left="567" w:hanging="567"/>
      </w:pPr>
      <w:r w:rsidRPr="00D415D2">
        <w:t xml:space="preserve">Dyall, L., Thomas, Y., &amp; Thomas, D. </w:t>
      </w:r>
      <w:r w:rsidR="00747B91">
        <w:t>(</w:t>
      </w:r>
      <w:r w:rsidRPr="00D415D2">
        <w:t>2009a</w:t>
      </w:r>
      <w:r w:rsidR="00747B91">
        <w:t>)</w:t>
      </w:r>
      <w:r w:rsidRPr="00D415D2">
        <w:t xml:space="preserve">. </w:t>
      </w:r>
      <w:r w:rsidRPr="00E26C26">
        <w:rPr>
          <w:i/>
        </w:rPr>
        <w:t>The impact of gambling on Māori:</w:t>
      </w:r>
      <w:r w:rsidRPr="001F5F13">
        <w:t xml:space="preserve"> Report prepared for </w:t>
      </w:r>
      <w:r w:rsidRPr="00D415D2">
        <w:t>Nga Pae o te Maramatanga.</w:t>
      </w:r>
    </w:p>
    <w:p w14:paraId="5664F316" w14:textId="0DA79C6F" w:rsidR="002A7B5E" w:rsidRDefault="002A7B5E" w:rsidP="00DC248F">
      <w:pPr>
        <w:ind w:left="567" w:hanging="567"/>
      </w:pPr>
      <w:r w:rsidRPr="00D415D2">
        <w:t>Dyal</w:t>
      </w:r>
      <w:r w:rsidR="001756EA">
        <w:t xml:space="preserve">l, L., Tse, S. &amp; Kingi, A. </w:t>
      </w:r>
      <w:r w:rsidR="00747B91">
        <w:t>(</w:t>
      </w:r>
      <w:r w:rsidR="001756EA">
        <w:t>2009</w:t>
      </w:r>
      <w:r w:rsidR="00747B91">
        <w:t>)</w:t>
      </w:r>
      <w:r>
        <w:t>. Cultural icons and marketing of g</w:t>
      </w:r>
      <w:r w:rsidRPr="00D415D2">
        <w:t xml:space="preserve">ambling. </w:t>
      </w:r>
      <w:r w:rsidRPr="00E26C26">
        <w:rPr>
          <w:i/>
        </w:rPr>
        <w:t>International Journal of Mental Health and Addiction, 7,</w:t>
      </w:r>
      <w:r w:rsidRPr="00D415D2">
        <w:t xml:space="preserve"> 84-96.</w:t>
      </w:r>
      <w:r>
        <w:t xml:space="preserve"> doi:</w:t>
      </w:r>
      <w:r w:rsidRPr="00E26C26">
        <w:t xml:space="preserve"> 10.1007/s11469-007-9145-x</w:t>
      </w:r>
    </w:p>
    <w:p w14:paraId="59B61BC9" w14:textId="281A7F76" w:rsidR="002A7B5E" w:rsidRPr="00D415D2" w:rsidRDefault="002A7B5E" w:rsidP="00DC248F">
      <w:pPr>
        <w:ind w:left="567" w:hanging="567"/>
      </w:pPr>
      <w:r w:rsidRPr="00D415D2">
        <w:t xml:space="preserve">Dyall, L. </w:t>
      </w:r>
      <w:r w:rsidR="00747B91">
        <w:t>(</w:t>
      </w:r>
      <w:r w:rsidRPr="00D415D2">
        <w:t>200</w:t>
      </w:r>
      <w:r>
        <w:t>7</w:t>
      </w:r>
      <w:r w:rsidR="00747B91">
        <w:t>)</w:t>
      </w:r>
      <w:r>
        <w:t>. Gambling, social disorganisation and d</w:t>
      </w:r>
      <w:r w:rsidRPr="00D415D2">
        <w:t xml:space="preserve">eprivation. </w:t>
      </w:r>
      <w:r w:rsidRPr="006D7B97">
        <w:rPr>
          <w:i/>
        </w:rPr>
        <w:t>International Journal of Mental Health and Addiction, 5,</w:t>
      </w:r>
      <w:r w:rsidRPr="00D415D2">
        <w:t xml:space="preserve"> 320-330.</w:t>
      </w:r>
      <w:r>
        <w:t xml:space="preserve"> doi: </w:t>
      </w:r>
      <w:r w:rsidRPr="006D7B97">
        <w:t>10.1007/s11469-007-9085-5</w:t>
      </w:r>
    </w:p>
    <w:p w14:paraId="6C458A7A" w14:textId="4654463A" w:rsidR="002A7B5E" w:rsidRPr="00D415D2" w:rsidRDefault="002A7B5E" w:rsidP="00DC248F">
      <w:pPr>
        <w:ind w:left="567" w:hanging="567"/>
      </w:pPr>
      <w:r w:rsidRPr="00D415D2">
        <w:t xml:space="preserve">Dyall, L. </w:t>
      </w:r>
      <w:r w:rsidR="00747B91">
        <w:t>(</w:t>
      </w:r>
      <w:r w:rsidRPr="00D415D2">
        <w:t>2004</w:t>
      </w:r>
      <w:r w:rsidR="00747B91">
        <w:t>)</w:t>
      </w:r>
      <w:r w:rsidRPr="00D415D2">
        <w:t xml:space="preserve">. Gambling: A social hazard. </w:t>
      </w:r>
      <w:r w:rsidRPr="00346F0C">
        <w:rPr>
          <w:i/>
        </w:rPr>
        <w:t>Social Policy Journal of New Zealand</w:t>
      </w:r>
      <w:r w:rsidRPr="00D415D2">
        <w:t>,</w:t>
      </w:r>
      <w:r>
        <w:t xml:space="preserve"> </w:t>
      </w:r>
      <w:r w:rsidRPr="00346F0C">
        <w:rPr>
          <w:i/>
        </w:rPr>
        <w:t>21</w:t>
      </w:r>
      <w:r w:rsidRPr="00D415D2">
        <w:t xml:space="preserve"> 22-40.</w:t>
      </w:r>
      <w:r>
        <w:t xml:space="preserve"> Retrieved from: </w:t>
      </w:r>
      <w:r w:rsidRPr="006D7B97">
        <w:t>https://www.msd.govt.nz/documents/about-msd-and-our-work/publications-resources/journals-and-magazines/social-policy-journal/spj21/21-pages22-40.pdf</w:t>
      </w:r>
    </w:p>
    <w:p w14:paraId="2EC27C4E" w14:textId="4C7AA9C9" w:rsidR="001B2940" w:rsidRPr="00D415D2" w:rsidRDefault="001B2940" w:rsidP="00DC248F">
      <w:pPr>
        <w:ind w:left="567" w:hanging="567"/>
      </w:pPr>
      <w:r w:rsidRPr="00D415D2">
        <w:t>Dyall, L., &amp; Hand</w:t>
      </w:r>
      <w:r w:rsidRPr="00D415D2">
        <w:rPr>
          <w:caps/>
        </w:rPr>
        <w:t>, J.</w:t>
      </w:r>
      <w:r w:rsidRPr="00D415D2">
        <w:t xml:space="preserve"> </w:t>
      </w:r>
      <w:r w:rsidR="00747B91">
        <w:t>(</w:t>
      </w:r>
      <w:r w:rsidRPr="00D415D2">
        <w:t>2003</w:t>
      </w:r>
      <w:r w:rsidR="00747B91">
        <w:t>)</w:t>
      </w:r>
      <w:r w:rsidRPr="00D415D2">
        <w:t xml:space="preserve">. </w:t>
      </w:r>
      <w:r w:rsidRPr="0060218C">
        <w:t>Māori</w:t>
      </w:r>
      <w:r w:rsidRPr="00955065">
        <w:t xml:space="preserve"> </w:t>
      </w:r>
      <w:r>
        <w:t>and gambling:</w:t>
      </w:r>
      <w:r w:rsidR="00BB6B8F">
        <w:t xml:space="preserve"> Why a</w:t>
      </w:r>
      <w:r w:rsidRPr="00D415D2">
        <w:t xml:space="preserve"> comprehensive publ</w:t>
      </w:r>
      <w:r w:rsidRPr="001F5F13">
        <w:t>ic health response</w:t>
      </w:r>
      <w:r w:rsidR="00BB6B8F">
        <w:t xml:space="preserve"> is</w:t>
      </w:r>
      <w:r w:rsidRPr="001F5F13">
        <w:t xml:space="preserve"> required in </w:t>
      </w:r>
      <w:r w:rsidRPr="00D415D2">
        <w:t>New Zealand</w:t>
      </w:r>
      <w:r>
        <w:t xml:space="preserve">, </w:t>
      </w:r>
      <w:r w:rsidRPr="006D7B97">
        <w:rPr>
          <w:i/>
        </w:rPr>
        <w:t>International Journal of Mental Health &amp; Addiction, 1</w:t>
      </w:r>
      <w:r w:rsidRPr="00D415D2">
        <w:t>(1).</w:t>
      </w:r>
      <w:r>
        <w:t xml:space="preserve"> doi: </w:t>
      </w:r>
      <w:r w:rsidRPr="006D7B97">
        <w:t>http://hdl.ha</w:t>
      </w:r>
      <w:r>
        <w:t>-</w:t>
      </w:r>
      <w:r w:rsidRPr="006D7B97">
        <w:t>ndle.net/1880/47857</w:t>
      </w:r>
    </w:p>
    <w:p w14:paraId="1B58013F" w14:textId="0BA51E7F" w:rsidR="00727FB1" w:rsidRPr="00727FB1" w:rsidRDefault="00727FB1" w:rsidP="00DC248F">
      <w:pPr>
        <w:ind w:left="567" w:hanging="567"/>
      </w:pPr>
      <w:r w:rsidRPr="00727FB1">
        <w:t xml:space="preserve">Dyall, L., &amp; Morrison, L. </w:t>
      </w:r>
      <w:r w:rsidR="00747B91">
        <w:t>(</w:t>
      </w:r>
      <w:r w:rsidRPr="00727FB1">
        <w:t>2002</w:t>
      </w:r>
      <w:r w:rsidR="00747B91">
        <w:t>)</w:t>
      </w:r>
      <w:r w:rsidRPr="00727FB1">
        <w:t xml:space="preserve">. </w:t>
      </w:r>
      <w:r w:rsidR="002901C9">
        <w:t>Māori</w:t>
      </w:r>
      <w:r w:rsidRPr="00727FB1">
        <w:t xml:space="preserve">, the Treaty of Waitangi and gambling. In B. Curtis (Ed.), </w:t>
      </w:r>
      <w:r w:rsidRPr="00727FB1">
        <w:rPr>
          <w:i/>
        </w:rPr>
        <w:t>Gambling in New Zealand</w:t>
      </w:r>
      <w:r w:rsidRPr="00727FB1">
        <w:t>. Palmerston North: Dunmore Press.</w:t>
      </w:r>
    </w:p>
    <w:p w14:paraId="3C6A82CE" w14:textId="7AA7648D" w:rsidR="00725CBF" w:rsidRPr="00DF465C" w:rsidRDefault="00725CBF" w:rsidP="00DC248F">
      <w:pPr>
        <w:ind w:left="567" w:hanging="567"/>
      </w:pPr>
      <w:r>
        <w:t xml:space="preserve">Elder, </w:t>
      </w:r>
      <w:r w:rsidR="000063F5">
        <w:t xml:space="preserve">G., Johnson, M., &amp; Crosnoe, R. (2003). The emergence and development of life course theory. In </w:t>
      </w:r>
      <w:r w:rsidR="00DF465C">
        <w:t xml:space="preserve">J. DeLamater (Ed.) </w:t>
      </w:r>
      <w:r w:rsidR="00DF465C">
        <w:rPr>
          <w:i/>
        </w:rPr>
        <w:t>Handbooks of Sociology and Social Research</w:t>
      </w:r>
      <w:r w:rsidR="00DF465C">
        <w:t>. US: Springer</w:t>
      </w:r>
    </w:p>
    <w:p w14:paraId="32248ED9" w14:textId="187A1E3F" w:rsidR="001B2940" w:rsidRPr="008067BD" w:rsidRDefault="001B2940" w:rsidP="00DC248F">
      <w:pPr>
        <w:ind w:left="567" w:hanging="567"/>
        <w:rPr>
          <w:rFonts w:cs="Arial"/>
        </w:rPr>
      </w:pPr>
      <w:r w:rsidRPr="00D415D2">
        <w:t>El-Guebaly, N., Patten, S., Currie, S., Williams, J. A., Beck, C.</w:t>
      </w:r>
      <w:r w:rsidRPr="001F5F13">
        <w:t xml:space="preserve">, Maxwell, C. &amp; Wang, J. </w:t>
      </w:r>
      <w:r w:rsidR="00747B91">
        <w:t>(</w:t>
      </w:r>
      <w:r w:rsidRPr="001F5F13">
        <w:t>2006</w:t>
      </w:r>
      <w:r w:rsidR="00747B91">
        <w:t>)</w:t>
      </w:r>
      <w:r w:rsidRPr="001F5F13">
        <w:t xml:space="preserve">. </w:t>
      </w:r>
      <w:r>
        <w:t>Epidemiological associations between gambling b</w:t>
      </w:r>
      <w:r w:rsidRPr="00D415D2">
        <w:t>eha</w:t>
      </w:r>
      <w:r>
        <w:t>vior, substance use &amp; m</w:t>
      </w:r>
      <w:r w:rsidRPr="001F5F13">
        <w:t xml:space="preserve">ood and </w:t>
      </w:r>
      <w:r>
        <w:t xml:space="preserve">anxiety </w:t>
      </w:r>
      <w:r w:rsidRPr="008067BD">
        <w:rPr>
          <w:rFonts w:cs="Arial"/>
        </w:rPr>
        <w:t xml:space="preserve">disorders. </w:t>
      </w:r>
      <w:r w:rsidRPr="008067BD">
        <w:rPr>
          <w:rFonts w:cs="Arial"/>
          <w:i/>
        </w:rPr>
        <w:t xml:space="preserve">Journal of Gambling Studies, 22 </w:t>
      </w:r>
      <w:r w:rsidRPr="008067BD">
        <w:rPr>
          <w:rFonts w:cs="Arial"/>
        </w:rPr>
        <w:t>(3), 275-287. doi: 10.1007/s10899-006-9016-6</w:t>
      </w:r>
    </w:p>
    <w:p w14:paraId="53A6A2A3" w14:textId="7DF85E48" w:rsidR="00A80DEC" w:rsidRPr="00A80DEC" w:rsidRDefault="00A80DEC" w:rsidP="00A80DEC">
      <w:pPr>
        <w:ind w:left="567" w:hanging="567"/>
        <w:rPr>
          <w:rFonts w:cs="Arial"/>
          <w:shd w:val="clear" w:color="auto" w:fill="FFFFFF"/>
        </w:rPr>
      </w:pPr>
      <w:r w:rsidRPr="00A80DEC">
        <w:rPr>
          <w:rFonts w:cs="Arial"/>
          <w:shd w:val="clear" w:color="auto" w:fill="FFFFFF"/>
        </w:rPr>
        <w:t xml:space="preserve">Ellis, P. M., &amp; Collings, S. C. </w:t>
      </w:r>
      <w:r w:rsidR="00747B91">
        <w:rPr>
          <w:rFonts w:cs="Arial"/>
          <w:shd w:val="clear" w:color="auto" w:fill="FFFFFF"/>
        </w:rPr>
        <w:t>(</w:t>
      </w:r>
      <w:r w:rsidRPr="00A80DEC">
        <w:rPr>
          <w:rFonts w:cs="Arial"/>
          <w:shd w:val="clear" w:color="auto" w:fill="FFFFFF"/>
        </w:rPr>
        <w:t>1997</w:t>
      </w:r>
      <w:r w:rsidR="00747B91">
        <w:rPr>
          <w:rFonts w:cs="Arial"/>
          <w:shd w:val="clear" w:color="auto" w:fill="FFFFFF"/>
        </w:rPr>
        <w:t>)</w:t>
      </w:r>
      <w:r w:rsidRPr="00A80DEC">
        <w:rPr>
          <w:rFonts w:cs="Arial"/>
          <w:shd w:val="clear" w:color="auto" w:fill="FFFFFF"/>
        </w:rPr>
        <w:t>. Mental health in New Zealand from a public health perspective: Public health report 3. Wellington: New Zealand.</w:t>
      </w:r>
      <w:r w:rsidR="008610D3">
        <w:rPr>
          <w:rFonts w:cs="Arial"/>
          <w:shd w:val="clear" w:color="auto" w:fill="FFFFFF"/>
        </w:rPr>
        <w:t xml:space="preserve"> </w:t>
      </w:r>
    </w:p>
    <w:p w14:paraId="520DC6A0" w14:textId="605C9F9A" w:rsidR="00A80DEC" w:rsidRPr="00A80DEC" w:rsidRDefault="00A80DEC" w:rsidP="00A80DEC">
      <w:pPr>
        <w:ind w:left="567" w:hanging="567"/>
        <w:rPr>
          <w:rFonts w:cs="Arial"/>
          <w:shd w:val="clear" w:color="auto" w:fill="FFFFFF"/>
        </w:rPr>
      </w:pPr>
      <w:r w:rsidRPr="00A80DEC">
        <w:rPr>
          <w:rFonts w:cs="Arial"/>
          <w:shd w:val="clear" w:color="auto" w:fill="FFFFFF"/>
        </w:rPr>
        <w:t xml:space="preserve">England, M. J. </w:t>
      </w:r>
      <w:r w:rsidR="00747B91">
        <w:rPr>
          <w:rFonts w:cs="Arial"/>
          <w:shd w:val="clear" w:color="auto" w:fill="FFFFFF"/>
        </w:rPr>
        <w:t>(</w:t>
      </w:r>
      <w:r w:rsidRPr="00A80DEC">
        <w:rPr>
          <w:rFonts w:cs="Arial"/>
          <w:shd w:val="clear" w:color="auto" w:fill="FFFFFF"/>
        </w:rPr>
        <w:t>2012</w:t>
      </w:r>
      <w:r w:rsidR="00747B91">
        <w:rPr>
          <w:rFonts w:cs="Arial"/>
          <w:shd w:val="clear" w:color="auto" w:fill="FFFFFF"/>
        </w:rPr>
        <w:t>)</w:t>
      </w:r>
      <w:r w:rsidRPr="00A80DEC">
        <w:rPr>
          <w:rFonts w:cs="Arial"/>
          <w:shd w:val="clear" w:color="auto" w:fill="FFFFFF"/>
        </w:rPr>
        <w:t>. Epilepsy across the spectrum. [electronic resource] : promoting health and understanding. Washington, D.C. : National Academies Press, c2012. Retrieved from http://ezproxy.cqu.edu.au/login?url=http://search.ebscohost.com/login.aspx?direct=true&amp;db=cat00311a&amp;AN=cqu.1040923&amp;site=eds-live&amp;scope=site</w:t>
      </w:r>
    </w:p>
    <w:p w14:paraId="3F88D7D3" w14:textId="7853B73F" w:rsidR="001B2940" w:rsidRPr="008067BD" w:rsidRDefault="001B2940" w:rsidP="00DC248F">
      <w:pPr>
        <w:ind w:left="567" w:hanging="567"/>
        <w:rPr>
          <w:rFonts w:cs="Arial"/>
          <w:shd w:val="clear" w:color="auto" w:fill="FFFFFF"/>
        </w:rPr>
      </w:pPr>
      <w:r w:rsidRPr="008067BD">
        <w:rPr>
          <w:rFonts w:cs="Arial"/>
          <w:shd w:val="clear" w:color="auto" w:fill="FFFFFF"/>
        </w:rPr>
        <w:t xml:space="preserve">Families Commission. </w:t>
      </w:r>
      <w:r w:rsidR="00747B91">
        <w:rPr>
          <w:rFonts w:cs="Arial"/>
          <w:shd w:val="clear" w:color="auto" w:fill="FFFFFF"/>
        </w:rPr>
        <w:t>(</w:t>
      </w:r>
      <w:r w:rsidRPr="008067BD">
        <w:rPr>
          <w:rFonts w:cs="Arial"/>
          <w:shd w:val="clear" w:color="auto" w:fill="FFFFFF"/>
        </w:rPr>
        <w:t>2012</w:t>
      </w:r>
      <w:r w:rsidR="00747B91">
        <w:rPr>
          <w:rFonts w:cs="Arial"/>
          <w:shd w:val="clear" w:color="auto" w:fill="FFFFFF"/>
        </w:rPr>
        <w:t>)</w:t>
      </w:r>
      <w:r w:rsidRPr="008067BD">
        <w:rPr>
          <w:rFonts w:cs="Arial"/>
          <w:shd w:val="clear" w:color="auto" w:fill="FFFFFF"/>
        </w:rPr>
        <w:t>.</w:t>
      </w:r>
      <w:r w:rsidRPr="008067BD">
        <w:rPr>
          <w:rStyle w:val="apple-converted-space"/>
          <w:rFonts w:cs="Arial"/>
          <w:shd w:val="clear" w:color="auto" w:fill="FFFFFF"/>
        </w:rPr>
        <w:t> </w:t>
      </w:r>
      <w:r w:rsidRPr="008067BD">
        <w:rPr>
          <w:rFonts w:cs="Arial"/>
          <w:i/>
          <w:iCs/>
          <w:shd w:val="clear" w:color="auto" w:fill="FFFFFF"/>
        </w:rPr>
        <w:t>Research Report 06: Pacific Families and Problem Debt</w:t>
      </w:r>
      <w:r w:rsidRPr="008067BD">
        <w:rPr>
          <w:rFonts w:cs="Arial"/>
          <w:i/>
          <w:shd w:val="clear" w:color="auto" w:fill="FFFFFF"/>
        </w:rPr>
        <w:t>.</w:t>
      </w:r>
      <w:r w:rsidRPr="008067BD">
        <w:rPr>
          <w:rFonts w:cs="Arial"/>
          <w:shd w:val="clear" w:color="auto" w:fill="FFFFFF"/>
        </w:rPr>
        <w:t xml:space="preserve"> Wellington: Families Commission</w:t>
      </w:r>
    </w:p>
    <w:p w14:paraId="2E0CE680" w14:textId="1B9473B8" w:rsidR="00727CBD" w:rsidRPr="00727CBD" w:rsidRDefault="00727CBD" w:rsidP="00DC248F">
      <w:pPr>
        <w:ind w:left="567" w:hanging="567"/>
      </w:pPr>
      <w:r>
        <w:t xml:space="preserve">Fan, W., &amp; Yan, Z. (2010). Factors affecting response rates of the web survey: A systematic review. </w:t>
      </w:r>
      <w:r w:rsidRPr="00727CBD">
        <w:rPr>
          <w:i/>
        </w:rPr>
        <w:t>Computers in Human Behaviour</w:t>
      </w:r>
      <w:r>
        <w:t xml:space="preserve">, </w:t>
      </w:r>
      <w:r>
        <w:rPr>
          <w:i/>
        </w:rPr>
        <w:t>26</w:t>
      </w:r>
      <w:r>
        <w:t xml:space="preserve">, 132-139. doi: </w:t>
      </w:r>
      <w:r w:rsidRPr="00727CBD">
        <w:t>10.1016/j.chb.2009.10.015</w:t>
      </w:r>
      <w:r>
        <w:t xml:space="preserve"> </w:t>
      </w:r>
    </w:p>
    <w:p w14:paraId="7FCC8DF1" w14:textId="18AA967B" w:rsidR="001B2940" w:rsidRDefault="001B2940" w:rsidP="00DC248F">
      <w:pPr>
        <w:ind w:left="567" w:hanging="567"/>
      </w:pPr>
      <w:r w:rsidRPr="00D415D2">
        <w:lastRenderedPageBreak/>
        <w:t xml:space="preserve">Ferland, F., Fournier, P.-M., Ladouceur, R., Brochu, P., Bouchard, M. &amp; Pâquet, L. </w:t>
      </w:r>
      <w:r w:rsidR="00747B91">
        <w:t>(</w:t>
      </w:r>
      <w:r w:rsidRPr="00D415D2">
        <w:t>2008</w:t>
      </w:r>
      <w:r w:rsidR="00747B91">
        <w:t>)</w:t>
      </w:r>
      <w:r w:rsidRPr="00D415D2">
        <w:t>.</w:t>
      </w:r>
      <w:r>
        <w:t xml:space="preserve"> </w:t>
      </w:r>
      <w:r w:rsidRPr="00D415D2">
        <w:t xml:space="preserve">Consequences of pathological gambling on the gambler and his spouse. </w:t>
      </w:r>
      <w:r w:rsidRPr="00E26C26">
        <w:rPr>
          <w:i/>
        </w:rPr>
        <w:t>Journal of Gambling Issues</w:t>
      </w:r>
      <w:r w:rsidRPr="00D415D2">
        <w:t>,</w:t>
      </w:r>
      <w:r>
        <w:t xml:space="preserve"> </w:t>
      </w:r>
      <w:r w:rsidRPr="00814CF3">
        <w:rPr>
          <w:i/>
        </w:rPr>
        <w:t>22,</w:t>
      </w:r>
      <w:r w:rsidRPr="00D415D2">
        <w:t xml:space="preserve"> 219-229.</w:t>
      </w:r>
      <w:r>
        <w:t xml:space="preserve"> doi: </w:t>
      </w:r>
      <w:r w:rsidRPr="00814CF3">
        <w:t>10.4309/jgi.2008.22.5</w:t>
      </w:r>
    </w:p>
    <w:p w14:paraId="7A8DAF47" w14:textId="64AE0FF7" w:rsidR="00C86901" w:rsidRDefault="00C86901" w:rsidP="00DC248F">
      <w:pPr>
        <w:ind w:left="567" w:hanging="567"/>
      </w:pPr>
      <w:r w:rsidRPr="00C86901">
        <w:t xml:space="preserve">Flynn, T. N. (2010). Using conjoint analysis and choice experiments to estimate QALY values: issues to consider. </w:t>
      </w:r>
      <w:r w:rsidRPr="00C86901">
        <w:rPr>
          <w:i/>
        </w:rPr>
        <w:t>PharmacoEconomics, 28</w:t>
      </w:r>
      <w:r w:rsidRPr="00C86901">
        <w:t>(9), 711–722. http://doi.org/10.2165/11535660-000000000-00000</w:t>
      </w:r>
    </w:p>
    <w:p w14:paraId="5F897A33" w14:textId="2ED6ADEC" w:rsidR="00C86901" w:rsidRDefault="00C86901" w:rsidP="00DC248F">
      <w:pPr>
        <w:ind w:left="567" w:hanging="567"/>
      </w:pPr>
      <w:r w:rsidRPr="00C86901">
        <w:t xml:space="preserve">Flynn, T. N., Louviere, J. J., Peters, T. J., &amp; Coast, J. (2010). Using discrete choice experiments to understand preferences for quality of life. Variance-scale heterogeneity matters. </w:t>
      </w:r>
      <w:r w:rsidRPr="00C86901">
        <w:rPr>
          <w:i/>
        </w:rPr>
        <w:t>Social Science &amp; Medicine, 70</w:t>
      </w:r>
      <w:r w:rsidRPr="00C86901">
        <w:t>(12), 1957–1965. http://doi.org/10.1016/j.socscimed.2010.03.008</w:t>
      </w:r>
    </w:p>
    <w:p w14:paraId="656E6403" w14:textId="4ECE230A" w:rsidR="001B2940" w:rsidRPr="00D415D2" w:rsidRDefault="001B2940" w:rsidP="00DC248F">
      <w:pPr>
        <w:ind w:left="567" w:hanging="567"/>
      </w:pPr>
      <w:r w:rsidRPr="00D415D2">
        <w:t xml:space="preserve">Fong, T. </w:t>
      </w:r>
      <w:r w:rsidR="00747B91">
        <w:t>(</w:t>
      </w:r>
      <w:r w:rsidRPr="00D415D2">
        <w:t>2005</w:t>
      </w:r>
      <w:r w:rsidR="00747B91">
        <w:t>)</w:t>
      </w:r>
      <w:r w:rsidRPr="00D415D2">
        <w:t xml:space="preserve">. </w:t>
      </w:r>
      <w:r w:rsidRPr="001F5F13">
        <w:t>Pathological gambling in adolescents: N</w:t>
      </w:r>
      <w:r w:rsidRPr="00955065">
        <w:t xml:space="preserve">o longer child's play. </w:t>
      </w:r>
      <w:r w:rsidRPr="00814CF3">
        <w:rPr>
          <w:i/>
        </w:rPr>
        <w:t xml:space="preserve">Adolescent Psychiatry, 29, </w:t>
      </w:r>
      <w:r w:rsidRPr="00D415D2">
        <w:t>119.</w:t>
      </w:r>
    </w:p>
    <w:p w14:paraId="56FFC4E5" w14:textId="3BE5B305" w:rsidR="001B2940" w:rsidRPr="00D415D2" w:rsidRDefault="001B2940" w:rsidP="00DC248F">
      <w:pPr>
        <w:ind w:left="567" w:hanging="567"/>
      </w:pPr>
      <w:r w:rsidRPr="00D415D2">
        <w:t>Gainsbury, S., Blankers, M., Wilkinson, C., Schelleman-Off</w:t>
      </w:r>
      <w:r w:rsidRPr="001F5F13">
        <w:t xml:space="preserve">ermans, K. &amp; Cousijn, J. </w:t>
      </w:r>
      <w:r w:rsidR="00747B91">
        <w:t>(</w:t>
      </w:r>
      <w:r w:rsidRPr="001F5F13">
        <w:t>2013</w:t>
      </w:r>
      <w:r w:rsidR="00747B91">
        <w:t>)</w:t>
      </w:r>
      <w:r w:rsidRPr="001F5F13">
        <w:t xml:space="preserve">. </w:t>
      </w:r>
      <w:r w:rsidRPr="00D415D2">
        <w:t>Recommendations for international gambling harm-minim</w:t>
      </w:r>
      <w:r>
        <w:t>isation guidelines: C</w:t>
      </w:r>
      <w:r w:rsidRPr="001F5F13">
        <w:t xml:space="preserve">omparison </w:t>
      </w:r>
      <w:r w:rsidRPr="00D415D2">
        <w:t xml:space="preserve">with effective public health policy. </w:t>
      </w:r>
      <w:r w:rsidRPr="00814CF3">
        <w:rPr>
          <w:i/>
        </w:rPr>
        <w:t>Journal of Gambling Studies</w:t>
      </w:r>
      <w:r>
        <w:rPr>
          <w:i/>
        </w:rPr>
        <w:t xml:space="preserve"> 30</w:t>
      </w:r>
      <w:r>
        <w:t>(4)</w:t>
      </w:r>
      <w:r w:rsidRPr="00814CF3">
        <w:rPr>
          <w:i/>
        </w:rPr>
        <w:t>,</w:t>
      </w:r>
      <w:r w:rsidRPr="00D415D2">
        <w:t xml:space="preserve"> 1-18.</w:t>
      </w:r>
      <w:r>
        <w:t xml:space="preserve"> doi: </w:t>
      </w:r>
      <w:r w:rsidRPr="00814CF3">
        <w:t>10.1007/s10899-013-9389-2</w:t>
      </w:r>
    </w:p>
    <w:p w14:paraId="2D315E0F" w14:textId="1BFCCDD6" w:rsidR="001B2940" w:rsidRPr="00D415D2" w:rsidRDefault="001B2940" w:rsidP="00DC248F">
      <w:pPr>
        <w:ind w:left="567" w:hanging="567"/>
      </w:pPr>
      <w:r w:rsidRPr="00D415D2">
        <w:t xml:space="preserve">Gainsbury, S. &amp; Blaszczynski, A. </w:t>
      </w:r>
      <w:r w:rsidR="00747B91">
        <w:t>(</w:t>
      </w:r>
      <w:r w:rsidRPr="00D415D2">
        <w:t>2012</w:t>
      </w:r>
      <w:r w:rsidR="00747B91">
        <w:t>)</w:t>
      </w:r>
      <w:r w:rsidRPr="00D415D2">
        <w:t xml:space="preserve">. Harm minimisation: Gambling. In: </w:t>
      </w:r>
      <w:r>
        <w:t>R</w:t>
      </w:r>
      <w:r w:rsidRPr="00D415D2">
        <w:t>.</w:t>
      </w:r>
      <w:r>
        <w:t xml:space="preserve"> Pates</w:t>
      </w:r>
      <w:r w:rsidRPr="00D415D2">
        <w:t xml:space="preserve"> &amp; </w:t>
      </w:r>
      <w:r>
        <w:t>D.M., Riley</w:t>
      </w:r>
      <w:r w:rsidRPr="001F5F13">
        <w:t xml:space="preserve"> </w:t>
      </w:r>
      <w:r w:rsidRPr="00D415D2">
        <w:t xml:space="preserve">(eds.) </w:t>
      </w:r>
      <w:r w:rsidRPr="00814CF3">
        <w:rPr>
          <w:i/>
        </w:rPr>
        <w:t>Harm reduction in substance use and high-risk behaviour: International policy and practice.</w:t>
      </w:r>
      <w:r w:rsidRPr="00D415D2">
        <w:t xml:space="preserve"> West Sussex: Blackwell Publishing.</w:t>
      </w:r>
    </w:p>
    <w:p w14:paraId="39C0EA6C" w14:textId="32A2D708" w:rsidR="004749FD" w:rsidRPr="004749FD" w:rsidRDefault="004749FD" w:rsidP="00DC248F">
      <w:pPr>
        <w:ind w:left="567" w:hanging="567"/>
      </w:pPr>
      <w:r w:rsidRPr="004749FD">
        <w:t>Gainsbury, S., Wood, R., Russell, A.</w:t>
      </w:r>
      <w:r w:rsidR="002C0907">
        <w:t xml:space="preserve">, Hing, N., &amp; Blaszczynski, A. </w:t>
      </w:r>
      <w:r w:rsidR="00747B91">
        <w:t>(</w:t>
      </w:r>
      <w:r w:rsidRPr="004749FD">
        <w:t>2012</w:t>
      </w:r>
      <w:r w:rsidR="00747B91">
        <w:t>)</w:t>
      </w:r>
      <w:r w:rsidRPr="004749FD">
        <w:t xml:space="preserve">. A digital revolution: comparison of demographic profiles, attitudes and gambling behaviour of internet and non-internet gamblers. </w:t>
      </w:r>
      <w:r w:rsidRPr="004749FD">
        <w:rPr>
          <w:i/>
        </w:rPr>
        <w:t>Computers in Human Behaviour, 28</w:t>
      </w:r>
      <w:r w:rsidRPr="004749FD">
        <w:t xml:space="preserve">(4), 1388-1398. </w:t>
      </w:r>
    </w:p>
    <w:p w14:paraId="169FB79B" w14:textId="6468CCAF" w:rsidR="0044690A" w:rsidRPr="0044690A" w:rsidRDefault="0044690A" w:rsidP="00DC248F">
      <w:pPr>
        <w:ind w:left="567" w:hanging="567"/>
      </w:pPr>
      <w:r w:rsidRPr="0044690A">
        <w:t xml:space="preserve">Gakidou, E. </w:t>
      </w:r>
      <w:r w:rsidR="002C0907">
        <w:t xml:space="preserve">E., Murray, C. J., &amp; Frenk, J. </w:t>
      </w:r>
      <w:r w:rsidR="00747B91">
        <w:t>(</w:t>
      </w:r>
      <w:r w:rsidRPr="0044690A">
        <w:t>2000</w:t>
      </w:r>
      <w:r w:rsidR="00747B91">
        <w:t>)</w:t>
      </w:r>
      <w:r w:rsidRPr="0044690A">
        <w:t>. Defining and measuring health inequality: an approach based on the distribution of health expectancy</w:t>
      </w:r>
      <w:r w:rsidRPr="0044690A">
        <w:rPr>
          <w:i/>
          <w:iCs/>
        </w:rPr>
        <w:t>. Bulletin of the World Health Organization</w:t>
      </w:r>
      <w:r w:rsidRPr="0044690A">
        <w:t>,</w:t>
      </w:r>
      <w:r>
        <w:t xml:space="preserve"> </w:t>
      </w:r>
      <w:r w:rsidRPr="0044690A">
        <w:rPr>
          <w:i/>
          <w:iCs/>
        </w:rPr>
        <w:t>78</w:t>
      </w:r>
      <w:r w:rsidRPr="0044690A">
        <w:t>(1), 42–54. Retrieve from: http://www.sc</w:t>
      </w:r>
      <w:r>
        <w:t>ielosp.org/scielo.php?pid=S0042</w:t>
      </w:r>
      <w:r w:rsidRPr="0044690A">
        <w:t>96862000000100005&amp;script=sci_arttext</w:t>
      </w:r>
    </w:p>
    <w:p w14:paraId="59F22942" w14:textId="30326E17" w:rsidR="001B2940" w:rsidRDefault="001B2940" w:rsidP="00DC248F">
      <w:pPr>
        <w:ind w:left="567" w:hanging="567"/>
      </w:pPr>
      <w:r w:rsidRPr="00D415D2">
        <w:t xml:space="preserve">Gambling Act. </w:t>
      </w:r>
      <w:r w:rsidR="00747B91">
        <w:t>(</w:t>
      </w:r>
      <w:r w:rsidRPr="00D415D2">
        <w:t>2003</w:t>
      </w:r>
      <w:r w:rsidR="00747B91">
        <w:t>)</w:t>
      </w:r>
      <w:r w:rsidRPr="00D415D2">
        <w:t>. Parliament C</w:t>
      </w:r>
      <w:r w:rsidRPr="001F5F13">
        <w:t xml:space="preserve">ouncil Office. Retrieved from: </w:t>
      </w:r>
      <w:r w:rsidRPr="00814CF3">
        <w:t>http://www.legislation.govt.nz/act/</w:t>
      </w:r>
      <w:r>
        <w:t xml:space="preserve"> </w:t>
      </w:r>
      <w:r w:rsidRPr="00D415D2">
        <w:t>public/2003/0051/latest/DLM207497.html</w:t>
      </w:r>
    </w:p>
    <w:p w14:paraId="3CE0EC00" w14:textId="77777777" w:rsidR="00490924" w:rsidRPr="00490924" w:rsidRDefault="00490924" w:rsidP="00490924">
      <w:pPr>
        <w:ind w:left="567" w:hanging="567"/>
      </w:pPr>
      <w:bookmarkStart w:id="417" w:name="_ENREF_10"/>
      <w:r w:rsidRPr="00490924">
        <w:t xml:space="preserve">Gershenson, J. K., &amp; Stauffer, L. A. (1999). A taxonomy for design requirements from corporate customers. </w:t>
      </w:r>
      <w:r w:rsidRPr="00490924">
        <w:rPr>
          <w:i/>
        </w:rPr>
        <w:t>Research in Engineering Design, 11</w:t>
      </w:r>
      <w:r w:rsidRPr="00490924">
        <w:t xml:space="preserve">(2), 103-115. </w:t>
      </w:r>
      <w:bookmarkEnd w:id="417"/>
    </w:p>
    <w:p w14:paraId="301CFDFC" w14:textId="77777777" w:rsidR="00727FB1" w:rsidRPr="00727FB1" w:rsidRDefault="00727FB1" w:rsidP="00DC248F">
      <w:pPr>
        <w:ind w:left="567" w:hanging="567"/>
      </w:pPr>
      <w:r w:rsidRPr="00727FB1">
        <w:t xml:space="preserve">Grant, D. (1994). </w:t>
      </w:r>
      <w:r w:rsidRPr="00727FB1">
        <w:rPr>
          <w:i/>
        </w:rPr>
        <w:t>On a roll: a history of gambling and lotteries in New Zealand</w:t>
      </w:r>
      <w:r w:rsidRPr="00727FB1">
        <w:t>. Wellington: Victoria University Press.</w:t>
      </w:r>
    </w:p>
    <w:p w14:paraId="2A4D7391" w14:textId="77777777" w:rsidR="00580E36" w:rsidRPr="00580E36" w:rsidRDefault="00580E36" w:rsidP="00DC248F">
      <w:pPr>
        <w:ind w:left="567" w:hanging="567"/>
      </w:pPr>
      <w:r w:rsidRPr="00580E36">
        <w:t xml:space="preserve">Gray, J., Lie, M. L. S., Murtagh, M. J., Ford, G. A., McMeekin, P., &amp; Thomson, R. G. (2014). Health state descriptions to elicit stroke values: Do they reflect patient experience of stroke? </w:t>
      </w:r>
      <w:r w:rsidRPr="00580E36">
        <w:rPr>
          <w:i/>
        </w:rPr>
        <w:t>BMC Health Services Research, 14</w:t>
      </w:r>
      <w:r w:rsidRPr="00580E36">
        <w:t>(1), 573. http://doi.org/10.1186/s12913-014-0573-6</w:t>
      </w:r>
    </w:p>
    <w:p w14:paraId="3A25B194" w14:textId="00F0C003" w:rsidR="001B2940" w:rsidRPr="00D415D2" w:rsidRDefault="001B2940" w:rsidP="00DC248F">
      <w:pPr>
        <w:ind w:left="567" w:hanging="567"/>
      </w:pPr>
      <w:r w:rsidRPr="00D415D2">
        <w:t xml:space="preserve">Gray, J. I. </w:t>
      </w:r>
      <w:r w:rsidR="00747B91">
        <w:t>(</w:t>
      </w:r>
      <w:r w:rsidRPr="00D415D2">
        <w:t>2013</w:t>
      </w:r>
      <w:r w:rsidR="00747B91">
        <w:t>)</w:t>
      </w:r>
      <w:r w:rsidRPr="00D415D2">
        <w:t xml:space="preserve">. Gambling Related Suicides, Victoria 2000 - 2012. </w:t>
      </w:r>
      <w:r w:rsidRPr="001F5F13">
        <w:t xml:space="preserve">In: </w:t>
      </w:r>
      <w:r w:rsidRPr="00814CF3">
        <w:rPr>
          <w:i/>
        </w:rPr>
        <w:t>Coroners Court Of Victoria</w:t>
      </w:r>
      <w:r>
        <w:t xml:space="preserve">, </w:t>
      </w:r>
      <w:r w:rsidRPr="00D415D2">
        <w:t>Vic</w:t>
      </w:r>
      <w:r w:rsidRPr="001F5F13">
        <w:t>toria: Coroners Prevention Unit</w:t>
      </w:r>
      <w:r w:rsidRPr="00D415D2">
        <w:t>.</w:t>
      </w:r>
    </w:p>
    <w:p w14:paraId="531A441F" w14:textId="1C5165FE" w:rsidR="001B2940" w:rsidRPr="00D415D2" w:rsidRDefault="001B2940" w:rsidP="00DC248F">
      <w:pPr>
        <w:ind w:left="567" w:hanging="567"/>
      </w:pPr>
      <w:r w:rsidRPr="00D415D2">
        <w:t xml:space="preserve">Griffiths, M. D. </w:t>
      </w:r>
      <w:r w:rsidR="00747B91">
        <w:t>(</w:t>
      </w:r>
      <w:r w:rsidRPr="00D415D2">
        <w:t>2006</w:t>
      </w:r>
      <w:r w:rsidR="00747B91">
        <w:t>)</w:t>
      </w:r>
      <w:r w:rsidRPr="00D415D2">
        <w:t xml:space="preserve">. A case study of binge problem gambling. </w:t>
      </w:r>
      <w:r w:rsidRPr="00814CF3">
        <w:rPr>
          <w:i/>
        </w:rPr>
        <w:t>International Journal of Mental Health and Addiction, 4</w:t>
      </w:r>
      <w:r>
        <w:t>(4)</w:t>
      </w:r>
      <w:r w:rsidRPr="00814CF3">
        <w:rPr>
          <w:i/>
        </w:rPr>
        <w:t>,</w:t>
      </w:r>
      <w:r w:rsidRPr="00D415D2">
        <w:t xml:space="preserve"> 369-376.</w:t>
      </w:r>
      <w:r>
        <w:t xml:space="preserve"> doi: </w:t>
      </w:r>
      <w:r w:rsidRPr="00814CF3">
        <w:t>10.1007/s11469-006-9035-7</w:t>
      </w:r>
    </w:p>
    <w:p w14:paraId="31B42C6F" w14:textId="33C50E55" w:rsidR="001B2940" w:rsidRPr="00D415D2" w:rsidRDefault="001B2940" w:rsidP="00DC248F">
      <w:pPr>
        <w:ind w:left="567" w:hanging="567"/>
      </w:pPr>
      <w:r w:rsidRPr="00D415D2">
        <w:lastRenderedPageBreak/>
        <w:t xml:space="preserve">Griffiths, M. </w:t>
      </w:r>
      <w:r w:rsidR="00747B91">
        <w:t>(</w:t>
      </w:r>
      <w:r w:rsidRPr="00D415D2">
        <w:t>2007</w:t>
      </w:r>
      <w:r w:rsidR="00747B91">
        <w:t>)</w:t>
      </w:r>
      <w:r w:rsidRPr="00D415D2">
        <w:t>. Interactive television quizzes as gambling: A</w:t>
      </w:r>
      <w:r w:rsidRPr="001F5F13">
        <w:t xml:space="preserve"> cause for concern? </w:t>
      </w:r>
      <w:r w:rsidRPr="00814CF3">
        <w:rPr>
          <w:i/>
        </w:rPr>
        <w:t>Journal of Gambling Issues, 20,</w:t>
      </w:r>
      <w:r w:rsidRPr="00D415D2">
        <w:t xml:space="preserve"> 269-276.</w:t>
      </w:r>
      <w:r>
        <w:t xml:space="preserve"> doi: </w:t>
      </w:r>
      <w:r w:rsidRPr="00366820">
        <w:t>10.4309/jgi.2007.20.9</w:t>
      </w:r>
    </w:p>
    <w:p w14:paraId="681969A0" w14:textId="523BE6B9" w:rsidR="001B2940" w:rsidRPr="00D415D2" w:rsidRDefault="001B2940" w:rsidP="00DC248F">
      <w:pPr>
        <w:ind w:left="567" w:hanging="567"/>
      </w:pPr>
      <w:r w:rsidRPr="00D415D2">
        <w:t xml:space="preserve">Griffiths, M. D. </w:t>
      </w:r>
      <w:r w:rsidR="00747B91">
        <w:t>(</w:t>
      </w:r>
      <w:r w:rsidRPr="00D415D2">
        <w:t>200</w:t>
      </w:r>
      <w:r>
        <w:t>8</w:t>
      </w:r>
      <w:r w:rsidR="00747B91">
        <w:t>)</w:t>
      </w:r>
      <w:r>
        <w:t>. Videogame addiction: Further thoughts and o</w:t>
      </w:r>
      <w:r w:rsidRPr="00D415D2">
        <w:t xml:space="preserve">bservations. </w:t>
      </w:r>
      <w:r w:rsidRPr="00366820">
        <w:rPr>
          <w:i/>
        </w:rPr>
        <w:t xml:space="preserve">International Journal of Mental Health and Addiction, 6 </w:t>
      </w:r>
      <w:r w:rsidRPr="00366820">
        <w:t>(2),</w:t>
      </w:r>
      <w:r w:rsidRPr="00D415D2">
        <w:t xml:space="preserve"> 182-185.</w:t>
      </w:r>
      <w:r>
        <w:t xml:space="preserve"> doi: </w:t>
      </w:r>
      <w:r w:rsidRPr="00366820">
        <w:t>10.1007/s11469-007-9128-y</w:t>
      </w:r>
    </w:p>
    <w:p w14:paraId="31F60E05" w14:textId="63485176" w:rsidR="001B2940" w:rsidRPr="00D415D2" w:rsidRDefault="001B2940" w:rsidP="00DC248F">
      <w:pPr>
        <w:ind w:left="567" w:hanging="567"/>
      </w:pPr>
      <w:r w:rsidRPr="00D415D2">
        <w:t xml:space="preserve">Griffiths, M. </w:t>
      </w:r>
      <w:r w:rsidR="00747B91">
        <w:t>(</w:t>
      </w:r>
      <w:r w:rsidRPr="00D415D2">
        <w:t>2009</w:t>
      </w:r>
      <w:r w:rsidR="00747B91">
        <w:t>)</w:t>
      </w:r>
      <w:r w:rsidRPr="00D415D2">
        <w:t xml:space="preserve">. Internet gambling in the workplace. </w:t>
      </w:r>
      <w:r w:rsidRPr="00366820">
        <w:rPr>
          <w:i/>
        </w:rPr>
        <w:t>Journal of Workplace Learning, 21</w:t>
      </w:r>
      <w:r>
        <w:rPr>
          <w:i/>
        </w:rPr>
        <w:t xml:space="preserve"> </w:t>
      </w:r>
      <w:r>
        <w:t>(8)</w:t>
      </w:r>
      <w:r w:rsidRPr="00D415D2">
        <w:t>, 658-670.</w:t>
      </w:r>
      <w:r>
        <w:t xml:space="preserve"> doi: </w:t>
      </w:r>
      <w:r w:rsidRPr="00366820">
        <w:t>10.1108/13665620910996197</w:t>
      </w:r>
    </w:p>
    <w:p w14:paraId="4784A910" w14:textId="443D6FD7" w:rsidR="001B2940" w:rsidRPr="00D415D2" w:rsidRDefault="001B2940" w:rsidP="00DC248F">
      <w:pPr>
        <w:ind w:left="567" w:hanging="567"/>
      </w:pPr>
      <w:r w:rsidRPr="00D415D2">
        <w:t xml:space="preserve">Griffiths, M. </w:t>
      </w:r>
      <w:r>
        <w:t xml:space="preserve">D. </w:t>
      </w:r>
      <w:r w:rsidR="00747B91">
        <w:t>(</w:t>
      </w:r>
      <w:r>
        <w:t>2013</w:t>
      </w:r>
      <w:r w:rsidR="00747B91">
        <w:t>)</w:t>
      </w:r>
      <w:r>
        <w:t>. Social gambling via Facebook: Further observations and c</w:t>
      </w:r>
      <w:r w:rsidRPr="00D415D2">
        <w:t>oncerns.</w:t>
      </w:r>
      <w:r>
        <w:t xml:space="preserve"> </w:t>
      </w:r>
      <w:r w:rsidRPr="00F0700D">
        <w:rPr>
          <w:i/>
        </w:rPr>
        <w:t>Gaming Law Review and Economics</w:t>
      </w:r>
      <w:r w:rsidRPr="00D415D2">
        <w:t xml:space="preserve"> </w:t>
      </w:r>
      <w:r w:rsidRPr="00F0700D">
        <w:rPr>
          <w:i/>
        </w:rPr>
        <w:t>17</w:t>
      </w:r>
      <w:r>
        <w:t>(2)</w:t>
      </w:r>
      <w:r w:rsidRPr="00D415D2">
        <w:t>, 14-106.</w:t>
      </w:r>
      <w:r>
        <w:t xml:space="preserve"> doi: </w:t>
      </w:r>
      <w:r w:rsidRPr="00F0700D">
        <w:t>10.1089/glre.2013.1726.</w:t>
      </w:r>
    </w:p>
    <w:p w14:paraId="47569D15" w14:textId="6A59B430" w:rsidR="001B2940" w:rsidRPr="00D415D2" w:rsidRDefault="001B2940" w:rsidP="00DC248F">
      <w:pPr>
        <w:ind w:left="567" w:hanging="567"/>
      </w:pPr>
      <w:r w:rsidRPr="00D415D2">
        <w:t xml:space="preserve">Griffiths, M. D., </w:t>
      </w:r>
      <w:r>
        <w:t>&amp; Parke</w:t>
      </w:r>
      <w:r w:rsidRPr="00D415D2">
        <w:t xml:space="preserve">, J. </w:t>
      </w:r>
      <w:r w:rsidR="00747B91">
        <w:t>(</w:t>
      </w:r>
      <w:r w:rsidRPr="00D415D2">
        <w:t>2005</w:t>
      </w:r>
      <w:r w:rsidR="00747B91">
        <w:t>)</w:t>
      </w:r>
      <w:r w:rsidRPr="00D415D2">
        <w:t>. The psychology of musi</w:t>
      </w:r>
      <w:r w:rsidRPr="001F5F13">
        <w:t xml:space="preserve">c in gambling environments: An </w:t>
      </w:r>
      <w:r w:rsidRPr="00D415D2">
        <w:t xml:space="preserve">observational research note. </w:t>
      </w:r>
      <w:r w:rsidRPr="00546DCB">
        <w:rPr>
          <w:i/>
        </w:rPr>
        <w:t>Journal of Gambling Issues, 13</w:t>
      </w:r>
      <w:r w:rsidRPr="00D415D2">
        <w:t>, 1-12.</w:t>
      </w:r>
      <w:r>
        <w:t xml:space="preserve"> doi: </w:t>
      </w:r>
      <w:r w:rsidRPr="00546DCB">
        <w:t>0.4309</w:t>
      </w:r>
      <w:r>
        <w:t>-</w:t>
      </w:r>
      <w:r w:rsidRPr="00546DCB">
        <w:t>/jgi.2005.13.8</w:t>
      </w:r>
    </w:p>
    <w:p w14:paraId="60D51966" w14:textId="75E893B2" w:rsidR="001B2940" w:rsidRDefault="001B2940" w:rsidP="00DC248F">
      <w:pPr>
        <w:ind w:left="567" w:hanging="567"/>
      </w:pPr>
      <w:r w:rsidRPr="00D415D2">
        <w:t xml:space="preserve">Griffiths, M. &amp; Wood, R. T. </w:t>
      </w:r>
      <w:r w:rsidR="00747B91">
        <w:t>(</w:t>
      </w:r>
      <w:r w:rsidRPr="00D415D2">
        <w:t>2000</w:t>
      </w:r>
      <w:r w:rsidR="00747B91">
        <w:t>)</w:t>
      </w:r>
      <w:r w:rsidRPr="00D415D2">
        <w:t>. Risk factors in adolescence: t</w:t>
      </w:r>
      <w:r>
        <w:t>he case of gambling, videogame playing, and the I</w:t>
      </w:r>
      <w:r w:rsidRPr="00D415D2">
        <w:t xml:space="preserve">nternet. </w:t>
      </w:r>
      <w:r w:rsidRPr="00546DCB">
        <w:rPr>
          <w:i/>
        </w:rPr>
        <w:t>J</w:t>
      </w:r>
      <w:r>
        <w:rPr>
          <w:i/>
        </w:rPr>
        <w:t>ournal of Gambling S</w:t>
      </w:r>
      <w:r w:rsidRPr="00546DCB">
        <w:rPr>
          <w:i/>
        </w:rPr>
        <w:t>tudies / co-sponsored by the National Council on Problem Gambling and Institute for the Study of Gambling and Commercial Gaming,</w:t>
      </w:r>
      <w:r>
        <w:t xml:space="preserve"> </w:t>
      </w:r>
      <w:r w:rsidRPr="00546DCB">
        <w:rPr>
          <w:i/>
        </w:rPr>
        <w:t>16</w:t>
      </w:r>
      <w:r>
        <w:t xml:space="preserve">(2), </w:t>
      </w:r>
      <w:r w:rsidRPr="00D415D2">
        <w:t>199-225.</w:t>
      </w:r>
      <w:r>
        <w:t xml:space="preserve"> doi: </w:t>
      </w:r>
      <w:r w:rsidRPr="00546DCB">
        <w:t>10.1023/A:1009433014881</w:t>
      </w:r>
    </w:p>
    <w:p w14:paraId="6EA4FCAA" w14:textId="77777777" w:rsidR="00727FB1" w:rsidRPr="00727FB1" w:rsidRDefault="00727FB1" w:rsidP="00DC248F">
      <w:pPr>
        <w:ind w:left="567" w:hanging="567"/>
      </w:pPr>
      <w:r w:rsidRPr="00727FB1">
        <w:t xml:space="preserve">Grogan, P.P. (2012). </w:t>
      </w:r>
      <w:r w:rsidRPr="00727FB1">
        <w:rPr>
          <w:i/>
        </w:rPr>
        <w:t>Indigenous women, problem gambling and the care of their children: A literature review</w:t>
      </w:r>
      <w:r w:rsidRPr="00727FB1">
        <w:t>. A report for the Health Research Council. Retrieved from: http://www.aut.ac.nz/__data/assets/pdf_file/0007/477835/Patti-Grogan_Summer-Studentship_2012.pdf</w:t>
      </w:r>
    </w:p>
    <w:p w14:paraId="04A768B3" w14:textId="25275118" w:rsidR="00C86901" w:rsidRDefault="00C86901" w:rsidP="00DC248F">
      <w:pPr>
        <w:ind w:left="567" w:hanging="567"/>
      </w:pPr>
      <w:r w:rsidRPr="00C86901">
        <w:t xml:space="preserve">Gu, Y., Norman, R., &amp; Viney, R. (2014). Estimating health state utility values from discrete choice experiments — a QALY space model approach. </w:t>
      </w:r>
      <w:r w:rsidRPr="00C86901">
        <w:rPr>
          <w:i/>
        </w:rPr>
        <w:t>Health Economics, 23</w:t>
      </w:r>
      <w:r w:rsidRPr="00C86901">
        <w:t>(9), 1098–1114. http://doi.org/10.1002/hec.3066</w:t>
      </w:r>
    </w:p>
    <w:p w14:paraId="08A36C40" w14:textId="1E7CFBF6" w:rsidR="0044690A" w:rsidRPr="0044690A" w:rsidRDefault="0044690A" w:rsidP="00DC248F">
      <w:pPr>
        <w:ind w:left="567" w:hanging="567"/>
      </w:pPr>
      <w:r w:rsidRPr="0044690A">
        <w:t xml:space="preserve">Gudex, C., Dolan, P., Kind, P., &amp; Williams, A. (1996). Health state valuations from the general public using the Visual Analogue Scale. </w:t>
      </w:r>
      <w:r w:rsidRPr="0044690A">
        <w:rPr>
          <w:i/>
          <w:iCs/>
        </w:rPr>
        <w:t>Quality of Life Research, 5</w:t>
      </w:r>
      <w:r w:rsidRPr="0044690A">
        <w:t>(6), 521–531.</w:t>
      </w:r>
      <w:r>
        <w:t xml:space="preserve"> </w:t>
      </w:r>
      <w:r w:rsidRPr="0044690A">
        <w:t>http://doi.org/10.1007/BF00439226</w:t>
      </w:r>
    </w:p>
    <w:p w14:paraId="6A3C5809" w14:textId="522DB2CA" w:rsidR="001B2940" w:rsidRPr="00D415D2" w:rsidRDefault="001B2940" w:rsidP="00DC248F">
      <w:pPr>
        <w:ind w:left="567" w:hanging="567"/>
      </w:pPr>
      <w:r w:rsidRPr="00D415D2">
        <w:t>Guttenbeil-Po’uhila, Y., Hand, J., Ht</w:t>
      </w:r>
      <w:r>
        <w:t>ay, T., &amp;</w:t>
      </w:r>
      <w:r w:rsidRPr="00D415D2">
        <w:t xml:space="preserve"> Tu’itahi, S. </w:t>
      </w:r>
      <w:r w:rsidR="00747B91">
        <w:t>(</w:t>
      </w:r>
      <w:r w:rsidRPr="00D415D2">
        <w:t>2004</w:t>
      </w:r>
      <w:r w:rsidR="00747B91">
        <w:t>)</w:t>
      </w:r>
      <w:r w:rsidRPr="00D415D2">
        <w:t xml:space="preserve">. </w:t>
      </w:r>
      <w:r w:rsidRPr="00546DCB">
        <w:rPr>
          <w:i/>
        </w:rPr>
        <w:t>Gambling issues in the Auckland Tongan community: Palopalema ‘o e va’inga pa’anga ‘i he kainga Tonga ‘i’ Aokalani</w:t>
      </w:r>
      <w:r w:rsidRPr="00D415D2">
        <w:t>. Auckland:</w:t>
      </w:r>
      <w:r>
        <w:t xml:space="preserve"> </w:t>
      </w:r>
      <w:r w:rsidRPr="00D415D2">
        <w:t>Auckland Regional Public Health Service, Auckland District Health Board.</w:t>
      </w:r>
    </w:p>
    <w:p w14:paraId="727CA931" w14:textId="77777777" w:rsidR="00711855" w:rsidRDefault="0044690A" w:rsidP="00711855">
      <w:pPr>
        <w:ind w:left="567" w:hanging="567"/>
      </w:pPr>
      <w:r w:rsidRPr="0044690A">
        <w:t xml:space="preserve">Haagsma, J. A., Polinder, S., Cassini, A., Colzani, E., &amp; Havelaar, A. H. (2014). Review of disability weight studies: comparison of methodological choices and values. </w:t>
      </w:r>
      <w:r w:rsidRPr="0044690A">
        <w:rPr>
          <w:i/>
          <w:iCs/>
        </w:rPr>
        <w:t>Population Health</w:t>
      </w:r>
      <w:r>
        <w:t xml:space="preserve"> </w:t>
      </w:r>
      <w:r w:rsidRPr="0044690A">
        <w:rPr>
          <w:i/>
          <w:iCs/>
        </w:rPr>
        <w:t>Metrics</w:t>
      </w:r>
      <w:r w:rsidRPr="0044690A">
        <w:t>, 12(1), 20.</w:t>
      </w:r>
    </w:p>
    <w:p w14:paraId="480FCC34" w14:textId="3373AD92" w:rsidR="00711855" w:rsidRPr="0000305D" w:rsidRDefault="00711855" w:rsidP="00711855">
      <w:pPr>
        <w:ind w:left="567" w:hanging="567"/>
      </w:pPr>
      <w:r w:rsidRPr="0000305D">
        <w:t xml:space="preserve">Haagsma, J. A., van Beeck, E. F., Polinder, S., Toet, H., Panneman, M., &amp; Bonsel, G. J. (2011). The effect of comorbidity on health-related quality of life for injury patients in the first year following injury: comparison of three comorbidity adjustment approaches. </w:t>
      </w:r>
      <w:r w:rsidRPr="0000305D">
        <w:rPr>
          <w:i/>
          <w:iCs/>
        </w:rPr>
        <w:t>Population Health Metrics</w:t>
      </w:r>
      <w:r w:rsidRPr="0000305D">
        <w:t xml:space="preserve">, </w:t>
      </w:r>
      <w:r w:rsidRPr="0000305D">
        <w:rPr>
          <w:i/>
          <w:iCs/>
        </w:rPr>
        <w:t>9</w:t>
      </w:r>
      <w:r w:rsidRPr="0000305D">
        <w:t>(1), 1–8. http://doi.org/10.1186/1478-7954-9-10</w:t>
      </w:r>
    </w:p>
    <w:p w14:paraId="6C7E85BF" w14:textId="77777777" w:rsidR="0044690A" w:rsidRDefault="0044690A" w:rsidP="00DC248F">
      <w:pPr>
        <w:ind w:left="567" w:hanging="567"/>
      </w:pPr>
      <w:r w:rsidRPr="0044690A">
        <w:t xml:space="preserve">Haagsma, J, A., Havelaar, A,H., Janssen, B,M., Bonsel, G.J. (2008). Disability Adjusted Life Years and minimal disease: application of a preference-based relevance criterion to rank enteric pathogens. </w:t>
      </w:r>
      <w:r w:rsidRPr="0044690A">
        <w:rPr>
          <w:i/>
          <w:iCs/>
        </w:rPr>
        <w:t>Popul Health Metr</w:t>
      </w:r>
      <w:r w:rsidRPr="0044690A">
        <w:t xml:space="preserve">, </w:t>
      </w:r>
      <w:r w:rsidRPr="0044690A">
        <w:rPr>
          <w:i/>
          <w:iCs/>
        </w:rPr>
        <w:t>6</w:t>
      </w:r>
      <w:r w:rsidRPr="0044690A">
        <w:t>, 7</w:t>
      </w:r>
    </w:p>
    <w:p w14:paraId="597F84BC" w14:textId="56F3115B" w:rsidR="0077491D" w:rsidRDefault="0077491D" w:rsidP="00DC248F">
      <w:pPr>
        <w:ind w:left="567" w:hanging="567"/>
      </w:pPr>
      <w:r>
        <w:lastRenderedPageBreak/>
        <w:t xml:space="preserve">Haagsma, J. A., van Beeck, E. F., Polinder, S., Hoeymans, N., Mulder, S., &amp; Bonsel, G. J. (2008). Novel empirical disability weights to assess the burden of non-fatal injury. </w:t>
      </w:r>
      <w:r>
        <w:rPr>
          <w:i/>
          <w:iCs/>
        </w:rPr>
        <w:t>Injury Prevention: Journal of the International Society for Child and Adolescent Injury Prevention</w:t>
      </w:r>
      <w:r>
        <w:t xml:space="preserve">, </w:t>
      </w:r>
      <w:r>
        <w:rPr>
          <w:i/>
          <w:iCs/>
        </w:rPr>
        <w:t>14</w:t>
      </w:r>
      <w:r>
        <w:t xml:space="preserve">(1), 5–10. </w:t>
      </w:r>
      <w:r w:rsidRPr="00F168F2">
        <w:t>http://doi.org/10.1136/ip.2007.017178</w:t>
      </w:r>
    </w:p>
    <w:p w14:paraId="3D551779" w14:textId="1FAE6B3F" w:rsidR="0077491D" w:rsidRPr="0044690A" w:rsidRDefault="0077491D" w:rsidP="00DC248F">
      <w:pPr>
        <w:ind w:left="567" w:hanging="567"/>
      </w:pPr>
      <w:r>
        <w:t xml:space="preserve">Havelaar, A. H., de Wit, M. A., van Koningsveld, R., &amp; van Kempen, E. (2000). Health burden in the Netherlands due to infection with thermophilic Campylobacter spp. </w:t>
      </w:r>
      <w:r>
        <w:rPr>
          <w:i/>
          <w:iCs/>
        </w:rPr>
        <w:t>Epidemiology and Infection</w:t>
      </w:r>
      <w:r>
        <w:t xml:space="preserve">, </w:t>
      </w:r>
      <w:r>
        <w:rPr>
          <w:i/>
          <w:iCs/>
        </w:rPr>
        <w:t>125</w:t>
      </w:r>
      <w:r>
        <w:t xml:space="preserve">(3), 505–522. </w:t>
      </w:r>
    </w:p>
    <w:p w14:paraId="280A4662" w14:textId="77777777" w:rsidR="001B2940" w:rsidRPr="00D415D2" w:rsidRDefault="001B2940" w:rsidP="00DC248F">
      <w:pPr>
        <w:ind w:left="567" w:hanging="567"/>
      </w:pPr>
      <w:r w:rsidRPr="00D415D2">
        <w:t xml:space="preserve">Health Research Council Of New Zealand, </w:t>
      </w:r>
      <w:r w:rsidRPr="00546DCB">
        <w:rPr>
          <w:i/>
        </w:rPr>
        <w:t>The 2004 Guidelines on Pacific Health Research.</w:t>
      </w:r>
      <w:r w:rsidRPr="00D415D2">
        <w:t xml:space="preserve"> Au</w:t>
      </w:r>
      <w:r>
        <w:t>c</w:t>
      </w:r>
      <w:r w:rsidRPr="00D415D2">
        <w:t>kland.</w:t>
      </w:r>
      <w:r>
        <w:t xml:space="preserve"> Retrieved</w:t>
      </w:r>
      <w:r w:rsidRPr="00D415D2">
        <w:t xml:space="preserve"> from: http://www.hrc.govt.nz</w:t>
      </w:r>
    </w:p>
    <w:p w14:paraId="2D3AF3C5" w14:textId="72BB0952" w:rsidR="001B2940" w:rsidRPr="00D415D2" w:rsidRDefault="001B2940" w:rsidP="00DC248F">
      <w:pPr>
        <w:ind w:left="567" w:hanging="567"/>
      </w:pPr>
      <w:r w:rsidRPr="00D415D2">
        <w:t xml:space="preserve">Heater, J. &amp; Patton, D. </w:t>
      </w:r>
      <w:r w:rsidR="00747B91">
        <w:t>(</w:t>
      </w:r>
      <w:r w:rsidRPr="00D415D2">
        <w:t>2006</w:t>
      </w:r>
      <w:r w:rsidR="00747B91">
        <w:t>)</w:t>
      </w:r>
      <w:r w:rsidRPr="00D415D2">
        <w:t>. Gender differences in problem gam</w:t>
      </w:r>
      <w:r w:rsidRPr="001F5F13">
        <w:t xml:space="preserve">bling behaviour from help-line </w:t>
      </w:r>
      <w:r w:rsidRPr="00D415D2">
        <w:t xml:space="preserve">callers. </w:t>
      </w:r>
      <w:r w:rsidRPr="00546DCB">
        <w:rPr>
          <w:i/>
        </w:rPr>
        <w:t>Journal of Gambling Issues, 16</w:t>
      </w:r>
      <w:r w:rsidRPr="00D415D2">
        <w:t>.</w:t>
      </w:r>
      <w:r>
        <w:t xml:space="preserve"> doi: </w:t>
      </w:r>
      <w:r w:rsidRPr="00546DCB">
        <w:t>10.4309/jgi.2006.16.6</w:t>
      </w:r>
    </w:p>
    <w:p w14:paraId="49A6A20F" w14:textId="15C2F781" w:rsidR="001B2940" w:rsidRPr="00D415D2" w:rsidRDefault="001B2940" w:rsidP="00DC248F">
      <w:pPr>
        <w:ind w:left="567" w:hanging="567"/>
      </w:pPr>
      <w:r w:rsidRPr="00D415D2">
        <w:t xml:space="preserve">Hing, N. &amp; Breen, H. </w:t>
      </w:r>
      <w:r w:rsidR="00747B91">
        <w:t>(</w:t>
      </w:r>
      <w:r w:rsidRPr="00D415D2">
        <w:t>2001</w:t>
      </w:r>
      <w:r w:rsidR="00747B91">
        <w:t>)</w:t>
      </w:r>
      <w:r w:rsidRPr="00D415D2">
        <w:t xml:space="preserve">. An empirical study of sex differences in </w:t>
      </w:r>
      <w:r w:rsidRPr="001F5F13">
        <w:t xml:space="preserve">gaming machine play among club </w:t>
      </w:r>
      <w:r w:rsidRPr="00D415D2">
        <w:t xml:space="preserve">members. </w:t>
      </w:r>
      <w:r w:rsidRPr="00546DCB">
        <w:rPr>
          <w:i/>
        </w:rPr>
        <w:t>International Gambling Studies, 1</w:t>
      </w:r>
      <w:r>
        <w:t>(1)</w:t>
      </w:r>
      <w:r w:rsidRPr="00D415D2">
        <w:t>, 66-86.</w:t>
      </w:r>
      <w:r>
        <w:t xml:space="preserve"> doi: </w:t>
      </w:r>
      <w:r w:rsidRPr="00546DCB">
        <w:t>10.1080/14459800108732288</w:t>
      </w:r>
    </w:p>
    <w:p w14:paraId="18A3FCF5" w14:textId="0A9D2144" w:rsidR="001B2940" w:rsidRDefault="001B2940" w:rsidP="00DC248F">
      <w:pPr>
        <w:ind w:left="567" w:hanging="567"/>
      </w:pPr>
      <w:r w:rsidRPr="00D415D2">
        <w:t>Hing, N., Tiyce, M., Holdsworth, L. &amp; Nuske, E</w:t>
      </w:r>
      <w:r>
        <w:t xml:space="preserve">. </w:t>
      </w:r>
      <w:r w:rsidR="00747B91">
        <w:t>(</w:t>
      </w:r>
      <w:r>
        <w:t>2013</w:t>
      </w:r>
      <w:r w:rsidR="00747B91">
        <w:t>)</w:t>
      </w:r>
      <w:r>
        <w:t>. All in the f</w:t>
      </w:r>
      <w:r w:rsidRPr="00D415D2">
        <w:t>amil</w:t>
      </w:r>
      <w:r>
        <w:t>y: Help-seeking by s</w:t>
      </w:r>
      <w:r w:rsidRPr="001F5F13">
        <w:t xml:space="preserve">ignificant </w:t>
      </w:r>
      <w:r>
        <w:t>others of problem g</w:t>
      </w:r>
      <w:r w:rsidRPr="00D415D2">
        <w:t xml:space="preserve">amblers. </w:t>
      </w:r>
      <w:r w:rsidRPr="00546DCB">
        <w:rPr>
          <w:i/>
        </w:rPr>
        <w:t xml:space="preserve">International Journal of Mental Health and Addiction, </w:t>
      </w:r>
      <w:r>
        <w:rPr>
          <w:i/>
        </w:rPr>
        <w:t>1</w:t>
      </w:r>
      <w:r w:rsidRPr="00546DCB">
        <w:rPr>
          <w:i/>
        </w:rPr>
        <w:t>1</w:t>
      </w:r>
      <w:r>
        <w:rPr>
          <w:i/>
        </w:rPr>
        <w:t xml:space="preserve"> </w:t>
      </w:r>
      <w:r w:rsidRPr="00546DCB">
        <w:t>(3)</w:t>
      </w:r>
      <w:r w:rsidRPr="00D415D2">
        <w:t>, 396- 408.</w:t>
      </w:r>
      <w:r>
        <w:t xml:space="preserve"> doi: </w:t>
      </w:r>
      <w:r w:rsidRPr="00546DCB">
        <w:t>10.1007/s11469-012-9423-0</w:t>
      </w:r>
    </w:p>
    <w:p w14:paraId="185DB67D" w14:textId="4F90A105" w:rsidR="004749FD" w:rsidRPr="004749FD" w:rsidRDefault="004749FD" w:rsidP="00DC248F">
      <w:pPr>
        <w:ind w:left="567" w:hanging="567"/>
      </w:pPr>
      <w:r w:rsidRPr="004749FD">
        <w:t xml:space="preserve">Hing, N., Russell, A., Gainsbury, S., &amp; Nuske, E. </w:t>
      </w:r>
      <w:r w:rsidR="00747B91">
        <w:t>(</w:t>
      </w:r>
      <w:r w:rsidRPr="004749FD">
        <w:t>2015</w:t>
      </w:r>
      <w:r w:rsidR="00747B91">
        <w:t>)</w:t>
      </w:r>
      <w:r w:rsidRPr="004749FD">
        <w:t xml:space="preserve">. The public stigma of problem gambling: Its nature and relative intensity compared to other health conditions. </w:t>
      </w:r>
      <w:r w:rsidRPr="004749FD">
        <w:rPr>
          <w:i/>
        </w:rPr>
        <w:t xml:space="preserve">Journal of Gambling Studies, </w:t>
      </w:r>
      <w:r w:rsidRPr="004749FD">
        <w:t xml:space="preserve">1-18. doi: 10.1007/s10899-015-9580-8 </w:t>
      </w:r>
    </w:p>
    <w:p w14:paraId="662BFEDF" w14:textId="50B10E4A" w:rsidR="001B2940" w:rsidRPr="00D415D2" w:rsidRDefault="001B2940" w:rsidP="00DC248F">
      <w:pPr>
        <w:ind w:left="567" w:hanging="567"/>
      </w:pPr>
      <w:r w:rsidRPr="00D415D2">
        <w:t xml:space="preserve">Hodgins, D. C. &amp; Makarchuk, K. </w:t>
      </w:r>
      <w:r w:rsidR="00747B91">
        <w:t>(</w:t>
      </w:r>
      <w:r w:rsidRPr="00D415D2">
        <w:t>2003</w:t>
      </w:r>
      <w:r w:rsidR="00747B91">
        <w:t>)</w:t>
      </w:r>
      <w:r>
        <w:t>. Trusting problem g</w:t>
      </w:r>
      <w:r w:rsidRPr="00D415D2">
        <w:t>amblers: Reliabi</w:t>
      </w:r>
      <w:r>
        <w:t>lity and validity of self-reported gambling b</w:t>
      </w:r>
      <w:r w:rsidRPr="00D415D2">
        <w:t xml:space="preserve">ehavior. </w:t>
      </w:r>
      <w:r w:rsidRPr="00546DCB">
        <w:rPr>
          <w:i/>
        </w:rPr>
        <w:t>Psychology of Addictive Behaviors, 17</w:t>
      </w:r>
      <w:r>
        <w:t>(3)</w:t>
      </w:r>
      <w:r w:rsidRPr="00546DCB">
        <w:rPr>
          <w:i/>
        </w:rPr>
        <w:t>,</w:t>
      </w:r>
      <w:r w:rsidRPr="00D415D2">
        <w:t xml:space="preserve"> 244-248.</w:t>
      </w:r>
      <w:r>
        <w:t xml:space="preserve"> doi: </w:t>
      </w:r>
      <w:r w:rsidRPr="00845BD3">
        <w:t>10.1037/0893-164X.17.3.244</w:t>
      </w:r>
    </w:p>
    <w:p w14:paraId="40DD8FDF" w14:textId="084A110D" w:rsidR="001B2940" w:rsidRPr="00D415D2" w:rsidRDefault="001B2940" w:rsidP="00DC248F">
      <w:pPr>
        <w:ind w:left="567" w:hanging="567"/>
      </w:pPr>
      <w:r w:rsidRPr="00D415D2">
        <w:t xml:space="preserve">Hodgins, D. C., Peden, N. &amp; Cassidy, E. </w:t>
      </w:r>
      <w:r w:rsidR="00747B91">
        <w:t>(</w:t>
      </w:r>
      <w:r w:rsidRPr="00D415D2">
        <w:t>2005</w:t>
      </w:r>
      <w:r w:rsidR="00747B91">
        <w:t>)</w:t>
      </w:r>
      <w:r>
        <w:t>. The association between comorbidity and o</w:t>
      </w:r>
      <w:r w:rsidRPr="001F5F13">
        <w:t xml:space="preserve">utcome </w:t>
      </w:r>
      <w:r>
        <w:t>in pathological gambling: A prospective follow-up of r</w:t>
      </w:r>
      <w:r w:rsidRPr="00D415D2">
        <w:t>ecent</w:t>
      </w:r>
      <w:r>
        <w:t xml:space="preserve"> q</w:t>
      </w:r>
      <w:r w:rsidRPr="001F5F13">
        <w:t xml:space="preserve">uitters. </w:t>
      </w:r>
      <w:r w:rsidRPr="00845BD3">
        <w:rPr>
          <w:i/>
        </w:rPr>
        <w:t>Journal of Gambling Studies, 21</w:t>
      </w:r>
      <w:r>
        <w:t>(3)</w:t>
      </w:r>
      <w:r w:rsidRPr="00D415D2">
        <w:t>, 255-271.</w:t>
      </w:r>
      <w:r>
        <w:t xml:space="preserve"> doi: </w:t>
      </w:r>
      <w:r w:rsidRPr="00845BD3">
        <w:t>10.1007/s10899-005-3099-3</w:t>
      </w:r>
    </w:p>
    <w:p w14:paraId="0EE53635" w14:textId="7B2F63AA" w:rsidR="001B2940" w:rsidRPr="00D415D2" w:rsidRDefault="001B2940" w:rsidP="00DC248F">
      <w:pPr>
        <w:ind w:left="567" w:hanging="567"/>
      </w:pPr>
      <w:r w:rsidRPr="00D415D2">
        <w:t xml:space="preserve">Holdsworth, L., Haw, J. &amp; Hing, N. </w:t>
      </w:r>
      <w:r w:rsidR="00747B91">
        <w:t>(</w:t>
      </w:r>
      <w:r>
        <w:t>2012</w:t>
      </w:r>
      <w:r w:rsidR="00747B91">
        <w:t>)</w:t>
      </w:r>
      <w:r>
        <w:t>. The temporal s</w:t>
      </w:r>
      <w:r w:rsidRPr="00D415D2">
        <w:t xml:space="preserve">equencing of </w:t>
      </w:r>
      <w:r>
        <w:t>problem g</w:t>
      </w:r>
      <w:r w:rsidRPr="001F5F13">
        <w:t xml:space="preserve">ambling and </w:t>
      </w:r>
      <w:r>
        <w:t>comorbid d</w:t>
      </w:r>
      <w:r w:rsidRPr="00D415D2">
        <w:t xml:space="preserve">isorders. </w:t>
      </w:r>
      <w:r w:rsidRPr="00845BD3">
        <w:rPr>
          <w:i/>
        </w:rPr>
        <w:t>International Journal of Mental Health and Addiction, 10</w:t>
      </w:r>
      <w:r>
        <w:rPr>
          <w:i/>
        </w:rPr>
        <w:t xml:space="preserve"> </w:t>
      </w:r>
      <w:r>
        <w:t>(2)</w:t>
      </w:r>
      <w:r w:rsidRPr="00845BD3">
        <w:rPr>
          <w:i/>
        </w:rPr>
        <w:t>,</w:t>
      </w:r>
      <w:r w:rsidRPr="00D415D2">
        <w:t xml:space="preserve"> 197-209.</w:t>
      </w:r>
      <w:r>
        <w:t xml:space="preserve"> doi: </w:t>
      </w:r>
      <w:r w:rsidRPr="00845BD3">
        <w:t>10.1007/s11469-011-9324-7</w:t>
      </w:r>
    </w:p>
    <w:p w14:paraId="0A5D3AB7" w14:textId="3BBE8989" w:rsidR="001B2940" w:rsidRPr="00D415D2" w:rsidRDefault="001B2940" w:rsidP="00DC248F">
      <w:pPr>
        <w:ind w:left="567" w:hanging="567"/>
      </w:pPr>
      <w:r w:rsidRPr="00D415D2">
        <w:t xml:space="preserve">Holdsworth, L., Nuske, E. &amp; Breen, H. </w:t>
      </w:r>
      <w:r w:rsidR="00747B91">
        <w:t>(</w:t>
      </w:r>
      <w:r w:rsidRPr="00D415D2">
        <w:t>2013a</w:t>
      </w:r>
      <w:r w:rsidR="00747B91">
        <w:t>)</w:t>
      </w:r>
      <w:r>
        <w:t>. All mixed up t</w:t>
      </w:r>
      <w:r w:rsidRPr="00D415D2">
        <w:t>o</w:t>
      </w:r>
      <w:r>
        <w:t>gether: Women’s e</w:t>
      </w:r>
      <w:r w:rsidRPr="001F5F13">
        <w:t xml:space="preserve">xperiences of </w:t>
      </w:r>
      <w:r>
        <w:t>problem gambling, comorbidity and co-occurring complex n</w:t>
      </w:r>
      <w:r w:rsidRPr="001F5F13">
        <w:t xml:space="preserve">eeds. </w:t>
      </w:r>
      <w:r w:rsidRPr="00845BD3">
        <w:rPr>
          <w:i/>
        </w:rPr>
        <w:t>International Journal of Mental Health and Addiction, 11</w:t>
      </w:r>
      <w:r>
        <w:t>(3)</w:t>
      </w:r>
      <w:r w:rsidRPr="00845BD3">
        <w:rPr>
          <w:i/>
        </w:rPr>
        <w:t>,</w:t>
      </w:r>
      <w:r w:rsidRPr="00D415D2">
        <w:t xml:space="preserve"> 315-328.</w:t>
      </w:r>
      <w:r>
        <w:t xml:space="preserve"> doi: </w:t>
      </w:r>
      <w:r w:rsidRPr="00845BD3">
        <w:t>10.1007/s11469-012-9415-0</w:t>
      </w:r>
    </w:p>
    <w:p w14:paraId="35A23F72" w14:textId="31FC47CA" w:rsidR="001B2940" w:rsidRPr="00D415D2" w:rsidRDefault="001B2940" w:rsidP="00DC248F">
      <w:pPr>
        <w:ind w:left="567" w:hanging="567"/>
      </w:pPr>
      <w:r w:rsidRPr="00D415D2">
        <w:t xml:space="preserve">Holdsworth, L., Nuske, E., Tiyce, M. &amp; Hing, N. </w:t>
      </w:r>
      <w:r w:rsidR="00747B91">
        <w:t>(</w:t>
      </w:r>
      <w:r w:rsidRPr="00D415D2">
        <w:t>2013b</w:t>
      </w:r>
      <w:r w:rsidR="00747B91">
        <w:t>)</w:t>
      </w:r>
      <w:r w:rsidRPr="00D415D2">
        <w:t xml:space="preserve">. Impacts of </w:t>
      </w:r>
      <w:r w:rsidRPr="001F5F13">
        <w:t xml:space="preserve">gambling problems on partners: </w:t>
      </w:r>
      <w:r w:rsidRPr="00D415D2">
        <w:t xml:space="preserve">partners’ interpretations. </w:t>
      </w:r>
      <w:r w:rsidRPr="00845BD3">
        <w:rPr>
          <w:i/>
        </w:rPr>
        <w:t>Asian Journal of Gamb</w:t>
      </w:r>
      <w:r>
        <w:rPr>
          <w:i/>
        </w:rPr>
        <w:t>ling Issues and Public Health, 3</w:t>
      </w:r>
      <w:r w:rsidRPr="00845BD3">
        <w:t>(11),</w:t>
      </w:r>
      <w:r w:rsidRPr="00D415D2">
        <w:t xml:space="preserve"> 1-14.</w:t>
      </w:r>
      <w:r>
        <w:t xml:space="preserve"> </w:t>
      </w:r>
      <w:r w:rsidRPr="00845BD3">
        <w:t>doi: 10.1186/2195-3007-3-11</w:t>
      </w:r>
    </w:p>
    <w:p w14:paraId="2C68BE66" w14:textId="576B4ECD" w:rsidR="001B2940" w:rsidRPr="00D415D2" w:rsidRDefault="001B2940" w:rsidP="00DC248F">
      <w:pPr>
        <w:ind w:left="567" w:hanging="567"/>
      </w:pPr>
      <w:r w:rsidRPr="00D415D2">
        <w:t xml:space="preserve">Holdsworth, L. &amp; Tiyce, M. </w:t>
      </w:r>
      <w:r w:rsidR="00747B91">
        <w:t>(</w:t>
      </w:r>
      <w:r w:rsidRPr="00D415D2">
        <w:t>2013</w:t>
      </w:r>
      <w:r w:rsidR="00747B91">
        <w:t>)</w:t>
      </w:r>
      <w:r w:rsidRPr="00D415D2">
        <w:t xml:space="preserve">. Untangling the complex needs of people experiencing gambling problems and homelessness. </w:t>
      </w:r>
      <w:r w:rsidRPr="00845BD3">
        <w:rPr>
          <w:i/>
        </w:rPr>
        <w:t>International Journal of Mental Health and Addiction, 11</w:t>
      </w:r>
      <w:r>
        <w:t>(2)</w:t>
      </w:r>
      <w:r w:rsidRPr="00845BD3">
        <w:rPr>
          <w:i/>
        </w:rPr>
        <w:t>,</w:t>
      </w:r>
      <w:r w:rsidRPr="00D415D2">
        <w:t xml:space="preserve"> 186-198.</w:t>
      </w:r>
      <w:r>
        <w:t xml:space="preserve"> doi: </w:t>
      </w:r>
      <w:r w:rsidRPr="00845BD3">
        <w:t>10.1007/s11469-012-9409-y</w:t>
      </w:r>
    </w:p>
    <w:p w14:paraId="2BB4A7F6" w14:textId="77777777" w:rsidR="00711855" w:rsidRDefault="0044690A" w:rsidP="00711855">
      <w:pPr>
        <w:ind w:left="567" w:hanging="567"/>
      </w:pPr>
      <w:r w:rsidRPr="0044690A">
        <w:lastRenderedPageBreak/>
        <w:t xml:space="preserve">Holmes, J., Hemmett, L., &amp; Garfield, S. (2005). The cost-effectiveness of human papillomavirus screening for cervical cancer. </w:t>
      </w:r>
      <w:r w:rsidRPr="0044690A">
        <w:rPr>
          <w:i/>
          <w:iCs/>
        </w:rPr>
        <w:t>The European Journal of Health Economics, 6</w:t>
      </w:r>
      <w:r w:rsidRPr="0044690A">
        <w:t>(1), 30–37. doi:10.1007/s10198-004-0254-1</w:t>
      </w:r>
    </w:p>
    <w:p w14:paraId="29BD1A72" w14:textId="4C9C614E" w:rsidR="00711855" w:rsidRPr="0000305D" w:rsidRDefault="00711855" w:rsidP="00711855">
      <w:pPr>
        <w:ind w:left="567" w:hanging="567"/>
      </w:pPr>
      <w:r w:rsidRPr="0000305D">
        <w:t xml:space="preserve">Holtslag, H. R., van Beeck, E. F., Lichtveld, R. A., Leenen, L. P., Lindeman, E., &amp; van der Werken, C. (2008). Individual and population burdens of major trauma in the Netherlands. </w:t>
      </w:r>
      <w:r w:rsidRPr="0000305D">
        <w:rPr>
          <w:i/>
          <w:iCs/>
        </w:rPr>
        <w:t>Bulletin of the World Health Organization</w:t>
      </w:r>
      <w:r w:rsidRPr="0000305D">
        <w:t xml:space="preserve">, </w:t>
      </w:r>
      <w:r w:rsidRPr="0000305D">
        <w:rPr>
          <w:i/>
          <w:iCs/>
        </w:rPr>
        <w:t>86</w:t>
      </w:r>
      <w:r w:rsidRPr="0000305D">
        <w:t xml:space="preserve">(2), 111–117. </w:t>
      </w:r>
    </w:p>
    <w:p w14:paraId="1D8C91CD" w14:textId="1D0AFBB1" w:rsidR="0077491D" w:rsidRPr="0044690A" w:rsidRDefault="0077491D" w:rsidP="00DC248F">
      <w:pPr>
        <w:ind w:left="567" w:hanging="567"/>
      </w:pPr>
      <w:r>
        <w:t xml:space="preserve">Hong, K.-S., &amp; Saver, J. L. (2009). Quantifying the value of stroke disability outcomes: WHO global burden of disease project disability weights for each level of the modified Rankin Scale. </w:t>
      </w:r>
      <w:r>
        <w:rPr>
          <w:i/>
          <w:iCs/>
        </w:rPr>
        <w:t>Stroke; a Journal of Cerebral Circulation</w:t>
      </w:r>
      <w:r>
        <w:t xml:space="preserve">, </w:t>
      </w:r>
      <w:r>
        <w:rPr>
          <w:i/>
          <w:iCs/>
        </w:rPr>
        <w:t>40</w:t>
      </w:r>
      <w:r>
        <w:t>(12), 3828–3833. http://doi.org/10.1161/STROKEAHA.109.561365</w:t>
      </w:r>
    </w:p>
    <w:p w14:paraId="2349B160" w14:textId="030F8CF7" w:rsidR="00711855" w:rsidRPr="00D415D2" w:rsidRDefault="001B2940" w:rsidP="00DC248F">
      <w:pPr>
        <w:ind w:left="567" w:hanging="567"/>
      </w:pPr>
      <w:r w:rsidRPr="00D415D2">
        <w:t xml:space="preserve">Hounslow, V., Smith, D., Battersby, M. &amp; Morefield, K. </w:t>
      </w:r>
      <w:r w:rsidR="00747B91">
        <w:t>(</w:t>
      </w:r>
      <w:r w:rsidRPr="00D415D2">
        <w:t>2011</w:t>
      </w:r>
      <w:r w:rsidR="00747B91">
        <w:t>)</w:t>
      </w:r>
      <w:r w:rsidRPr="00D415D2">
        <w:t xml:space="preserve">. Predictors of problem gambling severity in treatment seeking gamblers. </w:t>
      </w:r>
      <w:r w:rsidRPr="00845BD3">
        <w:rPr>
          <w:i/>
        </w:rPr>
        <w:t>International Journal of Mental Health and Addiction, 9</w:t>
      </w:r>
      <w:r>
        <w:rPr>
          <w:i/>
        </w:rPr>
        <w:t xml:space="preserve"> </w:t>
      </w:r>
      <w:r w:rsidRPr="00845BD3">
        <w:t>(6),</w:t>
      </w:r>
      <w:r w:rsidRPr="00D415D2">
        <w:t xml:space="preserve"> 682-695.</w:t>
      </w:r>
      <w:r>
        <w:t xml:space="preserve"> doi: </w:t>
      </w:r>
      <w:r w:rsidRPr="00845BD3">
        <w:t>10.1007/s11469-010-9292-3</w:t>
      </w:r>
    </w:p>
    <w:p w14:paraId="2286AA8D" w14:textId="77777777" w:rsidR="00711855" w:rsidRPr="0000305D" w:rsidRDefault="00711855" w:rsidP="00711855">
      <w:pPr>
        <w:ind w:left="567" w:hanging="567"/>
      </w:pPr>
      <w:r w:rsidRPr="0000305D">
        <w:t xml:space="preserve">Hurst, N. P., Kind, P., Ruta, D., Hunter, M., &amp; Stubbings, A. (1997). Measuring health-related quality of life in rheumatoid arthritis: validity, responsiveness and reliability of EuroQol (EQ-5D). </w:t>
      </w:r>
      <w:r w:rsidRPr="0000305D">
        <w:rPr>
          <w:i/>
          <w:iCs/>
        </w:rPr>
        <w:t>British Journal of Rheumatology</w:t>
      </w:r>
      <w:r w:rsidRPr="0000305D">
        <w:t xml:space="preserve">, </w:t>
      </w:r>
      <w:r w:rsidRPr="0000305D">
        <w:rPr>
          <w:i/>
          <w:iCs/>
        </w:rPr>
        <w:t>36</w:t>
      </w:r>
      <w:r w:rsidRPr="0000305D">
        <w:t xml:space="preserve">(5), 551–559. </w:t>
      </w:r>
    </w:p>
    <w:p w14:paraId="7D6659E1" w14:textId="348B76A9" w:rsidR="0044690A" w:rsidRPr="0044690A" w:rsidRDefault="0044690A" w:rsidP="00DC248F">
      <w:pPr>
        <w:ind w:left="567" w:hanging="567"/>
      </w:pPr>
      <w:r w:rsidRPr="0044690A">
        <w:t xml:space="preserve">Hurst, N. P., Jobanputra, P., Hunter, M., Lambert, M., Lochhead, A., &amp; Brown, H. </w:t>
      </w:r>
      <w:r w:rsidR="00747B91">
        <w:t>(</w:t>
      </w:r>
      <w:r w:rsidRPr="0044690A">
        <w:t>1994</w:t>
      </w:r>
      <w:r w:rsidR="00747B91">
        <w:t>)</w:t>
      </w:r>
      <w:r w:rsidRPr="0044690A">
        <w:t>. Validity of</w:t>
      </w:r>
      <w:r>
        <w:t xml:space="preserve"> </w:t>
      </w:r>
      <w:r w:rsidRPr="0044690A">
        <w:t xml:space="preserve">euroqol: A generic health status instrument in patients with rheumatoid arthritis economic and health outcomes research group. </w:t>
      </w:r>
      <w:r w:rsidRPr="0044690A">
        <w:rPr>
          <w:i/>
          <w:iCs/>
        </w:rPr>
        <w:t>Rheumatology, 33</w:t>
      </w:r>
      <w:r>
        <w:t>(7), 655–662. doi:</w:t>
      </w:r>
      <w:r w:rsidRPr="0044690A">
        <w:t>10.1093/rheumatology/33.7.655</w:t>
      </w:r>
    </w:p>
    <w:p w14:paraId="13F701E3" w14:textId="07A1FB88" w:rsidR="001B2940" w:rsidRPr="00D415D2" w:rsidRDefault="001B2940" w:rsidP="00DC248F">
      <w:pPr>
        <w:ind w:left="567" w:hanging="567"/>
      </w:pPr>
      <w:r w:rsidRPr="00D415D2">
        <w:t>Independent Gambling Authority</w:t>
      </w:r>
      <w:r w:rsidR="00747B91">
        <w:t>. (</w:t>
      </w:r>
      <w:r w:rsidRPr="00D415D2">
        <w:t>2004</w:t>
      </w:r>
      <w:r w:rsidR="00747B91">
        <w:t>)</w:t>
      </w:r>
      <w:r w:rsidRPr="00D415D2">
        <w:t xml:space="preserve">. </w:t>
      </w:r>
      <w:r w:rsidRPr="00845BD3">
        <w:rPr>
          <w:i/>
        </w:rPr>
        <w:t>Study into the relationship between crime and problem gambling: report to the Minister.</w:t>
      </w:r>
      <w:r w:rsidRPr="00D415D2">
        <w:t xml:space="preserve"> Adelaide: Independent Gambling Authority.</w:t>
      </w:r>
    </w:p>
    <w:p w14:paraId="06101924" w14:textId="3723F83C" w:rsidR="001B2940" w:rsidRPr="00D415D2" w:rsidRDefault="001B2940" w:rsidP="00DC248F">
      <w:pPr>
        <w:ind w:left="567" w:hanging="567"/>
      </w:pPr>
      <w:r w:rsidRPr="00D415D2">
        <w:t>Independ</w:t>
      </w:r>
      <w:r>
        <w:t>ent Pricing Regulatory Tribunal,</w:t>
      </w:r>
      <w:r w:rsidRPr="00D415D2">
        <w:t xml:space="preserve"> </w:t>
      </w:r>
      <w:r w:rsidR="00747B91">
        <w:t>(</w:t>
      </w:r>
      <w:r w:rsidRPr="00D415D2">
        <w:t>2005</w:t>
      </w:r>
      <w:r w:rsidR="00747B91">
        <w:t>)</w:t>
      </w:r>
      <w:r w:rsidRPr="00D415D2">
        <w:t xml:space="preserve">. </w:t>
      </w:r>
      <w:r w:rsidRPr="0059537F">
        <w:rPr>
          <w:i/>
        </w:rPr>
        <w:t>Gambling: Promoting a culture of responsibility.</w:t>
      </w:r>
      <w:r w:rsidRPr="00D415D2">
        <w:t xml:space="preserve"> </w:t>
      </w:r>
      <w:r>
        <w:t xml:space="preserve">Sydney: </w:t>
      </w:r>
      <w:r w:rsidRPr="0059537F">
        <w:t>Independent Pricing Regulatory Tribunal</w:t>
      </w:r>
      <w:r>
        <w:t>.</w:t>
      </w:r>
    </w:p>
    <w:p w14:paraId="32A12BFB" w14:textId="0E68B384" w:rsidR="001B2940" w:rsidRDefault="001B2940" w:rsidP="00DC248F">
      <w:pPr>
        <w:ind w:left="567" w:hanging="567"/>
      </w:pPr>
      <w:r w:rsidRPr="00D415D2">
        <w:t xml:space="preserve">Ingle, P. J., Marotta, J., Mcmillan, G. &amp; Wisdom, J. P. </w:t>
      </w:r>
      <w:r w:rsidR="00747B91">
        <w:t>(</w:t>
      </w:r>
      <w:r w:rsidRPr="00D415D2">
        <w:t>2008</w:t>
      </w:r>
      <w:r w:rsidR="00747B91">
        <w:t>)</w:t>
      </w:r>
      <w:r w:rsidRPr="00D415D2">
        <w:t>. Significant</w:t>
      </w:r>
      <w:r w:rsidRPr="001F5F13">
        <w:t xml:space="preserve"> others and gambling </w:t>
      </w:r>
      <w:r w:rsidRPr="00D415D2">
        <w:t xml:space="preserve">treatment outcomes. </w:t>
      </w:r>
      <w:r w:rsidRPr="0059537F">
        <w:rPr>
          <w:i/>
        </w:rPr>
        <w:t>Journal of gambling studies / co-sponsored by the National Council on Problem Gambling and Institute for the Study of Gambling and Commercial Gaming, 24</w:t>
      </w:r>
      <w:r>
        <w:t>(3)</w:t>
      </w:r>
      <w:r w:rsidRPr="00D415D2">
        <w:t>, 381- 392.</w:t>
      </w:r>
      <w:r>
        <w:t xml:space="preserve"> doi: </w:t>
      </w:r>
      <w:r w:rsidRPr="0059537F">
        <w:t>10.1007/s10899-008-9092-x</w:t>
      </w:r>
    </w:p>
    <w:p w14:paraId="0F4C0F95" w14:textId="77777777" w:rsidR="000027AA" w:rsidRPr="000027AA" w:rsidRDefault="000027AA" w:rsidP="00DC248F">
      <w:pPr>
        <w:ind w:left="567" w:hanging="567"/>
      </w:pPr>
      <w:r w:rsidRPr="000027AA">
        <w:t>Jacobs, D. F., Marston, A. R., Singer, R. D., Widaman, K., Little, T., &amp; Veizades, J. (1989). Children of problem gamblers. </w:t>
      </w:r>
      <w:r w:rsidRPr="000027AA">
        <w:rPr>
          <w:i/>
          <w:iCs/>
        </w:rPr>
        <w:t>Journal of Gambling Behavior</w:t>
      </w:r>
      <w:r w:rsidRPr="000027AA">
        <w:t>, </w:t>
      </w:r>
      <w:r w:rsidRPr="000027AA">
        <w:rPr>
          <w:i/>
          <w:iCs/>
        </w:rPr>
        <w:t>5</w:t>
      </w:r>
      <w:r w:rsidRPr="000027AA">
        <w:t>(4), 261-268.</w:t>
      </w:r>
    </w:p>
    <w:p w14:paraId="1D4B1517" w14:textId="77777777" w:rsidR="0044690A" w:rsidRPr="0044690A" w:rsidRDefault="0044690A" w:rsidP="00DC248F">
      <w:pPr>
        <w:ind w:left="567" w:hanging="567"/>
      </w:pPr>
      <w:r w:rsidRPr="0044690A">
        <w:t xml:space="preserve">Jelsma, J., Chivaura, V.G., Mhundwa, K., De Weerdt, W., and de Cock, P. (1999). The global burden of disease disability weights. </w:t>
      </w:r>
      <w:r w:rsidRPr="0044690A">
        <w:rPr>
          <w:i/>
        </w:rPr>
        <w:t>Lancet, 355</w:t>
      </w:r>
      <w:r w:rsidRPr="0044690A">
        <w:t>:2079–2080.</w:t>
      </w:r>
    </w:p>
    <w:p w14:paraId="6474DBBC" w14:textId="77777777" w:rsidR="0044690A" w:rsidRPr="0044690A" w:rsidRDefault="0044690A" w:rsidP="00DC248F">
      <w:pPr>
        <w:ind w:left="567" w:hanging="567"/>
      </w:pPr>
      <w:r w:rsidRPr="0044690A">
        <w:t xml:space="preserve">Johnson, E. E., Hammer, R., Nora, R. M., Tan, B., Eistenstein, N., &amp; Englehart, C. (1998). The lie/bet questionnaire for screening pathological gamblers. </w:t>
      </w:r>
      <w:r w:rsidRPr="0044690A">
        <w:rPr>
          <w:i/>
        </w:rPr>
        <w:t>Psychological Reports, 80</w:t>
      </w:r>
      <w:r w:rsidRPr="0044690A">
        <w:t>, 83-88</w:t>
      </w:r>
    </w:p>
    <w:p w14:paraId="3B41993A" w14:textId="77777777" w:rsidR="000027AA" w:rsidRPr="000027AA" w:rsidRDefault="000027AA" w:rsidP="00DC248F">
      <w:pPr>
        <w:ind w:left="567" w:hanging="567"/>
      </w:pPr>
      <w:r w:rsidRPr="000027AA">
        <w:t xml:space="preserve">Kalischuk, R. G., Nowatzki, N., Cardwell, K., Klein, K., &amp; Solowoniuk, J. (2006). Problem gambling and its impact on families: A literature review. </w:t>
      </w:r>
      <w:r w:rsidRPr="000027AA">
        <w:rPr>
          <w:i/>
          <w:iCs/>
        </w:rPr>
        <w:t>International Gambling Studies</w:t>
      </w:r>
      <w:r w:rsidRPr="000027AA">
        <w:t>, </w:t>
      </w:r>
      <w:r w:rsidRPr="000027AA">
        <w:rPr>
          <w:i/>
          <w:iCs/>
        </w:rPr>
        <w:t>6</w:t>
      </w:r>
      <w:r w:rsidRPr="000027AA">
        <w:t>(1), 31-60.</w:t>
      </w:r>
    </w:p>
    <w:p w14:paraId="6C2114F9" w14:textId="71148CCE" w:rsidR="001B2940" w:rsidRPr="00D415D2" w:rsidRDefault="001B2940" w:rsidP="00DC248F">
      <w:pPr>
        <w:ind w:left="567" w:hanging="567"/>
      </w:pPr>
      <w:r w:rsidRPr="00D415D2">
        <w:t xml:space="preserve">Källmén, H., Andersson, P. &amp; Andren, A. </w:t>
      </w:r>
      <w:r w:rsidR="00747B91">
        <w:t>(</w:t>
      </w:r>
      <w:r w:rsidRPr="00D415D2">
        <w:t>2008</w:t>
      </w:r>
      <w:r w:rsidR="00747B91">
        <w:t>)</w:t>
      </w:r>
      <w:r w:rsidRPr="00D415D2">
        <w:t>. Are irrational beliefs and depressive mood more</w:t>
      </w:r>
      <w:r>
        <w:t xml:space="preserve"> </w:t>
      </w:r>
      <w:r w:rsidRPr="00D415D2">
        <w:t>common among problem gamblers than non-g</w:t>
      </w:r>
      <w:r>
        <w:t>amblers? A survey study of S</w:t>
      </w:r>
      <w:r w:rsidRPr="001F5F13">
        <w:t>wed</w:t>
      </w:r>
      <w:r w:rsidRPr="00D415D2">
        <w:t>sh problem</w:t>
      </w:r>
      <w:r>
        <w:t xml:space="preserve"> </w:t>
      </w:r>
      <w:r w:rsidRPr="00D415D2">
        <w:lastRenderedPageBreak/>
        <w:t xml:space="preserve">gamblers and controls. </w:t>
      </w:r>
      <w:r w:rsidRPr="0059537F">
        <w:rPr>
          <w:i/>
        </w:rPr>
        <w:t>Journal of Gambling Studies, 24,</w:t>
      </w:r>
      <w:r w:rsidRPr="00D415D2">
        <w:t xml:space="preserve"> 441-450.</w:t>
      </w:r>
      <w:r>
        <w:t xml:space="preserve"> doi: </w:t>
      </w:r>
      <w:r w:rsidR="0044690A">
        <w:t>10.1007/s10899-008-9101</w:t>
      </w:r>
      <w:r w:rsidRPr="0059537F">
        <w:t>0</w:t>
      </w:r>
    </w:p>
    <w:p w14:paraId="6B33D5F6" w14:textId="617A2FB6" w:rsidR="0044690A" w:rsidRPr="0044690A" w:rsidRDefault="002C0907" w:rsidP="00DC248F">
      <w:pPr>
        <w:ind w:left="567" w:hanging="567"/>
      </w:pPr>
      <w:r>
        <w:t xml:space="preserve">Kaplan, R. M., &amp; Bush, J. W. </w:t>
      </w:r>
      <w:r w:rsidR="00747B91">
        <w:t>(</w:t>
      </w:r>
      <w:r w:rsidR="0044690A" w:rsidRPr="0044690A">
        <w:t>1982</w:t>
      </w:r>
      <w:r w:rsidR="00747B91">
        <w:t>)</w:t>
      </w:r>
      <w:r w:rsidR="0044690A" w:rsidRPr="0044690A">
        <w:t xml:space="preserve">. Health-related quality of life measurement for evaluation research and policy analysis. </w:t>
      </w:r>
      <w:r w:rsidR="0044690A" w:rsidRPr="0044690A">
        <w:rPr>
          <w:i/>
        </w:rPr>
        <w:t>Health Psychology, 1</w:t>
      </w:r>
      <w:r w:rsidR="0044690A" w:rsidRPr="0044690A">
        <w:t>(1), 61. doi: 10.1037/0278-6133.1.1.61</w:t>
      </w:r>
    </w:p>
    <w:p w14:paraId="4C2E77A9" w14:textId="3ECC7279" w:rsidR="001B2940" w:rsidRPr="00D415D2" w:rsidRDefault="001B2940" w:rsidP="00DC248F">
      <w:pPr>
        <w:ind w:left="567" w:hanging="567"/>
      </w:pPr>
      <w:r w:rsidRPr="00D415D2">
        <w:t>Korman, L. M., Collins, J., Dutton, D., Dhayananthan, B., Lit</w:t>
      </w:r>
      <w:r w:rsidRPr="001F5F13">
        <w:t xml:space="preserve">tman-Sharp, N. &amp; Skinner, W. </w:t>
      </w:r>
      <w:r w:rsidR="00747B91">
        <w:t>(</w:t>
      </w:r>
      <w:r w:rsidRPr="00D415D2">
        <w:t>2008</w:t>
      </w:r>
      <w:r w:rsidR="00747B91">
        <w:t>)</w:t>
      </w:r>
      <w:r w:rsidRPr="00D415D2">
        <w:t xml:space="preserve">. Problem gambling and intimate partner violence. </w:t>
      </w:r>
      <w:r w:rsidRPr="0059537F">
        <w:rPr>
          <w:i/>
        </w:rPr>
        <w:t>Journal of Gambling Studies, 24</w:t>
      </w:r>
      <w:r>
        <w:t>(1)</w:t>
      </w:r>
      <w:r w:rsidRPr="0059537F">
        <w:rPr>
          <w:i/>
        </w:rPr>
        <w:t>,</w:t>
      </w:r>
      <w:r w:rsidRPr="00D415D2">
        <w:t xml:space="preserve"> 13- 23.</w:t>
      </w:r>
      <w:r>
        <w:t xml:space="preserve"> doi: </w:t>
      </w:r>
      <w:r w:rsidRPr="0059537F">
        <w:t>10.1007/s10899-007-9077-1</w:t>
      </w:r>
    </w:p>
    <w:p w14:paraId="2DB17B1E" w14:textId="5CBFA4DF" w:rsidR="001B2940" w:rsidRPr="00D415D2" w:rsidRDefault="001B2940" w:rsidP="00DC248F">
      <w:pPr>
        <w:ind w:left="567" w:hanging="567"/>
      </w:pPr>
      <w:r w:rsidRPr="00D415D2">
        <w:t xml:space="preserve">Korn, D., Gibbins, R. &amp; Azmier, J. </w:t>
      </w:r>
      <w:r w:rsidR="00747B91">
        <w:t>(</w:t>
      </w:r>
      <w:r w:rsidRPr="00D415D2">
        <w:t>2003</w:t>
      </w:r>
      <w:r w:rsidR="00747B91">
        <w:t>)</w:t>
      </w:r>
      <w:r w:rsidRPr="00D415D2">
        <w:t>. Framing public policy toward</w:t>
      </w:r>
      <w:r w:rsidRPr="001F5F13">
        <w:t xml:space="preserve">s a public health paradigm for </w:t>
      </w:r>
      <w:r>
        <w:t>gambling</w:t>
      </w:r>
      <w:r w:rsidRPr="000C0C39">
        <w:rPr>
          <w:i/>
        </w:rPr>
        <w:t>. Journal of Gambling Studies / co-sponsored by the National Council on Problem Gambling and Institute for the Study of Gambling and Commercial Gaming, 19</w:t>
      </w:r>
      <w:r>
        <w:t>(2)</w:t>
      </w:r>
      <w:r w:rsidRPr="00D415D2">
        <w:t>, 235-256.</w:t>
      </w:r>
      <w:r>
        <w:t xml:space="preserve"> doi:</w:t>
      </w:r>
      <w:r w:rsidRPr="000C0C39">
        <w:t xml:space="preserve"> </w:t>
      </w:r>
      <w:r>
        <w:t>1</w:t>
      </w:r>
      <w:r w:rsidRPr="000C0C39">
        <w:t>0.1023/A:1023685416816</w:t>
      </w:r>
    </w:p>
    <w:p w14:paraId="0CCCF6E2" w14:textId="08152187" w:rsidR="001B2940" w:rsidRDefault="001B2940" w:rsidP="00DC248F">
      <w:pPr>
        <w:ind w:left="567" w:hanging="567"/>
      </w:pPr>
      <w:r w:rsidRPr="00D415D2">
        <w:t xml:space="preserve">Korn, D. &amp; Shaffer, H. </w:t>
      </w:r>
      <w:r w:rsidR="00747B91">
        <w:t>(</w:t>
      </w:r>
      <w:r w:rsidRPr="00D415D2">
        <w:t>1999</w:t>
      </w:r>
      <w:r w:rsidR="00747B91">
        <w:t>)</w:t>
      </w:r>
      <w:r w:rsidRPr="00D415D2">
        <w:t>. Gam</w:t>
      </w:r>
      <w:r>
        <w:t>bling and the health of the p</w:t>
      </w:r>
      <w:r w:rsidRPr="00D415D2">
        <w:t>u</w:t>
      </w:r>
      <w:r>
        <w:t>blic: Adopting a public h</w:t>
      </w:r>
      <w:r w:rsidRPr="001F5F13">
        <w:t xml:space="preserve">ealth </w:t>
      </w:r>
      <w:r>
        <w:t>p</w:t>
      </w:r>
      <w:r w:rsidRPr="00D415D2">
        <w:t xml:space="preserve">erspective. </w:t>
      </w:r>
      <w:r w:rsidRPr="000C0C39">
        <w:rPr>
          <w:i/>
        </w:rPr>
        <w:t>Journal of Gambling Studies, 15</w:t>
      </w:r>
      <w:r>
        <w:t>(4)</w:t>
      </w:r>
      <w:r w:rsidRPr="00D415D2">
        <w:t>, 289-365.</w:t>
      </w:r>
      <w:r>
        <w:t xml:space="preserve"> doi: </w:t>
      </w:r>
      <w:r w:rsidRPr="000C0C39">
        <w:t>10.1023/A:1023005115932</w:t>
      </w:r>
    </w:p>
    <w:p w14:paraId="79A109FD" w14:textId="1493F123" w:rsidR="00640EF7" w:rsidRPr="00D415D2" w:rsidRDefault="00640EF7" w:rsidP="00DC248F">
      <w:pPr>
        <w:ind w:left="567" w:hanging="567"/>
      </w:pPr>
      <w:r>
        <w:t xml:space="preserve">Kruijshaar, M. E., Hoeymans, N., Spijker, J., Stouthard, M. E. A., &amp; Essink-Bot, M.-L. (2005). Has the burden of depression been overestimated? </w:t>
      </w:r>
      <w:r>
        <w:rPr>
          <w:i/>
          <w:iCs/>
        </w:rPr>
        <w:t>Bulletin of the World Health Organization</w:t>
      </w:r>
      <w:r>
        <w:t xml:space="preserve">, </w:t>
      </w:r>
      <w:r>
        <w:rPr>
          <w:i/>
          <w:iCs/>
        </w:rPr>
        <w:t>83</w:t>
      </w:r>
      <w:r>
        <w:t>(6), 443–448. http://doi.org//S0042-96862005000600012</w:t>
      </w:r>
    </w:p>
    <w:p w14:paraId="2F557AF9" w14:textId="6C56285B" w:rsidR="0044690A" w:rsidRPr="0044690A" w:rsidRDefault="0044690A" w:rsidP="00DC248F">
      <w:pPr>
        <w:ind w:left="567" w:hanging="567"/>
      </w:pPr>
      <w:r w:rsidRPr="0044690A">
        <w:t xml:space="preserve">Ladouceur, R. </w:t>
      </w:r>
      <w:r w:rsidR="00747B91">
        <w:t>(</w:t>
      </w:r>
      <w:r w:rsidRPr="0044690A">
        <w:t>1993</w:t>
      </w:r>
      <w:r w:rsidR="00747B91">
        <w:t>)</w:t>
      </w:r>
      <w:r w:rsidRPr="0044690A">
        <w:t>. Jeu pathologique [Pathological gambling]. In R. Ladouceur, O. Fontaine, &amp; J. Cottraux (Eds.), Thérapie cognitive et comportementale (pp. 123-128). Paris: Masson.</w:t>
      </w:r>
    </w:p>
    <w:p w14:paraId="2E27EC6F" w14:textId="667A90AE" w:rsidR="001B2940" w:rsidRDefault="001B2940" w:rsidP="00DC248F">
      <w:pPr>
        <w:ind w:left="567" w:hanging="567"/>
      </w:pPr>
      <w:r w:rsidRPr="00D415D2">
        <w:t xml:space="preserve">Ladouceur, R., &amp; Sévigny, S. </w:t>
      </w:r>
      <w:r w:rsidR="00747B91">
        <w:t>(</w:t>
      </w:r>
      <w:r w:rsidRPr="00D415D2">
        <w:t>2006</w:t>
      </w:r>
      <w:r w:rsidR="00747B91">
        <w:t>)</w:t>
      </w:r>
      <w:r w:rsidRPr="00D415D2">
        <w:t>. The impact of video lottery gam</w:t>
      </w:r>
      <w:r w:rsidRPr="001F5F13">
        <w:t xml:space="preserve">e speed on gamblers. </w:t>
      </w:r>
      <w:r w:rsidRPr="000C0C39">
        <w:rPr>
          <w:i/>
        </w:rPr>
        <w:t>Journal of Gambling issues, 17</w:t>
      </w:r>
      <w:r w:rsidRPr="00D415D2">
        <w:t>, 1910-7585.</w:t>
      </w:r>
      <w:r>
        <w:t xml:space="preserve"> doi: </w:t>
      </w:r>
      <w:r w:rsidRPr="000C0C39">
        <w:t>10.4309/jgi.2006.17.12</w:t>
      </w:r>
    </w:p>
    <w:p w14:paraId="1E186CF6" w14:textId="4E57D2DF" w:rsidR="00640EF7" w:rsidRDefault="00640EF7" w:rsidP="00DC248F">
      <w:pPr>
        <w:ind w:left="567" w:hanging="567"/>
      </w:pPr>
      <w:r>
        <w:t xml:space="preserve">Lai, T., Habicht, J., &amp; Kiivet, R.-A. (2009). Measuring burden of disease in Estonia to support public health policy. </w:t>
      </w:r>
      <w:r>
        <w:rPr>
          <w:i/>
          <w:iCs/>
        </w:rPr>
        <w:t>European Journal of Public Health</w:t>
      </w:r>
      <w:r>
        <w:t xml:space="preserve">, </w:t>
      </w:r>
      <w:r>
        <w:rPr>
          <w:i/>
          <w:iCs/>
        </w:rPr>
        <w:t>19</w:t>
      </w:r>
      <w:r>
        <w:t xml:space="preserve">(5), 541–547. </w:t>
      </w:r>
      <w:r w:rsidR="00490924" w:rsidRPr="00490924">
        <w:t>http://doi.org/10.1093/eurpub/ckp038</w:t>
      </w:r>
    </w:p>
    <w:p w14:paraId="5B89F943" w14:textId="77777777" w:rsidR="00FC75BB" w:rsidRDefault="00FC75BB" w:rsidP="00FC75BB">
      <w:pPr>
        <w:ind w:left="567" w:hanging="567"/>
      </w:pPr>
      <w:bookmarkStart w:id="418" w:name="_ENREF_12"/>
      <w:r>
        <w:t xml:space="preserve">Lancsar, E., &amp; Louviere, J. (2008). Conducting discrete choice experiments to inform healthcare decision making: a user’s guide. </w:t>
      </w:r>
      <w:r>
        <w:rPr>
          <w:i/>
          <w:iCs/>
        </w:rPr>
        <w:t>Pharmacoeconomics</w:t>
      </w:r>
      <w:r>
        <w:t xml:space="preserve">, </w:t>
      </w:r>
      <w:r>
        <w:rPr>
          <w:i/>
          <w:iCs/>
        </w:rPr>
        <w:t>26</w:t>
      </w:r>
      <w:r>
        <w:t>(8), 661–677. Retrieved from http://www.ncbi.nlm.nih.gov/pubmed/18620460</w:t>
      </w:r>
    </w:p>
    <w:p w14:paraId="3854E11E" w14:textId="74E53C73" w:rsidR="00C86901" w:rsidRDefault="00C86901" w:rsidP="00490924">
      <w:pPr>
        <w:ind w:left="567" w:hanging="567"/>
      </w:pPr>
      <w:r w:rsidRPr="00C86901">
        <w:t xml:space="preserve">Lancsar, E., Wildman, J., Donaldson, C., Ryan, M., &amp; Baker, R. (2011). Deriving distributional weights for QALYs through discrete choice experiments. </w:t>
      </w:r>
      <w:r w:rsidRPr="00C86901">
        <w:rPr>
          <w:i/>
        </w:rPr>
        <w:t>Journal of Health Economics, 30</w:t>
      </w:r>
      <w:r w:rsidRPr="00C86901">
        <w:t>(2), 466–478. http://doi.org/10.1016/j.jhealeco.2011.01.003</w:t>
      </w:r>
    </w:p>
    <w:p w14:paraId="6D708D1C" w14:textId="33F80B9E" w:rsidR="00B917B9" w:rsidRDefault="00B917B9" w:rsidP="00490924">
      <w:pPr>
        <w:ind w:left="567" w:hanging="567"/>
      </w:pPr>
      <w:r>
        <w:t xml:space="preserve">Langham, E. (2016). </w:t>
      </w:r>
      <w:r w:rsidRPr="00632E52">
        <w:rPr>
          <w:i/>
        </w:rPr>
        <w:t>Dissonance: the third vector of gambling harm</w:t>
      </w:r>
      <w:r>
        <w:t>. Unpublished manuscript</w:t>
      </w:r>
    </w:p>
    <w:p w14:paraId="43020C23" w14:textId="6F355282" w:rsidR="00490924" w:rsidRPr="00490924" w:rsidRDefault="00490924" w:rsidP="00490924">
      <w:pPr>
        <w:ind w:left="567" w:hanging="567"/>
      </w:pPr>
      <w:r w:rsidRPr="00490924">
        <w:t xml:space="preserve">Langham, E., Thorne, H., Browne, M., Donaldson, P., Rose, J., &amp; Rockloff, M. (2016). Understanding gambling related harm: </w:t>
      </w:r>
      <w:r w:rsidR="0043356F">
        <w:t>A</w:t>
      </w:r>
      <w:r w:rsidRPr="00490924">
        <w:t xml:space="preserve"> proposed definition, conceptual framework, and taxonomy of harms. </w:t>
      </w:r>
      <w:r w:rsidRPr="00490924">
        <w:rPr>
          <w:i/>
        </w:rPr>
        <w:t>BMC Public Health, 16</w:t>
      </w:r>
      <w:r w:rsidRPr="00490924">
        <w:t>(80). DOI 10.1186/s12889-016-2747-0</w:t>
      </w:r>
      <w:bookmarkEnd w:id="418"/>
    </w:p>
    <w:p w14:paraId="4CA617DE" w14:textId="253067C3" w:rsidR="001B2940" w:rsidRDefault="001B2940" w:rsidP="00DC248F">
      <w:pPr>
        <w:ind w:left="567" w:hanging="567"/>
      </w:pPr>
      <w:r w:rsidRPr="00D415D2">
        <w:t>Ledgerwood, D. M., Steinberg, M. A</w:t>
      </w:r>
      <w:r>
        <w:t>., Wu, R. &amp; Potenza, M</w:t>
      </w:r>
      <w:r w:rsidRPr="00D415D2">
        <w:t>. N</w:t>
      </w:r>
      <w:r w:rsidRPr="001F5F13">
        <w:t xml:space="preserve">. </w:t>
      </w:r>
      <w:r w:rsidR="00747B91">
        <w:t>(</w:t>
      </w:r>
      <w:r w:rsidRPr="001F5F13">
        <w:t>2005</w:t>
      </w:r>
      <w:r w:rsidR="00747B91">
        <w:t>)</w:t>
      </w:r>
      <w:r w:rsidRPr="001F5F13">
        <w:t>. Self-reported gambling-</w:t>
      </w:r>
      <w:r w:rsidRPr="00D415D2">
        <w:t xml:space="preserve">related suicidality among gambling helpline callers. </w:t>
      </w:r>
      <w:r w:rsidRPr="00670B37">
        <w:rPr>
          <w:i/>
        </w:rPr>
        <w:t>Psychology of Addictive Behaviors, 19</w:t>
      </w:r>
      <w:r>
        <w:t>(2)</w:t>
      </w:r>
      <w:r w:rsidRPr="00D415D2">
        <w:t>, 175-183.</w:t>
      </w:r>
      <w:r>
        <w:t xml:space="preserve"> doi: </w:t>
      </w:r>
      <w:r w:rsidRPr="0092646C">
        <w:t>10.1037/0893-164X.19.2.175</w:t>
      </w:r>
    </w:p>
    <w:p w14:paraId="1AEE8CAC" w14:textId="7E97BFDB" w:rsidR="001B2940" w:rsidRPr="00D415D2" w:rsidRDefault="001B2940" w:rsidP="00DC248F">
      <w:pPr>
        <w:ind w:left="567" w:hanging="567"/>
      </w:pPr>
      <w:r w:rsidRPr="00D415D2">
        <w:lastRenderedPageBreak/>
        <w:t xml:space="preserve">Li, W., &amp; Chan, K. </w:t>
      </w:r>
      <w:r w:rsidR="00747B91">
        <w:t>(</w:t>
      </w:r>
      <w:r w:rsidRPr="00D415D2">
        <w:t>2006</w:t>
      </w:r>
      <w:r w:rsidR="00747B91">
        <w:t>)</w:t>
      </w:r>
      <w:r w:rsidRPr="00D415D2">
        <w:t>. Gambling impacts on Chinese internationa</w:t>
      </w:r>
      <w:r w:rsidRPr="001F5F13">
        <w:t xml:space="preserve">l students Symposium conducted </w:t>
      </w:r>
      <w:r w:rsidRPr="00D415D2">
        <w:t xml:space="preserve">at the meeting of the </w:t>
      </w:r>
      <w:r w:rsidRPr="0092646C">
        <w:rPr>
          <w:i/>
        </w:rPr>
        <w:t>International Conference: Gambling and its Impacts - Policy, Practice and Research Perspectives,</w:t>
      </w:r>
      <w:r w:rsidRPr="00D415D2">
        <w:t xml:space="preserve"> Auckland, 13-16 September.</w:t>
      </w:r>
    </w:p>
    <w:p w14:paraId="4C9760F9" w14:textId="358713F7" w:rsidR="001B2940" w:rsidRPr="00D415D2" w:rsidRDefault="001B2940" w:rsidP="00DC248F">
      <w:pPr>
        <w:ind w:left="567" w:hanging="567"/>
      </w:pPr>
      <w:r w:rsidRPr="00D415D2">
        <w:t xml:space="preserve">Liao, M. S. </w:t>
      </w:r>
      <w:r w:rsidR="00747B91">
        <w:t>(</w:t>
      </w:r>
      <w:r w:rsidRPr="00D415D2">
        <w:t>2008</w:t>
      </w:r>
      <w:r w:rsidR="00747B91">
        <w:t>)</w:t>
      </w:r>
      <w:r w:rsidRPr="00D415D2">
        <w:t>. Intima</w:t>
      </w:r>
      <w:r>
        <w:t>te partner violence within the C</w:t>
      </w:r>
      <w:r w:rsidRPr="00D415D2">
        <w:t>hinese commu</w:t>
      </w:r>
      <w:r>
        <w:t>nity in San Francisco: P</w:t>
      </w:r>
      <w:r w:rsidRPr="001F5F13">
        <w:t xml:space="preserve">roblem </w:t>
      </w:r>
      <w:r w:rsidRPr="00D415D2">
        <w:t xml:space="preserve">gambling as a risk factor. </w:t>
      </w:r>
      <w:r w:rsidRPr="0092646C">
        <w:rPr>
          <w:i/>
        </w:rPr>
        <w:t>Journal of Family Violence, 23</w:t>
      </w:r>
      <w:r w:rsidRPr="00D415D2">
        <w:t>, 671-678.</w:t>
      </w:r>
      <w:r>
        <w:t xml:space="preserve"> doi: </w:t>
      </w:r>
      <w:r w:rsidRPr="0092646C">
        <w:t>10.1007/s10896-008-9190-7</w:t>
      </w:r>
    </w:p>
    <w:p w14:paraId="66701D07" w14:textId="4EBB96E0" w:rsidR="001B2940" w:rsidRPr="0092646C" w:rsidRDefault="001B2940" w:rsidP="00DC248F">
      <w:pPr>
        <w:ind w:left="567" w:hanging="567"/>
      </w:pPr>
      <w:r w:rsidRPr="00D415D2">
        <w:t>Lin, E. Y. J., Casswell, S., Huckle, T., You, R. Q., &amp; Asiasiga</w:t>
      </w:r>
      <w:r w:rsidRPr="00D415D2">
        <w:rPr>
          <w:caps/>
        </w:rPr>
        <w:t>, L</w:t>
      </w:r>
      <w:r w:rsidRPr="00D415D2">
        <w:t xml:space="preserve">. </w:t>
      </w:r>
      <w:r w:rsidR="00747B91">
        <w:t>(</w:t>
      </w:r>
      <w:r w:rsidRPr="00D415D2">
        <w:t>2011</w:t>
      </w:r>
      <w:r w:rsidR="00747B91">
        <w:t>)</w:t>
      </w:r>
      <w:r w:rsidRPr="00D415D2">
        <w:t xml:space="preserve">. </w:t>
      </w:r>
      <w:r w:rsidRPr="001F5F13">
        <w:t xml:space="preserve">Does one shoe fit all? Impacts </w:t>
      </w:r>
      <w:r w:rsidRPr="00D415D2">
        <w:t xml:space="preserve">of gambling among four ethnic groups in New Zealand. </w:t>
      </w:r>
      <w:r>
        <w:rPr>
          <w:i/>
        </w:rPr>
        <w:t>Journal of Gambling I</w:t>
      </w:r>
      <w:r w:rsidRPr="0092646C">
        <w:rPr>
          <w:i/>
        </w:rPr>
        <w:t>ssues,</w:t>
      </w:r>
      <w:r>
        <w:rPr>
          <w:i/>
        </w:rPr>
        <w:t xml:space="preserve"> 26,</w:t>
      </w:r>
      <w:r w:rsidRPr="00D415D2">
        <w:t xml:space="preserve"> 69-88.</w:t>
      </w:r>
      <w:r>
        <w:t xml:space="preserve"> doi: </w:t>
      </w:r>
      <w:r w:rsidRPr="0092646C">
        <w:t>10.4309/jgi.2011.26.6</w:t>
      </w:r>
    </w:p>
    <w:p w14:paraId="6941E381" w14:textId="77777777" w:rsidR="0044690A" w:rsidRPr="0044690A" w:rsidRDefault="0044690A" w:rsidP="00DC248F">
      <w:pPr>
        <w:ind w:left="567" w:hanging="567"/>
      </w:pPr>
      <w:r w:rsidRPr="0044690A">
        <w:t xml:space="preserve">Llewellyn-Thomas, H., Sutherland, H. J., Tibshirani, R., Ciampi, A., Till, J. E., &amp; Boyd, N. F. (1984). Describing health states: Methodologic issues in obtaining values for health states. </w:t>
      </w:r>
      <w:r w:rsidRPr="0044690A">
        <w:rPr>
          <w:i/>
        </w:rPr>
        <w:t xml:space="preserve">Medical Care 22 </w:t>
      </w:r>
      <w:r w:rsidRPr="0044690A">
        <w:t>(6), 543–552. Retrieved from: http://www.jstor.org/stable/3764509</w:t>
      </w:r>
    </w:p>
    <w:p w14:paraId="56DE2736" w14:textId="1A3EF91C" w:rsidR="001B2940" w:rsidRPr="00D415D2" w:rsidRDefault="001B2940" w:rsidP="00DC248F">
      <w:pPr>
        <w:ind w:left="567" w:hanging="567"/>
      </w:pPr>
      <w:r w:rsidRPr="00D415D2">
        <w:t>Lloyd, J., Doll, H., Hawton, K., Dutton, W. H., Geddes, J. R., Goodwin, G. M. &amp; Rog</w:t>
      </w:r>
      <w:r w:rsidRPr="001F5F13">
        <w:t xml:space="preserve">ers, R. D. </w:t>
      </w:r>
      <w:r w:rsidR="00747B91">
        <w:t>(</w:t>
      </w:r>
      <w:r w:rsidRPr="00D415D2">
        <w:t>2010</w:t>
      </w:r>
      <w:r w:rsidR="00747B91">
        <w:t>)</w:t>
      </w:r>
      <w:r w:rsidRPr="00D415D2">
        <w:t>. How psychological symptoms relate to different motiv</w:t>
      </w:r>
      <w:r>
        <w:t>ations for gambling: A</w:t>
      </w:r>
      <w:r w:rsidRPr="001F5F13">
        <w:t xml:space="preserve">n online </w:t>
      </w:r>
      <w:r>
        <w:t>study of I</w:t>
      </w:r>
      <w:r w:rsidRPr="00D415D2">
        <w:t>nternet gamblers.</w:t>
      </w:r>
      <w:r w:rsidRPr="007E2497">
        <w:rPr>
          <w:i/>
        </w:rPr>
        <w:t xml:space="preserve"> Biological Psychiatry, 68</w:t>
      </w:r>
      <w:r>
        <w:t>(8)</w:t>
      </w:r>
      <w:r w:rsidRPr="00D415D2">
        <w:t>, 733-740.</w:t>
      </w:r>
      <w:r>
        <w:t xml:space="preserve"> doi:</w:t>
      </w:r>
      <w:r w:rsidRPr="005432B3">
        <w:t xml:space="preserve"> 10.1016/j.biopsych.2010.03</w:t>
      </w:r>
      <w:r>
        <w:t>-</w:t>
      </w:r>
      <w:r w:rsidRPr="005432B3">
        <w:t>.038</w:t>
      </w:r>
    </w:p>
    <w:p w14:paraId="12B97B9E" w14:textId="77777777" w:rsidR="0044690A" w:rsidRPr="0044690A" w:rsidRDefault="0044690A" w:rsidP="00DC248F">
      <w:pPr>
        <w:ind w:left="567" w:hanging="567"/>
      </w:pPr>
      <w:r w:rsidRPr="0044690A">
        <w:t>Lobsinger, C., Bechett, L., &amp; Relationships Australia (Qld.). (1996). Odds on to Break Even: A Practical Approach to Gambling Awareness. Relationships Australia (Qld.) Incorporated. Retrieved from https://books.google.com.au/books?id=XchxNAAACAAJ</w:t>
      </w:r>
    </w:p>
    <w:p w14:paraId="6DB4AA9F" w14:textId="532B7CDD" w:rsidR="0058398A" w:rsidRPr="0058398A" w:rsidRDefault="0058398A" w:rsidP="00DC248F">
      <w:pPr>
        <w:ind w:left="567" w:hanging="567"/>
      </w:pPr>
      <w:r w:rsidRPr="0058398A">
        <w:t xml:space="preserve">Lorenz, V. C., &amp; Yaffee, R. A. </w:t>
      </w:r>
      <w:r w:rsidR="00747B91">
        <w:t>(</w:t>
      </w:r>
      <w:r w:rsidRPr="0058398A">
        <w:t>1988</w:t>
      </w:r>
      <w:r w:rsidR="00747B91">
        <w:t>)</w:t>
      </w:r>
      <w:r w:rsidRPr="0058398A">
        <w:t>. Pathological gambling: Psychosomatic, emotional and marital difficulties as reported by the spouse. </w:t>
      </w:r>
      <w:r w:rsidRPr="0058398A">
        <w:rPr>
          <w:i/>
          <w:iCs/>
        </w:rPr>
        <w:t>Journal of Gambling Behavior</w:t>
      </w:r>
      <w:r w:rsidRPr="0058398A">
        <w:t>, </w:t>
      </w:r>
      <w:r w:rsidRPr="0058398A">
        <w:rPr>
          <w:i/>
          <w:iCs/>
        </w:rPr>
        <w:t>4</w:t>
      </w:r>
      <w:r w:rsidRPr="0058398A">
        <w:t>(1), 13-26.</w:t>
      </w:r>
    </w:p>
    <w:p w14:paraId="47027778" w14:textId="39BDCBDE" w:rsidR="0058398A" w:rsidRPr="0058398A" w:rsidRDefault="0058398A" w:rsidP="00DC248F">
      <w:pPr>
        <w:ind w:left="567" w:hanging="567"/>
      </w:pPr>
      <w:r w:rsidRPr="0058398A">
        <w:t xml:space="preserve">Lorenz, V. C., &amp; Shuttlesworth, D. E. </w:t>
      </w:r>
      <w:r w:rsidR="00747B91">
        <w:t>(</w:t>
      </w:r>
      <w:r w:rsidRPr="0058398A">
        <w:t>1983</w:t>
      </w:r>
      <w:r w:rsidR="00747B91">
        <w:t>)</w:t>
      </w:r>
      <w:r w:rsidRPr="0058398A">
        <w:t>. The impact of pathological gambling on the spouse of the gambler. </w:t>
      </w:r>
      <w:r w:rsidRPr="0058398A">
        <w:rPr>
          <w:i/>
          <w:iCs/>
        </w:rPr>
        <w:t>Journal of Community Psychology</w:t>
      </w:r>
      <w:r w:rsidRPr="0058398A">
        <w:t xml:space="preserve">, </w:t>
      </w:r>
      <w:r w:rsidRPr="0058398A">
        <w:rPr>
          <w:i/>
          <w:iCs/>
        </w:rPr>
        <w:t>11</w:t>
      </w:r>
      <w:r w:rsidRPr="0058398A">
        <w:t>(1), 67-76.</w:t>
      </w:r>
    </w:p>
    <w:p w14:paraId="239321DA" w14:textId="3A3578BE" w:rsidR="001B2940" w:rsidRPr="00D415D2" w:rsidRDefault="001B2940" w:rsidP="00DC248F">
      <w:pPr>
        <w:ind w:left="567" w:hanging="567"/>
      </w:pPr>
      <w:r w:rsidRPr="00D415D2">
        <w:t xml:space="preserve">Maccallum, F. &amp; Blaszczynski, A. </w:t>
      </w:r>
      <w:r w:rsidR="00747B91">
        <w:t>(</w:t>
      </w:r>
      <w:r w:rsidRPr="00D415D2">
        <w:t>2003</w:t>
      </w:r>
      <w:r w:rsidR="00747B91">
        <w:t>)</w:t>
      </w:r>
      <w:r w:rsidRPr="00D415D2">
        <w:t>. Patholog</w:t>
      </w:r>
      <w:r>
        <w:t>ical gambling and suicidality: A</w:t>
      </w:r>
      <w:r w:rsidRPr="00D415D2">
        <w:t xml:space="preserve">n analysis </w:t>
      </w:r>
      <w:r w:rsidRPr="001F5F13">
        <w:t xml:space="preserve">of </w:t>
      </w:r>
      <w:r w:rsidRPr="00D415D2">
        <w:t>sev</w:t>
      </w:r>
      <w:r>
        <w:t xml:space="preserve">erity and lethality. </w:t>
      </w:r>
      <w:r w:rsidRPr="005432B3">
        <w:rPr>
          <w:i/>
        </w:rPr>
        <w:t>Suicide &amp; Life-Threatening Behavior, 33</w:t>
      </w:r>
      <w:r>
        <w:t>(1)</w:t>
      </w:r>
      <w:r w:rsidRPr="00D415D2">
        <w:t>, 88-98.</w:t>
      </w:r>
      <w:r>
        <w:t xml:space="preserve"> doi: </w:t>
      </w:r>
      <w:r w:rsidRPr="005432B3">
        <w:t>10.1521/suli.33.1.88.22781</w:t>
      </w:r>
    </w:p>
    <w:p w14:paraId="5E867CDD" w14:textId="4FA840B3" w:rsidR="001B2940" w:rsidRPr="00D415D2" w:rsidRDefault="001B2940" w:rsidP="00DC248F">
      <w:pPr>
        <w:ind w:left="567" w:hanging="567"/>
      </w:pPr>
      <w:r w:rsidRPr="00D415D2">
        <w:t xml:space="preserve">Marshall, D. </w:t>
      </w:r>
      <w:r w:rsidR="00747B91">
        <w:t>(</w:t>
      </w:r>
      <w:r w:rsidRPr="00D415D2">
        <w:t>2009</w:t>
      </w:r>
      <w:r w:rsidR="00747B91">
        <w:t>)</w:t>
      </w:r>
      <w:r w:rsidRPr="00D415D2">
        <w:t xml:space="preserve">. Gambling as a public health issue: The critical </w:t>
      </w:r>
      <w:r w:rsidRPr="001F5F13">
        <w:t xml:space="preserve">role of the local environment. </w:t>
      </w:r>
      <w:r w:rsidRPr="005432B3">
        <w:rPr>
          <w:i/>
        </w:rPr>
        <w:t>Journal of Gambling Issues</w:t>
      </w:r>
      <w:r w:rsidRPr="00D415D2">
        <w:t>,</w:t>
      </w:r>
      <w:r>
        <w:t xml:space="preserve"> </w:t>
      </w:r>
      <w:r w:rsidRPr="005432B3">
        <w:rPr>
          <w:i/>
        </w:rPr>
        <w:t>23</w:t>
      </w:r>
      <w:r>
        <w:t>,</w:t>
      </w:r>
      <w:r w:rsidRPr="00D415D2">
        <w:t xml:space="preserve"> 66-80.</w:t>
      </w:r>
      <w:r>
        <w:t xml:space="preserve"> doi: </w:t>
      </w:r>
      <w:r w:rsidRPr="005432B3">
        <w:t>10.4309/jgi.2009.23.4</w:t>
      </w:r>
    </w:p>
    <w:p w14:paraId="68710DDD" w14:textId="5FD2C2CD" w:rsidR="001B2940" w:rsidRPr="005432B3" w:rsidRDefault="001B2940" w:rsidP="00DC248F">
      <w:pPr>
        <w:ind w:left="567" w:hanging="567"/>
      </w:pPr>
      <w:r w:rsidRPr="00D415D2">
        <w:t xml:space="preserve">Martin, R. J., Usdan, S., Cremeens, J. &amp; Vail-Smith, K. </w:t>
      </w:r>
      <w:r w:rsidR="00747B91">
        <w:t>(</w:t>
      </w:r>
      <w:r w:rsidRPr="00D415D2">
        <w:t>2013</w:t>
      </w:r>
      <w:r w:rsidR="00747B91">
        <w:t>)</w:t>
      </w:r>
      <w:r w:rsidRPr="00D415D2">
        <w:t>. Disord</w:t>
      </w:r>
      <w:r w:rsidRPr="001F5F13">
        <w:t xml:space="preserve">ered gambling and co-morbidity </w:t>
      </w:r>
      <w:r w:rsidRPr="00D415D2">
        <w:t>of psychiatric disorders among college students: An examinatio</w:t>
      </w:r>
      <w:r w:rsidRPr="001F5F13">
        <w:t xml:space="preserve">n of problem drinking, anxiety </w:t>
      </w:r>
      <w:r w:rsidRPr="00D415D2">
        <w:t xml:space="preserve">and depression. </w:t>
      </w:r>
      <w:r w:rsidRPr="005432B3">
        <w:rPr>
          <w:i/>
        </w:rPr>
        <w:t>Journal of Gambling Studies</w:t>
      </w:r>
      <w:r>
        <w:rPr>
          <w:i/>
        </w:rPr>
        <w:t>, 30</w:t>
      </w:r>
      <w:r w:rsidRPr="005432B3">
        <w:t>(2)</w:t>
      </w:r>
      <w:r>
        <w:t>, 321 – 333.</w:t>
      </w:r>
      <w:r w:rsidRPr="005432B3">
        <w:t xml:space="preserve"> doi: 10.1007/s</w:t>
      </w:r>
      <w:r>
        <w:t>-</w:t>
      </w:r>
      <w:r w:rsidRPr="005432B3">
        <w:t>10899-013-9367-8</w:t>
      </w:r>
    </w:p>
    <w:p w14:paraId="1002ACFB" w14:textId="05DCE446" w:rsidR="0044690A" w:rsidRDefault="0044690A" w:rsidP="00DC248F">
      <w:pPr>
        <w:ind w:left="567" w:hanging="567"/>
      </w:pPr>
      <w:r w:rsidRPr="0044690A">
        <w:t xml:space="preserve">Mathers, C., Vos, T., Lopez, A., Salomon, J., &amp; Ezzati, M. </w:t>
      </w:r>
      <w:r w:rsidR="00747B91">
        <w:t>(</w:t>
      </w:r>
      <w:r w:rsidRPr="0044690A">
        <w:t>2001</w:t>
      </w:r>
      <w:r w:rsidR="00747B91">
        <w:t>)</w:t>
      </w:r>
      <w:r w:rsidRPr="0044690A">
        <w:t xml:space="preserve">. National Burden of Disease Studies: A Practical Guide. Edition 2.0. Global Program on Evidence for Health Policy. Geneva: World Health Organization. </w:t>
      </w:r>
    </w:p>
    <w:p w14:paraId="62B814A2" w14:textId="77777777" w:rsidR="00490924" w:rsidRPr="00490924" w:rsidRDefault="00490924" w:rsidP="00490924">
      <w:pPr>
        <w:ind w:left="567" w:hanging="567"/>
      </w:pPr>
      <w:bookmarkStart w:id="419" w:name="_ENREF_13"/>
      <w:r w:rsidRPr="00490924">
        <w:t xml:space="preserve">McCarthy, I. (1995). Manufacturing classification: lessons from organizational systematics and biological taxonomy. </w:t>
      </w:r>
      <w:r w:rsidRPr="00490924">
        <w:rPr>
          <w:i/>
        </w:rPr>
        <w:t>Integrated Manufacturing Systems, 6</w:t>
      </w:r>
      <w:r w:rsidRPr="00490924">
        <w:t xml:space="preserve">(6), 37-48. </w:t>
      </w:r>
      <w:bookmarkEnd w:id="419"/>
    </w:p>
    <w:p w14:paraId="542DC07C" w14:textId="2C4BA34D" w:rsidR="001B2940" w:rsidRPr="00D415D2" w:rsidRDefault="001B2940" w:rsidP="00DC248F">
      <w:pPr>
        <w:ind w:left="567" w:hanging="567"/>
      </w:pPr>
      <w:r w:rsidRPr="00D415D2">
        <w:lastRenderedPageBreak/>
        <w:t xml:space="preserve">Mccormack, A. &amp; Griffiths, M. </w:t>
      </w:r>
      <w:r w:rsidR="00747B91">
        <w:t>(</w:t>
      </w:r>
      <w:r w:rsidRPr="00D415D2">
        <w:t>2011</w:t>
      </w:r>
      <w:r w:rsidR="00747B91">
        <w:t>)</w:t>
      </w:r>
      <w:r w:rsidRPr="00D415D2">
        <w:t>. The effects of problem gambling on qua</w:t>
      </w:r>
      <w:r w:rsidRPr="001F5F13">
        <w:t xml:space="preserve">lity of life and </w:t>
      </w:r>
      <w:r w:rsidRPr="00D415D2">
        <w:t>wellbeing: A qualitative comparison of online and offl</w:t>
      </w:r>
      <w:r>
        <w:t xml:space="preserve">ine problem gamblers. </w:t>
      </w:r>
      <w:r w:rsidRPr="005432B3">
        <w:rPr>
          <w:i/>
        </w:rPr>
        <w:t>Gambling Research: Journal of the National Association for Gambling Studies</w:t>
      </w:r>
      <w:r>
        <w:rPr>
          <w:i/>
        </w:rPr>
        <w:t>,</w:t>
      </w:r>
      <w:r w:rsidRPr="00D415D2">
        <w:t xml:space="preserve"> </w:t>
      </w:r>
      <w:r w:rsidRPr="00D636F2">
        <w:rPr>
          <w:i/>
        </w:rPr>
        <w:t>23</w:t>
      </w:r>
      <w:r>
        <w:t>(1)</w:t>
      </w:r>
      <w:r w:rsidRPr="00D415D2">
        <w:t>, 63-81.</w:t>
      </w:r>
      <w:r>
        <w:t xml:space="preserve"> Retrieved from:</w:t>
      </w:r>
      <w:r w:rsidRPr="00D636F2">
        <w:t xml:space="preserve"> &lt;http://search.informit.com.au/documentSummary;dn=443683607024145;res=IELHSS&gt;</w:t>
      </w:r>
    </w:p>
    <w:p w14:paraId="7A3E2FC8" w14:textId="4DB32C63" w:rsidR="001B2940" w:rsidRPr="00D415D2" w:rsidRDefault="001B2940" w:rsidP="00DC248F">
      <w:pPr>
        <w:ind w:left="567" w:hanging="567"/>
      </w:pPr>
      <w:r w:rsidRPr="00D415D2">
        <w:t xml:space="preserve">Mcmillen, J., &amp; Marshall, </w:t>
      </w:r>
      <w:r w:rsidRPr="00D415D2">
        <w:rPr>
          <w:caps/>
        </w:rPr>
        <w:t>D</w:t>
      </w:r>
      <w:r w:rsidRPr="00D415D2">
        <w:t xml:space="preserve">. </w:t>
      </w:r>
      <w:r w:rsidR="00747B91">
        <w:t>(</w:t>
      </w:r>
      <w:r w:rsidRPr="00D415D2">
        <w:t>2004</w:t>
      </w:r>
      <w:r w:rsidR="00747B91">
        <w:t>)</w:t>
      </w:r>
      <w:r w:rsidRPr="00D415D2">
        <w:t xml:space="preserve">. </w:t>
      </w:r>
      <w:r w:rsidRPr="00D636F2">
        <w:rPr>
          <w:i/>
        </w:rPr>
        <w:t>Victorian longitudinal community attitudes survey on gambling</w:t>
      </w:r>
      <w:r w:rsidRPr="001F5F13">
        <w:t xml:space="preserve">. </w:t>
      </w:r>
      <w:r w:rsidRPr="00D415D2">
        <w:t>Melbourne: Gambling Research Panel.</w:t>
      </w:r>
    </w:p>
    <w:p w14:paraId="3EBC0A96" w14:textId="30F5A620" w:rsidR="001B2940" w:rsidRPr="00D415D2" w:rsidRDefault="001B2940" w:rsidP="00DC248F">
      <w:pPr>
        <w:ind w:left="567" w:hanging="567"/>
      </w:pPr>
      <w:r w:rsidRPr="00D415D2">
        <w:t>Mcmillen, J., Marshall, D., Murphy, L., Lorenzen, S. &amp; Waugh, B.</w:t>
      </w:r>
      <w:r w:rsidRPr="001F5F13">
        <w:t xml:space="preserve"> </w:t>
      </w:r>
      <w:r w:rsidR="00747B91">
        <w:t>(</w:t>
      </w:r>
      <w:r w:rsidRPr="001F5F13">
        <w:t>2004</w:t>
      </w:r>
      <w:r w:rsidR="00747B91">
        <w:t>)</w:t>
      </w:r>
      <w:r w:rsidRPr="001F5F13">
        <w:t xml:space="preserve">. </w:t>
      </w:r>
      <w:r w:rsidRPr="00D636F2">
        <w:rPr>
          <w:i/>
        </w:rPr>
        <w:t>Help-seeking by problem gamblers, friends and families: A focus on gender and cul</w:t>
      </w:r>
      <w:r>
        <w:rPr>
          <w:i/>
        </w:rPr>
        <w:t xml:space="preserve">tural groups. </w:t>
      </w:r>
      <w:r w:rsidRPr="00D636F2">
        <w:t>Canberra:</w:t>
      </w:r>
      <w:r w:rsidRPr="00D415D2">
        <w:t xml:space="preserve"> Cent</w:t>
      </w:r>
      <w:r w:rsidRPr="001F5F13">
        <w:t xml:space="preserve">re for Gambling </w:t>
      </w:r>
      <w:r w:rsidRPr="00D415D2">
        <w:t>Research (CGR), ANU.</w:t>
      </w:r>
    </w:p>
    <w:p w14:paraId="4EEEEAF1" w14:textId="333F8740" w:rsidR="001B2940" w:rsidRPr="00D415D2" w:rsidRDefault="001B2940" w:rsidP="00DC248F">
      <w:pPr>
        <w:ind w:left="567" w:hanging="567"/>
      </w:pPr>
      <w:r w:rsidRPr="00D415D2">
        <w:t xml:space="preserve">Mcmullan, J. L. &amp; Miller, D. </w:t>
      </w:r>
      <w:r w:rsidR="00747B91">
        <w:t>(</w:t>
      </w:r>
      <w:r w:rsidRPr="00D415D2">
        <w:t>2009</w:t>
      </w:r>
      <w:r w:rsidR="00747B91">
        <w:t>)</w:t>
      </w:r>
      <w:r w:rsidRPr="00D415D2">
        <w:t xml:space="preserve">. </w:t>
      </w:r>
      <w:r>
        <w:t>Wins, winning and winners: T</w:t>
      </w:r>
      <w:r w:rsidRPr="00D415D2">
        <w:t>he com</w:t>
      </w:r>
      <w:r w:rsidRPr="001F5F13">
        <w:t xml:space="preserve">mercial advertising of lottery </w:t>
      </w:r>
      <w:r w:rsidRPr="00D415D2">
        <w:t xml:space="preserve">gambling. </w:t>
      </w:r>
      <w:r w:rsidRPr="00A87887">
        <w:rPr>
          <w:i/>
        </w:rPr>
        <w:t>Journal of gambling studies / co-sponsored by the National Council on Problem Gambling and Institute for the Study of Gambling and Commercial Gaming, 25</w:t>
      </w:r>
      <w:r w:rsidRPr="00325EF8">
        <w:t>(3),</w:t>
      </w:r>
      <w:r w:rsidRPr="00D415D2">
        <w:t xml:space="preserve"> 273-295.</w:t>
      </w:r>
      <w:r>
        <w:t xml:space="preserve"> doi: </w:t>
      </w:r>
      <w:r w:rsidRPr="00325EF8">
        <w:t>10.1007/s10899-009-9120-5</w:t>
      </w:r>
    </w:p>
    <w:p w14:paraId="3EB80035" w14:textId="23C88D2F" w:rsidR="001B2940" w:rsidRPr="00D415D2" w:rsidRDefault="001B2940" w:rsidP="00DC248F">
      <w:pPr>
        <w:ind w:left="567" w:hanging="567"/>
      </w:pPr>
      <w:r w:rsidRPr="00D415D2">
        <w:t xml:space="preserve">Mcmullan, J. L., Miller, D. E. &amp; Perrier, D. C. </w:t>
      </w:r>
      <w:r w:rsidR="00747B91">
        <w:t>(</w:t>
      </w:r>
      <w:r w:rsidRPr="00D415D2">
        <w:t>2012</w:t>
      </w:r>
      <w:r w:rsidR="00747B91">
        <w:t>)</w:t>
      </w:r>
      <w:r w:rsidRPr="00D415D2">
        <w:t>. “I’ve Seen Them</w:t>
      </w:r>
      <w:r w:rsidRPr="001F5F13">
        <w:t xml:space="preserve"> So Much They Are Just There”: </w:t>
      </w:r>
      <w:r>
        <w:t>Exploring young people’s perceptions of gambling in a</w:t>
      </w:r>
      <w:r w:rsidRPr="00D415D2">
        <w:t>dverti</w:t>
      </w:r>
      <w:r w:rsidRPr="001F5F13">
        <w:t>sing</w:t>
      </w:r>
      <w:r w:rsidRPr="00325EF8">
        <w:rPr>
          <w:i/>
        </w:rPr>
        <w:t>. International Journal of Mental Health and Addiction, 10</w:t>
      </w:r>
      <w:r w:rsidRPr="00325EF8">
        <w:t>(6),</w:t>
      </w:r>
      <w:r w:rsidRPr="00D415D2">
        <w:t xml:space="preserve"> 829-848.</w:t>
      </w:r>
      <w:r>
        <w:t xml:space="preserve"> doi: </w:t>
      </w:r>
      <w:r w:rsidRPr="00325EF8">
        <w:t>10.1007/s11469-012-9379-0</w:t>
      </w:r>
    </w:p>
    <w:p w14:paraId="33ECD73B" w14:textId="3EA98483" w:rsidR="001B2940" w:rsidRPr="00D415D2" w:rsidRDefault="001B2940" w:rsidP="00DC248F">
      <w:pPr>
        <w:ind w:left="567" w:hanging="567"/>
      </w:pPr>
      <w:r w:rsidRPr="00D415D2">
        <w:t xml:space="preserve">Messerlian, C., Derevensky, J. &amp; Gupta, R. </w:t>
      </w:r>
      <w:r w:rsidR="00747B91">
        <w:t>(</w:t>
      </w:r>
      <w:r w:rsidRPr="00D415D2">
        <w:t>2005</w:t>
      </w:r>
      <w:r w:rsidR="00747B91">
        <w:t>)</w:t>
      </w:r>
      <w:r w:rsidRPr="00D415D2">
        <w:t>. Youth gamb</w:t>
      </w:r>
      <w:r>
        <w:t>ling problems: A</w:t>
      </w:r>
      <w:r w:rsidRPr="001F5F13">
        <w:t xml:space="preserve"> public health </w:t>
      </w:r>
      <w:r w:rsidRPr="00D415D2">
        <w:t xml:space="preserve">perspective. </w:t>
      </w:r>
      <w:r w:rsidRPr="00325EF8">
        <w:rPr>
          <w:i/>
        </w:rPr>
        <w:t>Journal of Gambling Issues, 14</w:t>
      </w:r>
      <w:r w:rsidRPr="00D415D2">
        <w:t>, 69-79.</w:t>
      </w:r>
      <w:r>
        <w:t xml:space="preserve"> doi: </w:t>
      </w:r>
      <w:r w:rsidRPr="00325EF8">
        <w:t>10.4309/jgi.2005.14.9</w:t>
      </w:r>
    </w:p>
    <w:p w14:paraId="2009D471" w14:textId="1B7F7A3E" w:rsidR="001B2940" w:rsidRPr="00D415D2" w:rsidRDefault="001B2940" w:rsidP="00DC248F">
      <w:pPr>
        <w:ind w:left="567" w:hanging="567"/>
      </w:pPr>
      <w:r w:rsidRPr="00D415D2">
        <w:t xml:space="preserve">Minchin, G. </w:t>
      </w:r>
      <w:r w:rsidR="00747B91">
        <w:t>(</w:t>
      </w:r>
      <w:r w:rsidRPr="00D415D2">
        <w:t>2006</w:t>
      </w:r>
      <w:r w:rsidR="00747B91">
        <w:t>)</w:t>
      </w:r>
      <w:r>
        <w:t>. Sentencing problem g</w:t>
      </w:r>
      <w:r w:rsidRPr="00D415D2">
        <w:t>amblers in New Zealand</w:t>
      </w:r>
      <w:r w:rsidRPr="00325EF8">
        <w:rPr>
          <w:i/>
        </w:rPr>
        <w:t>. International Journal of Mental Health and Addiction, 4</w:t>
      </w:r>
      <w:r>
        <w:t>(1)</w:t>
      </w:r>
      <w:r w:rsidRPr="00325EF8">
        <w:rPr>
          <w:i/>
        </w:rPr>
        <w:t>,</w:t>
      </w:r>
      <w:r w:rsidRPr="00D415D2">
        <w:t xml:space="preserve"> 53-64.</w:t>
      </w:r>
      <w:r>
        <w:t xml:space="preserve"> doi: </w:t>
      </w:r>
      <w:r w:rsidRPr="00325EF8">
        <w:t>0.1007/s11469-006-9007-y</w:t>
      </w:r>
    </w:p>
    <w:p w14:paraId="3427BD02" w14:textId="2D83DEBA" w:rsidR="001B2940" w:rsidRPr="00D415D2" w:rsidRDefault="001B2940" w:rsidP="00DC248F">
      <w:pPr>
        <w:ind w:left="567" w:hanging="567"/>
      </w:pPr>
      <w:r w:rsidRPr="00D415D2">
        <w:t>Minister For Gambling South Australian Government.</w:t>
      </w:r>
      <w:r w:rsidRPr="001F5F13">
        <w:t xml:space="preserve"> </w:t>
      </w:r>
      <w:r w:rsidR="00747B91">
        <w:t>(</w:t>
      </w:r>
      <w:r w:rsidRPr="001F5F13">
        <w:t>2007</w:t>
      </w:r>
      <w:r w:rsidR="00BA42FA">
        <w:t>)</w:t>
      </w:r>
      <w:r w:rsidRPr="001F5F13">
        <w:t xml:space="preserve">. </w:t>
      </w:r>
      <w:r w:rsidRPr="00325EF8">
        <w:rPr>
          <w:i/>
        </w:rPr>
        <w:t>Problem Gambling Family Protection Orders: Report to Parliament under section 18 by the Minister for Gambling</w:t>
      </w:r>
      <w:r>
        <w:t xml:space="preserve">, Adelaide: </w:t>
      </w:r>
      <w:r w:rsidRPr="00325EF8">
        <w:t>independent gambling authority</w:t>
      </w:r>
    </w:p>
    <w:p w14:paraId="738AB3EA" w14:textId="3C883F6E" w:rsidR="001B2940" w:rsidRPr="00D415D2" w:rsidRDefault="001B2940" w:rsidP="00DC248F">
      <w:pPr>
        <w:ind w:left="567" w:hanging="567"/>
      </w:pPr>
      <w:r w:rsidRPr="00D415D2">
        <w:t xml:space="preserve">Ministry Of Health. </w:t>
      </w:r>
      <w:r w:rsidR="00BA42FA">
        <w:t>(</w:t>
      </w:r>
      <w:r w:rsidRPr="00D415D2">
        <w:t>2005</w:t>
      </w:r>
      <w:r w:rsidR="00BA42FA">
        <w:t>)</w:t>
      </w:r>
      <w:r w:rsidRPr="00D415D2">
        <w:t xml:space="preserve">. </w:t>
      </w:r>
      <w:r w:rsidRPr="00325EF8">
        <w:rPr>
          <w:i/>
        </w:rPr>
        <w:t>Strategic Plan for Preventing and Minimising Gambling Harm: 2004–2010</w:t>
      </w:r>
      <w:r w:rsidRPr="001F5F13">
        <w:t xml:space="preserve">. </w:t>
      </w:r>
      <w:r w:rsidRPr="00D415D2">
        <w:t>Wellington: Ministry of Health.</w:t>
      </w:r>
    </w:p>
    <w:p w14:paraId="2B250F12" w14:textId="6EA8B9BC" w:rsidR="001B2940" w:rsidRPr="00D415D2" w:rsidRDefault="001B2940" w:rsidP="00DC248F">
      <w:pPr>
        <w:ind w:left="567" w:hanging="567"/>
      </w:pPr>
      <w:r w:rsidRPr="00D415D2">
        <w:t xml:space="preserve">Ministry Of Health. </w:t>
      </w:r>
      <w:r w:rsidR="00BA42FA">
        <w:t>(</w:t>
      </w:r>
      <w:r w:rsidRPr="00D415D2">
        <w:t>2006</w:t>
      </w:r>
      <w:r w:rsidR="00BA42FA">
        <w:t>)</w:t>
      </w:r>
      <w:r w:rsidRPr="00D415D2">
        <w:t xml:space="preserve">. </w:t>
      </w:r>
      <w:r w:rsidRPr="00325EF8">
        <w:rPr>
          <w:i/>
        </w:rPr>
        <w:t xml:space="preserve">Problem gambling in New Zealand: Analysis of the 2002/03 New Zealand Health Survey. </w:t>
      </w:r>
      <w:r w:rsidRPr="00D415D2">
        <w:t>Wellington: Ministry of Health.</w:t>
      </w:r>
    </w:p>
    <w:p w14:paraId="47BFF124" w14:textId="0FB3DCF0" w:rsidR="001B2940" w:rsidRPr="00D415D2" w:rsidRDefault="001B2940" w:rsidP="00DC248F">
      <w:pPr>
        <w:ind w:left="567" w:hanging="567"/>
      </w:pPr>
      <w:r w:rsidRPr="00D415D2">
        <w:t xml:space="preserve">Ministry Of Health. </w:t>
      </w:r>
      <w:r w:rsidR="00BA42FA">
        <w:t>(</w:t>
      </w:r>
      <w:r w:rsidRPr="00D415D2">
        <w:t>2008a</w:t>
      </w:r>
      <w:r w:rsidR="00BA42FA">
        <w:t>)</w:t>
      </w:r>
      <w:r w:rsidRPr="00D415D2">
        <w:t xml:space="preserve">. </w:t>
      </w:r>
      <w:r w:rsidRPr="00325EF8">
        <w:rPr>
          <w:i/>
        </w:rPr>
        <w:t xml:space="preserve">A portrait of health. Key results of the 2006/07 New Zealand Health Survey. </w:t>
      </w:r>
      <w:r w:rsidRPr="00D415D2">
        <w:t>Wellington: Ministry of Health.</w:t>
      </w:r>
    </w:p>
    <w:p w14:paraId="2992D67C" w14:textId="76DEE77D" w:rsidR="001B2940" w:rsidRPr="00D415D2" w:rsidRDefault="001B2940" w:rsidP="00DC248F">
      <w:pPr>
        <w:ind w:left="567" w:hanging="567"/>
      </w:pPr>
      <w:r w:rsidRPr="001F5F13">
        <w:t>Ministry Of Health</w:t>
      </w:r>
      <w:r w:rsidRPr="00D415D2">
        <w:t xml:space="preserve">. </w:t>
      </w:r>
      <w:r w:rsidR="00BA42FA">
        <w:t>(</w:t>
      </w:r>
      <w:r w:rsidRPr="00D415D2">
        <w:t>2008b</w:t>
      </w:r>
      <w:r w:rsidR="00BA42FA">
        <w:t>)</w:t>
      </w:r>
      <w:r w:rsidRPr="00D415D2">
        <w:t xml:space="preserve">. </w:t>
      </w:r>
      <w:r w:rsidRPr="00325EF8">
        <w:rPr>
          <w:i/>
        </w:rPr>
        <w:t>Problem gambling intervention services in New Zealand. 2007 service-user statistics.</w:t>
      </w:r>
      <w:r w:rsidRPr="00D415D2">
        <w:t xml:space="preserve"> Wellington: Ministry of Health.</w:t>
      </w:r>
    </w:p>
    <w:p w14:paraId="013B15D0" w14:textId="6666C70A" w:rsidR="001B2940" w:rsidRPr="00D415D2" w:rsidRDefault="001B2940" w:rsidP="00DC248F">
      <w:pPr>
        <w:ind w:left="567" w:hanging="567"/>
      </w:pPr>
      <w:r w:rsidRPr="00D415D2">
        <w:t>Ministry Of Health</w:t>
      </w:r>
      <w:r w:rsidRPr="00D415D2">
        <w:rPr>
          <w:caps/>
        </w:rPr>
        <w:t>.</w:t>
      </w:r>
      <w:r w:rsidRPr="00D415D2">
        <w:t xml:space="preserve"> </w:t>
      </w:r>
      <w:r w:rsidR="00BA42FA">
        <w:t>(</w:t>
      </w:r>
      <w:r w:rsidRPr="00D415D2">
        <w:t>2009</w:t>
      </w:r>
      <w:r w:rsidR="00BA42FA">
        <w:t>)</w:t>
      </w:r>
      <w:r w:rsidRPr="00D415D2">
        <w:t xml:space="preserve">. </w:t>
      </w:r>
      <w:r w:rsidRPr="00325EF8">
        <w:rPr>
          <w:i/>
        </w:rPr>
        <w:t xml:space="preserve">A Focus on Problem Gambling Results of the2006/07 New Zealand Health Survey. </w:t>
      </w:r>
      <w:r w:rsidRPr="00D415D2">
        <w:t>Wellington: Ministry of Health.</w:t>
      </w:r>
    </w:p>
    <w:p w14:paraId="52C079F8" w14:textId="25C43EDA" w:rsidR="001B2940" w:rsidRPr="00D415D2" w:rsidRDefault="001B2940" w:rsidP="00DC248F">
      <w:pPr>
        <w:ind w:left="567" w:hanging="567"/>
      </w:pPr>
      <w:r w:rsidRPr="00D415D2">
        <w:t xml:space="preserve">Ministry Of Health. </w:t>
      </w:r>
      <w:r w:rsidR="00BA42FA">
        <w:t>(</w:t>
      </w:r>
      <w:r w:rsidRPr="00D415D2">
        <w:t>2010</w:t>
      </w:r>
      <w:r w:rsidR="00BA42FA">
        <w:t>)</w:t>
      </w:r>
      <w:r w:rsidRPr="00325EF8">
        <w:rPr>
          <w:i/>
        </w:rPr>
        <w:t>. Preventing and Minimising Gambling Harm Three-year service plan 2010/11-2012/13</w:t>
      </w:r>
      <w:r w:rsidRPr="00D415D2">
        <w:t>. Wellington: Ministry of Health.</w:t>
      </w:r>
    </w:p>
    <w:p w14:paraId="3D13FBC8" w14:textId="74ABEB90" w:rsidR="001B2940" w:rsidRPr="00D415D2" w:rsidRDefault="001B2940" w:rsidP="00DC248F">
      <w:pPr>
        <w:ind w:left="567" w:hanging="567"/>
      </w:pPr>
      <w:r w:rsidRPr="00D415D2">
        <w:t xml:space="preserve">Ministry Of Health. </w:t>
      </w:r>
      <w:r w:rsidR="00BA42FA">
        <w:t>(</w:t>
      </w:r>
      <w:r w:rsidRPr="00D415D2">
        <w:t>2012</w:t>
      </w:r>
      <w:r w:rsidR="00BA42FA">
        <w:t>)</w:t>
      </w:r>
      <w:r w:rsidRPr="00D415D2">
        <w:t xml:space="preserve">. </w:t>
      </w:r>
      <w:r w:rsidRPr="00325EF8">
        <w:rPr>
          <w:i/>
        </w:rPr>
        <w:t>Problem gambling in New Zealand: Preliminary findings from the New Zealand Health Survey (July 2011 to March 2012).</w:t>
      </w:r>
      <w:r w:rsidRPr="00D415D2">
        <w:t xml:space="preserve"> Wellington: Ministry of Health.</w:t>
      </w:r>
    </w:p>
    <w:p w14:paraId="327B1071" w14:textId="0278E043" w:rsidR="00C4250B" w:rsidRPr="002C0907" w:rsidRDefault="00C4250B" w:rsidP="00DC248F">
      <w:pPr>
        <w:ind w:left="567" w:hanging="567"/>
      </w:pPr>
      <w:r>
        <w:lastRenderedPageBreak/>
        <w:t xml:space="preserve">Ministry of Health. </w:t>
      </w:r>
      <w:r w:rsidR="00BA42FA">
        <w:t>(</w:t>
      </w:r>
      <w:r w:rsidR="002C0907">
        <w:t>2013</w:t>
      </w:r>
      <w:r w:rsidR="00BA42FA">
        <w:t>)</w:t>
      </w:r>
      <w:r w:rsidR="002C0907">
        <w:t xml:space="preserve">. </w:t>
      </w:r>
      <w:r w:rsidR="002C0907">
        <w:rPr>
          <w:i/>
        </w:rPr>
        <w:t xml:space="preserve">Health Loss in New Zealand: A report from the New Zealand Burden of Diseases, Injuries and Risk Factors Study, 2006-2016. </w:t>
      </w:r>
      <w:r w:rsidR="002C0907">
        <w:t xml:space="preserve">Wellington: Ministry of Health. </w:t>
      </w:r>
    </w:p>
    <w:p w14:paraId="4EC7F795" w14:textId="2165A55C" w:rsidR="001B2940" w:rsidRPr="00D415D2" w:rsidRDefault="001B2940" w:rsidP="00DC248F">
      <w:pPr>
        <w:ind w:left="567" w:hanging="567"/>
      </w:pPr>
      <w:r w:rsidRPr="00D415D2">
        <w:t xml:space="preserve">Ministry Of Health. </w:t>
      </w:r>
      <w:r w:rsidR="00BA42FA">
        <w:t>(</w:t>
      </w:r>
      <w:r w:rsidRPr="00D415D2">
        <w:t>2014</w:t>
      </w:r>
      <w:r w:rsidR="00BA42FA">
        <w:t>)</w:t>
      </w:r>
      <w:r w:rsidRPr="00D415D2">
        <w:t>. Intervention Client Data: Unofficial 201</w:t>
      </w:r>
      <w:r w:rsidRPr="001F5F13">
        <w:t xml:space="preserve">3/2014 statistics. Wellington: </w:t>
      </w:r>
      <w:r w:rsidRPr="00D415D2">
        <w:t xml:space="preserve">Ministry of Health. </w:t>
      </w:r>
    </w:p>
    <w:p w14:paraId="7A1C3EDB" w14:textId="4422FC34" w:rsidR="00A80DEC" w:rsidRDefault="00A80DEC" w:rsidP="00A80DEC">
      <w:pPr>
        <w:ind w:left="567" w:hanging="567"/>
      </w:pPr>
      <w:r w:rsidRPr="00A80DEC">
        <w:t xml:space="preserve">Ministry of Health. </w:t>
      </w:r>
      <w:r w:rsidR="00BA42FA">
        <w:t>(</w:t>
      </w:r>
      <w:r w:rsidRPr="00A80DEC">
        <w:t>2015</w:t>
      </w:r>
      <w:r w:rsidR="00BA42FA">
        <w:t>)</w:t>
      </w:r>
      <w:r w:rsidRPr="00A80DEC">
        <w:t xml:space="preserve">. </w:t>
      </w:r>
      <w:r w:rsidRPr="002C0907">
        <w:rPr>
          <w:i/>
        </w:rPr>
        <w:t>Annual update of key results 2014/15: New Zealand Health Survey</w:t>
      </w:r>
      <w:r w:rsidRPr="00A80DEC">
        <w:t xml:space="preserve">. Wellington: Ministry of Health. </w:t>
      </w:r>
    </w:p>
    <w:p w14:paraId="2C3A39D4" w14:textId="50C9379B" w:rsidR="006946F7" w:rsidRPr="00A80DEC" w:rsidRDefault="006946F7" w:rsidP="00A80DEC">
      <w:pPr>
        <w:ind w:left="567" w:hanging="567"/>
      </w:pPr>
      <w:r w:rsidRPr="0000305D">
        <w:t xml:space="preserve">Mittal, D., Fortney, J. C., Pyne, J. M., Edlund, M. J., &amp; Wetherell, J. L. (2006). Impact of comorbid anxiety disorders on health-related quality of life among patients with major depressive disorder. </w:t>
      </w:r>
      <w:r w:rsidRPr="0000305D">
        <w:rPr>
          <w:i/>
          <w:iCs/>
        </w:rPr>
        <w:t xml:space="preserve">Psychiatric Services </w:t>
      </w:r>
      <w:r w:rsidRPr="0000305D">
        <w:t xml:space="preserve">, </w:t>
      </w:r>
      <w:r w:rsidRPr="0000305D">
        <w:rPr>
          <w:i/>
          <w:iCs/>
        </w:rPr>
        <w:t>57</w:t>
      </w:r>
      <w:r w:rsidRPr="0000305D">
        <w:t>(12), 1731–1737. http://doi.org/10.1176/appi.ps.57.12.1731</w:t>
      </w:r>
    </w:p>
    <w:p w14:paraId="6872013E" w14:textId="5BDA2CB4" w:rsidR="001B2940" w:rsidRDefault="001B2940" w:rsidP="00DC248F">
      <w:pPr>
        <w:ind w:left="567" w:hanging="567"/>
      </w:pPr>
      <w:r w:rsidRPr="00D415D2">
        <w:t xml:space="preserve">Monaghan, S., Derevensky, J. &amp; Sklar, A. </w:t>
      </w:r>
      <w:r w:rsidR="00BA42FA">
        <w:t>(</w:t>
      </w:r>
      <w:r w:rsidRPr="00D415D2">
        <w:t>2008</w:t>
      </w:r>
      <w:r w:rsidR="00BA42FA">
        <w:t>)</w:t>
      </w:r>
      <w:r w:rsidRPr="00D415D2">
        <w:t>. Impact of gambling advertisements and marketing on children and adolescents: Policy recommendations to mini</w:t>
      </w:r>
      <w:r w:rsidRPr="001F5F13">
        <w:t xml:space="preserve">mise harm. </w:t>
      </w:r>
      <w:r w:rsidRPr="00770C53">
        <w:rPr>
          <w:i/>
        </w:rPr>
        <w:t>Journal of Gambling Issues, 22,</w:t>
      </w:r>
      <w:r w:rsidRPr="00D415D2">
        <w:t xml:space="preserve"> 252-274.</w:t>
      </w:r>
      <w:r>
        <w:t xml:space="preserve"> doi: </w:t>
      </w:r>
      <w:r w:rsidRPr="00770C53">
        <w:t>10.4309/jgi.2008.22.7</w:t>
      </w:r>
    </w:p>
    <w:p w14:paraId="4C4D33D0" w14:textId="77777777" w:rsidR="00D46F19" w:rsidRPr="00D46F19" w:rsidRDefault="00D46F19" w:rsidP="00DC248F">
      <w:pPr>
        <w:ind w:left="567" w:hanging="567"/>
      </w:pPr>
      <w:r w:rsidRPr="00D46F19">
        <w:t xml:space="preserve">Morrison, L. &amp; Wilson, D. (2015). A Family Affair: Indigenous Women’s Gambling Journey. </w:t>
      </w:r>
      <w:r w:rsidRPr="00D46F19">
        <w:rPr>
          <w:i/>
        </w:rPr>
        <w:t>International Journal of Mental Health and Addiction, 13</w:t>
      </w:r>
      <w:r w:rsidRPr="00D46F19">
        <w:t>(4), 435–446</w:t>
      </w:r>
    </w:p>
    <w:p w14:paraId="1B4AB4EE" w14:textId="77777777" w:rsidR="00727FB1" w:rsidRDefault="00727FB1" w:rsidP="00DC248F">
      <w:pPr>
        <w:ind w:left="567" w:hanging="567"/>
      </w:pPr>
      <w:r w:rsidRPr="00727FB1">
        <w:t xml:space="preserve">Morrison, L. &amp; Boulton, A. (2013). Reversing the Harmful Effects of Gambling in Indigenous Families: The Development of the Tu Toa Tu Maia Intervention. </w:t>
      </w:r>
      <w:r w:rsidRPr="00727FB1">
        <w:rPr>
          <w:i/>
        </w:rPr>
        <w:t>Pimatisiwin: A Journal of Aboriginal and Indigenous Community Health, 11</w:t>
      </w:r>
      <w:r w:rsidRPr="00727FB1">
        <w:t>(2), 255-268.</w:t>
      </w:r>
    </w:p>
    <w:p w14:paraId="29A37690" w14:textId="6A5C716D" w:rsidR="00FB7504" w:rsidRPr="0051439C" w:rsidRDefault="002C0907" w:rsidP="00DC248F">
      <w:pPr>
        <w:ind w:left="567" w:hanging="567"/>
      </w:pPr>
      <w:r>
        <w:t xml:space="preserve">Morrison, L. M. </w:t>
      </w:r>
      <w:r w:rsidR="00BA42FA">
        <w:t>(</w:t>
      </w:r>
      <w:r w:rsidR="00FB7504" w:rsidRPr="0051439C">
        <w:t>2008</w:t>
      </w:r>
      <w:r w:rsidR="00BA42FA">
        <w:t>)</w:t>
      </w:r>
      <w:r w:rsidR="00FB7504" w:rsidRPr="0051439C">
        <w:t xml:space="preserve">. </w:t>
      </w:r>
      <w:r w:rsidR="00FB7504" w:rsidRPr="0051439C">
        <w:rPr>
          <w:i/>
        </w:rPr>
        <w:t>Māori Women and Gambling: Every Day Is A War Day!</w:t>
      </w:r>
      <w:r w:rsidR="00FB7504" w:rsidRPr="0051439C">
        <w:t xml:space="preserve"> (Doctoral thesis) University of Waikato, New Zealand.</w:t>
      </w:r>
    </w:p>
    <w:p w14:paraId="36DB4F2F" w14:textId="5DCCC2AA" w:rsidR="00CD6ABD" w:rsidRDefault="002C0907" w:rsidP="00DC248F">
      <w:pPr>
        <w:ind w:left="567" w:hanging="567"/>
      </w:pPr>
      <w:r>
        <w:t xml:space="preserve">Morrison, L. </w:t>
      </w:r>
      <w:r w:rsidR="00BA42FA">
        <w:t>(</w:t>
      </w:r>
      <w:r w:rsidR="00CD6ABD" w:rsidRPr="00CD6ABD">
        <w:t>2004</w:t>
      </w:r>
      <w:r w:rsidR="00BA42FA">
        <w:t>)</w:t>
      </w:r>
      <w:r w:rsidR="00CD6ABD" w:rsidRPr="00CD6ABD">
        <w:t xml:space="preserve">. Pokie gambling and Māori women: Friend or foe? </w:t>
      </w:r>
      <w:r w:rsidR="00CD6ABD" w:rsidRPr="00CD6ABD">
        <w:rPr>
          <w:i/>
        </w:rPr>
        <w:t>Journal of Gambling Issues</w:t>
      </w:r>
      <w:r w:rsidR="00CD6ABD" w:rsidRPr="00CD6ABD">
        <w:t xml:space="preserve"> 12, Retrieved from: </w:t>
      </w:r>
      <w:r w:rsidR="0051439C" w:rsidRPr="0051439C">
        <w:t>http://jgi.camh.net/doi/full/10.4309/jgi.2004.12.6</w:t>
      </w:r>
    </w:p>
    <w:p w14:paraId="35ADB442" w14:textId="5239D5F8" w:rsidR="00490924" w:rsidRPr="00490924" w:rsidRDefault="00490924" w:rsidP="00490924">
      <w:pPr>
        <w:ind w:left="0"/>
      </w:pPr>
      <w:bookmarkStart w:id="420" w:name="_ENREF_14"/>
      <w:r w:rsidRPr="00490924">
        <w:t xml:space="preserve">Morse, J. M. (1994). Designing funded qualitative research. In N. Denzin &amp; Y. Lincoln (Eds.), </w:t>
      </w:r>
      <w:r w:rsidRPr="00490924">
        <w:rPr>
          <w:i/>
        </w:rPr>
        <w:t>Handbook of qualitative researcch</w:t>
      </w:r>
      <w:r w:rsidR="00803C22">
        <w:t xml:space="preserve"> (Second ed.). Thousand Oaks</w:t>
      </w:r>
      <w:r w:rsidRPr="00490924">
        <w:t>: Sage.</w:t>
      </w:r>
      <w:bookmarkEnd w:id="420"/>
    </w:p>
    <w:p w14:paraId="30DF03B5" w14:textId="210AD11E" w:rsidR="00490924" w:rsidRDefault="00490924" w:rsidP="00490924">
      <w:pPr>
        <w:ind w:left="0"/>
      </w:pPr>
      <w:bookmarkStart w:id="421" w:name="_ENREF_15"/>
      <w:r w:rsidRPr="00490924">
        <w:t xml:space="preserve">Morse, J. M. (1995). The significance of saturation. </w:t>
      </w:r>
      <w:r w:rsidRPr="00490924">
        <w:rPr>
          <w:i/>
        </w:rPr>
        <w:t>Qualitative Health Research, 5</w:t>
      </w:r>
      <w:r w:rsidRPr="00490924">
        <w:t xml:space="preserve">(2), 147-149. </w:t>
      </w:r>
      <w:bookmarkEnd w:id="421"/>
    </w:p>
    <w:p w14:paraId="786AF3B7" w14:textId="395A217E" w:rsidR="00CF43FC" w:rsidRPr="00CF43FC" w:rsidRDefault="002C0907" w:rsidP="00DC248F">
      <w:pPr>
        <w:ind w:left="567" w:hanging="567"/>
      </w:pPr>
      <w:r>
        <w:t xml:space="preserve">Murray, C. J., &amp; Lopez, A. D. </w:t>
      </w:r>
      <w:r w:rsidR="00BA42FA">
        <w:t>(</w:t>
      </w:r>
      <w:r w:rsidR="00CF43FC" w:rsidRPr="00CF43FC">
        <w:t>1996</w:t>
      </w:r>
      <w:r w:rsidR="00BA42FA">
        <w:t>)</w:t>
      </w:r>
      <w:r w:rsidR="00CF43FC" w:rsidRPr="00CF43FC">
        <w:t xml:space="preserve">. </w:t>
      </w:r>
      <w:r w:rsidR="00CF43FC" w:rsidRPr="00CF43FC">
        <w:rPr>
          <w:i/>
        </w:rPr>
        <w:t>The global burden of disease and injury series, volume 1: a comprehensive assessment of mortality and disability from diseases, injuries, and risk factors in 1990 and projected to 2020</w:t>
      </w:r>
      <w:r w:rsidR="00CF43FC" w:rsidRPr="00CF43FC">
        <w:t xml:space="preserve">. Cambridge: MA. </w:t>
      </w:r>
    </w:p>
    <w:p w14:paraId="3A14A6CC" w14:textId="5D06EB46" w:rsidR="00CF43FC" w:rsidRPr="00CF43FC" w:rsidRDefault="00CF43FC" w:rsidP="00DC248F">
      <w:pPr>
        <w:ind w:left="567" w:hanging="567"/>
      </w:pPr>
      <w:r w:rsidRPr="00CF43FC">
        <w:t xml:space="preserve">Murray, C. J, Vos, T., Lozano, R., Naghavi. M., Flaxman A. D., Michaud, C., … Benjamin, E. J. </w:t>
      </w:r>
      <w:r w:rsidR="00BA42FA">
        <w:t>(</w:t>
      </w:r>
      <w:r w:rsidRPr="00CF43FC">
        <w:t>2013</w:t>
      </w:r>
      <w:r w:rsidR="00BA42FA">
        <w:t>)</w:t>
      </w:r>
      <w:r w:rsidRPr="00CF43FC">
        <w:t xml:space="preserve">. Disability-adjusted life years (DALYs) for 291 diseases and injuries in 21 regions, 1990–2010: a systematic analysis for the Global Burden of Disease Study 2010. </w:t>
      </w:r>
      <w:r w:rsidRPr="00CF43FC">
        <w:rPr>
          <w:i/>
        </w:rPr>
        <w:t>Lancet</w:t>
      </w:r>
      <w:r w:rsidRPr="00CF43FC">
        <w:t xml:space="preserve">, </w:t>
      </w:r>
      <w:r w:rsidRPr="00CF43FC">
        <w:rPr>
          <w:i/>
        </w:rPr>
        <w:t>380</w:t>
      </w:r>
      <w:r w:rsidRPr="00CF43FC">
        <w:t>, 2197–2223</w:t>
      </w:r>
    </w:p>
    <w:p w14:paraId="454FA891" w14:textId="6726A72E" w:rsidR="00CF43FC" w:rsidRPr="00CF43FC" w:rsidRDefault="00CF43FC" w:rsidP="00DC248F">
      <w:pPr>
        <w:ind w:left="567" w:hanging="567"/>
      </w:pPr>
      <w:r w:rsidRPr="00CF43FC">
        <w:t>Murray, C. J.,</w:t>
      </w:r>
      <w:r w:rsidR="002C0907">
        <w:t xml:space="preserve"> Salomon, J. A., &amp; Mathers, C. </w:t>
      </w:r>
      <w:r w:rsidR="00BA42FA">
        <w:t>(</w:t>
      </w:r>
      <w:r w:rsidRPr="00CF43FC">
        <w:t>2000</w:t>
      </w:r>
      <w:r w:rsidR="00BA42FA">
        <w:t>)</w:t>
      </w:r>
      <w:r w:rsidRPr="00CF43FC">
        <w:t xml:space="preserve">. A critical examination of summary measures of population health. </w:t>
      </w:r>
      <w:r w:rsidRPr="00CF43FC">
        <w:rPr>
          <w:i/>
        </w:rPr>
        <w:t>Bulletin of the World Health Organization, 78</w:t>
      </w:r>
      <w:r w:rsidRPr="00CF43FC">
        <w:t>(8), 981–994. doi: 10.159-0/S0042-96862000000800008</w:t>
      </w:r>
    </w:p>
    <w:p w14:paraId="78A699DC" w14:textId="03A3E42B" w:rsidR="001B2940" w:rsidRPr="00D415D2" w:rsidRDefault="001B2940" w:rsidP="00DC248F">
      <w:pPr>
        <w:ind w:left="567" w:hanging="567"/>
      </w:pPr>
      <w:r w:rsidRPr="00D415D2">
        <w:t xml:space="preserve">Nagel, T., Hinton, R., Thompson, V. &amp; Spencer, N. </w:t>
      </w:r>
      <w:r w:rsidR="00BA42FA">
        <w:t>(</w:t>
      </w:r>
      <w:r w:rsidRPr="00D415D2">
        <w:t>2011</w:t>
      </w:r>
      <w:r w:rsidR="00BA42FA">
        <w:t>)</w:t>
      </w:r>
      <w:r w:rsidRPr="00D415D2">
        <w:t>. Yarni</w:t>
      </w:r>
      <w:r w:rsidRPr="001F5F13">
        <w:t>ng about gambling in indigenous</w:t>
      </w:r>
      <w:r w:rsidRPr="00D415D2">
        <w:t xml:space="preserve"> communities: An aboriginal and islander mental health initiative. </w:t>
      </w:r>
      <w:r w:rsidRPr="00770C53">
        <w:rPr>
          <w:i/>
        </w:rPr>
        <w:t>The</w:t>
      </w:r>
      <w:r>
        <w:t xml:space="preserve"> </w:t>
      </w:r>
      <w:r w:rsidRPr="00770C53">
        <w:rPr>
          <w:i/>
        </w:rPr>
        <w:t xml:space="preserve">Australian Journal of Social </w:t>
      </w:r>
      <w:r>
        <w:rPr>
          <w:i/>
        </w:rPr>
        <w:t>Issues</w:t>
      </w:r>
      <w:r w:rsidRPr="00770C53">
        <w:rPr>
          <w:i/>
        </w:rPr>
        <w:t>, 46</w:t>
      </w:r>
      <w:r w:rsidRPr="00D415D2">
        <w:t>, 371-389.</w:t>
      </w:r>
    </w:p>
    <w:p w14:paraId="2A69942B" w14:textId="3FA1C476" w:rsidR="001B2940" w:rsidRPr="00D415D2" w:rsidRDefault="001B2940" w:rsidP="00DC248F">
      <w:pPr>
        <w:ind w:left="567" w:hanging="567"/>
      </w:pPr>
      <w:r w:rsidRPr="00D415D2">
        <w:lastRenderedPageBreak/>
        <w:t xml:space="preserve">Najavits, L. M., Meyer, T., Johnson, K. M. &amp; Korn, D. </w:t>
      </w:r>
      <w:r w:rsidR="00BA42FA">
        <w:t>(</w:t>
      </w:r>
      <w:r w:rsidRPr="00D415D2">
        <w:t>2</w:t>
      </w:r>
      <w:r w:rsidRPr="001F5F13">
        <w:t>011</w:t>
      </w:r>
      <w:r w:rsidR="00BA42FA">
        <w:t>)</w:t>
      </w:r>
      <w:r w:rsidRPr="001F5F13">
        <w:t xml:space="preserve">. Pathological gambling and </w:t>
      </w:r>
      <w:r w:rsidRPr="00D415D2">
        <w:t>post</w:t>
      </w:r>
      <w:r>
        <w:t xml:space="preserve"> t</w:t>
      </w:r>
      <w:r w:rsidRPr="00D415D2">
        <w:t>raumatic stress disorder: a study of the co-morbidity</w:t>
      </w:r>
      <w:r w:rsidRPr="001F5F13">
        <w:t xml:space="preserve"> versus each alone. </w:t>
      </w:r>
      <w:r w:rsidRPr="00770C53">
        <w:rPr>
          <w:i/>
        </w:rPr>
        <w:t xml:space="preserve">Journal of Gambling Studies, </w:t>
      </w:r>
      <w:r w:rsidRPr="00770C53">
        <w:t>2</w:t>
      </w:r>
      <w:r>
        <w:t>(4)</w:t>
      </w:r>
      <w:r w:rsidRPr="00770C53">
        <w:t>7</w:t>
      </w:r>
      <w:r w:rsidRPr="00770C53">
        <w:rPr>
          <w:i/>
        </w:rPr>
        <w:t>,</w:t>
      </w:r>
      <w:r w:rsidRPr="00D415D2">
        <w:t xml:space="preserve"> 663-683.</w:t>
      </w:r>
      <w:r>
        <w:t xml:space="preserve"> doi: </w:t>
      </w:r>
      <w:r w:rsidRPr="00770C53">
        <w:t>10.1007/s10899-010-9230-0</w:t>
      </w:r>
    </w:p>
    <w:p w14:paraId="2F660A37" w14:textId="1CA7C31E" w:rsidR="001B2940" w:rsidRPr="00D415D2" w:rsidRDefault="001B2940" w:rsidP="00DC248F">
      <w:pPr>
        <w:ind w:left="567" w:hanging="567"/>
      </w:pPr>
      <w:r w:rsidRPr="00D415D2">
        <w:t xml:space="preserve">National Research Council. </w:t>
      </w:r>
      <w:r w:rsidR="00BA42FA">
        <w:t>(</w:t>
      </w:r>
      <w:r w:rsidRPr="00D415D2">
        <w:t>1999</w:t>
      </w:r>
      <w:r w:rsidR="00BA42FA">
        <w:t>)</w:t>
      </w:r>
      <w:r w:rsidRPr="00D415D2">
        <w:t xml:space="preserve">. </w:t>
      </w:r>
      <w:r w:rsidRPr="00770C53">
        <w:rPr>
          <w:i/>
        </w:rPr>
        <w:t>Pathological gambling: A critical review</w:t>
      </w:r>
      <w:r w:rsidRPr="001F5F13">
        <w:t xml:space="preserve">. Washington, DC: </w:t>
      </w:r>
      <w:r w:rsidRPr="00D415D2">
        <w:t>National Academy Press</w:t>
      </w:r>
      <w:r>
        <w:t>.</w:t>
      </w:r>
    </w:p>
    <w:p w14:paraId="78A2BC97" w14:textId="59918A36" w:rsidR="001B2940" w:rsidRDefault="001B2940" w:rsidP="00DC248F">
      <w:pPr>
        <w:ind w:left="567" w:hanging="567"/>
      </w:pPr>
      <w:r w:rsidRPr="00D415D2">
        <w:t>Nea</w:t>
      </w:r>
      <w:r>
        <w:t>l, P. N., Delfabbro, P. H. &amp; O'N</w:t>
      </w:r>
      <w:r w:rsidRPr="00D415D2">
        <w:t xml:space="preserve">eil, M. G. </w:t>
      </w:r>
      <w:r w:rsidR="00BA42FA">
        <w:t>(</w:t>
      </w:r>
      <w:r w:rsidRPr="00D415D2">
        <w:t>2005</w:t>
      </w:r>
      <w:r w:rsidR="00BA42FA">
        <w:t>)</w:t>
      </w:r>
      <w:r w:rsidRPr="00D415D2">
        <w:t xml:space="preserve">. </w:t>
      </w:r>
      <w:r w:rsidRPr="00770C53">
        <w:rPr>
          <w:i/>
        </w:rPr>
        <w:t>Problem gambling and harm: Towards a national definition.</w:t>
      </w:r>
      <w:r>
        <w:t xml:space="preserve"> Melbourne: Gambling Research Australia.</w:t>
      </w:r>
    </w:p>
    <w:p w14:paraId="1BC6997E" w14:textId="4D8414B0" w:rsidR="00580E36" w:rsidRPr="00580E36" w:rsidRDefault="00580E36" w:rsidP="00DC248F">
      <w:pPr>
        <w:ind w:left="567" w:hanging="567"/>
      </w:pPr>
      <w:r w:rsidRPr="00580E36">
        <w:t xml:space="preserve">Newman, S. C. </w:t>
      </w:r>
      <w:r w:rsidR="00BA42FA">
        <w:t>(</w:t>
      </w:r>
      <w:r w:rsidRPr="00580E36">
        <w:t>2007</w:t>
      </w:r>
      <w:r w:rsidR="00BA42FA">
        <w:t>)</w:t>
      </w:r>
      <w:r w:rsidRPr="00580E36">
        <w:t xml:space="preserve">. The association between pathological gambling and attempted suicide: findings from a national survey in Canada. </w:t>
      </w:r>
      <w:r w:rsidRPr="00580E36">
        <w:rPr>
          <w:i/>
        </w:rPr>
        <w:t>Canadian Journal of Psychiatry, 52</w:t>
      </w:r>
      <w:r w:rsidRPr="00580E36">
        <w:t xml:space="preserve">(9), 605. Retrieved from: http://search.proquest.com/openview/c76e608e8fa2f0a7163a251-0944368db/1?pq-origsite=gscholar </w:t>
      </w:r>
    </w:p>
    <w:p w14:paraId="7F3A1850" w14:textId="168BCAA4" w:rsidR="00580E36" w:rsidRPr="00580E36" w:rsidRDefault="002C0907" w:rsidP="00DC248F">
      <w:pPr>
        <w:ind w:left="567" w:hanging="567"/>
      </w:pPr>
      <w:r>
        <w:t xml:space="preserve">Nord, E. </w:t>
      </w:r>
      <w:r w:rsidR="00BA42FA">
        <w:t>(</w:t>
      </w:r>
      <w:r w:rsidR="00580E36" w:rsidRPr="00580E36">
        <w:t>1999</w:t>
      </w:r>
      <w:r w:rsidR="00BA42FA">
        <w:t>)</w:t>
      </w:r>
      <w:r w:rsidR="00580E36" w:rsidRPr="00580E36">
        <w:t xml:space="preserve">. </w:t>
      </w:r>
      <w:r w:rsidR="00580E36" w:rsidRPr="00580E36">
        <w:rPr>
          <w:i/>
        </w:rPr>
        <w:t>Cost-value analysis in health care: making sense out of QALYs</w:t>
      </w:r>
      <w:r w:rsidR="00580E36" w:rsidRPr="00580E36">
        <w:t xml:space="preserve">. Cambridge: University Press. </w:t>
      </w:r>
    </w:p>
    <w:p w14:paraId="72C3B3D7" w14:textId="1E57CC24" w:rsidR="00580E36" w:rsidRPr="00580E36" w:rsidRDefault="002C0907" w:rsidP="00DC248F">
      <w:pPr>
        <w:ind w:left="567" w:hanging="567"/>
      </w:pPr>
      <w:r>
        <w:t xml:space="preserve">Nord, E. </w:t>
      </w:r>
      <w:r w:rsidR="00BA42FA">
        <w:t>(</w:t>
      </w:r>
      <w:r w:rsidR="00580E36" w:rsidRPr="00580E36">
        <w:t>1991</w:t>
      </w:r>
      <w:r w:rsidR="00BA42FA">
        <w:t>)</w:t>
      </w:r>
      <w:r w:rsidR="00580E36" w:rsidRPr="00580E36">
        <w:t xml:space="preserve">. The validity of a visual analogue scale in determining social utility weights for health states. </w:t>
      </w:r>
      <w:r w:rsidR="00580E36" w:rsidRPr="00580E36">
        <w:rPr>
          <w:i/>
        </w:rPr>
        <w:t>Int J Health Plann Manage, 6</w:t>
      </w:r>
      <w:r w:rsidR="00580E36" w:rsidRPr="00580E36">
        <w:t xml:space="preserve">, 234–242. </w:t>
      </w:r>
    </w:p>
    <w:p w14:paraId="2706C13A" w14:textId="3F1F1321" w:rsidR="00963016" w:rsidRDefault="00963016" w:rsidP="00DC248F">
      <w:pPr>
        <w:ind w:left="567" w:hanging="567"/>
      </w:pPr>
      <w:r>
        <w:t xml:space="preserve">Nord, E. (2013). Disability weights in the Global Burden of Disease 2010: unclear meaning and overstatement of international agreement. </w:t>
      </w:r>
      <w:r>
        <w:rPr>
          <w:i/>
          <w:iCs/>
        </w:rPr>
        <w:t>Health Policy</w:t>
      </w:r>
      <w:r>
        <w:t xml:space="preserve">, </w:t>
      </w:r>
      <w:r>
        <w:rPr>
          <w:i/>
          <w:iCs/>
        </w:rPr>
        <w:t>111</w:t>
      </w:r>
      <w:r>
        <w:t>(1), 99–104. http://doi.org/10.1016/j.healthpol.2013.03.019</w:t>
      </w:r>
    </w:p>
    <w:p w14:paraId="58D725D5" w14:textId="77777777" w:rsidR="00580E36" w:rsidRPr="00580E36" w:rsidRDefault="00580E36" w:rsidP="00DC248F">
      <w:pPr>
        <w:ind w:left="567" w:hanging="567"/>
      </w:pPr>
      <w:r w:rsidRPr="00580E36">
        <w:t>Nord, E., Menzel, P. and Richardson, J. (2006), Multi-method approach to valuing health states: problems with meaning. Health Econ., 15: 215–218. doi: 10.1002/hec.1063</w:t>
      </w:r>
    </w:p>
    <w:p w14:paraId="738226AC" w14:textId="77777777" w:rsidR="00580E36" w:rsidRPr="00580E36" w:rsidRDefault="00580E36" w:rsidP="00DC248F">
      <w:pPr>
        <w:ind w:left="567" w:hanging="567"/>
      </w:pPr>
      <w:r w:rsidRPr="00580E36">
        <w:t xml:space="preserve">Norman, R., King, M. T., Clarke, D., Viney, R., Cronin, P., &amp; Street, D. (2010). Does mode of administration matter? Comparison of online and face-to-face administration of a time trade-off task. </w:t>
      </w:r>
      <w:r w:rsidRPr="00580E36">
        <w:rPr>
          <w:i/>
        </w:rPr>
        <w:t>Quality of Life Research, 19</w:t>
      </w:r>
      <w:r w:rsidRPr="00580E36">
        <w:t>(4), 499–508. doi: 10.1007/s11136-010-9609-5</w:t>
      </w:r>
    </w:p>
    <w:p w14:paraId="1629DA2E" w14:textId="78B33E8C" w:rsidR="001B2940" w:rsidRPr="00D415D2" w:rsidRDefault="001B2940" w:rsidP="00DC248F">
      <w:pPr>
        <w:ind w:left="567" w:hanging="567"/>
      </w:pPr>
      <w:r w:rsidRPr="00D415D2">
        <w:t xml:space="preserve">Norton, D. </w:t>
      </w:r>
      <w:r w:rsidR="00BA42FA">
        <w:t>(</w:t>
      </w:r>
      <w:r w:rsidRPr="00D415D2">
        <w:t>2012</w:t>
      </w:r>
      <w:r w:rsidR="00BA42FA">
        <w:t>)</w:t>
      </w:r>
      <w:r w:rsidRPr="00D415D2">
        <w:t xml:space="preserve">. </w:t>
      </w:r>
      <w:r w:rsidRPr="00770C53">
        <w:rPr>
          <w:i/>
        </w:rPr>
        <w:t>Report for national statistics to 31 December 2011</w:t>
      </w:r>
      <w:r w:rsidRPr="001F5F13">
        <w:t xml:space="preserve">. Auckland: Gambling Helpline New Zealand. Retrieved from: </w:t>
      </w:r>
      <w:r w:rsidRPr="00770C53">
        <w:t>http://www.health.govt.nz/system/files/docum</w:t>
      </w:r>
      <w:r>
        <w:t xml:space="preserve"> </w:t>
      </w:r>
      <w:r w:rsidRPr="00D415D2">
        <w:t>ents/pages</w:t>
      </w:r>
      <w:r w:rsidRPr="001F5F13">
        <w:t>/gambling-helpline-report-july-</w:t>
      </w:r>
      <w:r w:rsidRPr="00D415D2">
        <w:t>dec-2011.pdf</w:t>
      </w:r>
    </w:p>
    <w:p w14:paraId="5EA3CAC9" w14:textId="5D87106B" w:rsidR="001B2940" w:rsidRPr="00D415D2" w:rsidRDefault="001B2940" w:rsidP="00DC248F">
      <w:pPr>
        <w:ind w:left="567" w:hanging="567"/>
      </w:pPr>
      <w:r w:rsidRPr="00D415D2">
        <w:t xml:space="preserve">Nower, L., Gupta, R., Blaszczynski, A. &amp; Derevensky, J. </w:t>
      </w:r>
      <w:r w:rsidR="00BA42FA">
        <w:t>(</w:t>
      </w:r>
      <w:r w:rsidRPr="00D415D2">
        <w:t>2004</w:t>
      </w:r>
      <w:r w:rsidR="00BA42FA">
        <w:t>)</w:t>
      </w:r>
      <w:r w:rsidRPr="00D415D2">
        <w:t xml:space="preserve">. Suicidality and </w:t>
      </w:r>
      <w:r w:rsidRPr="001F5F13">
        <w:t xml:space="preserve">depression among </w:t>
      </w:r>
      <w:r w:rsidRPr="00D415D2">
        <w:t>youth gamblers: A preliminary examination of three studies</w:t>
      </w:r>
      <w:r w:rsidRPr="00A80799">
        <w:rPr>
          <w:i/>
        </w:rPr>
        <w:t>. International Gambling Studies, 4</w:t>
      </w:r>
      <w:r>
        <w:t>(1)</w:t>
      </w:r>
      <w:r w:rsidRPr="00A80799">
        <w:rPr>
          <w:i/>
        </w:rPr>
        <w:t>,</w:t>
      </w:r>
      <w:r w:rsidRPr="00D415D2">
        <w:t xml:space="preserve"> 69-80.</w:t>
      </w:r>
      <w:r>
        <w:t xml:space="preserve"> doi: </w:t>
      </w:r>
      <w:r w:rsidRPr="00A80799">
        <w:t>10.1080/1445979042000224412</w:t>
      </w:r>
    </w:p>
    <w:p w14:paraId="4CA76413" w14:textId="5843B14A" w:rsidR="001B2940" w:rsidRPr="00D415D2" w:rsidRDefault="001B2940" w:rsidP="00DC248F">
      <w:pPr>
        <w:ind w:left="567" w:hanging="567"/>
      </w:pPr>
      <w:r w:rsidRPr="00D415D2">
        <w:t xml:space="preserve">Orford, J. </w:t>
      </w:r>
      <w:r w:rsidR="00BA42FA">
        <w:t>(</w:t>
      </w:r>
      <w:r w:rsidRPr="00D415D2">
        <w:t>2005</w:t>
      </w:r>
      <w:r w:rsidR="00BA42FA">
        <w:t>)</w:t>
      </w:r>
      <w:r w:rsidRPr="00D415D2">
        <w:t>. Disabling the public interest: Gambling strategies and po</w:t>
      </w:r>
      <w:r w:rsidRPr="001F5F13">
        <w:t xml:space="preserve">licies for Britain. </w:t>
      </w:r>
      <w:r w:rsidRPr="00A80799">
        <w:rPr>
          <w:i/>
        </w:rPr>
        <w:t>Addiction, 100</w:t>
      </w:r>
      <w:r w:rsidRPr="00D415D2">
        <w:t>, 1235– 1239.</w:t>
      </w:r>
      <w:r>
        <w:t xml:space="preserve"> doi: </w:t>
      </w:r>
      <w:r w:rsidRPr="00917BBE">
        <w:t>10.1111/j.1360-0443.2005.01143.x</w:t>
      </w:r>
    </w:p>
    <w:p w14:paraId="4CB70BB0" w14:textId="5A5B6531" w:rsidR="001B2940" w:rsidRPr="00D415D2" w:rsidRDefault="001B2940" w:rsidP="00DC248F">
      <w:pPr>
        <w:ind w:left="567" w:hanging="567"/>
      </w:pPr>
      <w:r w:rsidRPr="00D415D2">
        <w:t xml:space="preserve">Parke, J., &amp; Griffiths, M. </w:t>
      </w:r>
      <w:r w:rsidR="00BA42FA">
        <w:t>(</w:t>
      </w:r>
      <w:r w:rsidRPr="00D415D2">
        <w:t>2006</w:t>
      </w:r>
      <w:r w:rsidR="00BA42FA">
        <w:t>)</w:t>
      </w:r>
      <w:r w:rsidRPr="00D415D2">
        <w:t xml:space="preserve">. </w:t>
      </w:r>
      <w:r>
        <w:t>The psychology of the fruit m</w:t>
      </w:r>
      <w:r w:rsidRPr="001F5F13">
        <w:t xml:space="preserve">achine: The role of structural </w:t>
      </w:r>
      <w:r w:rsidRPr="00D415D2">
        <w:t xml:space="preserve">characteristics (Revisited). </w:t>
      </w:r>
      <w:r w:rsidRPr="00917BBE">
        <w:rPr>
          <w:i/>
        </w:rPr>
        <w:t>International Journal of Mental Health Addiction, 4</w:t>
      </w:r>
      <w:r w:rsidRPr="00D415D2">
        <w:t>(2), 151-179.</w:t>
      </w:r>
      <w:r>
        <w:t xml:space="preserve"> doi: </w:t>
      </w:r>
      <w:r w:rsidRPr="00917BBE">
        <w:t>10.1007/s11469-006-9014-z</w:t>
      </w:r>
    </w:p>
    <w:p w14:paraId="25483029" w14:textId="3848116A" w:rsidR="001B2940" w:rsidRPr="00D415D2" w:rsidRDefault="001B2940" w:rsidP="00DC248F">
      <w:pPr>
        <w:ind w:left="567" w:hanging="567"/>
      </w:pPr>
      <w:r w:rsidRPr="00D415D2">
        <w:t xml:space="preserve">Parker, J. D. A., Summerfeldt, L. J., Kloosterman, P. H., Keefer, K. V. &amp; Taylor, R. N. </w:t>
      </w:r>
      <w:r w:rsidR="00BA42FA">
        <w:t>(</w:t>
      </w:r>
      <w:r w:rsidRPr="00D415D2">
        <w:t>2013</w:t>
      </w:r>
      <w:r w:rsidR="00BA42FA">
        <w:t>)</w:t>
      </w:r>
      <w:r w:rsidRPr="00D415D2">
        <w:t>.</w:t>
      </w:r>
      <w:r>
        <w:t xml:space="preserve"> </w:t>
      </w:r>
      <w:r w:rsidRPr="00D415D2">
        <w:t xml:space="preserve">Gambling behaviour in adolescents with learning disorders. </w:t>
      </w:r>
      <w:r w:rsidRPr="00917BBE">
        <w:rPr>
          <w:i/>
        </w:rPr>
        <w:t>Journal of Gambling Studies, 29</w:t>
      </w:r>
      <w:r>
        <w:t>(2)</w:t>
      </w:r>
      <w:r w:rsidRPr="00D415D2">
        <w:t>,</w:t>
      </w:r>
      <w:r>
        <w:t xml:space="preserve"> </w:t>
      </w:r>
      <w:r w:rsidRPr="00D415D2">
        <w:t>231-239.</w:t>
      </w:r>
      <w:r>
        <w:t xml:space="preserve"> doi: </w:t>
      </w:r>
      <w:r w:rsidRPr="00917BBE">
        <w:t>10.1007/s10899-012-9312-2</w:t>
      </w:r>
    </w:p>
    <w:p w14:paraId="6D1C0505" w14:textId="49AF2E5F" w:rsidR="00580E36" w:rsidRPr="00580E36" w:rsidRDefault="002C0907" w:rsidP="00DC248F">
      <w:pPr>
        <w:ind w:left="567" w:hanging="567"/>
      </w:pPr>
      <w:r>
        <w:lastRenderedPageBreak/>
        <w:t xml:space="preserve">Parkin, D., &amp; Devlin, N. </w:t>
      </w:r>
      <w:r w:rsidR="00BA42FA">
        <w:t>(</w:t>
      </w:r>
      <w:r w:rsidR="00580E36" w:rsidRPr="00580E36">
        <w:t>2006</w:t>
      </w:r>
      <w:r w:rsidR="00BA42FA">
        <w:t>)</w:t>
      </w:r>
      <w:r w:rsidR="00580E36" w:rsidRPr="00580E36">
        <w:t xml:space="preserve">. Is there a case for using visual analogue scale valuations in cost-utility analysis? </w:t>
      </w:r>
      <w:r w:rsidR="00580E36" w:rsidRPr="00580E36">
        <w:rPr>
          <w:i/>
        </w:rPr>
        <w:t>Health Economics, 15</w:t>
      </w:r>
      <w:r w:rsidR="00580E36" w:rsidRPr="00580E36">
        <w:t>(7), 653–664. http://doi.org/10.1002/hec.1086</w:t>
      </w:r>
    </w:p>
    <w:p w14:paraId="5D6C6AD6" w14:textId="79017E06" w:rsidR="001B2940" w:rsidRPr="00D415D2" w:rsidRDefault="001B2940" w:rsidP="00DC248F">
      <w:pPr>
        <w:ind w:left="567" w:hanging="567"/>
      </w:pPr>
      <w:r w:rsidRPr="00D415D2">
        <w:t xml:space="preserve">Penfold, A., Hatcher, S., Sullivan, S. &amp; Collins, N. </w:t>
      </w:r>
      <w:r w:rsidR="00BA42FA">
        <w:t>(</w:t>
      </w:r>
      <w:r w:rsidRPr="00D415D2">
        <w:t>2006a</w:t>
      </w:r>
      <w:r w:rsidR="00BA42FA">
        <w:t>)</w:t>
      </w:r>
      <w:r w:rsidRPr="00D415D2">
        <w:t>. G</w:t>
      </w:r>
      <w:r w:rsidRPr="001F5F13">
        <w:t xml:space="preserve">ambling problems and attempted </w:t>
      </w:r>
      <w:r w:rsidRPr="00D415D2">
        <w:t xml:space="preserve">suicide. </w:t>
      </w:r>
      <w:r>
        <w:t>Part I</w:t>
      </w:r>
      <w:r w:rsidRPr="00D415D2">
        <w:t xml:space="preserve">. High prevalence amongst hospital admissions. </w:t>
      </w:r>
      <w:r w:rsidRPr="00917BBE">
        <w:rPr>
          <w:i/>
        </w:rPr>
        <w:t>International Journal of Mental Health and Addiction, 4</w:t>
      </w:r>
      <w:r>
        <w:t>(3)</w:t>
      </w:r>
      <w:r w:rsidRPr="00917BBE">
        <w:rPr>
          <w:i/>
        </w:rPr>
        <w:t>,</w:t>
      </w:r>
      <w:r w:rsidRPr="00D415D2">
        <w:t xml:space="preserve"> 265-272.</w:t>
      </w:r>
      <w:r>
        <w:t xml:space="preserve"> doi: </w:t>
      </w:r>
      <w:r w:rsidRPr="00917BBE">
        <w:t>10.1007/s11469-006-9025-9</w:t>
      </w:r>
    </w:p>
    <w:p w14:paraId="234B7AB2" w14:textId="48A1997A" w:rsidR="001B2940" w:rsidRPr="00D415D2" w:rsidRDefault="001B2940" w:rsidP="00DC248F">
      <w:pPr>
        <w:ind w:left="567" w:hanging="567"/>
      </w:pPr>
      <w:r w:rsidRPr="00D415D2">
        <w:t xml:space="preserve">Penfold, A., Hatcher, S., Sullivan, S. &amp; Collins, N. </w:t>
      </w:r>
      <w:r w:rsidR="00F168F2">
        <w:t>(</w:t>
      </w:r>
      <w:r w:rsidRPr="00D415D2">
        <w:t>2006b</w:t>
      </w:r>
      <w:r w:rsidR="00F168F2">
        <w:t>)</w:t>
      </w:r>
      <w:r w:rsidRPr="00D415D2">
        <w:t>. G</w:t>
      </w:r>
      <w:r>
        <w:t>ambling problems and a</w:t>
      </w:r>
      <w:r w:rsidRPr="001F5F13">
        <w:t xml:space="preserve">ttempted </w:t>
      </w:r>
      <w:r>
        <w:t>suicide: Part II—Alcohol abuse i</w:t>
      </w:r>
      <w:r w:rsidRPr="00D415D2">
        <w:t>ncrease</w:t>
      </w:r>
      <w:r>
        <w:t>s suicide r</w:t>
      </w:r>
      <w:r w:rsidRPr="00D415D2">
        <w:t xml:space="preserve">isk. </w:t>
      </w:r>
      <w:r w:rsidRPr="00917BBE">
        <w:rPr>
          <w:i/>
        </w:rPr>
        <w:t xml:space="preserve">International Journal of Mental Health and Addiction, 4, </w:t>
      </w:r>
      <w:r w:rsidRPr="00D415D2">
        <w:t>273-279.</w:t>
      </w:r>
      <w:r>
        <w:t xml:space="preserve"> doi: </w:t>
      </w:r>
      <w:r w:rsidRPr="00917BBE">
        <w:t>10.1007/s11469-006-9027-7</w:t>
      </w:r>
    </w:p>
    <w:p w14:paraId="21AEC82C" w14:textId="122FFB74" w:rsidR="001B2940" w:rsidRPr="00D415D2" w:rsidRDefault="001B2940" w:rsidP="00DC248F">
      <w:pPr>
        <w:ind w:left="567" w:hanging="567"/>
      </w:pPr>
      <w:r w:rsidRPr="00D415D2">
        <w:t>Perese, L.M., Bellringer, M.E., Williams, M.M., &amp; Abbott, M.W</w:t>
      </w:r>
      <w:r w:rsidRPr="001F5F13">
        <w:t xml:space="preserve">. </w:t>
      </w:r>
      <w:r w:rsidR="00F168F2">
        <w:t>(</w:t>
      </w:r>
      <w:r w:rsidRPr="001F5F13">
        <w:t>2009</w:t>
      </w:r>
      <w:r w:rsidR="00F168F2">
        <w:t>)</w:t>
      </w:r>
      <w:r w:rsidRPr="001F5F13">
        <w:t xml:space="preserve">. Two years on: Gambling </w:t>
      </w:r>
      <w:r w:rsidRPr="00D415D2">
        <w:t xml:space="preserve">amongst Pacific mothers living in New Zealand. </w:t>
      </w:r>
      <w:r w:rsidRPr="00917BBE">
        <w:rPr>
          <w:i/>
        </w:rPr>
        <w:t>Pacific Health Dialog, 15</w:t>
      </w:r>
      <w:r w:rsidRPr="00D415D2">
        <w:t xml:space="preserve"> (1), 55-67.</w:t>
      </w:r>
      <w:r>
        <w:t xml:space="preserve"> Retrieved from: </w:t>
      </w:r>
      <w:r w:rsidRPr="00917BBE">
        <w:t>http://hdl.handle.net/10292/2001</w:t>
      </w:r>
    </w:p>
    <w:p w14:paraId="4941FABA" w14:textId="68BD49F1" w:rsidR="001B2940" w:rsidRPr="00D415D2" w:rsidRDefault="001B2940" w:rsidP="00DC248F">
      <w:pPr>
        <w:ind w:left="567" w:hanging="567"/>
      </w:pPr>
      <w:r w:rsidRPr="00D415D2">
        <w:t xml:space="preserve">Perese, L., &amp; Faleafa, M. </w:t>
      </w:r>
      <w:r w:rsidR="00F168F2">
        <w:t>(</w:t>
      </w:r>
      <w:r w:rsidRPr="00D415D2">
        <w:t>2000</w:t>
      </w:r>
      <w:r w:rsidR="00F168F2">
        <w:t>)</w:t>
      </w:r>
      <w:r w:rsidRPr="00D415D2">
        <w:t xml:space="preserve">. </w:t>
      </w:r>
      <w:r w:rsidRPr="00891C67">
        <w:rPr>
          <w:i/>
        </w:rPr>
        <w:t>The impact of gambling on some Samoan people’s lives in Auckland.</w:t>
      </w:r>
      <w:r w:rsidRPr="00D415D2">
        <w:t xml:space="preserve"> Auckland: The Problem Gambling Foundation of New Zealand.</w:t>
      </w:r>
    </w:p>
    <w:p w14:paraId="033C9B00" w14:textId="37D5A32B" w:rsidR="001B2940" w:rsidRPr="00D415D2" w:rsidRDefault="001B2940" w:rsidP="00DC248F">
      <w:pPr>
        <w:ind w:left="567" w:hanging="567"/>
      </w:pPr>
      <w:r w:rsidRPr="00D415D2">
        <w:t xml:space="preserve">Petry, N. M. &amp; Kiluk, B. D. </w:t>
      </w:r>
      <w:r w:rsidR="00F168F2">
        <w:t>(</w:t>
      </w:r>
      <w:r w:rsidRPr="00D415D2">
        <w:t>2002</w:t>
      </w:r>
      <w:r w:rsidR="00F168F2">
        <w:t>)</w:t>
      </w:r>
      <w:r w:rsidRPr="00D415D2">
        <w:t>. Suicidal ideation and suicid</w:t>
      </w:r>
      <w:r w:rsidRPr="001F5F13">
        <w:t>e attempts in treatment-seeking</w:t>
      </w:r>
      <w:r w:rsidRPr="00D415D2">
        <w:t xml:space="preserve"> pathological gamblers. </w:t>
      </w:r>
      <w:r w:rsidRPr="00891C67">
        <w:rPr>
          <w:i/>
        </w:rPr>
        <w:t>Journal of Nervous Mental Disorders, 190</w:t>
      </w:r>
      <w:r>
        <w:t>(7)</w:t>
      </w:r>
      <w:r w:rsidRPr="00D415D2">
        <w:t>, 462.</w:t>
      </w:r>
      <w:r>
        <w:t xml:space="preserve"> doi: </w:t>
      </w:r>
      <w:r w:rsidRPr="00891C67">
        <w:t>10.1097/01.NMD.0000022447.27689.96</w:t>
      </w:r>
    </w:p>
    <w:p w14:paraId="4712F1EB" w14:textId="78209F86" w:rsidR="001B2940" w:rsidRPr="00D415D2" w:rsidRDefault="001B2940" w:rsidP="00DC248F">
      <w:pPr>
        <w:ind w:left="567" w:hanging="567"/>
      </w:pPr>
      <w:r w:rsidRPr="00D415D2">
        <w:t xml:space="preserve">Phillips, W. J. </w:t>
      </w:r>
      <w:r w:rsidR="00F168F2">
        <w:t>(</w:t>
      </w:r>
      <w:r w:rsidRPr="00D415D2">
        <w:t>2009</w:t>
      </w:r>
      <w:r w:rsidR="00F168F2">
        <w:t>)</w:t>
      </w:r>
      <w:r w:rsidRPr="00D415D2">
        <w:t>. Senior casino motivation and gaming intention:</w:t>
      </w:r>
      <w:r w:rsidRPr="001F5F13">
        <w:t xml:space="preserve"> An extended theory of planned </w:t>
      </w:r>
      <w:r w:rsidRPr="00D415D2">
        <w:t>behavior model. Dissertation/Thesis, ProQuest, UMI Dissertations Publishing.</w:t>
      </w:r>
    </w:p>
    <w:p w14:paraId="3CD79093" w14:textId="65815DFD" w:rsidR="001B2940" w:rsidRDefault="001B2940" w:rsidP="00DC248F">
      <w:pPr>
        <w:ind w:left="567" w:hanging="567"/>
        <w:rPr>
          <w:rFonts w:cs="Arial"/>
        </w:rPr>
      </w:pPr>
      <w:r w:rsidRPr="00D415D2">
        <w:t xml:space="preserve">Potenza, M. N., Maciejewski, P. K. &amp; Mazure, C. M. </w:t>
      </w:r>
      <w:r w:rsidR="00F168F2">
        <w:t>(</w:t>
      </w:r>
      <w:r w:rsidRPr="00D415D2">
        <w:t>2006</w:t>
      </w:r>
      <w:r w:rsidR="00F168F2">
        <w:t>)</w:t>
      </w:r>
      <w:r w:rsidRPr="00D415D2">
        <w:t>. A gender-bas</w:t>
      </w:r>
      <w:r w:rsidRPr="001F5F13">
        <w:t>ed examination of past-</w:t>
      </w:r>
      <w:r w:rsidRPr="00D415D2">
        <w:t>year recreational gamblers</w:t>
      </w:r>
      <w:r>
        <w:t xml:space="preserve">. </w:t>
      </w:r>
      <w:r w:rsidRPr="00891C67">
        <w:rPr>
          <w:i/>
        </w:rPr>
        <w:t>Journal of Gambling Studies / co-sponsored by the National Council on Problem Gambling and Institute for the Study of Gambling and Commercial</w:t>
      </w:r>
      <w:r w:rsidRPr="001F5F13">
        <w:t xml:space="preserve"> </w:t>
      </w:r>
      <w:r w:rsidRPr="00891C67">
        <w:rPr>
          <w:i/>
        </w:rPr>
        <w:t>Gaming,</w:t>
      </w:r>
      <w:r w:rsidRPr="00D415D2">
        <w:t xml:space="preserve"> </w:t>
      </w:r>
      <w:r w:rsidRPr="00891C67">
        <w:rPr>
          <w:i/>
        </w:rPr>
        <w:t>22</w:t>
      </w:r>
      <w:r>
        <w:t>(1)</w:t>
      </w:r>
      <w:r w:rsidRPr="00D415D2">
        <w:t>, 41-</w:t>
      </w:r>
      <w:r w:rsidRPr="008067BD">
        <w:rPr>
          <w:rFonts w:cs="Arial"/>
        </w:rPr>
        <w:t>64. doi: 10.1007/s10899-005-9002-4</w:t>
      </w:r>
    </w:p>
    <w:p w14:paraId="39BDDA6F" w14:textId="4371B761" w:rsidR="006946F7" w:rsidRPr="008067BD" w:rsidRDefault="006946F7" w:rsidP="00DC248F">
      <w:pPr>
        <w:ind w:left="567" w:hanging="567"/>
        <w:rPr>
          <w:rFonts w:cs="Arial"/>
        </w:rPr>
      </w:pPr>
      <w:r w:rsidRPr="0000305D">
        <w:t xml:space="preserve">Prigent, A., Auraaen, A., Kamendje-Tchokobou, B., Durand-Zaleski, I., &amp; Chevreul, K. (2014). Health-related quality of life and utility scores in people with mental disorders: a comparison with the non-mentally ill general population. </w:t>
      </w:r>
      <w:r w:rsidRPr="0000305D">
        <w:rPr>
          <w:i/>
          <w:iCs/>
        </w:rPr>
        <w:t>International Journal of Environmental Research and Public Health</w:t>
      </w:r>
      <w:r w:rsidRPr="0000305D">
        <w:t xml:space="preserve">, </w:t>
      </w:r>
      <w:r w:rsidRPr="0000305D">
        <w:rPr>
          <w:i/>
          <w:iCs/>
        </w:rPr>
        <w:t>11</w:t>
      </w:r>
      <w:r w:rsidRPr="0000305D">
        <w:t>(3), 2804–2817. http://doi.org/10.3390/ijerph110302804</w:t>
      </w:r>
    </w:p>
    <w:p w14:paraId="34D23DD5" w14:textId="77777777" w:rsidR="001B2940" w:rsidRPr="008067BD" w:rsidRDefault="001B2940" w:rsidP="00DC248F">
      <w:pPr>
        <w:ind w:left="567" w:hanging="567"/>
        <w:rPr>
          <w:rFonts w:cs="Arial"/>
          <w:noProof/>
        </w:rPr>
      </w:pPr>
      <w:r w:rsidRPr="008067BD">
        <w:rPr>
          <w:rFonts w:cs="Arial"/>
          <w:noProof/>
        </w:rPr>
        <w:t xml:space="preserve">Productivity Commission. (1999). </w:t>
      </w:r>
      <w:r w:rsidRPr="008067BD">
        <w:rPr>
          <w:rFonts w:cs="Arial"/>
          <w:i/>
          <w:noProof/>
        </w:rPr>
        <w:t>Australia's Gambling Industries: Inquiry Report.</w:t>
      </w:r>
      <w:r w:rsidRPr="008067BD">
        <w:rPr>
          <w:rFonts w:cs="Arial"/>
          <w:noProof/>
        </w:rPr>
        <w:t xml:space="preserve"> Canberra: Commonwealth of Australia.</w:t>
      </w:r>
    </w:p>
    <w:p w14:paraId="009AD379" w14:textId="1D2C0EE6" w:rsidR="001B2940" w:rsidRPr="00D415D2" w:rsidRDefault="001B2940" w:rsidP="00DC248F">
      <w:pPr>
        <w:ind w:left="567" w:hanging="567"/>
      </w:pPr>
      <w:r w:rsidRPr="00D415D2">
        <w:t>Productivity Commission</w:t>
      </w:r>
      <w:r w:rsidRPr="001F5F13">
        <w:t xml:space="preserve">. </w:t>
      </w:r>
      <w:r w:rsidR="00F168F2">
        <w:t>(</w:t>
      </w:r>
      <w:r w:rsidRPr="001F5F13">
        <w:t>2010</w:t>
      </w:r>
      <w:r w:rsidR="00F168F2">
        <w:t>)</w:t>
      </w:r>
      <w:r w:rsidRPr="001F5F13">
        <w:t xml:space="preserve">. </w:t>
      </w:r>
      <w:r w:rsidRPr="00891C67">
        <w:rPr>
          <w:i/>
        </w:rPr>
        <w:t xml:space="preserve">Gambling. </w:t>
      </w:r>
      <w:r w:rsidRPr="00891C67">
        <w:t>Report No. 50.</w:t>
      </w:r>
      <w:r w:rsidRPr="00D415D2">
        <w:t xml:space="preserve"> Canberra: Productivity Commission.</w:t>
      </w:r>
    </w:p>
    <w:p w14:paraId="194CF33A" w14:textId="64C1964D" w:rsidR="00C86901" w:rsidRDefault="00C86901" w:rsidP="00DC248F">
      <w:pPr>
        <w:ind w:left="567" w:hanging="567"/>
        <w:rPr>
          <w:lang w:eastAsia="en-AU"/>
        </w:rPr>
      </w:pPr>
      <w:r w:rsidRPr="00C86901">
        <w:rPr>
          <w:lang w:eastAsia="en-AU"/>
        </w:rPr>
        <w:t xml:space="preserve">Pullenayegum, E., &amp; Xie, F. (2013). Scoring the 5-level EQ-5D: can latent utilities derived from a discrete choice model be transformed to health utilities derived from time tradeoff tasks? </w:t>
      </w:r>
      <w:r w:rsidRPr="00C86901">
        <w:rPr>
          <w:i/>
          <w:lang w:eastAsia="en-AU"/>
        </w:rPr>
        <w:t>Medical Decision Making: An International Journal of the Society for Medical Decision Making, 33</w:t>
      </w:r>
      <w:r w:rsidRPr="00C86901">
        <w:rPr>
          <w:lang w:eastAsia="en-AU"/>
        </w:rPr>
        <w:t>(4), 567–578. http://doi.org/10.1177/0272989X13475718</w:t>
      </w:r>
    </w:p>
    <w:p w14:paraId="4EAF7A2F" w14:textId="5CCFF272" w:rsidR="001B2940" w:rsidRPr="00D415D2" w:rsidRDefault="001B2940" w:rsidP="00DC248F">
      <w:pPr>
        <w:ind w:left="567" w:hanging="567"/>
        <w:rPr>
          <w:lang w:eastAsia="en-AU"/>
        </w:rPr>
      </w:pPr>
      <w:r>
        <w:rPr>
          <w:lang w:eastAsia="en-AU"/>
        </w:rPr>
        <w:t xml:space="preserve">Queensland Treasury. </w:t>
      </w:r>
      <w:r w:rsidR="00F168F2">
        <w:rPr>
          <w:lang w:eastAsia="en-AU"/>
        </w:rPr>
        <w:t>(</w:t>
      </w:r>
      <w:r>
        <w:rPr>
          <w:lang w:eastAsia="en-AU"/>
        </w:rPr>
        <w:t>2002</w:t>
      </w:r>
      <w:r w:rsidR="00F168F2">
        <w:rPr>
          <w:lang w:eastAsia="en-AU"/>
        </w:rPr>
        <w:t>)</w:t>
      </w:r>
      <w:r>
        <w:rPr>
          <w:lang w:eastAsia="en-AU"/>
        </w:rPr>
        <w:t xml:space="preserve">. </w:t>
      </w:r>
      <w:r w:rsidRPr="00951C31">
        <w:rPr>
          <w:i/>
          <w:iCs/>
          <w:lang w:eastAsia="en-AU"/>
        </w:rPr>
        <w:t>The Queensland responsible gambling strategy: A partnership approach</w:t>
      </w:r>
      <w:r>
        <w:rPr>
          <w:lang w:eastAsia="en-AU"/>
        </w:rPr>
        <w:t xml:space="preserve">, Queensland: </w:t>
      </w:r>
      <w:r w:rsidRPr="00891C67">
        <w:rPr>
          <w:lang w:eastAsia="en-AU"/>
        </w:rPr>
        <w:t>Queensland Treasury.</w:t>
      </w:r>
    </w:p>
    <w:p w14:paraId="3CEF43E1" w14:textId="5BC9687B" w:rsidR="001B2940" w:rsidRPr="00D415D2" w:rsidRDefault="001B2940" w:rsidP="00DC248F">
      <w:pPr>
        <w:ind w:left="567" w:hanging="567"/>
      </w:pPr>
      <w:r w:rsidRPr="00D415D2">
        <w:t xml:space="preserve">Raisamo, S., Halme, J., Murto, A. &amp; Lintonen, T. </w:t>
      </w:r>
      <w:r w:rsidR="00F168F2">
        <w:t>(</w:t>
      </w:r>
      <w:r w:rsidRPr="00D415D2">
        <w:t>2013</w:t>
      </w:r>
      <w:r w:rsidR="00F168F2">
        <w:t>)</w:t>
      </w:r>
      <w:r w:rsidRPr="001F5F13">
        <w:t xml:space="preserve">. Gambling-related harms among </w:t>
      </w:r>
      <w:r w:rsidRPr="00D415D2">
        <w:t xml:space="preserve">adolescents: a population-based study. </w:t>
      </w:r>
      <w:r>
        <w:rPr>
          <w:i/>
        </w:rPr>
        <w:t>Journal of G</w:t>
      </w:r>
      <w:r w:rsidRPr="00891C67">
        <w:rPr>
          <w:i/>
        </w:rPr>
        <w:t>ambling</w:t>
      </w:r>
      <w:r>
        <w:rPr>
          <w:i/>
        </w:rPr>
        <w:t xml:space="preserve"> S</w:t>
      </w:r>
      <w:r w:rsidRPr="00891C67">
        <w:rPr>
          <w:i/>
        </w:rPr>
        <w:t xml:space="preserve">tudies / co-sponsored by the </w:t>
      </w:r>
      <w:r w:rsidRPr="00891C67">
        <w:rPr>
          <w:i/>
        </w:rPr>
        <w:lastRenderedPageBreak/>
        <w:t>National Council on Problem Gambling and Institute for the Study of Gambling and Commercial Gaming, 29</w:t>
      </w:r>
      <w:r>
        <w:t>(1)</w:t>
      </w:r>
      <w:r w:rsidRPr="00D415D2">
        <w:t>, 151-159.</w:t>
      </w:r>
      <w:r>
        <w:t xml:space="preserve"> doi: </w:t>
      </w:r>
      <w:r w:rsidRPr="00891C67">
        <w:t>10.1007/s10899-012-9298-9</w:t>
      </w:r>
    </w:p>
    <w:p w14:paraId="420BD5C5" w14:textId="315E4DEC" w:rsidR="001B2940" w:rsidRPr="00D415D2" w:rsidRDefault="001B2940" w:rsidP="00DC248F">
      <w:pPr>
        <w:ind w:left="567" w:hanging="567"/>
      </w:pPr>
      <w:r w:rsidRPr="00D415D2">
        <w:t>Rankine, J., &amp; Haigh</w:t>
      </w:r>
      <w:r w:rsidRPr="00D415D2">
        <w:rPr>
          <w:caps/>
        </w:rPr>
        <w:t>, D.</w:t>
      </w:r>
      <w:r w:rsidRPr="00D415D2">
        <w:t xml:space="preserve"> </w:t>
      </w:r>
      <w:r w:rsidR="00B044F4">
        <w:t>(</w:t>
      </w:r>
      <w:r w:rsidRPr="00D415D2">
        <w:t>2003</w:t>
      </w:r>
      <w:r w:rsidR="00B044F4">
        <w:t>)</w:t>
      </w:r>
      <w:r w:rsidRPr="00D415D2">
        <w:t xml:space="preserve">. </w:t>
      </w:r>
      <w:r w:rsidRPr="00891C67">
        <w:rPr>
          <w:i/>
        </w:rPr>
        <w:t>Social impacts of gambling in Manukau City</w:t>
      </w:r>
      <w:r w:rsidRPr="00D415D2">
        <w:t>. Report prepared for Manukau City Council.</w:t>
      </w:r>
    </w:p>
    <w:p w14:paraId="71AFFC09" w14:textId="103E565D" w:rsidR="00C86901" w:rsidRDefault="00C86901" w:rsidP="00DC248F">
      <w:pPr>
        <w:ind w:left="567" w:hanging="567"/>
      </w:pPr>
      <w:r w:rsidRPr="00C86901">
        <w:t xml:space="preserve">Ratcliffe, J., Brazier, J., Tsuchiya, A., Symonds, T., &amp; Brown, M. (2009). Using DCE and ranking data to estimate cardinal values for health states for deriving a preference-based single index from the sexual quality of life questionnaire. </w:t>
      </w:r>
      <w:r w:rsidRPr="00C86901">
        <w:rPr>
          <w:i/>
        </w:rPr>
        <w:t>Health Economics, 18</w:t>
      </w:r>
      <w:r w:rsidRPr="00C86901">
        <w:t>(11), 1261–1276. http://doi.org/10.1002/hec.1426</w:t>
      </w:r>
    </w:p>
    <w:p w14:paraId="5B14C7E6" w14:textId="78EAE69D" w:rsidR="001B2940" w:rsidRPr="00D415D2" w:rsidRDefault="001B2940" w:rsidP="00DC248F">
      <w:pPr>
        <w:ind w:left="567" w:hanging="567"/>
      </w:pPr>
      <w:r w:rsidRPr="00D415D2">
        <w:t xml:space="preserve">Raylu, N., &amp; Oei, T. </w:t>
      </w:r>
      <w:r w:rsidRPr="00D415D2">
        <w:rPr>
          <w:caps/>
        </w:rPr>
        <w:t>P.</w:t>
      </w:r>
      <w:r w:rsidRPr="00D415D2">
        <w:t xml:space="preserve"> </w:t>
      </w:r>
      <w:r w:rsidR="00B044F4">
        <w:t>(</w:t>
      </w:r>
      <w:r w:rsidRPr="00D415D2">
        <w:t>2004</w:t>
      </w:r>
      <w:r w:rsidR="00B044F4">
        <w:t>)</w:t>
      </w:r>
      <w:r w:rsidRPr="00D415D2">
        <w:t xml:space="preserve">. Role of culture in gambling and problem gambling. </w:t>
      </w:r>
      <w:r w:rsidRPr="004E5FF5">
        <w:rPr>
          <w:i/>
        </w:rPr>
        <w:t>Clinical Psychology Review, 23</w:t>
      </w:r>
      <w:r w:rsidRPr="00D415D2">
        <w:t>(8), 1087-1114.</w:t>
      </w:r>
      <w:r>
        <w:t xml:space="preserve"> doi: </w:t>
      </w:r>
      <w:r w:rsidRPr="004E5FF5">
        <w:t>10.1016/j.cpr.2003.09.005</w:t>
      </w:r>
    </w:p>
    <w:p w14:paraId="47459A85" w14:textId="5953FA53" w:rsidR="001B2940" w:rsidRPr="00D415D2" w:rsidRDefault="001B2940" w:rsidP="00DC248F">
      <w:pPr>
        <w:ind w:left="567" w:hanging="567"/>
      </w:pPr>
      <w:r w:rsidRPr="00D415D2">
        <w:t xml:space="preserve">Rintoul, A. C., Livingstone, C., Mellor, A. P., &amp; Jolley, D. </w:t>
      </w:r>
      <w:r w:rsidR="00B044F4">
        <w:t>(</w:t>
      </w:r>
      <w:r w:rsidRPr="00D415D2">
        <w:t>20</w:t>
      </w:r>
      <w:r w:rsidRPr="001F5F13">
        <w:t>12</w:t>
      </w:r>
      <w:r w:rsidR="00B044F4">
        <w:t>)</w:t>
      </w:r>
      <w:r w:rsidRPr="001F5F13">
        <w:t xml:space="preserve">. Modelling vulnerability to </w:t>
      </w:r>
      <w:r w:rsidRPr="00D415D2">
        <w:t>gambling related harm: How disadvantage predicts gamblin</w:t>
      </w:r>
      <w:r w:rsidRPr="001F5F13">
        <w:t xml:space="preserve">g losses. </w:t>
      </w:r>
      <w:r w:rsidRPr="004E5FF5">
        <w:rPr>
          <w:i/>
        </w:rPr>
        <w:t>Addiction Research &amp; Theory, 21</w:t>
      </w:r>
      <w:r w:rsidRPr="00D415D2">
        <w:t>(4), 329-338.</w:t>
      </w:r>
      <w:r>
        <w:t xml:space="preserve"> doi: </w:t>
      </w:r>
      <w:r w:rsidRPr="004E5FF5">
        <w:t>10.3109/16066359.2012.727507</w:t>
      </w:r>
    </w:p>
    <w:p w14:paraId="45725C8F" w14:textId="5C15D851" w:rsidR="004749FD" w:rsidRPr="004749FD" w:rsidRDefault="004749FD" w:rsidP="00DC248F">
      <w:pPr>
        <w:ind w:left="567" w:hanging="567"/>
      </w:pPr>
      <w:r w:rsidRPr="004749FD">
        <w:t xml:space="preserve">Rizopoulos, D. </w:t>
      </w:r>
      <w:r w:rsidR="00B044F4">
        <w:t>(</w:t>
      </w:r>
      <w:r w:rsidRPr="004749FD">
        <w:t>2006</w:t>
      </w:r>
      <w:r w:rsidR="00B044F4">
        <w:t>)</w:t>
      </w:r>
      <w:r w:rsidRPr="004749FD">
        <w:t>. ltm: An R package for latent variable modeling and item response theory analyses. </w:t>
      </w:r>
      <w:r w:rsidRPr="004749FD">
        <w:rPr>
          <w:i/>
          <w:iCs/>
        </w:rPr>
        <w:t>Journal of statistical software</w:t>
      </w:r>
      <w:r w:rsidRPr="004749FD">
        <w:t>, </w:t>
      </w:r>
      <w:r w:rsidRPr="004749FD">
        <w:rPr>
          <w:i/>
          <w:iCs/>
        </w:rPr>
        <w:t>17</w:t>
      </w:r>
      <w:r w:rsidRPr="004749FD">
        <w:t>(5), 1-25.</w:t>
      </w:r>
    </w:p>
    <w:p w14:paraId="0A54FF10" w14:textId="3EFB5C01" w:rsidR="00580E36" w:rsidRPr="00580E36" w:rsidRDefault="00580E36" w:rsidP="00DC248F">
      <w:pPr>
        <w:ind w:left="567" w:hanging="567"/>
      </w:pPr>
      <w:r w:rsidRPr="00580E36">
        <w:t xml:space="preserve">Robertson, T., Wright, F. T. and Dykstra, R. L. </w:t>
      </w:r>
      <w:r w:rsidR="00B044F4">
        <w:t>(</w:t>
      </w:r>
      <w:r w:rsidRPr="00580E36">
        <w:t>1988</w:t>
      </w:r>
      <w:r w:rsidR="00B044F4">
        <w:t>)</w:t>
      </w:r>
      <w:r w:rsidR="002C0907">
        <w:t>.</w:t>
      </w:r>
      <w:r w:rsidRPr="00580E36">
        <w:t xml:space="preserve"> </w:t>
      </w:r>
      <w:r w:rsidRPr="00580E36">
        <w:rPr>
          <w:i/>
        </w:rPr>
        <w:t>Order Restricted Statistical Inference.</w:t>
      </w:r>
      <w:r w:rsidRPr="00580E36">
        <w:t xml:space="preserve"> Wiley: New York</w:t>
      </w:r>
    </w:p>
    <w:p w14:paraId="780D9772" w14:textId="77777777" w:rsidR="00DF0B93" w:rsidRPr="00DF0B93" w:rsidRDefault="00DF0B93" w:rsidP="00DF0B93">
      <w:pPr>
        <w:ind w:left="567" w:hanging="567"/>
      </w:pPr>
      <w:r>
        <w:t xml:space="preserve">Robinson, A., Spencer, A., &amp; Moffatt, P. (2015). A framework for estimating health state utility values within a discrete choice experiment: modeling risky choices. </w:t>
      </w:r>
      <w:r w:rsidRPr="00DF0B93">
        <w:rPr>
          <w:i/>
        </w:rPr>
        <w:t>Medical Decision Making: An International Journal of the Society for Medical Decision Making, 35</w:t>
      </w:r>
      <w:r>
        <w:t>(3), 341–350. http://doi.org/10.1177/0272989X14554715</w:t>
      </w:r>
    </w:p>
    <w:p w14:paraId="5445C398" w14:textId="064E817D" w:rsidR="001B2940" w:rsidRDefault="001B2940" w:rsidP="00DC248F">
      <w:pPr>
        <w:ind w:left="567" w:hanging="567"/>
      </w:pPr>
      <w:r w:rsidRPr="00D415D2">
        <w:t xml:space="preserve">Rodgers, B., Caldwell, T. &amp; Butterworth, P. </w:t>
      </w:r>
      <w:r w:rsidR="00B044F4">
        <w:t>(</w:t>
      </w:r>
      <w:r w:rsidRPr="00D415D2">
        <w:t>2009</w:t>
      </w:r>
      <w:r w:rsidR="00B044F4">
        <w:t>)</w:t>
      </w:r>
      <w:r w:rsidRPr="00D415D2">
        <w:t>. Measuring gamb</w:t>
      </w:r>
      <w:r w:rsidRPr="001F5F13">
        <w:t xml:space="preserve">ling participation. </w:t>
      </w:r>
      <w:r w:rsidRPr="004E5FF5">
        <w:rPr>
          <w:i/>
        </w:rPr>
        <w:t>Addiction, 104</w:t>
      </w:r>
      <w:r>
        <w:rPr>
          <w:i/>
        </w:rPr>
        <w:t xml:space="preserve"> </w:t>
      </w:r>
      <w:r>
        <w:t>(7)</w:t>
      </w:r>
      <w:r w:rsidRPr="00D415D2">
        <w:t>, 1065-1065.</w:t>
      </w:r>
      <w:r>
        <w:t xml:space="preserve"> doi: </w:t>
      </w:r>
      <w:r w:rsidRPr="004E5FF5">
        <w:t>10.1111/j.1360-0443.2008.02412.x</w:t>
      </w:r>
    </w:p>
    <w:p w14:paraId="0D052458" w14:textId="759F4899" w:rsidR="004749FD" w:rsidRPr="004749FD" w:rsidRDefault="004749FD" w:rsidP="00DC248F">
      <w:pPr>
        <w:ind w:left="567" w:hanging="567"/>
      </w:pPr>
      <w:r w:rsidRPr="004749FD">
        <w:t xml:space="preserve">Rosseel, Y. </w:t>
      </w:r>
      <w:r w:rsidR="00B044F4">
        <w:t>(</w:t>
      </w:r>
      <w:r w:rsidRPr="004749FD">
        <w:t>2012</w:t>
      </w:r>
      <w:r w:rsidR="00B044F4">
        <w:t>)</w:t>
      </w:r>
      <w:r w:rsidRPr="004749FD">
        <w:t xml:space="preserve">. </w:t>
      </w:r>
      <w:r w:rsidR="00B044F4">
        <w:t>L</w:t>
      </w:r>
      <w:r w:rsidRPr="004749FD">
        <w:t xml:space="preserve">avaan: An R package for structural equation modeling. </w:t>
      </w:r>
      <w:r w:rsidRPr="004749FD">
        <w:rPr>
          <w:i/>
          <w:iCs/>
        </w:rPr>
        <w:t>Journal of Statistical Software</w:t>
      </w:r>
      <w:r w:rsidRPr="004749FD">
        <w:t>, </w:t>
      </w:r>
      <w:r w:rsidRPr="004749FD">
        <w:rPr>
          <w:i/>
          <w:iCs/>
        </w:rPr>
        <w:t>48</w:t>
      </w:r>
      <w:r w:rsidRPr="004749FD">
        <w:t>(2), 1-36.</w:t>
      </w:r>
    </w:p>
    <w:p w14:paraId="136D91E9" w14:textId="3521C2D8" w:rsidR="001B2940" w:rsidRPr="00D415D2" w:rsidRDefault="001B2940" w:rsidP="00DC248F">
      <w:pPr>
        <w:ind w:left="567" w:hanging="567"/>
      </w:pPr>
      <w:r w:rsidRPr="00D415D2">
        <w:t xml:space="preserve">Rossen, F., Butler, R., &amp; Denny, R. </w:t>
      </w:r>
      <w:r w:rsidR="008E7A0A">
        <w:t>(</w:t>
      </w:r>
      <w:r w:rsidRPr="00D415D2">
        <w:t>2011</w:t>
      </w:r>
      <w:r w:rsidR="008E7A0A">
        <w:t>)</w:t>
      </w:r>
      <w:r w:rsidRPr="00D415D2">
        <w:t xml:space="preserve">. </w:t>
      </w:r>
      <w:r w:rsidRPr="004E5FF5">
        <w:rPr>
          <w:i/>
        </w:rPr>
        <w:t>An exploration of youth participation in gambling &amp; the impact of problem gambling on young people in New Zealand.</w:t>
      </w:r>
      <w:r w:rsidRPr="00D415D2">
        <w:t xml:space="preserve"> </w:t>
      </w:r>
      <w:r>
        <w:t xml:space="preserve">Auckland: </w:t>
      </w:r>
      <w:r w:rsidRPr="00D415D2">
        <w:t>Ministry of Health.</w:t>
      </w:r>
    </w:p>
    <w:p w14:paraId="4FDADE12" w14:textId="20A0064C" w:rsidR="00711855" w:rsidRDefault="00580E36" w:rsidP="00711855">
      <w:pPr>
        <w:ind w:left="567" w:hanging="567"/>
      </w:pPr>
      <w:r w:rsidRPr="00580E36">
        <w:t>Rowen, D., Brazier, J., &amp; Van Hout, B. (201</w:t>
      </w:r>
      <w:r w:rsidR="00063FD0">
        <w:t>5</w:t>
      </w:r>
      <w:r w:rsidRPr="00580E36">
        <w:t xml:space="preserve">). A comparison of methods for converting DCE values onto the full health-dead QALY scale. </w:t>
      </w:r>
      <w:r w:rsidRPr="00580E36">
        <w:rPr>
          <w:i/>
        </w:rPr>
        <w:t>Medical Decision Making</w:t>
      </w:r>
      <w:r w:rsidRPr="00580E36">
        <w:t xml:space="preserve">, doi: 10.1177/02729-89X14559542. </w:t>
      </w:r>
    </w:p>
    <w:p w14:paraId="28D48A16" w14:textId="77777777" w:rsidR="00711855" w:rsidRDefault="00580E36" w:rsidP="00711855">
      <w:pPr>
        <w:ind w:left="567" w:hanging="567"/>
      </w:pPr>
      <w:r w:rsidRPr="00580E36">
        <w:t xml:space="preserve">Rowen, D., Brazier, J., Tsuchiya, A., Young, T., &amp; Ibbotson, R. (2012). It’s all in the name, or is it? The impact of labeling on health state values. </w:t>
      </w:r>
      <w:r w:rsidRPr="00580E36">
        <w:rPr>
          <w:i/>
        </w:rPr>
        <w:t>Medical Decision Making, 32</w:t>
      </w:r>
      <w:r w:rsidRPr="00580E36">
        <w:t>(1), 31–40. doi: 10.1177/0272989X11408435</w:t>
      </w:r>
    </w:p>
    <w:p w14:paraId="4283EF0C" w14:textId="7874A6C7" w:rsidR="00C86901" w:rsidRDefault="00C86901" w:rsidP="00711855">
      <w:pPr>
        <w:ind w:left="567" w:hanging="567"/>
      </w:pPr>
      <w:r w:rsidRPr="00C86901">
        <w:t xml:space="preserve">Ryan, M., Netten, A., Skåtun, D., &amp; Smith, P. (2006). Using discrete choice experiments to estimate a preference-based measure of outcome—An application to social care for older people. </w:t>
      </w:r>
      <w:r w:rsidRPr="00C86901">
        <w:rPr>
          <w:i/>
        </w:rPr>
        <w:t>Journal of Health Economics, 25</w:t>
      </w:r>
      <w:r w:rsidRPr="00C86901">
        <w:t>(5), 927–944. http://doi.org/10.1016/j.jhealeco.2006.01.001</w:t>
      </w:r>
    </w:p>
    <w:p w14:paraId="51A6D021" w14:textId="758C7DF9" w:rsidR="00711855" w:rsidRDefault="00711855" w:rsidP="00711855">
      <w:pPr>
        <w:ind w:left="567" w:hanging="567"/>
      </w:pPr>
      <w:r w:rsidRPr="0000305D">
        <w:lastRenderedPageBreak/>
        <w:t xml:space="preserve">Saarni, S. I., Suvisaari, J., Sintonen, H., Pirkola, S., Koskinen, S., Aromaa, A., &amp; Lönnqvist, J. (2007). Impact of psychiatric disorders on health-related quality of life: general population survey. </w:t>
      </w:r>
      <w:r w:rsidRPr="0000305D">
        <w:rPr>
          <w:i/>
          <w:iCs/>
        </w:rPr>
        <w:t>The British Journal of Psychiatry: The Journal of Mental Science</w:t>
      </w:r>
      <w:r w:rsidRPr="0000305D">
        <w:t xml:space="preserve">, </w:t>
      </w:r>
      <w:r w:rsidRPr="0000305D">
        <w:rPr>
          <w:i/>
          <w:iCs/>
        </w:rPr>
        <w:t>190</w:t>
      </w:r>
      <w:r w:rsidRPr="0000305D">
        <w:t xml:space="preserve">, 326–332. </w:t>
      </w:r>
      <w:r w:rsidRPr="00B044F4">
        <w:t>http://doi.org/10.1192/bjp.bp.106.025106</w:t>
      </w:r>
    </w:p>
    <w:p w14:paraId="18C4E7F9" w14:textId="078B608D" w:rsidR="00711855" w:rsidRDefault="00711855" w:rsidP="00711855">
      <w:pPr>
        <w:ind w:left="567" w:hanging="567"/>
      </w:pPr>
      <w:r w:rsidRPr="0000305D">
        <w:t xml:space="preserve">Saarni, S. I., Härkänen, T., Sintonen, H., Suvisaari, J., Koskinen, S., Aromaa, A., &amp; Lönnqvist, J. (2006). The impact of 29 chronic conditions on health-related quality of life: a general population survey in Finland using 15D and EQ-5D. </w:t>
      </w:r>
      <w:r w:rsidRPr="0000305D">
        <w:rPr>
          <w:i/>
          <w:iCs/>
        </w:rPr>
        <w:t>Quality of Life Research: An International Journal of Quality of Life Aspects of Treatment, Care and Rehabilitation</w:t>
      </w:r>
      <w:r w:rsidRPr="0000305D">
        <w:t xml:space="preserve">, </w:t>
      </w:r>
      <w:r w:rsidRPr="0000305D">
        <w:rPr>
          <w:i/>
          <w:iCs/>
        </w:rPr>
        <w:t>15</w:t>
      </w:r>
      <w:r w:rsidRPr="0000305D">
        <w:t>(8), 1403–1414. http://doi.org/10.1007/s11136-006-0020-1</w:t>
      </w:r>
    </w:p>
    <w:p w14:paraId="1673ABC0" w14:textId="6DFE017C" w:rsidR="00AF19E5" w:rsidRPr="00AF19E5" w:rsidRDefault="00AF19E5" w:rsidP="00AF19E5">
      <w:pPr>
        <w:ind w:left="567" w:hanging="567"/>
      </w:pPr>
      <w:r w:rsidRPr="00AF19E5">
        <w:fldChar w:fldCharType="begin"/>
      </w:r>
      <w:r w:rsidRPr="00AF19E5">
        <w:instrText xml:space="preserve"> ADDIN EN.REFLIST </w:instrText>
      </w:r>
      <w:r w:rsidRPr="00AF19E5">
        <w:fldChar w:fldCharType="separate"/>
      </w:r>
      <w:r w:rsidRPr="00AF19E5">
        <w:t xml:space="preserve">Sachdev, P. S. (1990). Whakama: culturally determined behaviour in the New Zealand Māori. </w:t>
      </w:r>
      <w:r>
        <w:rPr>
          <w:i/>
        </w:rPr>
        <w:t>Psychological M</w:t>
      </w:r>
      <w:r w:rsidRPr="00AF19E5">
        <w:rPr>
          <w:i/>
        </w:rPr>
        <w:t>edicine, 20</w:t>
      </w:r>
      <w:r w:rsidRPr="00AF19E5">
        <w:t xml:space="preserve">(2), 433-444. </w:t>
      </w:r>
    </w:p>
    <w:p w14:paraId="5E861655" w14:textId="783078C9" w:rsidR="00C86901" w:rsidRDefault="00AF19E5" w:rsidP="00DC248F">
      <w:pPr>
        <w:ind w:left="567" w:hanging="567"/>
      </w:pPr>
      <w:r w:rsidRPr="00AF19E5">
        <w:fldChar w:fldCharType="end"/>
      </w:r>
      <w:r w:rsidR="00C86901" w:rsidRPr="00C86901">
        <w:t xml:space="preserve"> Salomon, J. A., Haagsma, J. A., Davis, A., de Noordhout, C. M., Polinder, S., Havelaar, A. H., … Vos, T. (2015). Disability weights for the Global Burden of Disease 2013 study. </w:t>
      </w:r>
      <w:r w:rsidR="00C86901" w:rsidRPr="00C86901">
        <w:rPr>
          <w:i/>
        </w:rPr>
        <w:t>The Lancet Global Health, 3(</w:t>
      </w:r>
      <w:r w:rsidR="00C86901" w:rsidRPr="00C86901">
        <w:t>11), e712–e723. http://doi.org/10.1016/S2214-109X(15)00069-8</w:t>
      </w:r>
    </w:p>
    <w:p w14:paraId="21D3CDCE" w14:textId="5913B383" w:rsidR="00580E36" w:rsidRPr="00580E36" w:rsidRDefault="00580E36" w:rsidP="00DC248F">
      <w:pPr>
        <w:ind w:left="567" w:hanging="567"/>
      </w:pPr>
      <w:r w:rsidRPr="00580E36">
        <w:t xml:space="preserve">Salomon, J. A., Vos, T., Hogan, D. R., Gagnon, M., Naghavi, M., Mokdad, A., … Blyth, F. (2013). Common values in assessing health outcomes from disease and injury: disability weights measurement study for the Global Burden of Disease Study 2010. </w:t>
      </w:r>
      <w:r w:rsidRPr="00580E36">
        <w:rPr>
          <w:i/>
        </w:rPr>
        <w:t>The Lancet, 380</w:t>
      </w:r>
      <w:r w:rsidRPr="00580E36">
        <w:t>(9859), 2129–2143. doi: 10.1016/S0140-6736(12)61680-8</w:t>
      </w:r>
    </w:p>
    <w:p w14:paraId="558B22B0" w14:textId="77777777" w:rsidR="00580E36" w:rsidRPr="00580E36" w:rsidRDefault="00580E36" w:rsidP="00DC248F">
      <w:pPr>
        <w:ind w:left="567" w:hanging="567"/>
      </w:pPr>
      <w:r w:rsidRPr="00580E36">
        <w:t>Salomon, J. A., &amp; Murray, C. J. (2004). A multi</w:t>
      </w:r>
      <w:r w:rsidRPr="00580E36">
        <w:rPr>
          <w:rFonts w:ascii="Cambria Math" w:hAnsi="Cambria Math" w:cs="Cambria Math"/>
        </w:rPr>
        <w:t>‐</w:t>
      </w:r>
      <w:r w:rsidRPr="00580E36">
        <w:t>method approach to measuring health</w:t>
      </w:r>
      <w:r w:rsidRPr="00580E36">
        <w:rPr>
          <w:rFonts w:ascii="Cambria Math" w:hAnsi="Cambria Math" w:cs="Cambria Math"/>
        </w:rPr>
        <w:t>‐</w:t>
      </w:r>
      <w:r w:rsidRPr="00580E36">
        <w:t xml:space="preserve">state valuations. </w:t>
      </w:r>
      <w:r w:rsidRPr="00580E36">
        <w:rPr>
          <w:i/>
        </w:rPr>
        <w:t>Health Economics, 13</w:t>
      </w:r>
      <w:r w:rsidRPr="00580E36">
        <w:t>(3), 281-290. doi: 10.1002/hec.834</w:t>
      </w:r>
    </w:p>
    <w:p w14:paraId="6D76A1A3" w14:textId="77777777" w:rsidR="0058398A" w:rsidRPr="0058398A" w:rsidRDefault="0058398A" w:rsidP="00DC248F">
      <w:pPr>
        <w:ind w:left="567" w:hanging="567"/>
      </w:pPr>
      <w:r w:rsidRPr="0058398A">
        <w:t>Salonen, A. H., Castrén, S., Alho, H., &amp; Lahti, T. (2014). Concerned significant others of people with gambling problems in Finland: a cross-sectional population study. </w:t>
      </w:r>
      <w:r w:rsidRPr="0058398A">
        <w:rPr>
          <w:i/>
          <w:iCs/>
        </w:rPr>
        <w:t>BMC public health</w:t>
      </w:r>
      <w:r w:rsidRPr="0058398A">
        <w:t>, </w:t>
      </w:r>
      <w:r w:rsidRPr="0058398A">
        <w:rPr>
          <w:i/>
          <w:iCs/>
        </w:rPr>
        <w:t>14</w:t>
      </w:r>
      <w:r w:rsidRPr="0058398A">
        <w:t>(1), 398.</w:t>
      </w:r>
    </w:p>
    <w:p w14:paraId="6D835C80" w14:textId="017DBEB8" w:rsidR="001B2940" w:rsidRPr="00D415D2" w:rsidRDefault="001B2940" w:rsidP="00DC248F">
      <w:pPr>
        <w:ind w:left="567" w:hanging="567"/>
      </w:pPr>
      <w:r w:rsidRPr="00D415D2">
        <w:t xml:space="preserve">Salvation Army &amp; Abacus Counselling &amp; Training Services Ltd. </w:t>
      </w:r>
      <w:r w:rsidR="008E7A0A">
        <w:t>(</w:t>
      </w:r>
      <w:r w:rsidRPr="00D415D2">
        <w:t>2005</w:t>
      </w:r>
      <w:r w:rsidR="008E7A0A">
        <w:t>)</w:t>
      </w:r>
      <w:r w:rsidRPr="00D415D2">
        <w:t xml:space="preserve">. </w:t>
      </w:r>
      <w:r w:rsidRPr="004E5FF5">
        <w:rPr>
          <w:i/>
        </w:rPr>
        <w:t>Salvation Army Social Services Project Final Report</w:t>
      </w:r>
      <w:r w:rsidRPr="00D415D2">
        <w:t>. Manukau City: Salvation Army.</w:t>
      </w:r>
    </w:p>
    <w:p w14:paraId="638097EE" w14:textId="2FCEC891" w:rsidR="001B2940" w:rsidRPr="00D415D2" w:rsidRDefault="001B2940" w:rsidP="00DC248F">
      <w:pPr>
        <w:ind w:left="567" w:hanging="567"/>
      </w:pPr>
      <w:r w:rsidRPr="00D415D2">
        <w:t xml:space="preserve">Schluter, P. J., Abbott, M., &amp; Bellringer, M. E. </w:t>
      </w:r>
      <w:r w:rsidR="008E7A0A">
        <w:t>(</w:t>
      </w:r>
      <w:r w:rsidRPr="00D415D2">
        <w:t>2008</w:t>
      </w:r>
      <w:r w:rsidR="008E7A0A">
        <w:t>)</w:t>
      </w:r>
      <w:r w:rsidRPr="00D415D2">
        <w:t>. Problem gambling related to intim</w:t>
      </w:r>
      <w:r w:rsidRPr="001F5F13">
        <w:t xml:space="preserve">ate partner </w:t>
      </w:r>
      <w:r w:rsidRPr="00D415D2">
        <w:t xml:space="preserve">violence: Findings from the Pacific Islands families study. </w:t>
      </w:r>
      <w:r w:rsidRPr="004E5FF5">
        <w:rPr>
          <w:i/>
        </w:rPr>
        <w:t>International Gambling Studies, 8</w:t>
      </w:r>
      <w:r w:rsidRPr="001F5F13">
        <w:t xml:space="preserve">(1), </w:t>
      </w:r>
      <w:r w:rsidRPr="00D415D2">
        <w:t>49-61</w:t>
      </w:r>
      <w:r>
        <w:t xml:space="preserve">. doi: </w:t>
      </w:r>
      <w:r w:rsidRPr="004E5FF5">
        <w:t>10.1080/14459790701870134</w:t>
      </w:r>
    </w:p>
    <w:p w14:paraId="6986C98A" w14:textId="77777777" w:rsidR="00580E36" w:rsidRPr="00580E36" w:rsidRDefault="00580E36" w:rsidP="00DC248F">
      <w:pPr>
        <w:ind w:left="567" w:hanging="567"/>
      </w:pPr>
      <w:r w:rsidRPr="00580E36">
        <w:t xml:space="preserve">Schwarzinger, M., Stouthard, M.E., Burstrom, K., Nord, E. (2003). Cross-national agreement on disability weights: the European Disability Weights Project. </w:t>
      </w:r>
      <w:r w:rsidRPr="00580E36">
        <w:rPr>
          <w:i/>
        </w:rPr>
        <w:t xml:space="preserve">Popul Health Metr, 1, </w:t>
      </w:r>
      <w:r w:rsidRPr="00580E36">
        <w:t>9.</w:t>
      </w:r>
    </w:p>
    <w:p w14:paraId="575161FF" w14:textId="55ED5AEB" w:rsidR="001B2940" w:rsidRPr="00D415D2" w:rsidRDefault="001B2940" w:rsidP="00DC248F">
      <w:pPr>
        <w:ind w:left="567" w:hanging="567"/>
      </w:pPr>
      <w:r w:rsidRPr="00D415D2">
        <w:t>Séguin, M., Boyer, R., Lesage, A., Mcgirr, A., Suissa, A., Tous</w:t>
      </w:r>
      <w:r>
        <w:t xml:space="preserve">ignant, M. &amp; Turecki, G. </w:t>
      </w:r>
      <w:r w:rsidR="008E7A0A">
        <w:t>(</w:t>
      </w:r>
      <w:r>
        <w:t>2010</w:t>
      </w:r>
      <w:r w:rsidR="008E7A0A">
        <w:t>)</w:t>
      </w:r>
      <w:r>
        <w:t xml:space="preserve">. </w:t>
      </w:r>
      <w:r w:rsidRPr="00D415D2">
        <w:t>Suicide and gambling: Psychopathology and treatment-se</w:t>
      </w:r>
      <w:r>
        <w:t xml:space="preserve">eking. </w:t>
      </w:r>
      <w:r w:rsidRPr="004E5FF5">
        <w:rPr>
          <w:i/>
        </w:rPr>
        <w:t>Psychology of Addictive Behaviors, 24</w:t>
      </w:r>
      <w:r>
        <w:t>(3)</w:t>
      </w:r>
      <w:r w:rsidRPr="00D415D2">
        <w:t>, 541.</w:t>
      </w:r>
      <w:r>
        <w:t xml:space="preserve"> doi: </w:t>
      </w:r>
      <w:r w:rsidRPr="004E5FF5">
        <w:t>10.1037/a0019041</w:t>
      </w:r>
    </w:p>
    <w:p w14:paraId="682959FD" w14:textId="261CD5A6" w:rsidR="001B2940" w:rsidRPr="00D415D2" w:rsidRDefault="001B2940" w:rsidP="00DC248F">
      <w:pPr>
        <w:ind w:left="567" w:hanging="567"/>
      </w:pPr>
      <w:r w:rsidRPr="00D415D2">
        <w:t xml:space="preserve">Shaffer, H.J., Hall, M.N., &amp; Vander Bilt, J. </w:t>
      </w:r>
      <w:r w:rsidR="008E7A0A">
        <w:t>(</w:t>
      </w:r>
      <w:r w:rsidRPr="00D415D2">
        <w:t>1997</w:t>
      </w:r>
      <w:r w:rsidR="008E7A0A">
        <w:t>)</w:t>
      </w:r>
      <w:r w:rsidRPr="00D415D2">
        <w:t xml:space="preserve">. </w:t>
      </w:r>
      <w:r w:rsidRPr="004E5FF5">
        <w:rPr>
          <w:i/>
        </w:rPr>
        <w:t>Estimating the prevalence of disordered gambling behavior in the United States and Canada: A meta-analysis.</w:t>
      </w:r>
      <w:r w:rsidRPr="00D415D2">
        <w:t xml:space="preserve"> Boston: Presidents and Fellows of</w:t>
      </w:r>
      <w:r w:rsidRPr="001F5F13">
        <w:t xml:space="preserve"> </w:t>
      </w:r>
      <w:r w:rsidRPr="00D415D2">
        <w:t>Harvard College.</w:t>
      </w:r>
    </w:p>
    <w:p w14:paraId="156E1D66" w14:textId="7688842A" w:rsidR="001B2940" w:rsidRPr="00D415D2" w:rsidRDefault="001B2940" w:rsidP="00DC248F">
      <w:pPr>
        <w:ind w:left="567" w:hanging="567"/>
      </w:pPr>
      <w:r w:rsidRPr="00D415D2">
        <w:t xml:space="preserve">Shaffer, H. J. &amp; Korn, D. A. </w:t>
      </w:r>
      <w:r w:rsidR="008E7A0A">
        <w:t>(</w:t>
      </w:r>
      <w:r w:rsidRPr="00D415D2">
        <w:t>2002</w:t>
      </w:r>
      <w:r w:rsidR="008E7A0A">
        <w:t>)</w:t>
      </w:r>
      <w:r w:rsidRPr="00D415D2">
        <w:t>. Gambling and related mental disord</w:t>
      </w:r>
      <w:r>
        <w:t>ers: A</w:t>
      </w:r>
      <w:r w:rsidRPr="001F5F13">
        <w:t xml:space="preserve"> public health analysis. </w:t>
      </w:r>
      <w:r w:rsidRPr="004E5FF5">
        <w:rPr>
          <w:i/>
        </w:rPr>
        <w:t>Annual Review of Public Health, 23</w:t>
      </w:r>
      <w:r w:rsidRPr="00D415D2">
        <w:t>, 171-212.</w:t>
      </w:r>
      <w:r>
        <w:t xml:space="preserve"> doi: </w:t>
      </w:r>
      <w:r w:rsidRPr="004E5FF5">
        <w:t>10.1146/annurev.publ</w:t>
      </w:r>
      <w:r>
        <w:t xml:space="preserve"> </w:t>
      </w:r>
      <w:r w:rsidRPr="004E5FF5">
        <w:t>health.23.100901.140532</w:t>
      </w:r>
    </w:p>
    <w:p w14:paraId="7DB82582" w14:textId="77777777" w:rsidR="00580E36" w:rsidRPr="00580E36" w:rsidRDefault="00580E36" w:rsidP="00DC248F">
      <w:pPr>
        <w:ind w:left="567" w:hanging="567"/>
      </w:pPr>
      <w:r w:rsidRPr="00580E36">
        <w:lastRenderedPageBreak/>
        <w:t xml:space="preserve">Shah, K. K., Lloyd, A., Oppe, M., &amp; Devlin, N. J. (2013). One-to-one versus group setting for conducting computer-assisted TTO studies: Findings from pilot studies in England and the Netherlands. </w:t>
      </w:r>
      <w:r w:rsidRPr="00580E36">
        <w:rPr>
          <w:i/>
        </w:rPr>
        <w:t>The European Journal of Health Economics, 14</w:t>
      </w:r>
      <w:r w:rsidRPr="00580E36">
        <w:t>(S1), 65–73. http://doi.org/10.1007/s10198-013-0509-9</w:t>
      </w:r>
    </w:p>
    <w:p w14:paraId="3C6A8767" w14:textId="3C03CD36" w:rsidR="001B2940" w:rsidRPr="00D415D2" w:rsidRDefault="001B2940" w:rsidP="00DC248F">
      <w:pPr>
        <w:ind w:left="567" w:hanging="567"/>
      </w:pPr>
      <w:r w:rsidRPr="00D415D2">
        <w:t xml:space="preserve">Shaw, M., Forbush, K., Schlinder, J., Rosenman, E., &amp; Black, D. </w:t>
      </w:r>
      <w:r w:rsidR="00B044F4">
        <w:t>(</w:t>
      </w:r>
      <w:r w:rsidRPr="00D415D2">
        <w:t>2007</w:t>
      </w:r>
      <w:r w:rsidR="00B044F4">
        <w:t>)</w:t>
      </w:r>
      <w:r w:rsidRPr="00D415D2">
        <w:t>. The effect of patholo</w:t>
      </w:r>
      <w:r w:rsidRPr="001F5F13">
        <w:t xml:space="preserve">gical </w:t>
      </w:r>
      <w:r w:rsidRPr="00D415D2">
        <w:t>gambling on families, marriages and children</w:t>
      </w:r>
      <w:r w:rsidRPr="004E5FF5">
        <w:rPr>
          <w:i/>
        </w:rPr>
        <w:t>. CNS Spectrums 12</w:t>
      </w:r>
      <w:r>
        <w:t xml:space="preserve">(8), 615 – 622. doi: </w:t>
      </w:r>
      <w:r w:rsidRPr="004E5FF5">
        <w:t>10.1017/S1092852900021416</w:t>
      </w:r>
    </w:p>
    <w:p w14:paraId="5DD960D8" w14:textId="6A8AA211" w:rsidR="001B2940" w:rsidRPr="00D415D2" w:rsidRDefault="001B2940" w:rsidP="00DC248F">
      <w:pPr>
        <w:ind w:left="567" w:hanging="567"/>
      </w:pPr>
      <w:r>
        <w:t>SHORE</w:t>
      </w:r>
      <w:r w:rsidRPr="00D415D2">
        <w:t xml:space="preserve"> &amp;</w:t>
      </w:r>
      <w:r w:rsidR="00BB6B8F">
        <w:t xml:space="preserve"> Te Rōpū Whāriki</w:t>
      </w:r>
      <w:r w:rsidRPr="00D415D2">
        <w:t xml:space="preserve">. </w:t>
      </w:r>
      <w:r w:rsidR="00B044F4">
        <w:t>(</w:t>
      </w:r>
      <w:r w:rsidRPr="00D415D2">
        <w:t>2006</w:t>
      </w:r>
      <w:r w:rsidR="00B044F4">
        <w:t>)</w:t>
      </w:r>
      <w:r w:rsidRPr="00D415D2">
        <w:t xml:space="preserve">. </w:t>
      </w:r>
      <w:r w:rsidRPr="00CD2E11">
        <w:rPr>
          <w:i/>
        </w:rPr>
        <w:t>Socio-economic impacts of gambling: Developing a methodology for assessing the socio-economic impacts of gambling in New Zealand</w:t>
      </w:r>
      <w:r w:rsidRPr="001F5F13">
        <w:t xml:space="preserve">. Auckland: Centre for Social </w:t>
      </w:r>
      <w:r w:rsidRPr="00D415D2">
        <w:t>and Health Outcomes Research and Evaluation (S</w:t>
      </w:r>
      <w:r>
        <w:t>HORE</w:t>
      </w:r>
      <w:r w:rsidRPr="001F5F13">
        <w:t xml:space="preserve">) and Te Ropu Whariki, Massey </w:t>
      </w:r>
      <w:r w:rsidRPr="00D415D2">
        <w:t>University Auckland, New Zealand.</w:t>
      </w:r>
    </w:p>
    <w:p w14:paraId="776523EB" w14:textId="637851D9" w:rsidR="001B2940" w:rsidRDefault="001B2940" w:rsidP="00DC248F">
      <w:pPr>
        <w:ind w:left="567" w:hanging="567"/>
      </w:pPr>
      <w:r>
        <w:t>SHORE</w:t>
      </w:r>
      <w:r w:rsidR="00B044F4">
        <w:t>.</w:t>
      </w:r>
      <w:r w:rsidR="00711855">
        <w:t xml:space="preserve"> (</w:t>
      </w:r>
      <w:r w:rsidRPr="00D415D2">
        <w:t>2008</w:t>
      </w:r>
      <w:r w:rsidR="00711855">
        <w:t>)</w:t>
      </w:r>
      <w:r w:rsidRPr="00D415D2">
        <w:t xml:space="preserve">. </w:t>
      </w:r>
      <w:r w:rsidRPr="00CD2E11">
        <w:rPr>
          <w:i/>
        </w:rPr>
        <w:t>Assessment of the Social Impacts of Gambling in New Zealand</w:t>
      </w:r>
      <w:r>
        <w:t>.</w:t>
      </w:r>
      <w:r w:rsidRPr="001F5F13">
        <w:t xml:space="preserve"> </w:t>
      </w:r>
      <w:r w:rsidRPr="00D415D2">
        <w:t xml:space="preserve">Auckland: </w:t>
      </w:r>
      <w:r w:rsidRPr="004E6388">
        <w:t xml:space="preserve">Ministry of Health. </w:t>
      </w:r>
      <w:r w:rsidRPr="00D415D2">
        <w:t>Retrieved from http://www.shore.ac.nz/pro</w:t>
      </w:r>
      <w:r>
        <w:t xml:space="preserve">jects/Gambling_ impacts_ Final </w:t>
      </w:r>
      <w:r w:rsidRPr="00D415D2">
        <w:t>% 2010_ 02_09.pdf</w:t>
      </w:r>
    </w:p>
    <w:p w14:paraId="439F157F" w14:textId="77777777" w:rsidR="00AF19E5" w:rsidRPr="00AF19E5" w:rsidRDefault="00AF19E5" w:rsidP="00AF19E5">
      <w:pPr>
        <w:ind w:left="567" w:hanging="567"/>
      </w:pPr>
      <w:bookmarkStart w:id="422" w:name="_ENREF_16"/>
      <w:r w:rsidRPr="00AF19E5">
        <w:t xml:space="preserve">Saldaña, J. (2012). </w:t>
      </w:r>
      <w:r w:rsidRPr="00AF19E5">
        <w:rPr>
          <w:i/>
        </w:rPr>
        <w:t>The coding manual for qualitative researchers</w:t>
      </w:r>
      <w:r w:rsidRPr="00AF19E5">
        <w:t>: Sage.</w:t>
      </w:r>
      <w:bookmarkEnd w:id="422"/>
    </w:p>
    <w:p w14:paraId="52C82C14" w14:textId="77777777" w:rsidR="00580E36" w:rsidRPr="00580E36" w:rsidRDefault="00580E36" w:rsidP="00DC248F">
      <w:pPr>
        <w:ind w:left="567" w:hanging="567"/>
      </w:pPr>
      <w:r w:rsidRPr="00580E36">
        <w:t xml:space="preserve">Smith, D. M., Sherriff, R. L., Damschroder, L., Loewenstein, G., &amp; Ubel, P. A. (2006). Misremembering colostomies? Former patients give lower utility ratings than do current patients. </w:t>
      </w:r>
      <w:r w:rsidRPr="00580E36">
        <w:rPr>
          <w:i/>
        </w:rPr>
        <w:t>Health Psychology, 25</w:t>
      </w:r>
      <w:r w:rsidRPr="00580E36">
        <w:t>(6), 688. doi: 10.1037/0278-6133.25.6.688</w:t>
      </w:r>
    </w:p>
    <w:p w14:paraId="7E1FEC52" w14:textId="12F435FF" w:rsidR="001B2940" w:rsidRPr="00D415D2" w:rsidRDefault="001B2940" w:rsidP="00DC248F">
      <w:pPr>
        <w:ind w:left="567" w:hanging="567"/>
        <w:rPr>
          <w:spacing w:val="-2"/>
        </w:rPr>
      </w:pPr>
      <w:r w:rsidRPr="00D415D2">
        <w:t xml:space="preserve">Sobrun-Maharaj, A., Rossen, F., &amp; Wong, A. </w:t>
      </w:r>
      <w:r w:rsidR="00B044F4">
        <w:t>(</w:t>
      </w:r>
      <w:r w:rsidRPr="00D415D2">
        <w:t>2012</w:t>
      </w:r>
      <w:r w:rsidR="00B044F4">
        <w:t>)</w:t>
      </w:r>
      <w:r w:rsidRPr="00D415D2">
        <w:t xml:space="preserve">. </w:t>
      </w:r>
      <w:r w:rsidRPr="00D415D2">
        <w:rPr>
          <w:spacing w:val="-2"/>
        </w:rPr>
        <w:t>The impact of gambling and problem gambling on Asian families and communities in New Zealand: Ministry of Health.</w:t>
      </w:r>
    </w:p>
    <w:p w14:paraId="29BA1308" w14:textId="434A67C9" w:rsidR="001B2940" w:rsidRPr="00D415D2" w:rsidRDefault="001B2940" w:rsidP="00DC248F">
      <w:pPr>
        <w:ind w:left="567" w:hanging="567"/>
      </w:pPr>
      <w:r w:rsidRPr="00D415D2">
        <w:t xml:space="preserve">Solar, O., &amp; Irwin, A. </w:t>
      </w:r>
      <w:r w:rsidR="00B044F4">
        <w:t>(</w:t>
      </w:r>
      <w:r w:rsidRPr="00D415D2">
        <w:t>2010</w:t>
      </w:r>
      <w:r w:rsidR="00B044F4">
        <w:t>)</w:t>
      </w:r>
      <w:r w:rsidRPr="00D415D2">
        <w:t xml:space="preserve">. </w:t>
      </w:r>
      <w:r w:rsidRPr="004E6388">
        <w:rPr>
          <w:i/>
        </w:rPr>
        <w:t>A conceptual framework for action on the social determinants of health. Social Determinants of Health Discussion Paper 2 (Policy and Practice).</w:t>
      </w:r>
      <w:r>
        <w:t xml:space="preserve"> Geneva:</w:t>
      </w:r>
      <w:r w:rsidRPr="001F5F13">
        <w:t xml:space="preserve"> World Health </w:t>
      </w:r>
      <w:r w:rsidRPr="00D415D2">
        <w:t>Organisation.</w:t>
      </w:r>
    </w:p>
    <w:p w14:paraId="7AA3298E" w14:textId="77777777" w:rsidR="00580E36" w:rsidRPr="00580E36" w:rsidRDefault="00580E36" w:rsidP="00DC248F">
      <w:pPr>
        <w:ind w:left="567" w:hanging="567"/>
        <w:rPr>
          <w:noProof/>
        </w:rPr>
      </w:pPr>
      <w:r w:rsidRPr="00580E36">
        <w:rPr>
          <w:noProof/>
        </w:rPr>
        <w:t xml:space="preserve">Solberg, L. I., Maciosek, M. V., &amp; Edwards, N. M. (2008). Primary care intervention to reduce alcohol misuse: ranking its health impact and cost effectiveness. </w:t>
      </w:r>
      <w:r w:rsidRPr="00580E36">
        <w:rPr>
          <w:i/>
          <w:noProof/>
        </w:rPr>
        <w:t>American Journal of Preventive Medicine, 34</w:t>
      </w:r>
      <w:r w:rsidRPr="00580E36">
        <w:rPr>
          <w:noProof/>
        </w:rPr>
        <w:t>(2), 143–152. doi: 10.1016/j.amepre.2007.09.035</w:t>
      </w:r>
    </w:p>
    <w:p w14:paraId="6278DC84" w14:textId="75F32D65" w:rsidR="001B2940" w:rsidRPr="00D415D2" w:rsidRDefault="001B2940" w:rsidP="00DC248F">
      <w:pPr>
        <w:ind w:left="567" w:hanging="567"/>
        <w:rPr>
          <w:noProof/>
        </w:rPr>
      </w:pPr>
      <w:r w:rsidRPr="00D415D2">
        <w:rPr>
          <w:noProof/>
        </w:rPr>
        <w:t xml:space="preserve">Statistics New Zealand. </w:t>
      </w:r>
      <w:r w:rsidR="00B044F4">
        <w:rPr>
          <w:noProof/>
        </w:rPr>
        <w:t>(</w:t>
      </w:r>
      <w:r w:rsidRPr="00D415D2">
        <w:rPr>
          <w:noProof/>
        </w:rPr>
        <w:t>2014a</w:t>
      </w:r>
      <w:r w:rsidR="00B044F4">
        <w:rPr>
          <w:noProof/>
        </w:rPr>
        <w:t>)</w:t>
      </w:r>
      <w:r w:rsidRPr="00D415D2">
        <w:rPr>
          <w:noProof/>
        </w:rPr>
        <w:t xml:space="preserve">. </w:t>
      </w:r>
      <w:r w:rsidRPr="004E6388">
        <w:rPr>
          <w:i/>
          <w:noProof/>
        </w:rPr>
        <w:t>2013 Census QuickStats about culture and identity: Pacific peoples ethnic group</w:t>
      </w:r>
      <w:r w:rsidRPr="00D415D2">
        <w:rPr>
          <w:noProof/>
        </w:rPr>
        <w:t>. Retrieved from http:/</w:t>
      </w:r>
      <w:r w:rsidRPr="001F5F13">
        <w:rPr>
          <w:noProof/>
        </w:rPr>
        <w:t>/www.stats.govt.nz/Census/2013-</w:t>
      </w:r>
      <w:r w:rsidRPr="00D415D2">
        <w:rPr>
          <w:noProof/>
        </w:rPr>
        <w:t>census/profile-and-summary-reports/quickstats-culture-identity/pacific-peoples.aspx.</w:t>
      </w:r>
    </w:p>
    <w:p w14:paraId="51B0A026" w14:textId="56700AF9" w:rsidR="001B2940" w:rsidRPr="00D415D2" w:rsidRDefault="001B2940" w:rsidP="00DC248F">
      <w:pPr>
        <w:ind w:left="567" w:hanging="567"/>
      </w:pPr>
      <w:r w:rsidRPr="00D415D2">
        <w:t xml:space="preserve">Statistics New Zealand. </w:t>
      </w:r>
      <w:r w:rsidR="00B044F4">
        <w:t>(</w:t>
      </w:r>
      <w:r w:rsidRPr="00D415D2">
        <w:t>2014b</w:t>
      </w:r>
      <w:r w:rsidR="00B044F4">
        <w:t>)</w:t>
      </w:r>
      <w:r w:rsidRPr="00D415D2">
        <w:t xml:space="preserve">. </w:t>
      </w:r>
      <w:r w:rsidRPr="004E6388">
        <w:rPr>
          <w:i/>
        </w:rPr>
        <w:t>2013 Census QuickStats about culture and identity: Asian ethnic group.</w:t>
      </w:r>
      <w:r w:rsidRPr="00D415D2">
        <w:t xml:space="preserve"> Retrieved from http://www.stats.govt.nz/Census/2013- census/profile-and-summary-reports/quickstats-culture-identity/asian.aspx.</w:t>
      </w:r>
    </w:p>
    <w:p w14:paraId="7FFCB6BB" w14:textId="7A62EBB8" w:rsidR="001B2940" w:rsidRPr="00D415D2" w:rsidRDefault="001B2940" w:rsidP="00DC248F">
      <w:pPr>
        <w:ind w:left="567" w:hanging="567"/>
      </w:pPr>
      <w:r w:rsidRPr="00D415D2">
        <w:t xml:space="preserve">Stevens, M. &amp; Golebiowska, K. </w:t>
      </w:r>
      <w:r w:rsidR="00B044F4">
        <w:t>(</w:t>
      </w:r>
      <w:r w:rsidRPr="00D415D2">
        <w:t>2013</w:t>
      </w:r>
      <w:r w:rsidR="00B044F4">
        <w:t>)</w:t>
      </w:r>
      <w:r w:rsidRPr="00D415D2">
        <w:t>. Gambling problems a</w:t>
      </w:r>
      <w:r w:rsidRPr="001F5F13">
        <w:t xml:space="preserve">mongst the CALD population of </w:t>
      </w:r>
      <w:r w:rsidRPr="00D415D2">
        <w:t xml:space="preserve">Australia: hidden, visible or not a problem? </w:t>
      </w:r>
      <w:r w:rsidRPr="004E6388">
        <w:rPr>
          <w:i/>
        </w:rPr>
        <w:t>Asian Journal of Gambling Issues and Public Health, 3</w:t>
      </w:r>
      <w:r w:rsidRPr="00D415D2">
        <w:t>, 1-20.</w:t>
      </w:r>
      <w:r>
        <w:t xml:space="preserve"> doi: </w:t>
      </w:r>
      <w:r w:rsidRPr="004E6388">
        <w:t>10.1186/2195-3007-3-1</w:t>
      </w:r>
    </w:p>
    <w:p w14:paraId="61873CF7" w14:textId="5C6553A8" w:rsidR="005B7A59" w:rsidRDefault="005B7A59" w:rsidP="00DC248F">
      <w:pPr>
        <w:ind w:left="567" w:hanging="567"/>
      </w:pPr>
      <w:r>
        <w:t xml:space="preserve">Stolk, E. A., Oppe, M., Scalone, L., &amp; Krabbe, P. F. M. (2010). Discrete choice modeling for the quantification of health states: the case of the EQ-5D. </w:t>
      </w:r>
      <w:r>
        <w:rPr>
          <w:i/>
          <w:iCs/>
        </w:rPr>
        <w:t>Value in Health: The Journal of the International Society for Pharmacoeconomics and Outcomes Research</w:t>
      </w:r>
      <w:r>
        <w:t xml:space="preserve">, </w:t>
      </w:r>
      <w:r>
        <w:rPr>
          <w:i/>
          <w:iCs/>
        </w:rPr>
        <w:t>13</w:t>
      </w:r>
      <w:r>
        <w:t>(8), 1005–1013. http://doi.org/10.1111/j.1524-4733.2010.00783.x</w:t>
      </w:r>
    </w:p>
    <w:p w14:paraId="64911A89" w14:textId="77777777" w:rsidR="00580E36" w:rsidRPr="00580E36" w:rsidRDefault="00580E36" w:rsidP="00DC248F">
      <w:pPr>
        <w:ind w:left="567" w:hanging="567"/>
      </w:pPr>
      <w:r w:rsidRPr="00580E36">
        <w:lastRenderedPageBreak/>
        <w:t>Stouthard, M., Essink-Bot, M., Bonsel, G., Barendregt, J., &amp; Kramers, P. (1997). Disability weights for diseases in the Netherlands. Rotterdam: Department of Public Health, Erasmus University.</w:t>
      </w:r>
    </w:p>
    <w:p w14:paraId="0BEFFF3A" w14:textId="77777777" w:rsidR="00580E36" w:rsidRPr="00580E36" w:rsidRDefault="00580E36" w:rsidP="00DC248F">
      <w:pPr>
        <w:ind w:left="567" w:hanging="567"/>
      </w:pPr>
      <w:r w:rsidRPr="00580E36">
        <w:t xml:space="preserve">Stubbs, R. J., Hughes, D. A., Johnstone, A. M., Rowley, E., Reid, C., Elia, M., … Blundell, J. E. (2000). The use of visual analogue scales to assess motivation to eat in human subjects: A review of their reliability and validity with an evaluation of new hand-held computerized systems for temporal tracking of appetite ratings. </w:t>
      </w:r>
      <w:r w:rsidRPr="00580E36">
        <w:rPr>
          <w:i/>
        </w:rPr>
        <w:t>British Journal of Nutrition, 84</w:t>
      </w:r>
      <w:r w:rsidRPr="00580E36">
        <w:t>(04), 405–415. doi: 10.1017/S0007114500001719</w:t>
      </w:r>
    </w:p>
    <w:p w14:paraId="1CFB177A" w14:textId="6F2711CD" w:rsidR="001B2940" w:rsidRPr="00D415D2" w:rsidRDefault="001B2940" w:rsidP="00DC248F">
      <w:pPr>
        <w:ind w:left="567" w:hanging="567"/>
      </w:pPr>
      <w:r w:rsidRPr="00D415D2">
        <w:t xml:space="preserve">Suomi, A., Jackson, A. C., Dowling, N. A., Lavis, T., Patford, </w:t>
      </w:r>
      <w:r w:rsidRPr="001F5F13">
        <w:t xml:space="preserve">J., Thomas, S. A., Harvey, P., </w:t>
      </w:r>
      <w:r w:rsidRPr="00D415D2">
        <w:t>Abbott, M., Bellringer, M. E., Koziol-Mclain, J. &amp; Cock</w:t>
      </w:r>
      <w:r w:rsidRPr="001F5F13">
        <w:t xml:space="preserve">man, S. </w:t>
      </w:r>
      <w:r w:rsidR="00B044F4">
        <w:t>(</w:t>
      </w:r>
      <w:r w:rsidRPr="001F5F13">
        <w:t>2013</w:t>
      </w:r>
      <w:r w:rsidR="00B044F4">
        <w:t>)</w:t>
      </w:r>
      <w:r w:rsidRPr="001F5F13">
        <w:t xml:space="preserve">. Problem gambling </w:t>
      </w:r>
      <w:r>
        <w:t>and family violence: F</w:t>
      </w:r>
      <w:r w:rsidRPr="00D415D2">
        <w:t>amily member reports of prevalence, family impacts and family coping.</w:t>
      </w:r>
      <w:r>
        <w:t xml:space="preserve"> </w:t>
      </w:r>
      <w:r w:rsidRPr="00D568A9">
        <w:rPr>
          <w:i/>
        </w:rPr>
        <w:t>Asian Journal of Gambling Issues and Public Health, 3</w:t>
      </w:r>
      <w:r>
        <w:t>(1)</w:t>
      </w:r>
      <w:r w:rsidRPr="00D415D2">
        <w:t>.</w:t>
      </w:r>
      <w:r>
        <w:t xml:space="preserve"> doi: </w:t>
      </w:r>
      <w:r w:rsidRPr="00D568A9">
        <w:t>10.1186/2195-3007-3-1</w:t>
      </w:r>
    </w:p>
    <w:p w14:paraId="67C05A64" w14:textId="1A25D2A9" w:rsidR="001B2940" w:rsidRPr="00D415D2" w:rsidRDefault="001B2940" w:rsidP="00DC248F">
      <w:pPr>
        <w:ind w:left="567" w:hanging="567"/>
      </w:pPr>
      <w:r w:rsidRPr="00D415D2">
        <w:t xml:space="preserve">Svensson, J., &amp; Romild, U. </w:t>
      </w:r>
      <w:r w:rsidR="00B044F4">
        <w:t>(</w:t>
      </w:r>
      <w:r w:rsidRPr="00D415D2">
        <w:t>2013</w:t>
      </w:r>
      <w:r w:rsidR="00B044F4">
        <w:t>).</w:t>
      </w:r>
      <w:r w:rsidRPr="00D415D2">
        <w:t xml:space="preserve"> Results from the Swedi</w:t>
      </w:r>
      <w:r>
        <w:t>sh longitudinal gambling s</w:t>
      </w:r>
      <w:r w:rsidRPr="001F5F13">
        <w:t xml:space="preserve">tudy </w:t>
      </w:r>
      <w:r w:rsidRPr="00D415D2">
        <w:t xml:space="preserve">(Swelogs): Changes between 1998, 2009 and 2010. </w:t>
      </w:r>
      <w:r w:rsidRPr="00D415D2">
        <w:rPr>
          <w:rFonts w:cs="Arial"/>
          <w:lang w:val="en-NZ"/>
        </w:rPr>
        <w:t>Prese</w:t>
      </w:r>
      <w:r>
        <w:rPr>
          <w:rFonts w:cs="Arial"/>
          <w:lang w:val="en-NZ"/>
        </w:rPr>
        <w:t xml:space="preserve">nted at </w:t>
      </w:r>
      <w:r w:rsidRPr="00D568A9">
        <w:rPr>
          <w:rFonts w:cs="Arial"/>
          <w:i/>
          <w:lang w:val="en-NZ"/>
        </w:rPr>
        <w:t>The meeting of the 5th International Conference on Gambling and Risk-Taking Las Vegas, Nevada</w:t>
      </w:r>
      <w:r w:rsidRPr="001F5F13">
        <w:rPr>
          <w:rFonts w:cs="Arial"/>
          <w:lang w:val="en-NZ"/>
        </w:rPr>
        <w:t>. Retrieved from</w:t>
      </w:r>
      <w:r>
        <w:rPr>
          <w:rFonts w:cs="Arial"/>
          <w:lang w:val="en-NZ"/>
        </w:rPr>
        <w:t xml:space="preserve"> </w:t>
      </w:r>
      <w:r w:rsidRPr="00D415D2">
        <w:rPr>
          <w:rFonts w:cs="Arial"/>
          <w:lang w:val="en-NZ"/>
        </w:rPr>
        <w:t>http://digitalscholarship.unlv.edu/cgi/viewcontent.c</w:t>
      </w:r>
      <w:r w:rsidRPr="001F5F13">
        <w:rPr>
          <w:rFonts w:cs="Arial"/>
          <w:lang w:val="en-NZ"/>
        </w:rPr>
        <w:t>gi?article=1229&amp;</w:t>
      </w:r>
      <w:r>
        <w:rPr>
          <w:rFonts w:cs="Arial"/>
          <w:lang w:val="en-NZ"/>
        </w:rPr>
        <w:t xml:space="preserve"> </w:t>
      </w:r>
      <w:r w:rsidRPr="001F5F13">
        <w:rPr>
          <w:rFonts w:cs="Arial"/>
          <w:lang w:val="en-NZ"/>
        </w:rPr>
        <w:t>context=gaming_</w:t>
      </w:r>
      <w:r w:rsidRPr="00D415D2">
        <w:rPr>
          <w:rFonts w:cs="Arial"/>
          <w:lang w:val="en-NZ"/>
        </w:rPr>
        <w:t>institute</w:t>
      </w:r>
      <w:r>
        <w:rPr>
          <w:rFonts w:cs="Arial"/>
          <w:lang w:val="en-NZ"/>
        </w:rPr>
        <w:t xml:space="preserve"> </w:t>
      </w:r>
    </w:p>
    <w:p w14:paraId="59589B93" w14:textId="430AD9BB" w:rsidR="001B2940" w:rsidRPr="00D415D2" w:rsidRDefault="001B2940" w:rsidP="00DC248F">
      <w:pPr>
        <w:ind w:left="567" w:hanging="567"/>
      </w:pPr>
      <w:r w:rsidRPr="00D415D2">
        <w:t xml:space="preserve">Svetieva, E. &amp; Walker, M. </w:t>
      </w:r>
      <w:r w:rsidR="00B044F4">
        <w:t>(</w:t>
      </w:r>
      <w:r w:rsidRPr="00D415D2">
        <w:t>2008</w:t>
      </w:r>
      <w:r w:rsidR="00B044F4">
        <w:t>)</w:t>
      </w:r>
      <w:r w:rsidRPr="00D415D2">
        <w:t>. Inconsistency between concept and measuremen</w:t>
      </w:r>
      <w:r>
        <w:t>t: T</w:t>
      </w:r>
      <w:r w:rsidRPr="001F5F13">
        <w:t xml:space="preserve">he Canadian </w:t>
      </w:r>
      <w:r w:rsidRPr="00D415D2">
        <w:t xml:space="preserve">Problem Gambling Index (CPGI). </w:t>
      </w:r>
      <w:r w:rsidRPr="00D568A9">
        <w:rPr>
          <w:i/>
        </w:rPr>
        <w:t>Journal of Gambling Issues,</w:t>
      </w:r>
      <w:r>
        <w:rPr>
          <w:i/>
        </w:rPr>
        <w:t xml:space="preserve"> 22</w:t>
      </w:r>
      <w:r w:rsidRPr="00D415D2">
        <w:t xml:space="preserve"> 157-173.</w:t>
      </w:r>
      <w:r>
        <w:t xml:space="preserve"> doi: </w:t>
      </w:r>
      <w:r w:rsidRPr="00D568A9">
        <w:t>10.4309/jgi.2008.22.2</w:t>
      </w:r>
    </w:p>
    <w:p w14:paraId="25D65536" w14:textId="77777777" w:rsidR="00580E36" w:rsidRPr="00580E36" w:rsidRDefault="00580E36" w:rsidP="00DC248F">
      <w:pPr>
        <w:ind w:left="567" w:hanging="567"/>
      </w:pPr>
      <w:r w:rsidRPr="00580E36">
        <w:t xml:space="preserve">Tolley, K. (2009). </w:t>
      </w:r>
      <w:r w:rsidRPr="00580E36">
        <w:rPr>
          <w:i/>
        </w:rPr>
        <w:t>What are health utilities</w:t>
      </w:r>
      <w:r w:rsidRPr="00580E36">
        <w:t>. Hayward Medical Communications: London.</w:t>
      </w:r>
    </w:p>
    <w:p w14:paraId="2A8FB982" w14:textId="77777777" w:rsidR="00580E36" w:rsidRPr="00580E36" w:rsidRDefault="00580E36" w:rsidP="00DC248F">
      <w:pPr>
        <w:ind w:left="567" w:hanging="567"/>
      </w:pPr>
      <w:r w:rsidRPr="00580E36">
        <w:t xml:space="preserve">Torrance, G. W., Furlong, W., Feeny, D., &amp; Boyle, M. (1995). Multi-attribute preference functions. </w:t>
      </w:r>
      <w:r w:rsidRPr="00580E36">
        <w:rPr>
          <w:i/>
        </w:rPr>
        <w:t>Pharmacoeconomics, 7</w:t>
      </w:r>
      <w:r w:rsidRPr="00580E36">
        <w:t>(6), 503–520. doi: 10.2165/00019053-199507060-00005</w:t>
      </w:r>
    </w:p>
    <w:p w14:paraId="660EB7E5" w14:textId="63D6BAD6" w:rsidR="00711855" w:rsidRDefault="00580E36" w:rsidP="00711855">
      <w:pPr>
        <w:ind w:left="567" w:hanging="567"/>
      </w:pPr>
      <w:r w:rsidRPr="00580E36">
        <w:t xml:space="preserve">Torrance, G., Zhang, Y., Feeny, D., Furlong, W., &amp; Barr, R. (1992). Multi-attribute Utility Functions for a Comprehensive Health Status Classification System: Health Utilities Index Mark 2 (Centre for Health Economics and Policy Analysis Working Paper Series No. 1992-18). Centre for Health Economics and Policy Analysis (CHEPA), McMaster University, Hamilton, Canada. Retrieved from </w:t>
      </w:r>
      <w:r w:rsidR="00711855" w:rsidRPr="00711855">
        <w:t>https://ideas.repec.org/p/hpa/wpaper/199218.html</w:t>
      </w:r>
    </w:p>
    <w:p w14:paraId="7ED331C8" w14:textId="4D1C0934" w:rsidR="00711855" w:rsidRPr="0000305D" w:rsidRDefault="00711855" w:rsidP="00711855">
      <w:pPr>
        <w:ind w:left="567" w:hanging="567"/>
      </w:pPr>
      <w:r w:rsidRPr="0000305D">
        <w:t>Tromme, I., Devleesschauwer, B., Beutels, P., Richez, P., Leroy, A., Baurain, J.</w:t>
      </w:r>
      <w:r>
        <w:t xml:space="preserve"> </w:t>
      </w:r>
      <w:r w:rsidRPr="0000305D">
        <w:t>F.,</w:t>
      </w:r>
      <w:r w:rsidRPr="00711855">
        <w:t xml:space="preserve"> Cornelis F</w:t>
      </w:r>
      <w:r>
        <w:t>.</w:t>
      </w:r>
      <w:r w:rsidRPr="00711855">
        <w:t>, Bertrand</w:t>
      </w:r>
      <w:r>
        <w:t>,</w:t>
      </w:r>
      <w:r w:rsidRPr="00711855">
        <w:t xml:space="preserve"> C</w:t>
      </w:r>
      <w:r>
        <w:t>.</w:t>
      </w:r>
      <w:r w:rsidRPr="00711855">
        <w:t>, Legrand</w:t>
      </w:r>
      <w:r>
        <w:t>,</w:t>
      </w:r>
      <w:r w:rsidRPr="00711855">
        <w:t xml:space="preserve"> N</w:t>
      </w:r>
      <w:r>
        <w:t>.</w:t>
      </w:r>
      <w:r w:rsidRPr="00711855">
        <w:t>, Degueldre</w:t>
      </w:r>
      <w:r>
        <w:t>,</w:t>
      </w:r>
      <w:r w:rsidRPr="00711855">
        <w:t xml:space="preserve"> J</w:t>
      </w:r>
      <w:r>
        <w:t>.</w:t>
      </w:r>
      <w:r w:rsidRPr="00711855">
        <w:t>, Thomas</w:t>
      </w:r>
      <w:r>
        <w:t>,</w:t>
      </w:r>
      <w:r w:rsidRPr="00711855">
        <w:t xml:space="preserve"> L</w:t>
      </w:r>
      <w:r>
        <w:t>.</w:t>
      </w:r>
      <w:r w:rsidRPr="00711855">
        <w:t>, Legrand</w:t>
      </w:r>
      <w:r>
        <w:t>,</w:t>
      </w:r>
      <w:r w:rsidRPr="00711855">
        <w:t xml:space="preserve"> C</w:t>
      </w:r>
      <w:r>
        <w:t>.</w:t>
      </w:r>
      <w:r w:rsidRPr="00711855">
        <w:t>, Lambert</w:t>
      </w:r>
      <w:r>
        <w:t>,</w:t>
      </w:r>
      <w:r w:rsidRPr="00711855">
        <w:t xml:space="preserve"> J</w:t>
      </w:r>
      <w:r>
        <w:t>,</w:t>
      </w:r>
      <w:r w:rsidRPr="00711855">
        <w:t>, Haagsma</w:t>
      </w:r>
      <w:r>
        <w:t>,</w:t>
      </w:r>
      <w:r w:rsidRPr="00711855">
        <w:t xml:space="preserve"> J</w:t>
      </w:r>
      <w:r>
        <w:t>., &amp; S</w:t>
      </w:r>
      <w:r w:rsidRPr="0000305D">
        <w:t xml:space="preserve">peybroeck, N. (2014). Health-related quality of life in patients with melanoma expressed as utilities and disability weights. </w:t>
      </w:r>
      <w:r w:rsidRPr="0000305D">
        <w:rPr>
          <w:i/>
          <w:iCs/>
        </w:rPr>
        <w:t>The British Journal of Dermatology</w:t>
      </w:r>
      <w:r w:rsidRPr="0000305D">
        <w:t xml:space="preserve">, </w:t>
      </w:r>
      <w:r w:rsidRPr="0000305D">
        <w:rPr>
          <w:i/>
          <w:iCs/>
        </w:rPr>
        <w:t>171</w:t>
      </w:r>
      <w:r w:rsidRPr="0000305D">
        <w:t>(6), 1443–1450. http://doi.org/10.1111/bjd.13262</w:t>
      </w:r>
    </w:p>
    <w:p w14:paraId="375529CC" w14:textId="3EB95BE2" w:rsidR="001B2940" w:rsidRPr="00D415D2" w:rsidRDefault="001B2940" w:rsidP="00DC248F">
      <w:pPr>
        <w:ind w:left="567" w:hanging="567"/>
      </w:pPr>
      <w:r w:rsidRPr="00D415D2">
        <w:t>Tse, S., Abbott, M., Clarke, D., Townsend, S., Kingi, P., &amp; Manaia, W</w:t>
      </w:r>
      <w:r w:rsidRPr="001F5F13">
        <w:t xml:space="preserve">. </w:t>
      </w:r>
      <w:r w:rsidR="00E35C67">
        <w:t>(</w:t>
      </w:r>
      <w:r w:rsidRPr="001F5F13">
        <w:t>2005</w:t>
      </w:r>
      <w:r w:rsidR="00E35C67">
        <w:t>)</w:t>
      </w:r>
      <w:r w:rsidRPr="001F5F13">
        <w:t xml:space="preserve">. </w:t>
      </w:r>
      <w:r w:rsidRPr="00D568A9">
        <w:rPr>
          <w:i/>
        </w:rPr>
        <w:t xml:space="preserve">Examining the determinants of problem gambling. </w:t>
      </w:r>
      <w:r w:rsidRPr="00D415D2">
        <w:t>Final report for Health Research Council of N</w:t>
      </w:r>
      <w:r w:rsidRPr="001F5F13">
        <w:t xml:space="preserve">ew Zealand. </w:t>
      </w:r>
      <w:r w:rsidRPr="00D415D2">
        <w:t>Auckland: Auckland UniServices Ltd, University of Auckland.</w:t>
      </w:r>
    </w:p>
    <w:p w14:paraId="59315751" w14:textId="68B729F3" w:rsidR="001B2940" w:rsidRPr="00D415D2" w:rsidRDefault="001B2940" w:rsidP="00DC248F">
      <w:pPr>
        <w:ind w:left="567" w:hanging="567"/>
      </w:pPr>
      <w:r w:rsidRPr="00D415D2">
        <w:t>Tse, S., Dyall, L., Clarke, D., Abbott, M., Townsend, S., &amp; Kingi, P.</w:t>
      </w:r>
      <w:r w:rsidRPr="001F5F13">
        <w:t xml:space="preserve"> </w:t>
      </w:r>
      <w:r w:rsidR="00E35C67">
        <w:t>(</w:t>
      </w:r>
      <w:r w:rsidRPr="001F5F13">
        <w:t>2012</w:t>
      </w:r>
      <w:r w:rsidR="00E35C67">
        <w:t>)</w:t>
      </w:r>
      <w:r w:rsidRPr="001F5F13">
        <w:t xml:space="preserve">. Why people gamble: A </w:t>
      </w:r>
      <w:r w:rsidRPr="00D415D2">
        <w:t>qualitative study of four New Zealand ethnic groups</w:t>
      </w:r>
      <w:r w:rsidRPr="00D568A9">
        <w:rPr>
          <w:i/>
        </w:rPr>
        <w:t>. International Journal of Mental Health and Addiction</w:t>
      </w:r>
      <w:r w:rsidRPr="00D415D2">
        <w:t>,</w:t>
      </w:r>
      <w:r>
        <w:t xml:space="preserve"> </w:t>
      </w:r>
      <w:r w:rsidRPr="00D568A9">
        <w:rPr>
          <w:i/>
        </w:rPr>
        <w:t>10</w:t>
      </w:r>
      <w:r>
        <w:t xml:space="preserve">(6), 849 -861. doi: </w:t>
      </w:r>
      <w:r w:rsidRPr="00D568A9">
        <w:t>10.1007/s11469-012-9380-7</w:t>
      </w:r>
    </w:p>
    <w:p w14:paraId="54EFA0F5" w14:textId="59C91485" w:rsidR="001B2940" w:rsidRPr="00D415D2" w:rsidRDefault="001B2940" w:rsidP="00DC248F">
      <w:pPr>
        <w:ind w:left="567" w:hanging="567"/>
      </w:pPr>
      <w:r w:rsidRPr="00D415D2">
        <w:lastRenderedPageBreak/>
        <w:t xml:space="preserve">Turner, N. E. &amp; Mcavoy, S. </w:t>
      </w:r>
      <w:r w:rsidR="00E35C67">
        <w:t>(</w:t>
      </w:r>
      <w:r w:rsidRPr="00D415D2">
        <w:t>2011</w:t>
      </w:r>
      <w:r w:rsidR="00E35C67">
        <w:t>)</w:t>
      </w:r>
      <w:r w:rsidRPr="00D415D2">
        <w:t xml:space="preserve">. </w:t>
      </w:r>
      <w:r>
        <w:t>Problem gambling in the c</w:t>
      </w:r>
      <w:r w:rsidRPr="00D415D2">
        <w:t>orrec</w:t>
      </w:r>
      <w:r>
        <w:t>tional system: A brief s</w:t>
      </w:r>
      <w:r w:rsidRPr="001F5F13">
        <w:t xml:space="preserve">ummary </w:t>
      </w:r>
      <w:r>
        <w:t>r</w:t>
      </w:r>
      <w:r w:rsidRPr="00D415D2">
        <w:t xml:space="preserve">eport. </w:t>
      </w:r>
      <w:r w:rsidRPr="00AF3401">
        <w:rPr>
          <w:i/>
        </w:rPr>
        <w:t>Gaming Law Review and Economics, 15</w:t>
      </w:r>
      <w:r w:rsidRPr="00AF3401">
        <w:t xml:space="preserve">(10), </w:t>
      </w:r>
      <w:r w:rsidRPr="00D415D2">
        <w:t>593-598.</w:t>
      </w:r>
      <w:r>
        <w:t xml:space="preserve"> doi: </w:t>
      </w:r>
      <w:r w:rsidRPr="00AF3401">
        <w:t>10.1089/glre.2011.151006.</w:t>
      </w:r>
    </w:p>
    <w:p w14:paraId="07FEAB60" w14:textId="320E0F2E" w:rsidR="001B2940" w:rsidRPr="00D415D2" w:rsidRDefault="001B2940" w:rsidP="00DC248F">
      <w:pPr>
        <w:ind w:left="567" w:hanging="567"/>
      </w:pPr>
      <w:r w:rsidRPr="00D415D2">
        <w:t xml:space="preserve">Turner, N., Preston, D., Mcavoy, S. &amp; Gillam, L. </w:t>
      </w:r>
      <w:r w:rsidR="00E35C67">
        <w:t>(</w:t>
      </w:r>
      <w:r w:rsidRPr="00D415D2">
        <w:t>2012</w:t>
      </w:r>
      <w:r w:rsidR="00E35C67">
        <w:t>)</w:t>
      </w:r>
      <w:r w:rsidRPr="00D415D2">
        <w:t>. Proble</w:t>
      </w:r>
      <w:r>
        <w:t>m gambling inside and o</w:t>
      </w:r>
      <w:r w:rsidRPr="001F5F13">
        <w:t xml:space="preserve">ut: The </w:t>
      </w:r>
      <w:r>
        <w:t>assessment of community and institutional problem g</w:t>
      </w:r>
      <w:r w:rsidRPr="00D415D2">
        <w:t>amblin</w:t>
      </w:r>
      <w:r>
        <w:t>g in the Canadian c</w:t>
      </w:r>
      <w:r w:rsidRPr="001F5F13">
        <w:t xml:space="preserve">orrectional </w:t>
      </w:r>
      <w:r>
        <w:t>s</w:t>
      </w:r>
      <w:r w:rsidRPr="00D415D2">
        <w:t xml:space="preserve">ystem. </w:t>
      </w:r>
      <w:r w:rsidRPr="00AF3401">
        <w:rPr>
          <w:i/>
        </w:rPr>
        <w:t>Journal of Gambling Studies</w:t>
      </w:r>
      <w:r>
        <w:rPr>
          <w:i/>
        </w:rPr>
        <w:t>, 29</w:t>
      </w:r>
      <w:r w:rsidRPr="00AF3401">
        <w:t>(3),</w:t>
      </w:r>
      <w:r w:rsidRPr="00D415D2">
        <w:t xml:space="preserve"> 1-17.</w:t>
      </w:r>
      <w:r>
        <w:t xml:space="preserve"> doi: </w:t>
      </w:r>
      <w:r w:rsidRPr="00AF3401">
        <w:t>10.1007/s10899-012-9321-1</w:t>
      </w:r>
    </w:p>
    <w:p w14:paraId="17808ED2" w14:textId="1604D1E6" w:rsidR="00AF19E5" w:rsidRPr="00AF19E5" w:rsidRDefault="00AF19E5" w:rsidP="00AF19E5">
      <w:pPr>
        <w:ind w:left="567" w:hanging="567"/>
      </w:pPr>
      <w:r w:rsidRPr="00AF19E5">
        <w:t>Urale, P.W.B., Bellringer, M., Landon, J. &amp; Abbott, M. (2015). God, family and money: Pacific people and gambling in New Zealand</w:t>
      </w:r>
      <w:r>
        <w:t xml:space="preserve">. </w:t>
      </w:r>
      <w:r w:rsidRPr="00AF19E5">
        <w:rPr>
          <w:i/>
        </w:rPr>
        <w:t>International Gambling Studies</w:t>
      </w:r>
      <w:r>
        <w:t>, 15</w:t>
      </w:r>
      <w:r w:rsidRPr="00AF19E5">
        <w:t>, 72-87</w:t>
      </w:r>
      <w:r>
        <w:t>. D</w:t>
      </w:r>
      <w:r w:rsidRPr="00AF19E5">
        <w:t>OI: 10.1080/14459795.2014.998252</w:t>
      </w:r>
    </w:p>
    <w:p w14:paraId="626292DB" w14:textId="77777777" w:rsidR="00580E36" w:rsidRPr="00580E36" w:rsidRDefault="00580E36" w:rsidP="00DC248F">
      <w:pPr>
        <w:ind w:left="567" w:hanging="567"/>
      </w:pPr>
      <w:r w:rsidRPr="00580E36">
        <w:t xml:space="preserve">Ustun, T.B., Rehm, J, Chatterji, S., Saxena, S, Trotter, R., Room, R., and Bickenbach, J. (1999). Multiple informant ranking of the disabling effects of different health conditions in 14 countries. WHO/NIH Joint Project CAR Study Group. </w:t>
      </w:r>
      <w:r w:rsidRPr="00580E36">
        <w:rPr>
          <w:i/>
        </w:rPr>
        <w:t>Lancet</w:t>
      </w:r>
      <w:r w:rsidRPr="00580E36">
        <w:t>, 354, 111–115</w:t>
      </w:r>
    </w:p>
    <w:p w14:paraId="6771F4E8" w14:textId="3148449A" w:rsidR="00640EF7" w:rsidRDefault="00640EF7" w:rsidP="00DC248F">
      <w:pPr>
        <w:ind w:left="567" w:hanging="567"/>
      </w:pPr>
      <w:r>
        <w:t xml:space="preserve">van Spijker, B. A. J., van Straten, A., Kerkhof, A. J. F. M., Hoeymans, N., &amp; Smit, F. (2011). Disability weights for suicidal thoughts and non-fatal suicide attempts. </w:t>
      </w:r>
      <w:r>
        <w:rPr>
          <w:i/>
          <w:iCs/>
        </w:rPr>
        <w:t>Journal of Affective Disorders</w:t>
      </w:r>
      <w:r>
        <w:t xml:space="preserve">, </w:t>
      </w:r>
      <w:r>
        <w:rPr>
          <w:i/>
          <w:iCs/>
        </w:rPr>
        <w:t>134</w:t>
      </w:r>
      <w:r>
        <w:t>(1-3), 341–347. http://doi.org/10.1016/j.jad.2011.05.020</w:t>
      </w:r>
    </w:p>
    <w:p w14:paraId="71A328F3" w14:textId="77777777" w:rsidR="004749FD" w:rsidRPr="004749FD" w:rsidRDefault="004749FD" w:rsidP="00DC248F">
      <w:pPr>
        <w:ind w:left="567" w:hanging="567"/>
      </w:pPr>
      <w:r w:rsidRPr="004749FD">
        <w:t>Vandenberg, R. J., &amp; Lance, C. E. (2000). A review and synthesis of the measurement invariance literature: Suggestions, practices, and recommendations for organizational research. </w:t>
      </w:r>
      <w:r w:rsidRPr="004749FD">
        <w:rPr>
          <w:i/>
          <w:iCs/>
        </w:rPr>
        <w:t>Organizational research methods</w:t>
      </w:r>
      <w:r w:rsidRPr="004749FD">
        <w:t>, </w:t>
      </w:r>
      <w:r w:rsidRPr="004749FD">
        <w:rPr>
          <w:i/>
          <w:iCs/>
        </w:rPr>
        <w:t>3</w:t>
      </w:r>
      <w:r w:rsidRPr="004749FD">
        <w:t>(1), 4-70.</w:t>
      </w:r>
    </w:p>
    <w:p w14:paraId="233DD132" w14:textId="158F2A1B" w:rsidR="00CD5744" w:rsidRDefault="00CD5744" w:rsidP="00DC248F">
      <w:pPr>
        <w:ind w:left="567" w:hanging="567"/>
      </w:pPr>
      <w:r>
        <w:t xml:space="preserve">Viney, R., Norman, R., Brazier, J., Cronin, P., King, M. T., Ratcliffe, J., &amp; Street, D. (2014). An Australian discrete choice experiment to value EQ-5D health states. </w:t>
      </w:r>
      <w:r>
        <w:rPr>
          <w:i/>
          <w:iCs/>
        </w:rPr>
        <w:t>Health Economics</w:t>
      </w:r>
      <w:r>
        <w:t xml:space="preserve">, </w:t>
      </w:r>
      <w:r>
        <w:rPr>
          <w:i/>
          <w:iCs/>
        </w:rPr>
        <w:t>23</w:t>
      </w:r>
      <w:r>
        <w:t xml:space="preserve">(6), 729–742. </w:t>
      </w:r>
      <w:r w:rsidRPr="00CD5744">
        <w:t>http://doi.org/10.1002/hec.2953</w:t>
      </w:r>
    </w:p>
    <w:p w14:paraId="50014995" w14:textId="3B8283B8" w:rsidR="001B2940" w:rsidRPr="00D415D2" w:rsidRDefault="001B2940" w:rsidP="00DC248F">
      <w:pPr>
        <w:ind w:left="567" w:hanging="567"/>
      </w:pPr>
      <w:r w:rsidRPr="00D415D2">
        <w:t xml:space="preserve">Walker, M. B. </w:t>
      </w:r>
      <w:r w:rsidR="00E35C67">
        <w:t>(</w:t>
      </w:r>
      <w:r w:rsidRPr="00D415D2">
        <w:t>2001</w:t>
      </w:r>
      <w:r w:rsidR="00E35C67">
        <w:t>)</w:t>
      </w:r>
      <w:r w:rsidRPr="00D415D2">
        <w:t>. Strategies for winning on poker machines. In A. Blaszczynski et al. (Ed</w:t>
      </w:r>
      <w:r w:rsidRPr="001F5F13">
        <w:t xml:space="preserve">s.), Culture </w:t>
      </w:r>
      <w:r w:rsidRPr="00D415D2">
        <w:t>and the gambl</w:t>
      </w:r>
      <w:r>
        <w:t xml:space="preserve">ing phenomenon: Proceedings of </w:t>
      </w:r>
      <w:r w:rsidRPr="00AF3401">
        <w:rPr>
          <w:i/>
        </w:rPr>
        <w:t>The 12</w:t>
      </w:r>
      <w:r w:rsidRPr="00AF3401">
        <w:rPr>
          <w:i/>
          <w:vertAlign w:val="superscript"/>
        </w:rPr>
        <w:t>th</w:t>
      </w:r>
      <w:r w:rsidRPr="00AF3401">
        <w:rPr>
          <w:i/>
        </w:rPr>
        <w:t xml:space="preserve"> annual conference of the National Association for Gambling Studies</w:t>
      </w:r>
      <w:r>
        <w:t xml:space="preserve">, </w:t>
      </w:r>
      <w:r w:rsidRPr="00D415D2">
        <w:t xml:space="preserve">Sydney, Australia. </w:t>
      </w:r>
    </w:p>
    <w:p w14:paraId="5C70AC73" w14:textId="48959330" w:rsidR="001B2940" w:rsidRPr="00D415D2" w:rsidRDefault="001B2940" w:rsidP="00DC248F">
      <w:pPr>
        <w:ind w:left="567" w:hanging="567"/>
      </w:pPr>
      <w:r w:rsidRPr="00D415D2">
        <w:t xml:space="preserve">Walker, S. E., Abott, M. W., &amp; Gray, R. J. </w:t>
      </w:r>
      <w:r w:rsidR="00E35C67">
        <w:t>(</w:t>
      </w:r>
      <w:r w:rsidRPr="00D415D2">
        <w:t>2012</w:t>
      </w:r>
      <w:r w:rsidR="00E35C67">
        <w:t>)</w:t>
      </w:r>
      <w:r w:rsidRPr="00D415D2">
        <w:t>. Knowledge, views and experiences of g</w:t>
      </w:r>
      <w:r w:rsidRPr="001F5F13">
        <w:t xml:space="preserve">ambling and </w:t>
      </w:r>
      <w:r w:rsidRPr="00D415D2">
        <w:t>gambling-related harms in different ethnic and socio-e</w:t>
      </w:r>
      <w:r w:rsidRPr="001F5F13">
        <w:t xml:space="preserve">conomic groups in New Zealand. </w:t>
      </w:r>
      <w:r w:rsidRPr="00AF3401">
        <w:rPr>
          <w:i/>
        </w:rPr>
        <w:t>Australian and New Zealand Journal of Public Health, 36</w:t>
      </w:r>
      <w:r w:rsidRPr="00D415D2">
        <w:t>(2</w:t>
      </w:r>
      <w:r w:rsidRPr="001F5F13">
        <w:t>), 153–159. doi:</w:t>
      </w:r>
      <w:r>
        <w:t xml:space="preserve"> </w:t>
      </w:r>
      <w:r w:rsidRPr="001F5F13">
        <w:t>10.1111/j.1753-</w:t>
      </w:r>
      <w:r w:rsidRPr="00D415D2">
        <w:t>6405.2012.00847.x</w:t>
      </w:r>
    </w:p>
    <w:p w14:paraId="69949104" w14:textId="77777777" w:rsidR="001B2940" w:rsidRPr="00D415D2" w:rsidRDefault="001B2940" w:rsidP="00DC248F">
      <w:pPr>
        <w:ind w:left="567" w:hanging="567"/>
      </w:pPr>
      <w:r w:rsidRPr="00D415D2">
        <w:t>Wall, M., Peter, M., You, R., Mavoa, S., &amp; Witten, K. (2010). Prob</w:t>
      </w:r>
      <w:r w:rsidRPr="001F5F13">
        <w:t xml:space="preserve">lem gambling research: A study </w:t>
      </w:r>
      <w:r w:rsidRPr="00D415D2">
        <w:t>of community level harm from gambling. Phase one final re</w:t>
      </w:r>
      <w:r w:rsidRPr="001F5F13">
        <w:t xml:space="preserve">port: Prepared for Ministry of </w:t>
      </w:r>
      <w:r w:rsidRPr="00D415D2">
        <w:t>Health.</w:t>
      </w:r>
      <w:r>
        <w:t xml:space="preserve"> Auckland: </w:t>
      </w:r>
      <w:r w:rsidRPr="00AF3401">
        <w:t>Centre for Social and Health Outcomes Research and Evaluation</w:t>
      </w:r>
      <w:r>
        <w:t xml:space="preserve"> (SHORE)</w:t>
      </w:r>
    </w:p>
    <w:p w14:paraId="038C2D1C" w14:textId="0351FB76" w:rsidR="001B2940" w:rsidRPr="00D415D2" w:rsidRDefault="001B2940" w:rsidP="00DC248F">
      <w:pPr>
        <w:ind w:left="567" w:hanging="567"/>
      </w:pPr>
      <w:r w:rsidRPr="00D415D2">
        <w:t xml:space="preserve">Wardman, D., El-Guebaly, N., &amp; Hodgins, D. </w:t>
      </w:r>
      <w:r w:rsidR="00E35C67">
        <w:t>(</w:t>
      </w:r>
      <w:r w:rsidRPr="00D415D2">
        <w:t>2001</w:t>
      </w:r>
      <w:r w:rsidR="00E35C67">
        <w:t>)</w:t>
      </w:r>
      <w:r w:rsidRPr="00D415D2">
        <w:t xml:space="preserve">. Problem and </w:t>
      </w:r>
      <w:r w:rsidRPr="001F5F13">
        <w:t xml:space="preserve">pathological gambling in North </w:t>
      </w:r>
      <w:r w:rsidRPr="00D415D2">
        <w:t>American Aboriginal Populations: A review of the em</w:t>
      </w:r>
      <w:r w:rsidRPr="001F5F13">
        <w:t xml:space="preserve">pirical literature. </w:t>
      </w:r>
      <w:r w:rsidRPr="00AF3401">
        <w:rPr>
          <w:i/>
        </w:rPr>
        <w:t>Journal of Gambling Studies, 17</w:t>
      </w:r>
      <w:r>
        <w:t>(2)</w:t>
      </w:r>
      <w:r w:rsidRPr="00AF3401">
        <w:rPr>
          <w:i/>
        </w:rPr>
        <w:t>,</w:t>
      </w:r>
      <w:r w:rsidRPr="00D415D2">
        <w:t xml:space="preserve"> 81-100. </w:t>
      </w:r>
      <w:r>
        <w:t xml:space="preserve">doi: </w:t>
      </w:r>
      <w:r w:rsidRPr="00AF3401">
        <w:t>10.1023/A:1016699628402</w:t>
      </w:r>
    </w:p>
    <w:p w14:paraId="33AB38CE" w14:textId="5C65A546" w:rsidR="001B2940" w:rsidRPr="00D415D2" w:rsidRDefault="001B2940" w:rsidP="00DC248F">
      <w:pPr>
        <w:ind w:left="567" w:hanging="567"/>
      </w:pPr>
      <w:r w:rsidRPr="00D415D2">
        <w:t>Watene, N., Thompson, K., Barnett, A., Balzer, M., &amp; Turinui, M</w:t>
      </w:r>
      <w:r w:rsidRPr="001F5F13">
        <w:t xml:space="preserve">. </w:t>
      </w:r>
      <w:r w:rsidR="00E35C67">
        <w:t>(</w:t>
      </w:r>
      <w:r w:rsidRPr="001F5F13">
        <w:t>2009</w:t>
      </w:r>
      <w:r w:rsidR="00E35C67">
        <w:t>)</w:t>
      </w:r>
      <w:r w:rsidRPr="001F5F13">
        <w:t xml:space="preserve">. </w:t>
      </w:r>
      <w:r w:rsidRPr="00AF3401">
        <w:rPr>
          <w:i/>
        </w:rPr>
        <w:t xml:space="preserve">“Whakatau Mai Ra”: The impacts of gambling for </w:t>
      </w:r>
      <w:r w:rsidR="002901C9">
        <w:rPr>
          <w:i/>
        </w:rPr>
        <w:t>Māori</w:t>
      </w:r>
      <w:r w:rsidRPr="00AF3401">
        <w:rPr>
          <w:i/>
        </w:rPr>
        <w:t xml:space="preserve"> communities – a national </w:t>
      </w:r>
      <w:r w:rsidR="002901C9">
        <w:rPr>
          <w:i/>
        </w:rPr>
        <w:t>Māori</w:t>
      </w:r>
      <w:r w:rsidRPr="00AF3401">
        <w:rPr>
          <w:i/>
        </w:rPr>
        <w:t xml:space="preserve"> collaborative approach</w:t>
      </w:r>
      <w:r w:rsidRPr="001F5F13">
        <w:t xml:space="preserve">. </w:t>
      </w:r>
      <w:r w:rsidRPr="00D415D2">
        <w:t>Hamilton: Te Runanga o Kirikiriroa Trust Inc.</w:t>
      </w:r>
    </w:p>
    <w:p w14:paraId="16CF86D7" w14:textId="77777777" w:rsidR="00A80DEC" w:rsidRPr="00A80DEC" w:rsidRDefault="00A80DEC" w:rsidP="00A80DEC">
      <w:pPr>
        <w:ind w:left="567" w:hanging="567"/>
      </w:pPr>
      <w:r w:rsidRPr="00A80DEC">
        <w:lastRenderedPageBreak/>
        <w:t xml:space="preserve">Wells, E. J., Oakley Browne, M. A., Scott, K. M., McGee, M. A., Baxter, J., &amp; Kokaua, J. (2006). Prevalence, interference with life and severity of 12 month DSM-IV disorders in Te Rau Hinengaro: The New Zealand Mental Health Survey. </w:t>
      </w:r>
      <w:r w:rsidRPr="00A80DEC">
        <w:rPr>
          <w:i/>
        </w:rPr>
        <w:t>Australian and New Zealand Journal of Psychiatry</w:t>
      </w:r>
      <w:r w:rsidRPr="00A80DEC">
        <w:t xml:space="preserve">, </w:t>
      </w:r>
      <w:r w:rsidRPr="00A80DEC">
        <w:rPr>
          <w:i/>
        </w:rPr>
        <w:t>40</w:t>
      </w:r>
      <w:r w:rsidRPr="00A80DEC">
        <w:t xml:space="preserve">, 845-854. </w:t>
      </w:r>
    </w:p>
    <w:p w14:paraId="4AAF0210" w14:textId="1D547722" w:rsidR="001B2940" w:rsidRPr="00D415D2" w:rsidRDefault="001B2940" w:rsidP="00DC248F">
      <w:pPr>
        <w:ind w:left="567" w:hanging="567"/>
      </w:pPr>
      <w:r w:rsidRPr="00D415D2">
        <w:t xml:space="preserve">Welte, J. W., Barnes, G. M., Tidwell, M.-C. O. &amp; Hoffman, J. H. </w:t>
      </w:r>
      <w:r w:rsidR="00E35C67">
        <w:t>(</w:t>
      </w:r>
      <w:r w:rsidRPr="00D415D2">
        <w:t>200</w:t>
      </w:r>
      <w:r w:rsidRPr="001F5F13">
        <w:t>9</w:t>
      </w:r>
      <w:r w:rsidR="00E35C67">
        <w:t>)</w:t>
      </w:r>
      <w:r w:rsidRPr="001F5F13">
        <w:t xml:space="preserve">. Association between problem </w:t>
      </w:r>
      <w:r w:rsidRPr="00D415D2">
        <w:t>gambling and conduct disorder in a national survey of adole</w:t>
      </w:r>
      <w:r>
        <w:t>scents and young adults in the United S</w:t>
      </w:r>
      <w:r w:rsidRPr="00D415D2">
        <w:t xml:space="preserve">tates. </w:t>
      </w:r>
      <w:r w:rsidRPr="00AF3401">
        <w:rPr>
          <w:i/>
        </w:rPr>
        <w:t>Journal of Adolescent Health, 45</w:t>
      </w:r>
      <w:r>
        <w:t>(4)</w:t>
      </w:r>
      <w:r w:rsidRPr="00D415D2">
        <w:t>, 396-401.</w:t>
      </w:r>
      <w:r>
        <w:t xml:space="preserve"> doi: </w:t>
      </w:r>
      <w:r w:rsidRPr="00AF3401">
        <w:t>10.1016/j.jado</w:t>
      </w:r>
      <w:r>
        <w:t xml:space="preserve"> </w:t>
      </w:r>
      <w:r w:rsidRPr="00AF3401">
        <w:t>health.2009.02.002</w:t>
      </w:r>
    </w:p>
    <w:p w14:paraId="319E4385" w14:textId="45139518" w:rsidR="0058398A" w:rsidRPr="0058398A" w:rsidRDefault="0058398A" w:rsidP="00DC248F">
      <w:pPr>
        <w:pStyle w:val="VRGFBodycontent"/>
        <w:ind w:left="567" w:hanging="567"/>
        <w:jc w:val="left"/>
      </w:pPr>
      <w:r w:rsidRPr="0058398A">
        <w:t xml:space="preserve">Wenzel, H. G., Øren, A., &amp; Bakken, I. J. </w:t>
      </w:r>
      <w:r w:rsidR="00E35C67">
        <w:t>(</w:t>
      </w:r>
      <w:r w:rsidRPr="0058398A">
        <w:t>2008</w:t>
      </w:r>
      <w:r w:rsidR="00E35C67">
        <w:t>)</w:t>
      </w:r>
      <w:r w:rsidRPr="0058398A">
        <w:t>. Gambling problems in the family–A stratified probability sample study of prevalence and reported consequences. </w:t>
      </w:r>
      <w:r w:rsidRPr="0058398A">
        <w:rPr>
          <w:i/>
          <w:iCs/>
        </w:rPr>
        <w:t>BMC Public Health</w:t>
      </w:r>
      <w:r w:rsidRPr="0058398A">
        <w:t>, </w:t>
      </w:r>
      <w:r w:rsidRPr="0058398A">
        <w:rPr>
          <w:i/>
          <w:iCs/>
        </w:rPr>
        <w:t>8</w:t>
      </w:r>
      <w:r w:rsidRPr="0058398A">
        <w:t>(1), 412.</w:t>
      </w:r>
    </w:p>
    <w:p w14:paraId="36EF07BD" w14:textId="4009485C" w:rsidR="001B2940" w:rsidRPr="00D415D2" w:rsidRDefault="001B2940" w:rsidP="00DC248F">
      <w:pPr>
        <w:pStyle w:val="VRGFBodycontent"/>
        <w:ind w:left="567" w:hanging="567"/>
        <w:jc w:val="left"/>
      </w:pPr>
      <w:r w:rsidRPr="00D415D2">
        <w:t xml:space="preserve">Wheeler, B. W., Rigby, J. E. &amp; Huriwai, T. </w:t>
      </w:r>
      <w:r w:rsidR="00E35C67">
        <w:t>(</w:t>
      </w:r>
      <w:r w:rsidRPr="00D415D2">
        <w:t>2006</w:t>
      </w:r>
      <w:r w:rsidR="00E35C67">
        <w:t>)</w:t>
      </w:r>
      <w:r w:rsidRPr="00D415D2">
        <w:t>. Pokies and poverty</w:t>
      </w:r>
      <w:r>
        <w:t>: P</w:t>
      </w:r>
      <w:r w:rsidRPr="001F5F13">
        <w:t xml:space="preserve">roblem gambling risk factor </w:t>
      </w:r>
      <w:r w:rsidRPr="00D415D2">
        <w:t xml:space="preserve">geography in New Zealand. </w:t>
      </w:r>
      <w:r>
        <w:rPr>
          <w:i/>
        </w:rPr>
        <w:t>Health &amp; P</w:t>
      </w:r>
      <w:r w:rsidRPr="00AF3401">
        <w:rPr>
          <w:i/>
        </w:rPr>
        <w:t>lace, 12</w:t>
      </w:r>
      <w:r>
        <w:t>(1)</w:t>
      </w:r>
      <w:r w:rsidRPr="00D415D2">
        <w:t>, 86-96.</w:t>
      </w:r>
      <w:r>
        <w:t xml:space="preserve"> doi: </w:t>
      </w:r>
      <w:r w:rsidRPr="00AF3401">
        <w:t>10.1016/j.healthplace.2004.10.011</w:t>
      </w:r>
    </w:p>
    <w:p w14:paraId="225BC5C3" w14:textId="408D24D7" w:rsidR="00580E36" w:rsidRPr="00580E36" w:rsidRDefault="00580E36" w:rsidP="00DC248F">
      <w:pPr>
        <w:pStyle w:val="VRGFBodycontent"/>
        <w:ind w:left="567" w:hanging="567"/>
        <w:jc w:val="left"/>
      </w:pPr>
      <w:r w:rsidRPr="00580E36">
        <w:t xml:space="preserve">Whitehead, S. J., &amp; Ali, S. </w:t>
      </w:r>
      <w:r w:rsidR="00E35C67">
        <w:t>(</w:t>
      </w:r>
      <w:r w:rsidRPr="00580E36">
        <w:t>2010</w:t>
      </w:r>
      <w:r w:rsidR="00E35C67">
        <w:t>)</w:t>
      </w:r>
      <w:r w:rsidRPr="00580E36">
        <w:t xml:space="preserve">. Health outcomes in economic evaluation: the QALY and utilities. </w:t>
      </w:r>
      <w:r w:rsidRPr="00580E36">
        <w:rPr>
          <w:i/>
        </w:rPr>
        <w:t>British Medical Bulletin, 96</w:t>
      </w:r>
      <w:r w:rsidRPr="00580E36">
        <w:t>(1), 5-21. doi: doi: 10.1093/bmb/ldq033</w:t>
      </w:r>
    </w:p>
    <w:p w14:paraId="0B08B508" w14:textId="3CF8EE8B" w:rsidR="001B2940" w:rsidRDefault="001B2940" w:rsidP="00DC248F">
      <w:pPr>
        <w:pStyle w:val="VRGFBodycontent"/>
        <w:ind w:left="567" w:hanging="567"/>
        <w:jc w:val="left"/>
      </w:pPr>
      <w:r w:rsidRPr="009F11D3">
        <w:t>Whittlesea Interagency Taskforce on Gambling</w:t>
      </w:r>
      <w:r w:rsidR="00E35C67">
        <w:t>. (</w:t>
      </w:r>
      <w:r w:rsidRPr="009F11D3">
        <w:t>2012</w:t>
      </w:r>
      <w:r w:rsidR="00E35C67">
        <w:t xml:space="preserve">). </w:t>
      </w:r>
      <w:r w:rsidRPr="009F11D3">
        <w:rPr>
          <w:i/>
        </w:rPr>
        <w:t>Local Losses.</w:t>
      </w:r>
      <w:r w:rsidRPr="009F11D3">
        <w:t xml:space="preserve"> Retrieved February 03, 2016, from http://www.pokermachinesharm</w:t>
      </w:r>
      <w:r>
        <w:t xml:space="preserve"> </w:t>
      </w:r>
      <w:r w:rsidRPr="009F11D3">
        <w:t xml:space="preserve">whittlesea.org/local-losses.html </w:t>
      </w:r>
    </w:p>
    <w:p w14:paraId="7B122D80" w14:textId="2C9B2836" w:rsidR="0058398A" w:rsidRDefault="001B2940" w:rsidP="00DC248F">
      <w:pPr>
        <w:pStyle w:val="VRGFBodycontent"/>
        <w:ind w:left="567" w:hanging="567"/>
        <w:jc w:val="left"/>
      </w:pPr>
      <w:r w:rsidRPr="00D415D2">
        <w:t xml:space="preserve">William, N. T. &amp; Schwer, R. K. </w:t>
      </w:r>
      <w:r w:rsidR="00E35C67">
        <w:t>(</w:t>
      </w:r>
      <w:r w:rsidRPr="00D415D2">
        <w:t>2005</w:t>
      </w:r>
      <w:r w:rsidR="00E35C67">
        <w:t>)</w:t>
      </w:r>
      <w:r w:rsidRPr="00D415D2">
        <w:t xml:space="preserve">. Beyond the limits of recreation: social costs of gambling in Southern Nevada. </w:t>
      </w:r>
      <w:r w:rsidRPr="009F11D3">
        <w:rPr>
          <w:i/>
        </w:rPr>
        <w:t>Journal of Public Budgeting, Accounting &amp; Financial Management, 17</w:t>
      </w:r>
      <w:r>
        <w:t>(1)</w:t>
      </w:r>
      <w:r w:rsidRPr="00D415D2">
        <w:t>, 62.</w:t>
      </w:r>
      <w:r>
        <w:t xml:space="preserve"> </w:t>
      </w:r>
    </w:p>
    <w:p w14:paraId="209279FC" w14:textId="77C35035" w:rsidR="001B2940" w:rsidRPr="00D415D2" w:rsidRDefault="001B2940" w:rsidP="00DC248F">
      <w:pPr>
        <w:ind w:left="567" w:hanging="567"/>
      </w:pPr>
      <w:r w:rsidRPr="00D415D2">
        <w:t xml:space="preserve">Williamson, A., &amp; Walker, M. </w:t>
      </w:r>
      <w:r w:rsidR="00E35C67">
        <w:t>(</w:t>
      </w:r>
      <w:r w:rsidRPr="00D415D2">
        <w:t>2000</w:t>
      </w:r>
      <w:r w:rsidR="00E35C67">
        <w:t>)</w:t>
      </w:r>
      <w:r w:rsidRPr="00D415D2">
        <w:t>. Strategies for solving</w:t>
      </w:r>
      <w:r>
        <w:t xml:space="preserve"> the insoluble. Proceedings of </w:t>
      </w:r>
      <w:r w:rsidRPr="009F11D3">
        <w:rPr>
          <w:i/>
        </w:rPr>
        <w:t>The 11</w:t>
      </w:r>
      <w:r w:rsidRPr="009F11D3">
        <w:rPr>
          <w:i/>
          <w:vertAlign w:val="superscript"/>
        </w:rPr>
        <w:t>th</w:t>
      </w:r>
      <w:r w:rsidRPr="009F11D3">
        <w:rPr>
          <w:i/>
        </w:rPr>
        <w:t xml:space="preserve"> annual conference of the National Association for Gambling Studies</w:t>
      </w:r>
      <w:r>
        <w:t xml:space="preserve">. </w:t>
      </w:r>
      <w:r w:rsidRPr="001F5F13">
        <w:t xml:space="preserve">Mildura, </w:t>
      </w:r>
      <w:r w:rsidRPr="00D415D2">
        <w:t xml:space="preserve">Victoria, Australia. </w:t>
      </w:r>
    </w:p>
    <w:p w14:paraId="49621165" w14:textId="77098156" w:rsidR="00580E36" w:rsidRPr="00580E36" w:rsidRDefault="00580E36" w:rsidP="00DC248F">
      <w:pPr>
        <w:ind w:left="567" w:hanging="567"/>
      </w:pPr>
      <w:r w:rsidRPr="00580E36">
        <w:t xml:space="preserve">Wong, P. W., Cheung, D. Y., Conner, K. R., Conwell, Y., &amp; Yip, P. S. </w:t>
      </w:r>
      <w:r w:rsidR="00E35C67">
        <w:t>(</w:t>
      </w:r>
      <w:r w:rsidRPr="00580E36">
        <w:t>2010</w:t>
      </w:r>
      <w:r w:rsidR="00E35C67">
        <w:t>)</w:t>
      </w:r>
      <w:r w:rsidRPr="00580E36">
        <w:t xml:space="preserve">. Gambling and completed suicide in Hong Kong: A review of coroner court files. </w:t>
      </w:r>
      <w:r w:rsidRPr="00580E36">
        <w:rPr>
          <w:i/>
        </w:rPr>
        <w:t>Primary Care Companion to the Journal of Clinical Psychiatry, 12</w:t>
      </w:r>
      <w:r w:rsidRPr="00580E36">
        <w:t>(6). Retrieved from http://www.ncbi.nlm.nih.go-v/pmc/articles/PMC3067982/</w:t>
      </w:r>
    </w:p>
    <w:p w14:paraId="2E5E7A69" w14:textId="42B3AF23" w:rsidR="001B2940" w:rsidRPr="00D415D2" w:rsidRDefault="001B2940" w:rsidP="00DC248F">
      <w:pPr>
        <w:ind w:left="567" w:hanging="567"/>
      </w:pPr>
      <w:r w:rsidRPr="00D415D2">
        <w:t xml:space="preserve">Wong, J., &amp; Tse, S. </w:t>
      </w:r>
      <w:r w:rsidR="00E35C67">
        <w:t>(</w:t>
      </w:r>
      <w:r w:rsidRPr="00D415D2">
        <w:t>2003. The face of Chinese migrants' gambling: A</w:t>
      </w:r>
      <w:r w:rsidRPr="001F5F13">
        <w:t xml:space="preserve"> perspective from New Zealand. </w:t>
      </w:r>
      <w:r w:rsidRPr="009F11D3">
        <w:rPr>
          <w:i/>
        </w:rPr>
        <w:t>Journal of Gambling Issues, 9</w:t>
      </w:r>
      <w:r w:rsidRPr="00D415D2">
        <w:t>, 69-88.</w:t>
      </w:r>
      <w:r>
        <w:t xml:space="preserve"> doi: </w:t>
      </w:r>
      <w:r w:rsidRPr="009F11D3">
        <w:t>10.4309/jgi.2003.9.7</w:t>
      </w:r>
    </w:p>
    <w:p w14:paraId="4B8C010C" w14:textId="77777777" w:rsidR="00580E36" w:rsidRPr="00580E36" w:rsidRDefault="00580E36" w:rsidP="00DC248F">
      <w:pPr>
        <w:ind w:left="567" w:hanging="567"/>
      </w:pPr>
      <w:r w:rsidRPr="00580E36">
        <w:t xml:space="preserve">World Health Organization (WHO). (2009). Quantifying environmental health impacts. Global estimates of burden of disease caused by environmental risks. </w:t>
      </w:r>
      <w:r w:rsidRPr="00580E36">
        <w:rPr>
          <w:i/>
        </w:rPr>
        <w:t>World Health Organization</w:t>
      </w:r>
      <w:r w:rsidRPr="00580E36">
        <w:t xml:space="preserve">, Geneva. Retrieved from: http://www.who.int/quantifying_ehimpacts/publications/en/92415 46204chap3.pdf </w:t>
      </w:r>
    </w:p>
    <w:p w14:paraId="6D48B90D" w14:textId="4B8A3E4F" w:rsidR="00E3060C" w:rsidRDefault="00E3060C" w:rsidP="00DC248F">
      <w:pPr>
        <w:ind w:left="567" w:hanging="567"/>
      </w:pPr>
      <w:r>
        <w:t>World Health Organization. (2013). WHO methods and data sources for global burden of disease estimates 2000-2011. Retrieved from http://www.who.int/healthinfo/statistics/GlobalDALYmethods_2000_2011.pdf</w:t>
      </w:r>
    </w:p>
    <w:p w14:paraId="798ADB05" w14:textId="378F43A4" w:rsidR="001B2940" w:rsidRPr="00D415D2" w:rsidRDefault="001B2940" w:rsidP="00DC248F">
      <w:pPr>
        <w:ind w:left="567" w:hanging="567"/>
      </w:pPr>
      <w:r w:rsidRPr="00D415D2">
        <w:lastRenderedPageBreak/>
        <w:t xml:space="preserve">Worthington, A., Brown, K., Crawford, M. &amp; Pickernell, D. </w:t>
      </w:r>
      <w:r w:rsidR="00E35C67">
        <w:t>(</w:t>
      </w:r>
      <w:r w:rsidRPr="00D415D2">
        <w:t>2007</w:t>
      </w:r>
      <w:r w:rsidR="00E35C67">
        <w:t>)</w:t>
      </w:r>
      <w:r w:rsidRPr="00D415D2">
        <w:t xml:space="preserve">. Gambling participation in Australia: findings from the national Household Expenditure </w:t>
      </w:r>
      <w:r w:rsidRPr="001F5F13">
        <w:t xml:space="preserve">Survey. </w:t>
      </w:r>
      <w:r w:rsidRPr="009F11D3">
        <w:rPr>
          <w:i/>
        </w:rPr>
        <w:t>Review of Economics of the Household, 5</w:t>
      </w:r>
      <w:r>
        <w:t>(2)</w:t>
      </w:r>
      <w:r w:rsidRPr="00D415D2">
        <w:t>, 209-221.</w:t>
      </w:r>
      <w:r>
        <w:t xml:space="preserve"> doi: </w:t>
      </w:r>
      <w:r w:rsidRPr="009F11D3">
        <w:t>10.1007/s11150-007-9006-1</w:t>
      </w:r>
    </w:p>
    <w:p w14:paraId="5F013697" w14:textId="63A00A88" w:rsidR="001B2940" w:rsidRPr="00D415D2" w:rsidRDefault="001B2940" w:rsidP="00DC248F">
      <w:pPr>
        <w:ind w:left="567" w:hanging="567"/>
      </w:pPr>
      <w:r w:rsidRPr="00D415D2">
        <w:t xml:space="preserve">Wurtzburg, S. J., &amp; Tan, R. H. K. </w:t>
      </w:r>
      <w:r w:rsidR="00E35C67">
        <w:t>(</w:t>
      </w:r>
      <w:r w:rsidRPr="00D415D2">
        <w:t>2011</w:t>
      </w:r>
      <w:r w:rsidR="00E35C67">
        <w:t>)</w:t>
      </w:r>
      <w:r w:rsidRPr="00D415D2">
        <w:t xml:space="preserve">. Sociology of gambling: gambling parents’ impact on their children in Christchurch. </w:t>
      </w:r>
      <w:r w:rsidRPr="009F11D3">
        <w:rPr>
          <w:i/>
        </w:rPr>
        <w:t>New Zealand Sociology, 26</w:t>
      </w:r>
      <w:r w:rsidRPr="00D415D2">
        <w:t>(2), 36–57.</w:t>
      </w:r>
      <w:r>
        <w:t xml:space="preserve"> Retrieved from: </w:t>
      </w:r>
      <w:r w:rsidRPr="00385145">
        <w:t>http://search.proquest.com/openview/8dace51fd8803f407eddc426bd0a68d0/1?pq-origsite=gscholar</w:t>
      </w:r>
    </w:p>
    <w:p w14:paraId="4C982EB9" w14:textId="3DAF0C22" w:rsidR="001B2940" w:rsidRPr="00D415D2" w:rsidRDefault="001B2940" w:rsidP="00DC248F">
      <w:pPr>
        <w:ind w:left="567" w:hanging="567"/>
      </w:pPr>
      <w:r w:rsidRPr="00D415D2">
        <w:t xml:space="preserve">Wynd. D. </w:t>
      </w:r>
      <w:r w:rsidR="00E35C67">
        <w:t>(</w:t>
      </w:r>
      <w:r w:rsidRPr="00D415D2">
        <w:t>2005</w:t>
      </w:r>
      <w:r w:rsidR="00E35C67">
        <w:t>)</w:t>
      </w:r>
      <w:r w:rsidRPr="00D415D2">
        <w:t xml:space="preserve">. </w:t>
      </w:r>
      <w:r w:rsidRPr="00385145">
        <w:rPr>
          <w:i/>
        </w:rPr>
        <w:t>Hard to swallow: Foodbank use in New Zealand</w:t>
      </w:r>
      <w:r w:rsidRPr="00D415D2">
        <w:t xml:space="preserve">. </w:t>
      </w:r>
      <w:r>
        <w:t xml:space="preserve">Aotearoa: </w:t>
      </w:r>
      <w:r w:rsidRPr="00D415D2">
        <w:t xml:space="preserve">Child Poverty Action Group. </w:t>
      </w:r>
    </w:p>
    <w:p w14:paraId="3B3E5134" w14:textId="3827E71B" w:rsidR="00DF080D" w:rsidRDefault="001B2940" w:rsidP="00DC248F">
      <w:pPr>
        <w:ind w:left="567" w:hanging="567"/>
      </w:pPr>
      <w:r>
        <w:t>Yi</w:t>
      </w:r>
      <w:r w:rsidRPr="00D415D2">
        <w:t>, S. &amp; K</w:t>
      </w:r>
      <w:r>
        <w:t xml:space="preserve">anetkar, V. </w:t>
      </w:r>
      <w:r w:rsidR="00E35C67">
        <w:t>(</w:t>
      </w:r>
      <w:r>
        <w:t>2011</w:t>
      </w:r>
      <w:r w:rsidR="00E35C67">
        <w:t>)</w:t>
      </w:r>
      <w:r>
        <w:t>. Coping with guilt and shame after gambling l</w:t>
      </w:r>
      <w:r w:rsidRPr="00D415D2">
        <w:t xml:space="preserve">oss. </w:t>
      </w:r>
      <w:r w:rsidRPr="00385145">
        <w:rPr>
          <w:i/>
        </w:rPr>
        <w:t>Journal of Gambling Studies, 27</w:t>
      </w:r>
      <w:r w:rsidRPr="00385145">
        <w:t>(3),</w:t>
      </w:r>
      <w:r w:rsidRPr="00D415D2">
        <w:t xml:space="preserve"> 371-387.</w:t>
      </w:r>
      <w:r>
        <w:t xml:space="preserve"> doi: </w:t>
      </w:r>
      <w:r w:rsidRPr="00385145">
        <w:t>10.1007/s10899-010-9216</w:t>
      </w:r>
      <w:r>
        <w:t>-y</w:t>
      </w:r>
    </w:p>
    <w:p w14:paraId="160509F1" w14:textId="5F9EC264" w:rsidR="00640EF7" w:rsidRDefault="00640EF7" w:rsidP="00DC248F">
      <w:pPr>
        <w:ind w:left="567" w:hanging="567"/>
        <w:sectPr w:rsidR="00640EF7" w:rsidSect="00697797">
          <w:headerReference w:type="default" r:id="rId36"/>
          <w:headerReference w:type="first" r:id="rId37"/>
          <w:pgSz w:w="11906" w:h="16838"/>
          <w:pgMar w:top="1440" w:right="1440" w:bottom="1440" w:left="1440" w:header="425" w:footer="176" w:gutter="0"/>
          <w:cols w:space="708"/>
          <w:docGrid w:linePitch="360"/>
        </w:sectPr>
      </w:pPr>
      <w:r>
        <w:t xml:space="preserve">Yoon, S.J., Bae, S.C., Lee, S.I., Chang, H., Jo, H.S., Sung, J.H., Park, J.H., Lee, J.Y., &amp; Shin, Y. (2007). Measuring the burden of disease in Korea. </w:t>
      </w:r>
      <w:r>
        <w:rPr>
          <w:i/>
          <w:iCs/>
        </w:rPr>
        <w:t>Journal of Korean Medical Science</w:t>
      </w:r>
      <w:r>
        <w:t xml:space="preserve">, </w:t>
      </w:r>
      <w:r>
        <w:rPr>
          <w:i/>
          <w:iCs/>
        </w:rPr>
        <w:t>22</w:t>
      </w:r>
      <w:r>
        <w:t>(3), 518–523. http://doi.org/10.3346/jkms.2007.22.3.518</w:t>
      </w:r>
    </w:p>
    <w:p w14:paraId="4A306B1A" w14:textId="3E89A81A" w:rsidR="002827F5" w:rsidRPr="00D415D2" w:rsidRDefault="002827F5" w:rsidP="002827F5">
      <w:pPr>
        <w:pStyle w:val="VRGFHead1"/>
      </w:pPr>
      <w:bookmarkStart w:id="423" w:name="_Toc462738083"/>
      <w:r>
        <w:lastRenderedPageBreak/>
        <w:t>Appendices</w:t>
      </w:r>
      <w:bookmarkEnd w:id="423"/>
    </w:p>
    <w:p w14:paraId="555F139C" w14:textId="6A2C48EE" w:rsidR="00FA3242" w:rsidRDefault="00FA3242" w:rsidP="00FA3242">
      <w:pPr>
        <w:pStyle w:val="Caption"/>
      </w:pPr>
      <w:bookmarkStart w:id="424" w:name="_Toc462738140"/>
      <w:bookmarkStart w:id="425" w:name="_Ref447795523"/>
      <w:bookmarkStart w:id="426" w:name="_Ref445410714"/>
      <w:r>
        <w:t xml:space="preserve">Appendix </w:t>
      </w:r>
      <w:fldSimple w:instr=" SEQ Appendix \* ARABIC ">
        <w:r w:rsidR="0006479A">
          <w:rPr>
            <w:noProof/>
          </w:rPr>
          <w:t>1</w:t>
        </w:r>
      </w:fldSimple>
      <w:r>
        <w:t xml:space="preserve">. Semi-structured </w:t>
      </w:r>
      <w:r w:rsidRPr="00FA3242">
        <w:t>interview</w:t>
      </w:r>
      <w:r>
        <w:t xml:space="preserve"> guide (Stage 1 expert consultations)</w:t>
      </w:r>
      <w:bookmarkEnd w:id="424"/>
    </w:p>
    <w:p w14:paraId="2B15CAA5" w14:textId="665C3746" w:rsidR="00DB1EAC" w:rsidRPr="00DB1EAC" w:rsidRDefault="00DB1EAC" w:rsidP="00DB1EAC">
      <w:pPr>
        <w:ind w:left="0"/>
        <w:jc w:val="center"/>
        <w:rPr>
          <w:b/>
        </w:rPr>
      </w:pPr>
      <w:r w:rsidRPr="00DB1EAC">
        <w:rPr>
          <w:b/>
        </w:rPr>
        <w:t>Expert consultant session and session structure:</w:t>
      </w:r>
    </w:p>
    <w:p w14:paraId="293789FB" w14:textId="77777777" w:rsidR="00DB1EAC" w:rsidRPr="00DB1EAC" w:rsidRDefault="00DB1EAC" w:rsidP="00DB1EAC">
      <w:pPr>
        <w:numPr>
          <w:ilvl w:val="0"/>
          <w:numId w:val="42"/>
        </w:numPr>
      </w:pPr>
      <w:r w:rsidRPr="00DB1EAC">
        <w:t>Welcome and introduction, confidentiality, group expectations and courtesies to be followed, etc.</w:t>
      </w:r>
    </w:p>
    <w:p w14:paraId="0AA1E853" w14:textId="77777777" w:rsidR="00DB1EAC" w:rsidRPr="00DB1EAC" w:rsidRDefault="00DB1EAC" w:rsidP="00DB1EAC">
      <w:pPr>
        <w:numPr>
          <w:ilvl w:val="0"/>
          <w:numId w:val="42"/>
        </w:numPr>
      </w:pPr>
      <w:r w:rsidRPr="00DB1EAC">
        <w:t xml:space="preserve">We’re interested in your perceptions, experience, general knowledge and ideas about gambling. </w:t>
      </w:r>
    </w:p>
    <w:p w14:paraId="297DBE8A" w14:textId="77777777" w:rsidR="00DB1EAC" w:rsidRPr="00DB1EAC" w:rsidRDefault="00DB1EAC" w:rsidP="00DB1EAC">
      <w:pPr>
        <w:numPr>
          <w:ilvl w:val="0"/>
          <w:numId w:val="42"/>
        </w:numPr>
      </w:pPr>
      <w:r w:rsidRPr="00DB1EAC">
        <w:t>Introductions and scan of types of roles of those in the room and the connection with gambling or the harm caused by it.</w:t>
      </w:r>
    </w:p>
    <w:p w14:paraId="64B50071" w14:textId="7621D627" w:rsidR="00DB1EAC" w:rsidRPr="00DB1EAC" w:rsidRDefault="00DB1EAC" w:rsidP="00DB1EAC">
      <w:pPr>
        <w:numPr>
          <w:ilvl w:val="0"/>
          <w:numId w:val="42"/>
        </w:numPr>
      </w:pPr>
      <w:r w:rsidRPr="00DB1EAC">
        <w:t>What consequences they have seen gambling have on individual gamblers?</w:t>
      </w:r>
      <w:r>
        <w:t xml:space="preserve"> </w:t>
      </w:r>
      <w:r w:rsidRPr="00DB1EAC">
        <w:t>(Prompts: money, relationships, work, legal problems)</w:t>
      </w:r>
    </w:p>
    <w:p w14:paraId="13847C64" w14:textId="1CCCF69C" w:rsidR="00DB1EAC" w:rsidRPr="00DB1EAC" w:rsidRDefault="00DB1EAC" w:rsidP="00DB1EAC">
      <w:pPr>
        <w:numPr>
          <w:ilvl w:val="0"/>
          <w:numId w:val="42"/>
        </w:numPr>
      </w:pPr>
      <w:r w:rsidRPr="00DB1EAC">
        <w:t>What sort of consequences has a gambler’s gambling had on others close to them?</w:t>
      </w:r>
      <w:r>
        <w:t xml:space="preserve"> </w:t>
      </w:r>
      <w:r w:rsidRPr="00DB1EAC">
        <w:t>(Prompts: money, relationships, trust, work, legal problems)</w:t>
      </w:r>
    </w:p>
    <w:p w14:paraId="370A9C68" w14:textId="77777777" w:rsidR="00DB1EAC" w:rsidRPr="00DB1EAC" w:rsidRDefault="00DB1EAC" w:rsidP="00DB1EAC">
      <w:pPr>
        <w:numPr>
          <w:ilvl w:val="0"/>
          <w:numId w:val="42"/>
        </w:numPr>
      </w:pPr>
      <w:r w:rsidRPr="00DB1EAC">
        <w:t>What sort of consequences has a gambler’s gambling had on the broader community?</w:t>
      </w:r>
    </w:p>
    <w:p w14:paraId="5A35B4BB" w14:textId="77B43DE2" w:rsidR="00DB1EAC" w:rsidRPr="00DB1EAC" w:rsidRDefault="00DB1EAC" w:rsidP="00DB1EAC">
      <w:pPr>
        <w:numPr>
          <w:ilvl w:val="0"/>
          <w:numId w:val="42"/>
        </w:numPr>
      </w:pPr>
      <w:r w:rsidRPr="00DB1EAC">
        <w:t>How, or in what way, have these experiences and consequences that you have identified changed over time?</w:t>
      </w:r>
      <w:r>
        <w:t xml:space="preserve"> </w:t>
      </w:r>
      <w:r w:rsidRPr="00DB1EAC">
        <w:t>(Prompts: have they remained the same, got worse, improved)</w:t>
      </w:r>
    </w:p>
    <w:p w14:paraId="37E05D76" w14:textId="1F8BDBE6" w:rsidR="00DB1EAC" w:rsidRPr="00DB1EAC" w:rsidRDefault="00DB1EAC" w:rsidP="00DB1EAC">
      <w:pPr>
        <w:numPr>
          <w:ilvl w:val="0"/>
          <w:numId w:val="42"/>
        </w:numPr>
      </w:pPr>
      <w:r w:rsidRPr="00DB1EAC">
        <w:t>An influential definition of gambling harm implies that it stems from the way it takes up time or money. Based on your experiences, what are your thoughts about time and money being at the core of harm experienced from gambling?</w:t>
      </w:r>
      <w:r>
        <w:t xml:space="preserve"> </w:t>
      </w:r>
      <w:r w:rsidRPr="00DB1EAC">
        <w:t>(Prompt: do you think everything can be traced back to time or money, or do you think there is anything else at the core of this?)</w:t>
      </w:r>
    </w:p>
    <w:p w14:paraId="356E3C21" w14:textId="77777777" w:rsidR="00DB1EAC" w:rsidRPr="00DB1EAC" w:rsidRDefault="00DB1EAC" w:rsidP="00DB1EAC">
      <w:pPr>
        <w:ind w:left="0"/>
      </w:pPr>
    </w:p>
    <w:p w14:paraId="610583AB" w14:textId="77777777" w:rsidR="00DB1EAC" w:rsidRPr="00DB1EAC" w:rsidRDefault="00DB1EAC" w:rsidP="00DB1EAC">
      <w:pPr>
        <w:ind w:left="0"/>
      </w:pPr>
      <w:r w:rsidRPr="00DB1EAC">
        <w:t>Additional prompts:</w:t>
      </w:r>
    </w:p>
    <w:p w14:paraId="2B99347A" w14:textId="77777777" w:rsidR="00DB1EAC" w:rsidRPr="00DB1EAC" w:rsidRDefault="00DB1EAC" w:rsidP="00DB1EAC">
      <w:pPr>
        <w:ind w:left="0"/>
      </w:pPr>
      <w:r w:rsidRPr="00DB1EAC">
        <w:t>Cultural differences contained within the above – how does culture construct and influence the harms identified?</w:t>
      </w:r>
    </w:p>
    <w:p w14:paraId="02EDC535" w14:textId="537FD0BC" w:rsidR="00FA3242" w:rsidRDefault="00DB1EAC" w:rsidP="00DB1EAC">
      <w:pPr>
        <w:ind w:left="0"/>
      </w:pPr>
      <w:r w:rsidRPr="00DB1EAC">
        <w:t>Harm trajectory: What is the intensity, sequencing and progression of the harms identified? Early signs? When does the harm abate?</w:t>
      </w:r>
    </w:p>
    <w:p w14:paraId="76B33F05" w14:textId="77777777" w:rsidR="00FA3242" w:rsidRDefault="00FA3242" w:rsidP="00FA3242">
      <w:pPr>
        <w:pStyle w:val="Caption"/>
      </w:pPr>
    </w:p>
    <w:p w14:paraId="55858892" w14:textId="77777777" w:rsidR="00FA3242" w:rsidRDefault="00FA3242" w:rsidP="00FA3242">
      <w:pPr>
        <w:pStyle w:val="Caption"/>
      </w:pPr>
    </w:p>
    <w:p w14:paraId="4DD8DC83" w14:textId="77777777" w:rsidR="00DB1EAC" w:rsidRDefault="00DB1EAC" w:rsidP="00DB1EAC"/>
    <w:p w14:paraId="139072D2" w14:textId="77777777" w:rsidR="00DB1EAC" w:rsidRDefault="00DB1EAC" w:rsidP="00DB1EAC"/>
    <w:p w14:paraId="2791A4FA" w14:textId="77777777" w:rsidR="00DB1EAC" w:rsidRPr="00DB1EAC" w:rsidRDefault="00DB1EAC" w:rsidP="00DB1EAC"/>
    <w:p w14:paraId="7ED52D37" w14:textId="77777777" w:rsidR="00FA3242" w:rsidRDefault="00FA3242" w:rsidP="00FA3242">
      <w:pPr>
        <w:pStyle w:val="Caption"/>
      </w:pPr>
    </w:p>
    <w:p w14:paraId="08AB9707" w14:textId="0510F169" w:rsidR="00FA3242" w:rsidRDefault="00FA3242" w:rsidP="00FA3242">
      <w:pPr>
        <w:pStyle w:val="Caption"/>
      </w:pPr>
      <w:bookmarkStart w:id="427" w:name="_Toc462738141"/>
      <w:r>
        <w:lastRenderedPageBreak/>
        <w:t xml:space="preserve">Appendix </w:t>
      </w:r>
      <w:fldSimple w:instr=" SEQ Appendix \* ARABIC ">
        <w:r w:rsidR="0006479A">
          <w:rPr>
            <w:noProof/>
          </w:rPr>
          <w:t>2</w:t>
        </w:r>
      </w:fldSimple>
      <w:r>
        <w:t>. Semi-structured interview guide (Stage 2 focus group / individual interviews)</w:t>
      </w:r>
      <w:bookmarkEnd w:id="427"/>
    </w:p>
    <w:p w14:paraId="5A11F559" w14:textId="77777777" w:rsidR="00FA3242" w:rsidRPr="00FA3242" w:rsidRDefault="00FA3242" w:rsidP="00FA3242">
      <w:pPr>
        <w:ind w:left="0"/>
        <w:jc w:val="center"/>
        <w:rPr>
          <w:b/>
          <w:u w:val="single"/>
        </w:rPr>
      </w:pPr>
      <w:r w:rsidRPr="00FA3242">
        <w:rPr>
          <w:b/>
          <w:u w:val="single"/>
        </w:rPr>
        <w:t>Study on the negative effects of gambling</w:t>
      </w:r>
    </w:p>
    <w:p w14:paraId="7DFE2FAB" w14:textId="77777777" w:rsidR="00FA3242" w:rsidRPr="00FA3242" w:rsidRDefault="00FA3242" w:rsidP="00FA3242">
      <w:pPr>
        <w:ind w:left="0"/>
        <w:rPr>
          <w:b/>
        </w:rPr>
      </w:pPr>
      <w:r w:rsidRPr="00FA3242">
        <w:rPr>
          <w:b/>
        </w:rPr>
        <w:t>A. Facilitator’s welcome and introduction</w:t>
      </w:r>
    </w:p>
    <w:p w14:paraId="1B77B93F" w14:textId="77777777" w:rsidR="00FA3242" w:rsidRPr="00FA3242" w:rsidRDefault="00FA3242" w:rsidP="00FA3242">
      <w:pPr>
        <w:ind w:left="0"/>
        <w:rPr>
          <w:b/>
        </w:rPr>
      </w:pPr>
      <w:r w:rsidRPr="00FA3242">
        <w:rPr>
          <w:b/>
        </w:rPr>
        <w:t xml:space="preserve">B. Facilitator’s introduction of research objectives and process </w:t>
      </w:r>
    </w:p>
    <w:p w14:paraId="5B0A5EC2" w14:textId="77777777" w:rsidR="00FA3242" w:rsidRPr="00FA3242" w:rsidRDefault="00FA3242" w:rsidP="00FA3242">
      <w:pPr>
        <w:numPr>
          <w:ilvl w:val="0"/>
          <w:numId w:val="28"/>
        </w:numPr>
      </w:pPr>
      <w:r w:rsidRPr="00FA3242">
        <w:t xml:space="preserve">The main aim of this research is to gain your views about the negative effects of gambling. This may include your own experiences or what you may have observed among people you work with or people close to you. </w:t>
      </w:r>
    </w:p>
    <w:p w14:paraId="37E20D25" w14:textId="77777777" w:rsidR="00FA3242" w:rsidRPr="00FA3242" w:rsidRDefault="00FA3242" w:rsidP="00FA3242">
      <w:pPr>
        <w:numPr>
          <w:ilvl w:val="0"/>
          <w:numId w:val="28"/>
        </w:numPr>
      </w:pPr>
      <w:r w:rsidRPr="00FA3242">
        <w:t xml:space="preserve">Gambling is a broad issue. Considering the limited time, we will keep the focus on experiences of harm only, and the underlying reasons. So I will ask some specific questions. </w:t>
      </w:r>
    </w:p>
    <w:p w14:paraId="761F2805" w14:textId="77777777" w:rsidR="00FA3242" w:rsidRPr="00FA3242" w:rsidRDefault="00FA3242" w:rsidP="00FA3242">
      <w:pPr>
        <w:numPr>
          <w:ilvl w:val="0"/>
          <w:numId w:val="28"/>
        </w:numPr>
      </w:pPr>
      <w:r w:rsidRPr="00FA3242">
        <w:t>To make our discussion safe and inclusive of everyone, we have a few guidelines. I will read these out to you and if anyone disagrees with something, we can discuss how it can be modified to suit everyone’s needs.</w:t>
      </w:r>
    </w:p>
    <w:p w14:paraId="244F3105" w14:textId="77777777" w:rsidR="00FA3242" w:rsidRPr="00FA3242" w:rsidRDefault="00FA3242" w:rsidP="00FA3242">
      <w:pPr>
        <w:numPr>
          <w:ilvl w:val="0"/>
          <w:numId w:val="29"/>
        </w:numPr>
      </w:pPr>
      <w:r w:rsidRPr="00FA3242">
        <w:t xml:space="preserve">Everyone here, had agreed in their consent forms for this </w:t>
      </w:r>
      <w:r w:rsidRPr="00FA3242">
        <w:rPr>
          <w:b/>
        </w:rPr>
        <w:t>session to be recorded</w:t>
      </w:r>
      <w:r w:rsidRPr="00FA3242">
        <w:t>. Is everyone still agreeable to that?</w:t>
      </w:r>
    </w:p>
    <w:p w14:paraId="0D184132" w14:textId="77777777" w:rsidR="00FA3242" w:rsidRPr="00FA3242" w:rsidRDefault="00FA3242" w:rsidP="00FA3242">
      <w:pPr>
        <w:numPr>
          <w:ilvl w:val="0"/>
          <w:numId w:val="29"/>
        </w:numPr>
      </w:pPr>
      <w:r w:rsidRPr="00FA3242">
        <w:t xml:space="preserve">We ask that you speak loudly and clearly so we can have an accurate record of what you share. </w:t>
      </w:r>
    </w:p>
    <w:p w14:paraId="7689CD5D" w14:textId="77777777" w:rsidR="00FA3242" w:rsidRPr="00FA3242" w:rsidRDefault="00FA3242" w:rsidP="00FA3242">
      <w:pPr>
        <w:numPr>
          <w:ilvl w:val="0"/>
          <w:numId w:val="29"/>
        </w:numPr>
      </w:pPr>
      <w:r w:rsidRPr="00FA3242">
        <w:t xml:space="preserve">To ensure that everyone is included and everyone’s voice is clearly captured, we should </w:t>
      </w:r>
      <w:r w:rsidRPr="00FA3242">
        <w:rPr>
          <w:b/>
        </w:rPr>
        <w:t>speak one at a time</w:t>
      </w:r>
      <w:r w:rsidRPr="00FA3242">
        <w:t xml:space="preserve">. </w:t>
      </w:r>
    </w:p>
    <w:p w14:paraId="1F985D73" w14:textId="77777777" w:rsidR="00FA3242" w:rsidRPr="00FA3242" w:rsidRDefault="00FA3242" w:rsidP="00FA3242">
      <w:pPr>
        <w:numPr>
          <w:ilvl w:val="0"/>
          <w:numId w:val="29"/>
        </w:numPr>
      </w:pPr>
      <w:r w:rsidRPr="00FA3242">
        <w:t xml:space="preserve">We ask that everyone respect the confidentiality of the group. All information you hear today should be kept to yourself. </w:t>
      </w:r>
    </w:p>
    <w:p w14:paraId="3345D793" w14:textId="77777777" w:rsidR="00FA3242" w:rsidRPr="00FA3242" w:rsidRDefault="00FA3242" w:rsidP="00FA3242">
      <w:pPr>
        <w:numPr>
          <w:ilvl w:val="0"/>
          <w:numId w:val="28"/>
        </w:numPr>
      </w:pPr>
      <w:r w:rsidRPr="00FA3242">
        <w:t>Is there anything you would like to seek clarification on? [Time for questions]</w:t>
      </w:r>
    </w:p>
    <w:p w14:paraId="196BF13B" w14:textId="77777777" w:rsidR="00FA3242" w:rsidRPr="00FA3242" w:rsidRDefault="00FA3242" w:rsidP="00FA3242">
      <w:pPr>
        <w:numPr>
          <w:ilvl w:val="0"/>
          <w:numId w:val="28"/>
        </w:numPr>
      </w:pPr>
      <w:r w:rsidRPr="00FA3242">
        <w:t>Could we turn on the recording device now and start our discussion?</w:t>
      </w:r>
    </w:p>
    <w:p w14:paraId="5D121B34" w14:textId="77777777" w:rsidR="00FA3242" w:rsidRPr="00FA3242" w:rsidRDefault="00FA3242" w:rsidP="00FA3242">
      <w:pPr>
        <w:rPr>
          <w:b/>
        </w:rPr>
      </w:pPr>
    </w:p>
    <w:p w14:paraId="1AAA91A1" w14:textId="77777777" w:rsidR="00FA3242" w:rsidRPr="00FA3242" w:rsidRDefault="00FA3242" w:rsidP="00FA3242">
      <w:pPr>
        <w:rPr>
          <w:b/>
        </w:rPr>
      </w:pPr>
      <w:r w:rsidRPr="00FA3242">
        <w:rPr>
          <w:b/>
        </w:rPr>
        <w:t>C. Research Questions</w:t>
      </w:r>
    </w:p>
    <w:p w14:paraId="1CA18B02" w14:textId="77777777" w:rsidR="00FA3242" w:rsidRPr="00FA3242" w:rsidRDefault="00FA3242" w:rsidP="00FA3242">
      <w:pPr>
        <w:numPr>
          <w:ilvl w:val="0"/>
          <w:numId w:val="30"/>
        </w:numPr>
      </w:pPr>
      <w:r w:rsidRPr="00FA3242">
        <w:t>Have you experienced any negative consequences from gambling that you would be happy to share?</w:t>
      </w:r>
    </w:p>
    <w:p w14:paraId="7C5E8412" w14:textId="77777777" w:rsidR="00FA3242" w:rsidRPr="00FA3242" w:rsidRDefault="00FA3242" w:rsidP="00FA3242">
      <w:pPr>
        <w:numPr>
          <w:ilvl w:val="0"/>
          <w:numId w:val="30"/>
        </w:numPr>
      </w:pPr>
      <w:r w:rsidRPr="00FA3242">
        <w:t xml:space="preserve">We have identified a lot of different types of negative consequences that people experience from gambling, and they would tend to fall within these broad categories (such as time and money). But we wonder if the source of these harms goes beyond the time or money spent on gambling? </w:t>
      </w:r>
    </w:p>
    <w:p w14:paraId="50FD9728" w14:textId="77777777" w:rsidR="00FA3242" w:rsidRPr="00FA3242" w:rsidRDefault="00FA3242" w:rsidP="00FA3242">
      <w:pPr>
        <w:numPr>
          <w:ilvl w:val="0"/>
          <w:numId w:val="31"/>
        </w:numPr>
      </w:pPr>
      <w:r w:rsidRPr="00FA3242">
        <w:t xml:space="preserve">If you were to spend that same amount of time and money on another activity, say for example </w:t>
      </w:r>
      <w:r w:rsidRPr="00FA3242">
        <w:rPr>
          <w:u w:val="single"/>
        </w:rPr>
        <w:t>fishing</w:t>
      </w:r>
      <w:r w:rsidRPr="00FA3242">
        <w:t xml:space="preserve">, would you experience the same negative consequence at the same level? Would it cause the same level of conflict in your relationship? [ANSWER MOST LIKELY NO]. </w:t>
      </w:r>
      <w:r w:rsidRPr="00FA3242">
        <w:rPr>
          <w:u w:val="single"/>
        </w:rPr>
        <w:t>Fishing</w:t>
      </w:r>
      <w:r w:rsidRPr="00FA3242">
        <w:t xml:space="preserve"> takes up a lot of time, but why are the effects different? </w:t>
      </w:r>
    </w:p>
    <w:p w14:paraId="2B9CB3AC" w14:textId="77777777" w:rsidR="00FA3242" w:rsidRPr="00FA3242" w:rsidRDefault="00FA3242" w:rsidP="00FA3242">
      <w:pPr>
        <w:rPr>
          <w:lang w:val="en-NZ"/>
        </w:rPr>
      </w:pPr>
    </w:p>
    <w:p w14:paraId="35A594AB" w14:textId="77777777" w:rsidR="00FA3242" w:rsidRPr="00FA3242" w:rsidRDefault="00FA3242" w:rsidP="00FA3242">
      <w:pPr>
        <w:numPr>
          <w:ilvl w:val="0"/>
          <w:numId w:val="31"/>
        </w:numPr>
        <w:rPr>
          <w:lang w:val="en-NZ"/>
        </w:rPr>
      </w:pPr>
      <w:r w:rsidRPr="00FA3242">
        <w:rPr>
          <w:lang w:val="en-NZ"/>
        </w:rPr>
        <w:t>What if you had spent money and time trying to start a business, and then lost it all. Would the negative effects still be the same?</w:t>
      </w:r>
    </w:p>
    <w:p w14:paraId="74DD3544" w14:textId="77777777" w:rsidR="00FA3242" w:rsidRPr="00FA3242" w:rsidRDefault="00FA3242" w:rsidP="00FA3242">
      <w:pPr>
        <w:numPr>
          <w:ilvl w:val="0"/>
          <w:numId w:val="31"/>
        </w:numPr>
        <w:rPr>
          <w:lang w:val="en-NZ"/>
        </w:rPr>
      </w:pPr>
      <w:r w:rsidRPr="00FA3242">
        <w:rPr>
          <w:lang w:val="en-NZ"/>
        </w:rPr>
        <w:t>If you were spending money that you could afford to lose and the time was not keeping you from other responsibilities, could there still be harm / negative consequences?</w:t>
      </w:r>
    </w:p>
    <w:p w14:paraId="655155BB" w14:textId="77777777" w:rsidR="00FA3242" w:rsidRPr="00FA3242" w:rsidRDefault="00FA3242" w:rsidP="00FA3242">
      <w:pPr>
        <w:rPr>
          <w:lang w:val="en-NZ"/>
        </w:rPr>
      </w:pPr>
    </w:p>
    <w:p w14:paraId="7C52D3A7" w14:textId="77777777" w:rsidR="00FA3242" w:rsidRPr="00FA3242" w:rsidRDefault="00FA3242" w:rsidP="00FA3242">
      <w:pPr>
        <w:rPr>
          <w:b/>
          <w:u w:val="single"/>
        </w:rPr>
      </w:pPr>
      <w:r w:rsidRPr="00FA3242">
        <w:rPr>
          <w:b/>
          <w:u w:val="single"/>
        </w:rPr>
        <w:t>If discussions don’t progress beyond time and money – use following stories from other discussions:</w:t>
      </w:r>
    </w:p>
    <w:p w14:paraId="108E9D04" w14:textId="77777777" w:rsidR="00FA3242" w:rsidRPr="00FA3242" w:rsidRDefault="00FA3242" w:rsidP="00FA3242">
      <w:pPr>
        <w:numPr>
          <w:ilvl w:val="0"/>
          <w:numId w:val="32"/>
        </w:numPr>
      </w:pPr>
      <w:r w:rsidRPr="00FA3242">
        <w:t>“A retired lady who had plenty of disposable income, wasn't spending that much money, and it wasn't keeping her away from other activities, but she still hated that she was doing it.”</w:t>
      </w:r>
    </w:p>
    <w:p w14:paraId="4A2A52EE" w14:textId="77777777" w:rsidR="00FA3242" w:rsidRPr="00FA3242" w:rsidRDefault="00FA3242" w:rsidP="00FA3242">
      <w:pPr>
        <w:numPr>
          <w:ilvl w:val="0"/>
          <w:numId w:val="32"/>
        </w:numPr>
      </w:pPr>
      <w:r w:rsidRPr="00FA3242">
        <w:t>“Some people have lied about what they are doing because they know family and friends don't like gambling.”</w:t>
      </w:r>
    </w:p>
    <w:p w14:paraId="54BC624E" w14:textId="77777777" w:rsidR="00FA3242" w:rsidRPr="00FA3242" w:rsidRDefault="00FA3242" w:rsidP="00FA3242">
      <w:pPr>
        <w:numPr>
          <w:ilvl w:val="0"/>
          <w:numId w:val="30"/>
        </w:numPr>
      </w:pPr>
      <w:r w:rsidRPr="00FA3242">
        <w:t>What were the earliest negative consequences you can recall? What were some of the early signs of harm?</w:t>
      </w:r>
    </w:p>
    <w:p w14:paraId="5A142F1D" w14:textId="77777777" w:rsidR="00FA3242" w:rsidRPr="00FA3242" w:rsidRDefault="00FA3242" w:rsidP="00FA3242">
      <w:pPr>
        <w:numPr>
          <w:ilvl w:val="0"/>
          <w:numId w:val="30"/>
        </w:numPr>
      </w:pPr>
      <w:r w:rsidRPr="00FA3242">
        <w:t>How have the negative consequences changed over time?</w:t>
      </w:r>
    </w:p>
    <w:p w14:paraId="53605123" w14:textId="77777777" w:rsidR="00FA3242" w:rsidRPr="00FA3242" w:rsidRDefault="00FA3242" w:rsidP="00FA3242">
      <w:pPr>
        <w:numPr>
          <w:ilvl w:val="0"/>
          <w:numId w:val="30"/>
        </w:numPr>
      </w:pPr>
      <w:r w:rsidRPr="00FA3242">
        <w:t>What negative consequences are still experienced because of past gambling?</w:t>
      </w:r>
    </w:p>
    <w:p w14:paraId="3115913E" w14:textId="77777777" w:rsidR="00FA3242" w:rsidRPr="00FA3242" w:rsidRDefault="00FA3242" w:rsidP="00FA3242">
      <w:pPr>
        <w:numPr>
          <w:ilvl w:val="0"/>
          <w:numId w:val="30"/>
        </w:numPr>
      </w:pPr>
      <w:r w:rsidRPr="00FA3242">
        <w:t>What negative consequences will continue being experiencing in the future, even after gambling has stopped?</w:t>
      </w:r>
    </w:p>
    <w:p w14:paraId="2371D616" w14:textId="77777777" w:rsidR="00FA3242" w:rsidRPr="00FA3242" w:rsidRDefault="00FA3242" w:rsidP="00FA3242">
      <w:pPr>
        <w:numPr>
          <w:ilvl w:val="0"/>
          <w:numId w:val="30"/>
        </w:numPr>
      </w:pPr>
      <w:r w:rsidRPr="00FA3242">
        <w:t>What negative consequences has gambling had for others? (e.g partners, children, family, whānau)</w:t>
      </w:r>
    </w:p>
    <w:p w14:paraId="612EC64F" w14:textId="77777777" w:rsidR="00FA3242" w:rsidRPr="00FA3242" w:rsidRDefault="00FA3242" w:rsidP="00FA3242">
      <w:pPr>
        <w:numPr>
          <w:ilvl w:val="0"/>
          <w:numId w:val="30"/>
        </w:numPr>
      </w:pPr>
      <w:r w:rsidRPr="00FA3242">
        <w:t>What negative consequences has gambling had for the community?</w:t>
      </w:r>
    </w:p>
    <w:p w14:paraId="5A7AA701" w14:textId="77777777" w:rsidR="00FA3242" w:rsidRDefault="00FA3242" w:rsidP="00FA3242">
      <w:pPr>
        <w:numPr>
          <w:ilvl w:val="0"/>
          <w:numId w:val="30"/>
        </w:numPr>
      </w:pPr>
      <w:r w:rsidRPr="00FA3242">
        <w:t>Have you experienced or noticed unlawful activities resulting from gambling? For example, taking spare cash from a family member’s wallet?</w:t>
      </w:r>
    </w:p>
    <w:p w14:paraId="64F27447" w14:textId="77777777" w:rsidR="00853A51" w:rsidRDefault="00853A51" w:rsidP="00853A51"/>
    <w:p w14:paraId="4463BD0E" w14:textId="77777777" w:rsidR="00853A51" w:rsidRDefault="00853A51" w:rsidP="00853A51"/>
    <w:p w14:paraId="4158A631" w14:textId="62E49914" w:rsidR="00853A51" w:rsidRDefault="00853A51" w:rsidP="00853A51">
      <w:pPr>
        <w:pStyle w:val="Caption"/>
      </w:pPr>
      <w:r>
        <w:br w:type="column"/>
      </w:r>
      <w:bookmarkStart w:id="428" w:name="_Ref448397877"/>
      <w:bookmarkStart w:id="429" w:name="_Toc462738142"/>
      <w:r>
        <w:lastRenderedPageBreak/>
        <w:t xml:space="preserve">Appendix </w:t>
      </w:r>
      <w:fldSimple w:instr=" SEQ Appendix \* ARABIC ">
        <w:r w:rsidR="0006479A">
          <w:rPr>
            <w:noProof/>
          </w:rPr>
          <w:t>3</w:t>
        </w:r>
      </w:fldSimple>
      <w:bookmarkEnd w:id="428"/>
      <w:r>
        <w:t>. Recruitment advertisements (community newspaper)</w:t>
      </w:r>
      <w:bookmarkEnd w:id="429"/>
    </w:p>
    <w:p w14:paraId="766FED3C" w14:textId="0E588A61" w:rsidR="00853A51" w:rsidRDefault="00853A51" w:rsidP="00853A51">
      <w:pPr>
        <w:ind w:left="0"/>
      </w:pPr>
      <w:r>
        <w:rPr>
          <w:noProof/>
          <w:lang w:val="en-NZ" w:eastAsia="en-NZ"/>
        </w:rPr>
        <w:drawing>
          <wp:inline distT="0" distB="0" distL="0" distR="0" wp14:anchorId="75C15499" wp14:editId="14D7559D">
            <wp:extent cx="4175760" cy="4914128"/>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79972" cy="4919085"/>
                    </a:xfrm>
                    <a:prstGeom prst="rect">
                      <a:avLst/>
                    </a:prstGeom>
                  </pic:spPr>
                </pic:pic>
              </a:graphicData>
            </a:graphic>
          </wp:inline>
        </w:drawing>
      </w:r>
    </w:p>
    <w:p w14:paraId="3EED0039" w14:textId="63D838A6" w:rsidR="00853A51" w:rsidRDefault="00853A51" w:rsidP="00853A51">
      <w:pPr>
        <w:pStyle w:val="Caption"/>
      </w:pPr>
      <w:r>
        <w:br w:type="column"/>
      </w:r>
      <w:bookmarkStart w:id="430" w:name="_Ref448397891"/>
      <w:bookmarkStart w:id="431" w:name="_Toc462738143"/>
      <w:r>
        <w:lastRenderedPageBreak/>
        <w:t xml:space="preserve">Appendix </w:t>
      </w:r>
      <w:fldSimple w:instr=" SEQ Appendix \* ARABIC ">
        <w:r w:rsidR="0006479A">
          <w:rPr>
            <w:noProof/>
          </w:rPr>
          <w:t>4</w:t>
        </w:r>
      </w:fldSimple>
      <w:bookmarkEnd w:id="430"/>
      <w:r>
        <w:t>. A4 sized recruitment posters (general population)</w:t>
      </w:r>
      <w:bookmarkEnd w:id="431"/>
      <w:r>
        <w:t xml:space="preserve"> </w:t>
      </w:r>
    </w:p>
    <w:p w14:paraId="0C58A2A6" w14:textId="3F6473DA" w:rsidR="00853A51" w:rsidRPr="00853A51" w:rsidRDefault="00853A51" w:rsidP="00853A51">
      <w:pPr>
        <w:ind w:left="0"/>
      </w:pPr>
      <w:r>
        <w:rPr>
          <w:noProof/>
          <w:lang w:val="en-NZ" w:eastAsia="en-NZ"/>
        </w:rPr>
        <w:drawing>
          <wp:inline distT="0" distB="0" distL="0" distR="0" wp14:anchorId="0BBD38DB" wp14:editId="3E96570D">
            <wp:extent cx="5731510" cy="8166234"/>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8166234"/>
                    </a:xfrm>
                    <a:prstGeom prst="rect">
                      <a:avLst/>
                    </a:prstGeom>
                  </pic:spPr>
                </pic:pic>
              </a:graphicData>
            </a:graphic>
          </wp:inline>
        </w:drawing>
      </w:r>
    </w:p>
    <w:p w14:paraId="113CF1A5" w14:textId="77777777" w:rsidR="00853A51" w:rsidRDefault="00853A51" w:rsidP="00853A51"/>
    <w:p w14:paraId="6A0EFA31" w14:textId="79F0685F" w:rsidR="00853A51" w:rsidRDefault="00853A51" w:rsidP="00853A51">
      <w:pPr>
        <w:pStyle w:val="Caption"/>
      </w:pPr>
      <w:r>
        <w:br w:type="column"/>
      </w:r>
      <w:bookmarkStart w:id="432" w:name="_Ref448397906"/>
      <w:bookmarkStart w:id="433" w:name="_Toc462738144"/>
      <w:r>
        <w:lastRenderedPageBreak/>
        <w:t xml:space="preserve">Appendix </w:t>
      </w:r>
      <w:fldSimple w:instr=" SEQ Appendix \* ARABIC ">
        <w:r w:rsidR="0006479A">
          <w:rPr>
            <w:noProof/>
          </w:rPr>
          <w:t>5</w:t>
        </w:r>
      </w:fldSimple>
      <w:bookmarkEnd w:id="432"/>
      <w:r>
        <w:t>. Advertisements using supermarket customer cards</w:t>
      </w:r>
      <w:bookmarkEnd w:id="433"/>
      <w:r>
        <w:t xml:space="preserve"> </w:t>
      </w:r>
    </w:p>
    <w:p w14:paraId="7D936CD3" w14:textId="1F77DCAE" w:rsidR="00853A51" w:rsidRPr="00853A51" w:rsidRDefault="00853A51" w:rsidP="00853A51">
      <w:pPr>
        <w:ind w:left="0"/>
      </w:pPr>
      <w:r>
        <w:rPr>
          <w:noProof/>
          <w:lang w:val="en-NZ" w:eastAsia="en-NZ"/>
        </w:rPr>
        <w:drawing>
          <wp:inline distT="0" distB="0" distL="0" distR="0" wp14:anchorId="5459D2AE" wp14:editId="14F44464">
            <wp:extent cx="3845284" cy="3602451"/>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56926" cy="3613358"/>
                    </a:xfrm>
                    <a:prstGeom prst="rect">
                      <a:avLst/>
                    </a:prstGeom>
                  </pic:spPr>
                </pic:pic>
              </a:graphicData>
            </a:graphic>
          </wp:inline>
        </w:drawing>
      </w:r>
    </w:p>
    <w:p w14:paraId="6A6C1349" w14:textId="77777777" w:rsidR="00853A51" w:rsidRDefault="00853A51" w:rsidP="00853A51"/>
    <w:p w14:paraId="4F2CB721" w14:textId="725CC3ED" w:rsidR="00853A51" w:rsidRDefault="00853A51" w:rsidP="00853A51">
      <w:pPr>
        <w:pStyle w:val="Caption"/>
      </w:pPr>
      <w:r>
        <w:br w:type="column"/>
      </w:r>
      <w:bookmarkStart w:id="434" w:name="_Ref448397917"/>
      <w:bookmarkStart w:id="435" w:name="_Toc462738145"/>
      <w:r>
        <w:lastRenderedPageBreak/>
        <w:t xml:space="preserve">Appendix </w:t>
      </w:r>
      <w:fldSimple w:instr=" SEQ Appendix \* ARABIC ">
        <w:r w:rsidR="0006479A">
          <w:rPr>
            <w:noProof/>
          </w:rPr>
          <w:t>6</w:t>
        </w:r>
      </w:fldSimple>
      <w:bookmarkEnd w:id="434"/>
      <w:r>
        <w:t>. A4 sized recruitment posters (M</w:t>
      </w:r>
      <w:r w:rsidRPr="00853A51">
        <w:t>ā</w:t>
      </w:r>
      <w:r>
        <w:t>ori participants)</w:t>
      </w:r>
      <w:bookmarkEnd w:id="435"/>
      <w:r>
        <w:t xml:space="preserve"> </w:t>
      </w:r>
    </w:p>
    <w:p w14:paraId="244B9EDD" w14:textId="2F3F4DCB" w:rsidR="00FA3242" w:rsidRDefault="00853A51" w:rsidP="00853A51">
      <w:pPr>
        <w:ind w:left="0"/>
      </w:pPr>
      <w:r>
        <w:rPr>
          <w:noProof/>
          <w:lang w:val="en-NZ" w:eastAsia="en-NZ"/>
        </w:rPr>
        <w:drawing>
          <wp:inline distT="0" distB="0" distL="0" distR="0" wp14:anchorId="65E8F45A" wp14:editId="34F3095F">
            <wp:extent cx="5705535" cy="80899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13254" cy="8100845"/>
                    </a:xfrm>
                    <a:prstGeom prst="rect">
                      <a:avLst/>
                    </a:prstGeom>
                  </pic:spPr>
                </pic:pic>
              </a:graphicData>
            </a:graphic>
          </wp:inline>
        </w:drawing>
      </w:r>
    </w:p>
    <w:p w14:paraId="041A42DB" w14:textId="77777777" w:rsidR="00FA3242" w:rsidRDefault="00FA3242" w:rsidP="00B97789">
      <w:pPr>
        <w:pStyle w:val="Caption"/>
      </w:pPr>
    </w:p>
    <w:p w14:paraId="1ED1BA8B" w14:textId="39D41ADD" w:rsidR="00815ABC" w:rsidRDefault="00853A51" w:rsidP="00B97789">
      <w:pPr>
        <w:pStyle w:val="Caption"/>
      </w:pPr>
      <w:r>
        <w:br w:type="column"/>
      </w:r>
      <w:bookmarkStart w:id="436" w:name="_Ref448409050"/>
      <w:bookmarkStart w:id="437" w:name="_Toc462738146"/>
      <w:r w:rsidR="00B97789">
        <w:lastRenderedPageBreak/>
        <w:t xml:space="preserve">Appendix </w:t>
      </w:r>
      <w:fldSimple w:instr=" SEQ Appendix \* ARABIC ">
        <w:r w:rsidR="0006479A">
          <w:rPr>
            <w:noProof/>
          </w:rPr>
          <w:t>7</w:t>
        </w:r>
      </w:fldSimple>
      <w:bookmarkEnd w:id="425"/>
      <w:bookmarkEnd w:id="436"/>
      <w:r w:rsidR="00B97789">
        <w:t>. Abbreviated and full item labels for potential harms arising from gambling</w:t>
      </w:r>
      <w:bookmarkEnd w:id="437"/>
    </w:p>
    <w:tbl>
      <w:tblPr>
        <w:tblW w:w="4870" w:type="pct"/>
        <w:tblLook w:val="04A0" w:firstRow="1" w:lastRow="0" w:firstColumn="1" w:lastColumn="0" w:noHBand="0" w:noVBand="1"/>
      </w:tblPr>
      <w:tblGrid>
        <w:gridCol w:w="1716"/>
        <w:gridCol w:w="7046"/>
      </w:tblGrid>
      <w:tr w:rsidR="00B97789" w:rsidRPr="006D0B3F" w14:paraId="262FA5EE" w14:textId="77777777" w:rsidTr="00455FAC">
        <w:trPr>
          <w:trHeight w:val="249"/>
          <w:tblHeader/>
        </w:trPr>
        <w:tc>
          <w:tcPr>
            <w:tcW w:w="979" w:type="pct"/>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49DB5C90" w14:textId="77777777" w:rsidR="00B97789" w:rsidRPr="006D0B3F" w:rsidRDefault="00B97789" w:rsidP="00455FAC">
            <w:pPr>
              <w:tabs>
                <w:tab w:val="clear" w:pos="426"/>
              </w:tabs>
              <w:spacing w:before="0" w:after="0" w:line="240" w:lineRule="auto"/>
              <w:ind w:left="0" w:right="0"/>
              <w:rPr>
                <w:rFonts w:cs="Arial"/>
                <w:b/>
                <w:bCs/>
                <w:color w:val="1C3158"/>
                <w:sz w:val="18"/>
                <w:lang w:eastAsia="ja-JP"/>
              </w:rPr>
            </w:pPr>
            <w:r w:rsidRPr="006D0B3F">
              <w:rPr>
                <w:rFonts w:cs="Arial"/>
                <w:b/>
                <w:bCs/>
                <w:color w:val="1C3158"/>
                <w:sz w:val="18"/>
                <w:lang w:eastAsia="ja-JP"/>
              </w:rPr>
              <w:t>Item abbreviation</w:t>
            </w:r>
          </w:p>
        </w:tc>
        <w:tc>
          <w:tcPr>
            <w:tcW w:w="4021" w:type="pct"/>
            <w:tcBorders>
              <w:top w:val="single" w:sz="12" w:space="0" w:color="FF9E3C"/>
              <w:left w:val="nil"/>
              <w:bottom w:val="single" w:sz="12" w:space="0" w:color="FF9E3C"/>
              <w:right w:val="single" w:sz="12" w:space="0" w:color="FF9E3C"/>
            </w:tcBorders>
            <w:shd w:val="clear" w:color="000000" w:fill="FFBC64"/>
            <w:vAlign w:val="center"/>
            <w:hideMark/>
          </w:tcPr>
          <w:p w14:paraId="7F7AD44E" w14:textId="77777777" w:rsidR="00B97789" w:rsidRPr="006D0B3F" w:rsidRDefault="00B97789" w:rsidP="00455FAC">
            <w:pPr>
              <w:tabs>
                <w:tab w:val="clear" w:pos="426"/>
              </w:tabs>
              <w:spacing w:before="0" w:after="0" w:line="240" w:lineRule="auto"/>
              <w:ind w:left="0" w:right="0"/>
              <w:jc w:val="center"/>
              <w:rPr>
                <w:rFonts w:cs="Arial"/>
                <w:b/>
                <w:bCs/>
                <w:color w:val="1C3158"/>
                <w:sz w:val="18"/>
                <w:lang w:eastAsia="ja-JP"/>
              </w:rPr>
            </w:pPr>
            <w:r w:rsidRPr="006D0B3F">
              <w:rPr>
                <w:rFonts w:cs="Arial"/>
                <w:b/>
                <w:bCs/>
                <w:color w:val="1C3158"/>
                <w:sz w:val="18"/>
                <w:lang w:eastAsia="ja-JP"/>
              </w:rPr>
              <w:t>Full item label</w:t>
            </w:r>
          </w:p>
        </w:tc>
      </w:tr>
      <w:tr w:rsidR="00B97789" w:rsidRPr="006D0B3F" w14:paraId="6EE6868B" w14:textId="77777777" w:rsidTr="00455FAC">
        <w:trPr>
          <w:trHeight w:val="249"/>
        </w:trPr>
        <w:tc>
          <w:tcPr>
            <w:tcW w:w="5000" w:type="pct"/>
            <w:gridSpan w:val="2"/>
            <w:tcBorders>
              <w:top w:val="single" w:sz="12" w:space="0" w:color="FF9E3C"/>
              <w:left w:val="single" w:sz="12" w:space="0" w:color="FF9E3C"/>
              <w:bottom w:val="single" w:sz="12" w:space="0" w:color="FF9E3C"/>
              <w:right w:val="single" w:sz="12" w:space="0" w:color="FF9E3C"/>
            </w:tcBorders>
            <w:shd w:val="clear" w:color="000000" w:fill="FFD8A3"/>
            <w:vAlign w:val="center"/>
            <w:hideMark/>
          </w:tcPr>
          <w:p w14:paraId="0CFD5D07" w14:textId="77777777" w:rsidR="00B97789" w:rsidRPr="006D0B3F" w:rsidRDefault="00B97789" w:rsidP="00455FAC">
            <w:pPr>
              <w:tabs>
                <w:tab w:val="clear" w:pos="426"/>
              </w:tabs>
              <w:spacing w:before="0" w:after="0" w:line="240" w:lineRule="auto"/>
              <w:ind w:left="0" w:right="0"/>
              <w:jc w:val="center"/>
              <w:rPr>
                <w:rFonts w:cs="Arial"/>
                <w:b/>
                <w:bCs/>
                <w:color w:val="1C3158"/>
                <w:sz w:val="18"/>
                <w:lang w:eastAsia="ja-JP"/>
              </w:rPr>
            </w:pPr>
            <w:r w:rsidRPr="006D0B3F">
              <w:rPr>
                <w:rFonts w:cs="Arial"/>
                <w:b/>
                <w:bCs/>
                <w:color w:val="1C3158"/>
                <w:sz w:val="18"/>
                <w:lang w:eastAsia="ja-JP"/>
              </w:rPr>
              <w:t xml:space="preserve">Financial </w:t>
            </w:r>
          </w:p>
        </w:tc>
      </w:tr>
      <w:tr w:rsidR="00B97789" w:rsidRPr="006D0B3F" w14:paraId="5A0559E0"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CC47AC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Assist. Marae</w:t>
            </w:r>
          </w:p>
        </w:tc>
        <w:tc>
          <w:tcPr>
            <w:tcW w:w="4021" w:type="pct"/>
            <w:tcBorders>
              <w:top w:val="nil"/>
              <w:left w:val="nil"/>
              <w:bottom w:val="single" w:sz="12" w:space="0" w:color="FF9E3C"/>
              <w:right w:val="single" w:sz="12" w:space="0" w:color="FF9E3C"/>
            </w:tcBorders>
            <w:shd w:val="clear" w:color="auto" w:fill="auto"/>
            <w:vAlign w:val="center"/>
            <w:hideMark/>
          </w:tcPr>
          <w:p w14:paraId="38A62C7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 xml:space="preserve">Required assistance from your </w:t>
            </w:r>
            <w:r>
              <w:rPr>
                <w:rFonts w:cs="Arial"/>
                <w:color w:val="1C3158"/>
                <w:sz w:val="18"/>
                <w:lang w:eastAsia="ja-JP"/>
              </w:rPr>
              <w:t>m</w:t>
            </w:r>
            <w:r w:rsidRPr="006D0B3F">
              <w:rPr>
                <w:rFonts w:cs="Arial"/>
                <w:color w:val="1C3158"/>
                <w:sz w:val="18"/>
                <w:lang w:eastAsia="ja-JP"/>
              </w:rPr>
              <w:t>arae community</w:t>
            </w:r>
          </w:p>
        </w:tc>
      </w:tr>
      <w:tr w:rsidR="00B97789" w:rsidRPr="006D0B3F" w14:paraId="24378C02"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A55D57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Bankruptcy</w:t>
            </w:r>
          </w:p>
        </w:tc>
        <w:tc>
          <w:tcPr>
            <w:tcW w:w="4021" w:type="pct"/>
            <w:tcBorders>
              <w:top w:val="nil"/>
              <w:left w:val="nil"/>
              <w:bottom w:val="single" w:sz="12" w:space="0" w:color="FF9E3C"/>
              <w:right w:val="single" w:sz="12" w:space="0" w:color="FF9E3C"/>
            </w:tcBorders>
            <w:shd w:val="clear" w:color="auto" w:fill="auto"/>
            <w:vAlign w:val="center"/>
            <w:hideMark/>
          </w:tcPr>
          <w:p w14:paraId="69EC2AE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Bankruptcy</w:t>
            </w:r>
          </w:p>
        </w:tc>
      </w:tr>
      <w:tr w:rsidR="00B97789" w:rsidRPr="006D0B3F" w14:paraId="25BB855B"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0202EE4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Add. Employ.</w:t>
            </w:r>
          </w:p>
        </w:tc>
        <w:tc>
          <w:tcPr>
            <w:tcW w:w="4021" w:type="pct"/>
            <w:tcBorders>
              <w:top w:val="nil"/>
              <w:left w:val="nil"/>
              <w:bottom w:val="single" w:sz="12" w:space="0" w:color="FF9E3C"/>
              <w:right w:val="single" w:sz="12" w:space="0" w:color="FF9E3C"/>
            </w:tcBorders>
            <w:shd w:val="clear" w:color="auto" w:fill="auto"/>
            <w:vAlign w:val="center"/>
            <w:hideMark/>
          </w:tcPr>
          <w:p w14:paraId="457B496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Took on additional employment</w:t>
            </w:r>
          </w:p>
        </w:tc>
      </w:tr>
      <w:tr w:rsidR="00B97789" w:rsidRPr="006D0B3F" w14:paraId="19C5FA09"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5F7C07D"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Emerg. Acc.</w:t>
            </w:r>
          </w:p>
        </w:tc>
        <w:tc>
          <w:tcPr>
            <w:tcW w:w="4021" w:type="pct"/>
            <w:tcBorders>
              <w:top w:val="nil"/>
              <w:left w:val="nil"/>
              <w:bottom w:val="single" w:sz="12" w:space="0" w:color="FF9E3C"/>
              <w:right w:val="single" w:sz="12" w:space="0" w:color="FF9E3C"/>
            </w:tcBorders>
            <w:shd w:val="clear" w:color="auto" w:fill="auto"/>
            <w:vAlign w:val="center"/>
            <w:hideMark/>
          </w:tcPr>
          <w:p w14:paraId="2CA03961"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Needed emergency or temporary accommodation</w:t>
            </w:r>
          </w:p>
        </w:tc>
      </w:tr>
      <w:tr w:rsidR="00B97789" w:rsidRPr="006D0B3F" w14:paraId="37CDB2AF"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B15DCC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Loss Assets</w:t>
            </w:r>
          </w:p>
        </w:tc>
        <w:tc>
          <w:tcPr>
            <w:tcW w:w="4021" w:type="pct"/>
            <w:tcBorders>
              <w:top w:val="nil"/>
              <w:left w:val="nil"/>
              <w:bottom w:val="single" w:sz="12" w:space="0" w:color="FF9E3C"/>
              <w:right w:val="single" w:sz="12" w:space="0" w:color="FF9E3C"/>
            </w:tcBorders>
            <w:shd w:val="clear" w:color="auto" w:fill="auto"/>
            <w:vAlign w:val="center"/>
            <w:hideMark/>
          </w:tcPr>
          <w:p w14:paraId="70C45A6B"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Loss of significant assets (e.g. car, home, business, superannuation)</w:t>
            </w:r>
          </w:p>
        </w:tc>
      </w:tr>
      <w:tr w:rsidR="00B97789" w:rsidRPr="006D0B3F" w14:paraId="38E50E27"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94CA82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Loss Utilities</w:t>
            </w:r>
          </w:p>
        </w:tc>
        <w:tc>
          <w:tcPr>
            <w:tcW w:w="4021" w:type="pct"/>
            <w:tcBorders>
              <w:top w:val="nil"/>
              <w:left w:val="nil"/>
              <w:bottom w:val="single" w:sz="12" w:space="0" w:color="FF9E3C"/>
              <w:right w:val="single" w:sz="12" w:space="0" w:color="FF9E3C"/>
            </w:tcBorders>
            <w:shd w:val="clear" w:color="auto" w:fill="auto"/>
            <w:vAlign w:val="center"/>
            <w:hideMark/>
          </w:tcPr>
          <w:p w14:paraId="3CDB01E9"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Loss of supply of utilities (electricity, gas, etc.)</w:t>
            </w:r>
          </w:p>
        </w:tc>
      </w:tr>
      <w:tr w:rsidR="00B97789" w:rsidRPr="006D0B3F" w14:paraId="0B1AEEB6"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465CC51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Welfare</w:t>
            </w:r>
          </w:p>
        </w:tc>
        <w:tc>
          <w:tcPr>
            <w:tcW w:w="4021" w:type="pct"/>
            <w:tcBorders>
              <w:top w:val="nil"/>
              <w:left w:val="nil"/>
              <w:bottom w:val="single" w:sz="12" w:space="0" w:color="FF9E3C"/>
              <w:right w:val="single" w:sz="12" w:space="0" w:color="FF9E3C"/>
            </w:tcBorders>
            <w:shd w:val="clear" w:color="auto" w:fill="auto"/>
            <w:vAlign w:val="center"/>
            <w:hideMark/>
          </w:tcPr>
          <w:p w14:paraId="7001AB71"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Needed assistance from welfare organisations (foodbanks or emergency bill payments)</w:t>
            </w:r>
          </w:p>
        </w:tc>
      </w:tr>
      <w:tr w:rsidR="00B97789" w:rsidRPr="006D0B3F" w14:paraId="6C773949"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3447BE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Inc. CC debt</w:t>
            </w:r>
          </w:p>
        </w:tc>
        <w:tc>
          <w:tcPr>
            <w:tcW w:w="4021" w:type="pct"/>
            <w:tcBorders>
              <w:top w:val="nil"/>
              <w:left w:val="nil"/>
              <w:bottom w:val="single" w:sz="12" w:space="0" w:color="FF9E3C"/>
              <w:right w:val="single" w:sz="12" w:space="0" w:color="FF9E3C"/>
            </w:tcBorders>
            <w:shd w:val="clear" w:color="auto" w:fill="auto"/>
            <w:vAlign w:val="center"/>
            <w:hideMark/>
          </w:tcPr>
          <w:p w14:paraId="155156A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Increased credit card debt</w:t>
            </w:r>
          </w:p>
        </w:tc>
      </w:tr>
      <w:tr w:rsidR="00B97789" w:rsidRPr="006D0B3F" w14:paraId="187DC162"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4DD8AD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Sold Items</w:t>
            </w:r>
          </w:p>
        </w:tc>
        <w:tc>
          <w:tcPr>
            <w:tcW w:w="4021" w:type="pct"/>
            <w:tcBorders>
              <w:top w:val="nil"/>
              <w:left w:val="nil"/>
              <w:bottom w:val="single" w:sz="12" w:space="0" w:color="FF9E3C"/>
              <w:right w:val="single" w:sz="12" w:space="0" w:color="FF9E3C"/>
            </w:tcBorders>
            <w:shd w:val="clear" w:color="auto" w:fill="auto"/>
            <w:vAlign w:val="center"/>
            <w:hideMark/>
          </w:tcPr>
          <w:p w14:paraId="32238A4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Sold personal items</w:t>
            </w:r>
          </w:p>
        </w:tc>
      </w:tr>
      <w:tr w:rsidR="00B97789" w:rsidRPr="006D0B3F" w14:paraId="299869DD"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B70876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 xml:space="preserve">Ass. </w:t>
            </w:r>
            <w:r>
              <w:rPr>
                <w:rFonts w:cs="Arial"/>
                <w:color w:val="1C3158"/>
                <w:sz w:val="18"/>
                <w:lang w:eastAsia="ja-JP"/>
              </w:rPr>
              <w:t>Whānau</w:t>
            </w:r>
          </w:p>
        </w:tc>
        <w:tc>
          <w:tcPr>
            <w:tcW w:w="4021" w:type="pct"/>
            <w:tcBorders>
              <w:top w:val="nil"/>
              <w:left w:val="nil"/>
              <w:bottom w:val="single" w:sz="12" w:space="0" w:color="FF9E3C"/>
              <w:right w:val="single" w:sz="12" w:space="0" w:color="FF9E3C"/>
            </w:tcBorders>
            <w:shd w:val="clear" w:color="auto" w:fill="auto"/>
            <w:vAlign w:val="center"/>
            <w:hideMark/>
          </w:tcPr>
          <w:p w14:paraId="1708044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 xml:space="preserve">Required assistance from </w:t>
            </w:r>
            <w:r>
              <w:rPr>
                <w:rFonts w:cs="Arial"/>
                <w:color w:val="1C3158"/>
                <w:sz w:val="18"/>
                <w:lang w:eastAsia="ja-JP"/>
              </w:rPr>
              <w:t>whānau</w:t>
            </w:r>
            <w:r w:rsidRPr="006D0B3F">
              <w:rPr>
                <w:rFonts w:cs="Arial"/>
                <w:color w:val="1C3158"/>
                <w:sz w:val="18"/>
                <w:lang w:eastAsia="ja-JP"/>
              </w:rPr>
              <w:t>/family</w:t>
            </w:r>
          </w:p>
        </w:tc>
      </w:tr>
      <w:tr w:rsidR="00B97789" w:rsidRPr="006D0B3F" w14:paraId="0B4ED45B"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7220FD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Ess. Exp.</w:t>
            </w:r>
          </w:p>
        </w:tc>
        <w:tc>
          <w:tcPr>
            <w:tcW w:w="4021" w:type="pct"/>
            <w:tcBorders>
              <w:top w:val="nil"/>
              <w:left w:val="nil"/>
              <w:bottom w:val="single" w:sz="12" w:space="0" w:color="FF9E3C"/>
              <w:right w:val="single" w:sz="12" w:space="0" w:color="FF9E3C"/>
            </w:tcBorders>
            <w:shd w:val="clear" w:color="auto" w:fill="auto"/>
            <w:vAlign w:val="center"/>
            <w:hideMark/>
          </w:tcPr>
          <w:p w14:paraId="50C75D30"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Less spending on essential expenses such as medications, healthcare and food</w:t>
            </w:r>
          </w:p>
        </w:tc>
      </w:tr>
      <w:tr w:rsidR="00B97789" w:rsidRPr="006D0B3F" w14:paraId="72602930" w14:textId="77777777" w:rsidTr="00455FAC">
        <w:trPr>
          <w:trHeight w:val="22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A35595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Ben. Exp.</w:t>
            </w:r>
          </w:p>
        </w:tc>
        <w:tc>
          <w:tcPr>
            <w:tcW w:w="4021" w:type="pct"/>
            <w:tcBorders>
              <w:top w:val="nil"/>
              <w:left w:val="nil"/>
              <w:bottom w:val="single" w:sz="12" w:space="0" w:color="FF9E3C"/>
              <w:right w:val="single" w:sz="12" w:space="0" w:color="FF9E3C"/>
            </w:tcBorders>
            <w:shd w:val="clear" w:color="auto" w:fill="auto"/>
            <w:vAlign w:val="center"/>
            <w:hideMark/>
          </w:tcPr>
          <w:p w14:paraId="1BB10D8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Less spending on beneficial expenses such as insurances, education, car and home maintenance</w:t>
            </w:r>
          </w:p>
        </w:tc>
      </w:tr>
      <w:tr w:rsidR="00B97789" w:rsidRPr="006D0B3F" w14:paraId="2AF73369"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E19050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Late Bills</w:t>
            </w:r>
          </w:p>
        </w:tc>
        <w:tc>
          <w:tcPr>
            <w:tcW w:w="4021" w:type="pct"/>
            <w:tcBorders>
              <w:top w:val="nil"/>
              <w:left w:val="nil"/>
              <w:bottom w:val="single" w:sz="12" w:space="0" w:color="FF9E3C"/>
              <w:right w:val="single" w:sz="12" w:space="0" w:color="FF9E3C"/>
            </w:tcBorders>
            <w:shd w:val="clear" w:color="auto" w:fill="auto"/>
            <w:vAlign w:val="center"/>
            <w:hideMark/>
          </w:tcPr>
          <w:p w14:paraId="50E2E1A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Late payments on bills (e.g. utilities, rates)</w:t>
            </w:r>
          </w:p>
        </w:tc>
      </w:tr>
      <w:tr w:rsidR="00B97789" w:rsidRPr="006D0B3F" w14:paraId="4C1B4006"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87C0D0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Savings</w:t>
            </w:r>
          </w:p>
        </w:tc>
        <w:tc>
          <w:tcPr>
            <w:tcW w:w="4021" w:type="pct"/>
            <w:tcBorders>
              <w:top w:val="nil"/>
              <w:left w:val="nil"/>
              <w:bottom w:val="single" w:sz="12" w:space="0" w:color="FF9E3C"/>
              <w:right w:val="single" w:sz="12" w:space="0" w:color="FF9E3C"/>
            </w:tcBorders>
            <w:shd w:val="clear" w:color="auto" w:fill="auto"/>
            <w:vAlign w:val="center"/>
            <w:hideMark/>
          </w:tcPr>
          <w:p w14:paraId="7A0C7CC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Reduction of my savings</w:t>
            </w:r>
          </w:p>
        </w:tc>
      </w:tr>
      <w:tr w:rsidR="00B97789" w:rsidRPr="006D0B3F" w14:paraId="2FBE2F3B" w14:textId="77777777" w:rsidTr="00455FAC">
        <w:trPr>
          <w:trHeight w:val="432"/>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4C73F15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Rec. Exp.</w:t>
            </w:r>
          </w:p>
        </w:tc>
        <w:tc>
          <w:tcPr>
            <w:tcW w:w="4021" w:type="pct"/>
            <w:tcBorders>
              <w:top w:val="nil"/>
              <w:left w:val="nil"/>
              <w:bottom w:val="single" w:sz="12" w:space="0" w:color="FF9E3C"/>
              <w:right w:val="single" w:sz="12" w:space="0" w:color="FF9E3C"/>
            </w:tcBorders>
            <w:shd w:val="clear" w:color="auto" w:fill="auto"/>
            <w:vAlign w:val="center"/>
            <w:hideMark/>
          </w:tcPr>
          <w:p w14:paraId="16FE2AD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Less spending on recreational expenses such as eating out, going to movies or other entertainment.</w:t>
            </w:r>
          </w:p>
        </w:tc>
      </w:tr>
      <w:tr w:rsidR="00B97789" w:rsidRPr="006D0B3F" w14:paraId="2EDE6BF9"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E26BBF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Spending</w:t>
            </w:r>
          </w:p>
        </w:tc>
        <w:tc>
          <w:tcPr>
            <w:tcW w:w="4021" w:type="pct"/>
            <w:tcBorders>
              <w:top w:val="nil"/>
              <w:left w:val="nil"/>
              <w:bottom w:val="single" w:sz="12" w:space="0" w:color="FF9E3C"/>
              <w:right w:val="single" w:sz="12" w:space="0" w:color="FF9E3C"/>
            </w:tcBorders>
            <w:shd w:val="clear" w:color="auto" w:fill="auto"/>
            <w:vAlign w:val="center"/>
            <w:hideMark/>
          </w:tcPr>
          <w:p w14:paraId="1F05717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Reduction of my available spending money</w:t>
            </w:r>
          </w:p>
        </w:tc>
      </w:tr>
      <w:tr w:rsidR="00B97789" w:rsidRPr="006D0B3F" w14:paraId="42F553E3" w14:textId="77777777" w:rsidTr="00455FAC">
        <w:trPr>
          <w:trHeight w:val="249"/>
        </w:trPr>
        <w:tc>
          <w:tcPr>
            <w:tcW w:w="5000" w:type="pct"/>
            <w:gridSpan w:val="2"/>
            <w:tcBorders>
              <w:top w:val="single" w:sz="12" w:space="0" w:color="FF9E3C"/>
              <w:left w:val="single" w:sz="12" w:space="0" w:color="FF9E3C"/>
              <w:bottom w:val="single" w:sz="12" w:space="0" w:color="FF9E3C"/>
              <w:right w:val="single" w:sz="12" w:space="0" w:color="FF9E3C"/>
            </w:tcBorders>
            <w:shd w:val="clear" w:color="000000" w:fill="FFD8A3"/>
            <w:vAlign w:val="center"/>
            <w:hideMark/>
          </w:tcPr>
          <w:p w14:paraId="25E0FA76" w14:textId="77777777" w:rsidR="00B97789" w:rsidRPr="006D0B3F" w:rsidRDefault="00B97789" w:rsidP="00455FAC">
            <w:pPr>
              <w:tabs>
                <w:tab w:val="clear" w:pos="426"/>
              </w:tabs>
              <w:spacing w:before="0" w:after="0" w:line="240" w:lineRule="auto"/>
              <w:ind w:left="0" w:right="0"/>
              <w:jc w:val="center"/>
              <w:rPr>
                <w:rFonts w:cs="Arial"/>
                <w:b/>
                <w:bCs/>
                <w:color w:val="1C3158"/>
                <w:sz w:val="18"/>
                <w:lang w:eastAsia="ja-JP"/>
              </w:rPr>
            </w:pPr>
            <w:r w:rsidRPr="006D0B3F">
              <w:rPr>
                <w:rFonts w:cs="Arial"/>
                <w:b/>
                <w:bCs/>
                <w:color w:val="1C3158"/>
                <w:sz w:val="18"/>
                <w:lang w:eastAsia="ja-JP"/>
              </w:rPr>
              <w:t>Work/Study</w:t>
            </w:r>
          </w:p>
        </w:tc>
      </w:tr>
      <w:tr w:rsidR="00B97789" w:rsidRPr="006D0B3F" w14:paraId="66E3E6AE"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8A00F31"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Exc. Study</w:t>
            </w:r>
          </w:p>
        </w:tc>
        <w:tc>
          <w:tcPr>
            <w:tcW w:w="4021" w:type="pct"/>
            <w:tcBorders>
              <w:top w:val="nil"/>
              <w:left w:val="nil"/>
              <w:bottom w:val="single" w:sz="12" w:space="0" w:color="FF9E3C"/>
              <w:right w:val="single" w:sz="12" w:space="0" w:color="FF9E3C"/>
            </w:tcBorders>
            <w:shd w:val="clear" w:color="auto" w:fill="auto"/>
            <w:vAlign w:val="center"/>
            <w:hideMark/>
          </w:tcPr>
          <w:p w14:paraId="0F73C1F1"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Excluded from study</w:t>
            </w:r>
          </w:p>
        </w:tc>
      </w:tr>
      <w:tr w:rsidR="00B97789" w:rsidRPr="006D0B3F" w14:paraId="2B24A5DE"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015A0E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Lost Job</w:t>
            </w:r>
          </w:p>
        </w:tc>
        <w:tc>
          <w:tcPr>
            <w:tcW w:w="4021" w:type="pct"/>
            <w:tcBorders>
              <w:top w:val="nil"/>
              <w:left w:val="nil"/>
              <w:bottom w:val="single" w:sz="12" w:space="0" w:color="FF9E3C"/>
              <w:right w:val="single" w:sz="12" w:space="0" w:color="FF9E3C"/>
            </w:tcBorders>
            <w:shd w:val="clear" w:color="auto" w:fill="auto"/>
            <w:vAlign w:val="center"/>
            <w:hideMark/>
          </w:tcPr>
          <w:p w14:paraId="68CA121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Lost my job</w:t>
            </w:r>
          </w:p>
        </w:tc>
      </w:tr>
      <w:tr w:rsidR="00B97789" w:rsidRPr="006D0B3F" w14:paraId="092C67CC"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7FC0140"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Conflict Class.</w:t>
            </w:r>
          </w:p>
        </w:tc>
        <w:tc>
          <w:tcPr>
            <w:tcW w:w="4021" w:type="pct"/>
            <w:tcBorders>
              <w:top w:val="nil"/>
              <w:left w:val="nil"/>
              <w:bottom w:val="single" w:sz="12" w:space="0" w:color="FF9E3C"/>
              <w:right w:val="single" w:sz="12" w:space="0" w:color="FF9E3C"/>
            </w:tcBorders>
            <w:shd w:val="clear" w:color="auto" w:fill="auto"/>
            <w:vAlign w:val="center"/>
            <w:hideMark/>
          </w:tcPr>
          <w:p w14:paraId="59C8D8A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Conflict with my classmates</w:t>
            </w:r>
          </w:p>
        </w:tc>
      </w:tr>
      <w:tr w:rsidR="00B97789" w:rsidRPr="006D0B3F" w14:paraId="55266F81"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0796AA8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Withdraw</w:t>
            </w:r>
          </w:p>
        </w:tc>
        <w:tc>
          <w:tcPr>
            <w:tcW w:w="4021" w:type="pct"/>
            <w:tcBorders>
              <w:top w:val="nil"/>
              <w:left w:val="nil"/>
              <w:bottom w:val="single" w:sz="12" w:space="0" w:color="FF9E3C"/>
              <w:right w:val="single" w:sz="12" w:space="0" w:color="FF9E3C"/>
            </w:tcBorders>
            <w:shd w:val="clear" w:color="auto" w:fill="auto"/>
            <w:vAlign w:val="center"/>
            <w:hideMark/>
          </w:tcPr>
          <w:p w14:paraId="3A1866A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Had to withdraw from study</w:t>
            </w:r>
          </w:p>
        </w:tc>
      </w:tr>
      <w:tr w:rsidR="00B97789" w:rsidRPr="006D0B3F" w14:paraId="41246C73"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E907E1B"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Conflict Coll.</w:t>
            </w:r>
          </w:p>
        </w:tc>
        <w:tc>
          <w:tcPr>
            <w:tcW w:w="4021" w:type="pct"/>
            <w:tcBorders>
              <w:top w:val="nil"/>
              <w:left w:val="nil"/>
              <w:bottom w:val="single" w:sz="12" w:space="0" w:color="FF9E3C"/>
              <w:right w:val="single" w:sz="12" w:space="0" w:color="FF9E3C"/>
            </w:tcBorders>
            <w:shd w:val="clear" w:color="auto" w:fill="auto"/>
            <w:vAlign w:val="center"/>
            <w:hideMark/>
          </w:tcPr>
          <w:p w14:paraId="4842AE4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Conflict with my colleagues</w:t>
            </w:r>
          </w:p>
        </w:tc>
      </w:tr>
      <w:tr w:rsidR="00B97789" w:rsidRPr="006D0B3F" w14:paraId="318FAD23"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D615A6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Resources</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0AD53CF1"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Used my work or study resources to gamble</w:t>
            </w:r>
          </w:p>
        </w:tc>
      </w:tr>
      <w:tr w:rsidR="00B97789" w:rsidRPr="006D0B3F" w14:paraId="06852056"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FF1EB68"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Hind. Job Efforts</w:t>
            </w:r>
          </w:p>
        </w:tc>
        <w:tc>
          <w:tcPr>
            <w:tcW w:w="4021" w:type="pct"/>
            <w:tcBorders>
              <w:top w:val="nil"/>
              <w:left w:val="nil"/>
              <w:bottom w:val="single" w:sz="12" w:space="0" w:color="FF9E3C"/>
              <w:right w:val="single" w:sz="12" w:space="0" w:color="FF9E3C"/>
            </w:tcBorders>
            <w:shd w:val="clear" w:color="auto" w:fill="auto"/>
            <w:vAlign w:val="center"/>
            <w:hideMark/>
          </w:tcPr>
          <w:p w14:paraId="2EE0F0DD"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Hindered my job-seeking efforts</w:t>
            </w:r>
          </w:p>
        </w:tc>
      </w:tr>
      <w:tr w:rsidR="00B97789" w:rsidRPr="006D0B3F" w14:paraId="397F6F23"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C3632B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Lack Progress</w:t>
            </w:r>
          </w:p>
        </w:tc>
        <w:tc>
          <w:tcPr>
            <w:tcW w:w="4021" w:type="pct"/>
            <w:tcBorders>
              <w:top w:val="nil"/>
              <w:left w:val="nil"/>
              <w:bottom w:val="single" w:sz="12" w:space="0" w:color="FF9E3C"/>
              <w:right w:val="single" w:sz="12" w:space="0" w:color="FF9E3C"/>
            </w:tcBorders>
            <w:shd w:val="clear" w:color="auto" w:fill="auto"/>
            <w:vAlign w:val="center"/>
            <w:hideMark/>
          </w:tcPr>
          <w:p w14:paraId="0645A960"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Lack of progression in my job or study</w:t>
            </w:r>
          </w:p>
        </w:tc>
      </w:tr>
      <w:tr w:rsidR="00B97789" w:rsidRPr="006D0B3F" w14:paraId="579FE34E"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8D7727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Time</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2C4E6C5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Used my work or study time to gamble</w:t>
            </w:r>
          </w:p>
        </w:tc>
      </w:tr>
      <w:tr w:rsidR="00B97789" w:rsidRPr="006D0B3F" w14:paraId="4D0ADADC"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BE01808"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Absent</w:t>
            </w:r>
          </w:p>
        </w:tc>
        <w:tc>
          <w:tcPr>
            <w:tcW w:w="4021" w:type="pct"/>
            <w:tcBorders>
              <w:top w:val="nil"/>
              <w:left w:val="nil"/>
              <w:bottom w:val="single" w:sz="12" w:space="0" w:color="FF9E3C"/>
              <w:right w:val="single" w:sz="12" w:space="0" w:color="FF9E3C"/>
            </w:tcBorders>
            <w:shd w:val="clear" w:color="auto" w:fill="auto"/>
            <w:vAlign w:val="center"/>
            <w:hideMark/>
          </w:tcPr>
          <w:p w14:paraId="4F06A59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Was absent from work or study</w:t>
            </w:r>
          </w:p>
        </w:tc>
      </w:tr>
      <w:tr w:rsidR="00B97789" w:rsidRPr="006D0B3F" w14:paraId="7805CE20"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47AF75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 xml:space="preserve">Late </w:t>
            </w:r>
          </w:p>
        </w:tc>
        <w:tc>
          <w:tcPr>
            <w:tcW w:w="4021" w:type="pct"/>
            <w:tcBorders>
              <w:top w:val="nil"/>
              <w:left w:val="nil"/>
              <w:bottom w:val="single" w:sz="12" w:space="0" w:color="FF9E3C"/>
              <w:right w:val="single" w:sz="12" w:space="0" w:color="FF9E3C"/>
            </w:tcBorders>
            <w:shd w:val="clear" w:color="auto" w:fill="auto"/>
            <w:vAlign w:val="center"/>
            <w:hideMark/>
          </w:tcPr>
          <w:p w14:paraId="6C6EF6F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Was late for work or study</w:t>
            </w:r>
          </w:p>
        </w:tc>
      </w:tr>
      <w:tr w:rsidR="00B97789" w:rsidRPr="006D0B3F" w14:paraId="57858BD3"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1C1A4D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Perform.</w:t>
            </w:r>
          </w:p>
        </w:tc>
        <w:tc>
          <w:tcPr>
            <w:tcW w:w="4021" w:type="pct"/>
            <w:tcBorders>
              <w:top w:val="nil"/>
              <w:left w:val="nil"/>
              <w:bottom w:val="single" w:sz="12" w:space="0" w:color="FF9E3C"/>
              <w:right w:val="single" w:sz="12" w:space="0" w:color="FF9E3C"/>
            </w:tcBorders>
            <w:shd w:val="clear" w:color="auto" w:fill="auto"/>
            <w:vAlign w:val="center"/>
            <w:hideMark/>
          </w:tcPr>
          <w:p w14:paraId="4CDD0E9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Reduced performance at work or study (i.e. due to tiredness or distraction)</w:t>
            </w:r>
          </w:p>
        </w:tc>
      </w:tr>
      <w:tr w:rsidR="00B97789" w:rsidRPr="006D0B3F" w14:paraId="1873AFBE" w14:textId="77777777" w:rsidTr="00455FAC">
        <w:trPr>
          <w:trHeight w:val="249"/>
        </w:trPr>
        <w:tc>
          <w:tcPr>
            <w:tcW w:w="5000" w:type="pct"/>
            <w:gridSpan w:val="2"/>
            <w:tcBorders>
              <w:top w:val="single" w:sz="12" w:space="0" w:color="FF9E3C"/>
              <w:left w:val="single" w:sz="12" w:space="0" w:color="FF9E3C"/>
              <w:bottom w:val="single" w:sz="12" w:space="0" w:color="FF9E3C"/>
              <w:right w:val="single" w:sz="12" w:space="0" w:color="FF9E3C"/>
            </w:tcBorders>
            <w:shd w:val="clear" w:color="000000" w:fill="FFD8A3"/>
            <w:vAlign w:val="center"/>
            <w:hideMark/>
          </w:tcPr>
          <w:p w14:paraId="3951F6BE" w14:textId="77777777" w:rsidR="00B97789" w:rsidRPr="006D0B3F" w:rsidRDefault="00B97789" w:rsidP="00455FAC">
            <w:pPr>
              <w:tabs>
                <w:tab w:val="clear" w:pos="426"/>
              </w:tabs>
              <w:spacing w:before="0" w:after="0" w:line="240" w:lineRule="auto"/>
              <w:ind w:left="0" w:right="0"/>
              <w:jc w:val="center"/>
              <w:rPr>
                <w:rFonts w:cs="Arial"/>
                <w:b/>
                <w:bCs/>
                <w:color w:val="1C3158"/>
                <w:sz w:val="18"/>
                <w:lang w:eastAsia="ja-JP"/>
              </w:rPr>
            </w:pPr>
            <w:r w:rsidRPr="006D0B3F">
              <w:rPr>
                <w:rFonts w:cs="Arial"/>
                <w:b/>
                <w:bCs/>
                <w:color w:val="1C3158"/>
                <w:sz w:val="18"/>
                <w:lang w:eastAsia="ja-JP"/>
              </w:rPr>
              <w:t>Health</w:t>
            </w:r>
          </w:p>
        </w:tc>
      </w:tr>
      <w:tr w:rsidR="00B97789" w:rsidRPr="006D0B3F" w14:paraId="234AA4E1" w14:textId="77777777" w:rsidTr="00455FAC">
        <w:trPr>
          <w:trHeight w:val="443"/>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929C1E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Emerg. Treat.</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42005F09"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Required emergency medical treatment for health issues caused or exacerbated by gambling</w:t>
            </w:r>
          </w:p>
        </w:tc>
      </w:tr>
      <w:tr w:rsidR="00B97789" w:rsidRPr="006D0B3F" w14:paraId="576C9B83"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01A3FF98"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Self-Harm</w:t>
            </w:r>
          </w:p>
        </w:tc>
        <w:tc>
          <w:tcPr>
            <w:tcW w:w="4021" w:type="pct"/>
            <w:tcBorders>
              <w:top w:val="nil"/>
              <w:left w:val="nil"/>
              <w:bottom w:val="single" w:sz="12" w:space="0" w:color="FF9E3C"/>
              <w:right w:val="single" w:sz="12" w:space="0" w:color="FF9E3C"/>
            </w:tcBorders>
            <w:shd w:val="clear" w:color="auto" w:fill="auto"/>
            <w:vAlign w:val="center"/>
            <w:hideMark/>
          </w:tcPr>
          <w:p w14:paraId="0B91120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Committed acts of self harm</w:t>
            </w:r>
          </w:p>
        </w:tc>
      </w:tr>
      <w:tr w:rsidR="00B97789" w:rsidRPr="006D0B3F" w14:paraId="4936DB9B"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7C96CC30"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Suicide</w:t>
            </w:r>
          </w:p>
        </w:tc>
        <w:tc>
          <w:tcPr>
            <w:tcW w:w="4021" w:type="pct"/>
            <w:tcBorders>
              <w:top w:val="nil"/>
              <w:left w:val="nil"/>
              <w:bottom w:val="single" w:sz="12" w:space="0" w:color="FF9E3C"/>
              <w:right w:val="single" w:sz="12" w:space="0" w:color="FF9E3C"/>
            </w:tcBorders>
            <w:shd w:val="clear" w:color="auto" w:fill="auto"/>
            <w:vAlign w:val="center"/>
            <w:hideMark/>
          </w:tcPr>
          <w:p w14:paraId="40243CA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Attempted suicide</w:t>
            </w:r>
          </w:p>
        </w:tc>
      </w:tr>
      <w:tr w:rsidR="00B97789" w:rsidRPr="006D0B3F" w14:paraId="1F15B4D4"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893B17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Overeating</w:t>
            </w:r>
          </w:p>
        </w:tc>
        <w:tc>
          <w:tcPr>
            <w:tcW w:w="4021" w:type="pct"/>
            <w:tcBorders>
              <w:top w:val="nil"/>
              <w:left w:val="nil"/>
              <w:bottom w:val="single" w:sz="12" w:space="0" w:color="FF9E3C"/>
              <w:right w:val="single" w:sz="12" w:space="0" w:color="FF9E3C"/>
            </w:tcBorders>
            <w:shd w:val="clear" w:color="auto" w:fill="auto"/>
            <w:vAlign w:val="center"/>
            <w:hideMark/>
          </w:tcPr>
          <w:p w14:paraId="350BC1C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Ate too much</w:t>
            </w:r>
          </w:p>
        </w:tc>
      </w:tr>
      <w:tr w:rsidR="00B97789" w:rsidRPr="006D0B3F" w14:paraId="57F9D250" w14:textId="77777777" w:rsidTr="00455FAC">
        <w:trPr>
          <w:trHeight w:val="22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EC6F21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Service</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51417A3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Increased use of health services due to health issues caused or exacerbated by my gambling</w:t>
            </w:r>
          </w:p>
        </w:tc>
      </w:tr>
      <w:tr w:rsidR="00B97789" w:rsidRPr="006D0B3F" w14:paraId="3411E2B6"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606347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Living Cond.</w:t>
            </w:r>
          </w:p>
        </w:tc>
        <w:tc>
          <w:tcPr>
            <w:tcW w:w="4021" w:type="pct"/>
            <w:tcBorders>
              <w:top w:val="nil"/>
              <w:left w:val="nil"/>
              <w:bottom w:val="single" w:sz="12" w:space="0" w:color="FF9E3C"/>
              <w:right w:val="single" w:sz="12" w:space="0" w:color="FF9E3C"/>
            </w:tcBorders>
            <w:shd w:val="clear" w:color="auto" w:fill="auto"/>
            <w:vAlign w:val="center"/>
            <w:hideMark/>
          </w:tcPr>
          <w:p w14:paraId="57174DD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Unhygienic living conditions (living rough, neglected or unclean housing, etc)</w:t>
            </w:r>
          </w:p>
        </w:tc>
      </w:tr>
      <w:tr w:rsidR="00B97789" w:rsidRPr="006D0B3F" w14:paraId="65764570"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D331D09"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Medical Needs</w:t>
            </w:r>
          </w:p>
        </w:tc>
        <w:tc>
          <w:tcPr>
            <w:tcW w:w="4021" w:type="pct"/>
            <w:tcBorders>
              <w:top w:val="nil"/>
              <w:left w:val="nil"/>
              <w:bottom w:val="single" w:sz="12" w:space="0" w:color="FF9E3C"/>
              <w:right w:val="single" w:sz="12" w:space="0" w:color="FF9E3C"/>
            </w:tcBorders>
            <w:shd w:val="clear" w:color="auto" w:fill="auto"/>
            <w:vAlign w:val="center"/>
            <w:hideMark/>
          </w:tcPr>
          <w:p w14:paraId="1CEDAF99"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Neglected my medical needs (including taking prescribed medications)</w:t>
            </w:r>
          </w:p>
        </w:tc>
      </w:tr>
      <w:tr w:rsidR="00B97789" w:rsidRPr="006D0B3F" w14:paraId="43ADA6EF"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0552D71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Hygiene</w:t>
            </w:r>
          </w:p>
        </w:tc>
        <w:tc>
          <w:tcPr>
            <w:tcW w:w="4021" w:type="pct"/>
            <w:tcBorders>
              <w:top w:val="nil"/>
              <w:left w:val="nil"/>
              <w:bottom w:val="single" w:sz="12" w:space="0" w:color="FF9E3C"/>
              <w:right w:val="single" w:sz="12" w:space="0" w:color="FF9E3C"/>
            </w:tcBorders>
            <w:shd w:val="clear" w:color="auto" w:fill="auto"/>
            <w:vAlign w:val="center"/>
            <w:hideMark/>
          </w:tcPr>
          <w:p w14:paraId="56137649"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Neglected my hygiene and self-care</w:t>
            </w:r>
          </w:p>
        </w:tc>
      </w:tr>
      <w:tr w:rsidR="00B97789" w:rsidRPr="006D0B3F" w14:paraId="294371B2"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77EA058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Alcohol</w:t>
            </w:r>
          </w:p>
        </w:tc>
        <w:tc>
          <w:tcPr>
            <w:tcW w:w="4021" w:type="pct"/>
            <w:tcBorders>
              <w:top w:val="nil"/>
              <w:left w:val="nil"/>
              <w:bottom w:val="single" w:sz="12" w:space="0" w:color="FF9E3C"/>
              <w:right w:val="single" w:sz="12" w:space="0" w:color="FF9E3C"/>
            </w:tcBorders>
            <w:shd w:val="clear" w:color="auto" w:fill="auto"/>
            <w:vAlign w:val="center"/>
            <w:hideMark/>
          </w:tcPr>
          <w:p w14:paraId="67E3CD2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Increased my consumption of alcohol</w:t>
            </w:r>
          </w:p>
        </w:tc>
      </w:tr>
      <w:tr w:rsidR="00B97789" w:rsidRPr="006D0B3F" w14:paraId="0C6D96B4"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B6D898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Tobacco</w:t>
            </w:r>
          </w:p>
        </w:tc>
        <w:tc>
          <w:tcPr>
            <w:tcW w:w="4021" w:type="pct"/>
            <w:tcBorders>
              <w:top w:val="nil"/>
              <w:left w:val="nil"/>
              <w:bottom w:val="single" w:sz="12" w:space="0" w:color="FF9E3C"/>
              <w:right w:val="single" w:sz="12" w:space="0" w:color="FF9E3C"/>
            </w:tcBorders>
            <w:shd w:val="clear" w:color="auto" w:fill="auto"/>
            <w:vAlign w:val="center"/>
            <w:hideMark/>
          </w:tcPr>
          <w:p w14:paraId="54423EB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Increased my use of tobacco</w:t>
            </w:r>
          </w:p>
        </w:tc>
      </w:tr>
      <w:tr w:rsidR="00B97789" w:rsidRPr="006D0B3F" w14:paraId="1FAD7CE0"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33B3A2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lastRenderedPageBreak/>
              <w:t>Malnutrition</w:t>
            </w:r>
          </w:p>
        </w:tc>
        <w:tc>
          <w:tcPr>
            <w:tcW w:w="4021" w:type="pct"/>
            <w:tcBorders>
              <w:top w:val="nil"/>
              <w:left w:val="nil"/>
              <w:bottom w:val="single" w:sz="12" w:space="0" w:color="FF9E3C"/>
              <w:right w:val="single" w:sz="12" w:space="0" w:color="FF9E3C"/>
            </w:tcBorders>
            <w:shd w:val="clear" w:color="auto" w:fill="auto"/>
            <w:vAlign w:val="center"/>
            <w:hideMark/>
          </w:tcPr>
          <w:p w14:paraId="7232BDE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Didn’t eat as much or often as I should</w:t>
            </w:r>
          </w:p>
        </w:tc>
      </w:tr>
      <w:tr w:rsidR="00B97789" w:rsidRPr="006D0B3F" w14:paraId="4F456755"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D9C6B60"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Depression</w:t>
            </w:r>
          </w:p>
        </w:tc>
        <w:tc>
          <w:tcPr>
            <w:tcW w:w="4021" w:type="pct"/>
            <w:tcBorders>
              <w:top w:val="nil"/>
              <w:left w:val="nil"/>
              <w:bottom w:val="single" w:sz="12" w:space="0" w:color="FF9E3C"/>
              <w:right w:val="single" w:sz="12" w:space="0" w:color="FF9E3C"/>
            </w:tcBorders>
            <w:shd w:val="clear" w:color="auto" w:fill="auto"/>
            <w:vAlign w:val="center"/>
            <w:hideMark/>
          </w:tcPr>
          <w:p w14:paraId="54D01F1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Increased experience of depression</w:t>
            </w:r>
          </w:p>
        </w:tc>
      </w:tr>
      <w:tr w:rsidR="00B97789" w:rsidRPr="006D0B3F" w14:paraId="3E076BB5"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49A07A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Physical Activity</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1423D74D"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Reduced physical activity due to my gambling</w:t>
            </w:r>
          </w:p>
        </w:tc>
      </w:tr>
      <w:tr w:rsidR="00B97789" w:rsidRPr="006D0B3F" w14:paraId="63D151F5"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DBBC43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Stress Problems</w:t>
            </w:r>
          </w:p>
        </w:tc>
        <w:tc>
          <w:tcPr>
            <w:tcW w:w="4021" w:type="pct"/>
            <w:tcBorders>
              <w:top w:val="nil"/>
              <w:left w:val="nil"/>
              <w:bottom w:val="single" w:sz="12" w:space="0" w:color="FF9E3C"/>
              <w:right w:val="single" w:sz="12" w:space="0" w:color="FF9E3C"/>
            </w:tcBorders>
            <w:shd w:val="clear" w:color="auto" w:fill="auto"/>
            <w:vAlign w:val="center"/>
            <w:hideMark/>
          </w:tcPr>
          <w:p w14:paraId="67633411"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Stress related health problems (e.g. high blood pressure, headaches)</w:t>
            </w:r>
          </w:p>
        </w:tc>
      </w:tr>
      <w:tr w:rsidR="00B97789" w:rsidRPr="006D0B3F" w14:paraId="59FC033F"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7041FF6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Sleep Gamb.</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2EF0766D"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Loss of sleep due to spending time gambling</w:t>
            </w:r>
          </w:p>
        </w:tc>
      </w:tr>
      <w:tr w:rsidR="00B97789" w:rsidRPr="006D0B3F" w14:paraId="155E6337"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41564F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Sleep Worry</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33CE88A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Loss of sleep due to stress or worry about gambling or gambling-related problems</w:t>
            </w:r>
          </w:p>
        </w:tc>
      </w:tr>
      <w:tr w:rsidR="00B97789" w:rsidRPr="006D0B3F" w14:paraId="615F1A6A" w14:textId="77777777" w:rsidTr="00455FAC">
        <w:trPr>
          <w:trHeight w:val="249"/>
        </w:trPr>
        <w:tc>
          <w:tcPr>
            <w:tcW w:w="5000" w:type="pct"/>
            <w:gridSpan w:val="2"/>
            <w:tcBorders>
              <w:top w:val="single" w:sz="12" w:space="0" w:color="FF9E3C"/>
              <w:left w:val="single" w:sz="12" w:space="0" w:color="FF9E3C"/>
              <w:bottom w:val="single" w:sz="12" w:space="0" w:color="FF9E3C"/>
              <w:right w:val="single" w:sz="12" w:space="0" w:color="FF9E3C"/>
            </w:tcBorders>
            <w:shd w:val="clear" w:color="000000" w:fill="FFD8A3"/>
            <w:vAlign w:val="center"/>
            <w:hideMark/>
          </w:tcPr>
          <w:p w14:paraId="6110ECF3" w14:textId="77777777" w:rsidR="00B97789" w:rsidRPr="006D0B3F" w:rsidRDefault="00B97789" w:rsidP="00455FAC">
            <w:pPr>
              <w:tabs>
                <w:tab w:val="clear" w:pos="426"/>
              </w:tabs>
              <w:spacing w:before="0" w:after="0" w:line="240" w:lineRule="auto"/>
              <w:ind w:left="0" w:right="0"/>
              <w:jc w:val="center"/>
              <w:rPr>
                <w:rFonts w:cs="Arial"/>
                <w:b/>
                <w:bCs/>
                <w:color w:val="1C3158"/>
                <w:sz w:val="18"/>
                <w:lang w:eastAsia="ja-JP"/>
              </w:rPr>
            </w:pPr>
            <w:r w:rsidRPr="006D0B3F">
              <w:rPr>
                <w:rFonts w:cs="Arial"/>
                <w:b/>
                <w:bCs/>
                <w:color w:val="1C3158"/>
                <w:sz w:val="18"/>
                <w:lang w:eastAsia="ja-JP"/>
              </w:rPr>
              <w:t>Emo</w:t>
            </w:r>
            <w:r>
              <w:rPr>
                <w:rFonts w:cs="Arial"/>
                <w:b/>
                <w:bCs/>
                <w:color w:val="1C3158"/>
                <w:sz w:val="18"/>
                <w:lang w:eastAsia="ja-JP"/>
              </w:rPr>
              <w:t>tional</w:t>
            </w:r>
            <w:r w:rsidRPr="006D0B3F">
              <w:rPr>
                <w:rFonts w:cs="Arial"/>
                <w:b/>
                <w:bCs/>
                <w:color w:val="1C3158"/>
                <w:sz w:val="18"/>
                <w:lang w:eastAsia="ja-JP"/>
              </w:rPr>
              <w:t>/Psy</w:t>
            </w:r>
            <w:r>
              <w:rPr>
                <w:rFonts w:cs="Arial"/>
                <w:b/>
                <w:bCs/>
                <w:color w:val="1C3158"/>
                <w:sz w:val="18"/>
                <w:lang w:eastAsia="ja-JP"/>
              </w:rPr>
              <w:t>chological</w:t>
            </w:r>
          </w:p>
        </w:tc>
      </w:tr>
      <w:tr w:rsidR="00B97789" w:rsidRPr="006D0B3F" w14:paraId="7B7BA35B"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885432E"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Mental Illness</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4B6EFA0D"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like I might have a mental illness</w:t>
            </w:r>
          </w:p>
        </w:tc>
      </w:tr>
      <w:tr w:rsidR="00B97789" w:rsidRPr="006D0B3F" w14:paraId="1741A122"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136C3B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Escape</w:t>
            </w:r>
          </w:p>
        </w:tc>
        <w:tc>
          <w:tcPr>
            <w:tcW w:w="4021" w:type="pct"/>
            <w:tcBorders>
              <w:top w:val="nil"/>
              <w:left w:val="nil"/>
              <w:bottom w:val="single" w:sz="12" w:space="0" w:color="FF9E3C"/>
              <w:right w:val="single" w:sz="12" w:space="0" w:color="FF9E3C"/>
            </w:tcBorders>
            <w:shd w:val="clear" w:color="auto" w:fill="auto"/>
            <w:vAlign w:val="center"/>
            <w:hideMark/>
          </w:tcPr>
          <w:p w14:paraId="3CFED51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Thoughts of running away or escape</w:t>
            </w:r>
          </w:p>
        </w:tc>
      </w:tr>
      <w:tr w:rsidR="00B97789" w:rsidRPr="006D0B3F" w14:paraId="1EFC3CEF"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4BCF5DA8"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Worthless</w:t>
            </w:r>
          </w:p>
        </w:tc>
        <w:tc>
          <w:tcPr>
            <w:tcW w:w="4021" w:type="pct"/>
            <w:tcBorders>
              <w:top w:val="nil"/>
              <w:left w:val="nil"/>
              <w:bottom w:val="single" w:sz="12" w:space="0" w:color="FF9E3C"/>
              <w:right w:val="single" w:sz="12" w:space="0" w:color="FF9E3C"/>
            </w:tcBorders>
            <w:shd w:val="clear" w:color="auto" w:fill="auto"/>
            <w:vAlign w:val="center"/>
            <w:hideMark/>
          </w:tcPr>
          <w:p w14:paraId="6D48DAB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worthless</w:t>
            </w:r>
          </w:p>
        </w:tc>
      </w:tr>
      <w:tr w:rsidR="00B97789" w:rsidRPr="006D0B3F" w14:paraId="27292327"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4DBA602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Ext. Distress</w:t>
            </w:r>
          </w:p>
        </w:tc>
        <w:tc>
          <w:tcPr>
            <w:tcW w:w="4021" w:type="pct"/>
            <w:tcBorders>
              <w:top w:val="nil"/>
              <w:left w:val="nil"/>
              <w:bottom w:val="single" w:sz="12" w:space="0" w:color="FF9E3C"/>
              <w:right w:val="single" w:sz="12" w:space="0" w:color="FF9E3C"/>
            </w:tcBorders>
            <w:shd w:val="clear" w:color="auto" w:fill="auto"/>
            <w:vAlign w:val="center"/>
            <w:hideMark/>
          </w:tcPr>
          <w:p w14:paraId="0208D03B"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Feelings of extreme distress</w:t>
            </w:r>
          </w:p>
        </w:tc>
      </w:tr>
      <w:tr w:rsidR="00B97789" w:rsidRPr="006D0B3F" w14:paraId="3F48B8E7"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7036601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Vulnerable</w:t>
            </w:r>
          </w:p>
        </w:tc>
        <w:tc>
          <w:tcPr>
            <w:tcW w:w="4021" w:type="pct"/>
            <w:tcBorders>
              <w:top w:val="nil"/>
              <w:left w:val="nil"/>
              <w:bottom w:val="single" w:sz="12" w:space="0" w:color="FF9E3C"/>
              <w:right w:val="single" w:sz="12" w:space="0" w:color="FF9E3C"/>
            </w:tcBorders>
            <w:shd w:val="clear" w:color="auto" w:fill="auto"/>
            <w:vAlign w:val="center"/>
            <w:hideMark/>
          </w:tcPr>
          <w:p w14:paraId="711149C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insecure or vulnerable</w:t>
            </w:r>
          </w:p>
        </w:tc>
      </w:tr>
      <w:tr w:rsidR="00B97789" w:rsidRPr="006D0B3F" w14:paraId="566CDA91"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3EA4CC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Failure</w:t>
            </w:r>
          </w:p>
        </w:tc>
        <w:tc>
          <w:tcPr>
            <w:tcW w:w="4021" w:type="pct"/>
            <w:tcBorders>
              <w:top w:val="nil"/>
              <w:left w:val="nil"/>
              <w:bottom w:val="single" w:sz="12" w:space="0" w:color="FF9E3C"/>
              <w:right w:val="single" w:sz="12" w:space="0" w:color="FF9E3C"/>
            </w:tcBorders>
            <w:shd w:val="clear" w:color="auto" w:fill="auto"/>
            <w:vAlign w:val="center"/>
            <w:hideMark/>
          </w:tcPr>
          <w:p w14:paraId="2E8F9C5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like a failure</w:t>
            </w:r>
          </w:p>
        </w:tc>
      </w:tr>
      <w:tr w:rsidR="00B97789" w:rsidRPr="006D0B3F" w14:paraId="17BBCF5A"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909D248"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Hopeless.</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78D4D351"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Feelings of hopelessness about gambling</w:t>
            </w:r>
          </w:p>
        </w:tc>
      </w:tr>
      <w:tr w:rsidR="00B97789" w:rsidRPr="006D0B3F" w14:paraId="3E2D894D"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B0E6C2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Distress</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1358512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distressed about my gambling</w:t>
            </w:r>
          </w:p>
        </w:tc>
      </w:tr>
      <w:tr w:rsidR="00B97789" w:rsidRPr="006D0B3F" w14:paraId="7E597195"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73F923C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Anger</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37DEEDE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angry about not controlling my gambling</w:t>
            </w:r>
          </w:p>
        </w:tc>
      </w:tr>
      <w:tr w:rsidR="00B97789" w:rsidRPr="006D0B3F" w14:paraId="52EE0AC7"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486769F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Shame</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42585CD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ashamed of my gambling</w:t>
            </w:r>
          </w:p>
        </w:tc>
      </w:tr>
      <w:tr w:rsidR="00B97789" w:rsidRPr="006D0B3F" w14:paraId="5A96477A"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120655D" w14:textId="77777777" w:rsidR="00B97789" w:rsidRDefault="00B97789" w:rsidP="00455FAC">
            <w:pPr>
              <w:tabs>
                <w:tab w:val="clear" w:pos="426"/>
              </w:tabs>
              <w:spacing w:before="0" w:after="0" w:line="240" w:lineRule="auto"/>
              <w:ind w:left="0" w:right="0"/>
              <w:rPr>
                <w:rFonts w:ascii="Calibri" w:hAnsi="Calibri" w:cs="Arial"/>
                <w:color w:val="1C3158"/>
                <w:sz w:val="18"/>
                <w:vertAlign w:val="subscript"/>
                <w:lang w:eastAsia="ja-JP"/>
              </w:rPr>
            </w:pPr>
            <w:r w:rsidRPr="006D0B3F">
              <w:rPr>
                <w:rFonts w:cs="Arial"/>
                <w:color w:val="1C3158"/>
                <w:sz w:val="18"/>
                <w:lang w:eastAsia="ja-JP"/>
              </w:rPr>
              <w:t>Regret</w:t>
            </w:r>
            <w:r w:rsidRPr="006D0B3F">
              <w:rPr>
                <w:rFonts w:ascii="Calibri" w:hAnsi="Calibri" w:cs="Arial"/>
                <w:color w:val="1C3158"/>
                <w:sz w:val="18"/>
                <w:vertAlign w:val="subscript"/>
                <w:lang w:eastAsia="ja-JP"/>
              </w:rPr>
              <w:t>a</w:t>
            </w:r>
          </w:p>
          <w:p w14:paraId="22DD57E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p>
        </w:tc>
        <w:tc>
          <w:tcPr>
            <w:tcW w:w="4021" w:type="pct"/>
            <w:tcBorders>
              <w:top w:val="nil"/>
              <w:left w:val="nil"/>
              <w:bottom w:val="single" w:sz="12" w:space="0" w:color="FF9E3C"/>
              <w:right w:val="single" w:sz="12" w:space="0" w:color="FF9E3C"/>
            </w:tcBorders>
            <w:shd w:val="clear" w:color="auto" w:fill="auto"/>
            <w:vAlign w:val="center"/>
            <w:hideMark/>
          </w:tcPr>
          <w:p w14:paraId="208339AD" w14:textId="77777777" w:rsidR="00B97789"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Had regrets that made me feel sorry about my gambling</w:t>
            </w:r>
          </w:p>
          <w:p w14:paraId="6548711F" w14:textId="77777777" w:rsidR="00B97789" w:rsidRDefault="00B97789" w:rsidP="00455FAC">
            <w:pPr>
              <w:tabs>
                <w:tab w:val="clear" w:pos="426"/>
              </w:tabs>
              <w:spacing w:before="0" w:after="0" w:line="240" w:lineRule="auto"/>
              <w:ind w:left="0" w:right="0"/>
              <w:rPr>
                <w:rFonts w:cs="Arial"/>
                <w:color w:val="1C3158"/>
                <w:sz w:val="18"/>
                <w:lang w:eastAsia="ja-JP"/>
              </w:rPr>
            </w:pPr>
          </w:p>
          <w:p w14:paraId="272892D9" w14:textId="77777777" w:rsidR="00B97789" w:rsidRPr="006D0B3F" w:rsidRDefault="00B97789" w:rsidP="00455FAC">
            <w:pPr>
              <w:tabs>
                <w:tab w:val="clear" w:pos="426"/>
              </w:tabs>
              <w:spacing w:before="0" w:after="0" w:line="240" w:lineRule="auto"/>
              <w:ind w:left="0" w:right="0"/>
              <w:rPr>
                <w:rFonts w:cs="Arial"/>
                <w:color w:val="1C3158"/>
                <w:sz w:val="18"/>
                <w:lang w:eastAsia="ja-JP"/>
              </w:rPr>
            </w:pPr>
          </w:p>
        </w:tc>
      </w:tr>
      <w:tr w:rsidR="00B97789" w:rsidRPr="006D0B3F" w14:paraId="21AE7A5C" w14:textId="77777777" w:rsidTr="00455FAC">
        <w:trPr>
          <w:trHeight w:val="249"/>
        </w:trPr>
        <w:tc>
          <w:tcPr>
            <w:tcW w:w="5000" w:type="pct"/>
            <w:gridSpan w:val="2"/>
            <w:tcBorders>
              <w:top w:val="single" w:sz="12" w:space="0" w:color="FF9E3C"/>
              <w:left w:val="single" w:sz="12" w:space="0" w:color="FF9E3C"/>
              <w:bottom w:val="single" w:sz="12" w:space="0" w:color="FF9E3C"/>
              <w:right w:val="single" w:sz="12" w:space="0" w:color="FF9E3C"/>
            </w:tcBorders>
            <w:shd w:val="clear" w:color="000000" w:fill="FFD8A3"/>
            <w:vAlign w:val="center"/>
            <w:hideMark/>
          </w:tcPr>
          <w:p w14:paraId="5240F972" w14:textId="77777777" w:rsidR="00B97789" w:rsidRPr="006D0B3F" w:rsidRDefault="00B97789" w:rsidP="00455FAC">
            <w:pPr>
              <w:tabs>
                <w:tab w:val="clear" w:pos="426"/>
              </w:tabs>
              <w:spacing w:before="0" w:after="0" w:line="240" w:lineRule="auto"/>
              <w:ind w:left="0" w:right="0"/>
              <w:jc w:val="center"/>
              <w:rPr>
                <w:rFonts w:cs="Arial"/>
                <w:b/>
                <w:bCs/>
                <w:color w:val="1C3158"/>
                <w:sz w:val="18"/>
                <w:lang w:eastAsia="ja-JP"/>
              </w:rPr>
            </w:pPr>
            <w:r w:rsidRPr="006D0B3F">
              <w:rPr>
                <w:rFonts w:cs="Arial"/>
                <w:b/>
                <w:bCs/>
                <w:color w:val="1C3158"/>
                <w:sz w:val="18"/>
                <w:lang w:eastAsia="ja-JP"/>
              </w:rPr>
              <w:t>Relationships</w:t>
            </w:r>
          </w:p>
        </w:tc>
      </w:tr>
      <w:tr w:rsidR="00B97789" w:rsidRPr="006D0B3F" w14:paraId="376B64B0"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D98DD2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Actual Ending</w:t>
            </w:r>
          </w:p>
        </w:tc>
        <w:tc>
          <w:tcPr>
            <w:tcW w:w="4021" w:type="pct"/>
            <w:tcBorders>
              <w:top w:val="nil"/>
              <w:left w:val="nil"/>
              <w:bottom w:val="single" w:sz="12" w:space="0" w:color="FF9E3C"/>
              <w:right w:val="single" w:sz="12" w:space="0" w:color="FF9E3C"/>
            </w:tcBorders>
            <w:shd w:val="clear" w:color="auto" w:fill="auto"/>
            <w:vAlign w:val="center"/>
            <w:hideMark/>
          </w:tcPr>
          <w:p w14:paraId="2C6846A8"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Actual separation or ending a relationship/s</w:t>
            </w:r>
          </w:p>
        </w:tc>
      </w:tr>
      <w:tr w:rsidR="00B97789" w:rsidRPr="006D0B3F" w14:paraId="5DFE1028"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E027C9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Exp. Violence</w:t>
            </w:r>
          </w:p>
        </w:tc>
        <w:tc>
          <w:tcPr>
            <w:tcW w:w="4021" w:type="pct"/>
            <w:tcBorders>
              <w:top w:val="nil"/>
              <w:left w:val="nil"/>
              <w:bottom w:val="single" w:sz="12" w:space="0" w:color="FF9E3C"/>
              <w:right w:val="single" w:sz="12" w:space="0" w:color="FF9E3C"/>
            </w:tcBorders>
            <w:shd w:val="clear" w:color="auto" w:fill="auto"/>
            <w:vAlign w:val="center"/>
            <w:hideMark/>
          </w:tcPr>
          <w:p w14:paraId="30739A9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Experienced physical or emotional violence in my relationships</w:t>
            </w:r>
          </w:p>
        </w:tc>
      </w:tr>
      <w:tr w:rsidR="00B97789" w:rsidRPr="006D0B3F" w14:paraId="769F80CF"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76BEBA0D"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Belittled</w:t>
            </w:r>
          </w:p>
        </w:tc>
        <w:tc>
          <w:tcPr>
            <w:tcW w:w="4021" w:type="pct"/>
            <w:tcBorders>
              <w:top w:val="nil"/>
              <w:left w:val="nil"/>
              <w:bottom w:val="single" w:sz="12" w:space="0" w:color="FF9E3C"/>
              <w:right w:val="single" w:sz="12" w:space="0" w:color="FF9E3C"/>
            </w:tcBorders>
            <w:shd w:val="clear" w:color="auto" w:fill="auto"/>
            <w:vAlign w:val="center"/>
            <w:hideMark/>
          </w:tcPr>
          <w:p w14:paraId="0DF477AB"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belittled in my relationships</w:t>
            </w:r>
          </w:p>
        </w:tc>
      </w:tr>
      <w:tr w:rsidR="00B97789" w:rsidRPr="006D0B3F" w14:paraId="23F9A706"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01D6D0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Threat Ending</w:t>
            </w:r>
          </w:p>
        </w:tc>
        <w:tc>
          <w:tcPr>
            <w:tcW w:w="4021" w:type="pct"/>
            <w:tcBorders>
              <w:top w:val="nil"/>
              <w:left w:val="nil"/>
              <w:bottom w:val="single" w:sz="12" w:space="0" w:color="FF9E3C"/>
              <w:right w:val="single" w:sz="12" w:space="0" w:color="FF9E3C"/>
            </w:tcBorders>
            <w:shd w:val="clear" w:color="auto" w:fill="auto"/>
            <w:vAlign w:val="center"/>
            <w:hideMark/>
          </w:tcPr>
          <w:p w14:paraId="63ED5C4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Threat of separation or ending a relationship/s</w:t>
            </w:r>
          </w:p>
        </w:tc>
      </w:tr>
      <w:tr w:rsidR="00B97789" w:rsidRPr="006D0B3F" w14:paraId="7D18D780"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B89507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Isolation</w:t>
            </w:r>
          </w:p>
        </w:tc>
        <w:tc>
          <w:tcPr>
            <w:tcW w:w="4021" w:type="pct"/>
            <w:tcBorders>
              <w:top w:val="nil"/>
              <w:left w:val="nil"/>
              <w:bottom w:val="single" w:sz="12" w:space="0" w:color="FF9E3C"/>
              <w:right w:val="single" w:sz="12" w:space="0" w:color="FF9E3C"/>
            </w:tcBorders>
            <w:shd w:val="clear" w:color="auto" w:fill="auto"/>
            <w:vAlign w:val="center"/>
            <w:hideMark/>
          </w:tcPr>
          <w:p w14:paraId="1DE1DE4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Social isolation (felt excluded or shut-off from others)</w:t>
            </w:r>
          </w:p>
        </w:tc>
      </w:tr>
      <w:tr w:rsidR="00B97789" w:rsidRPr="006D0B3F" w14:paraId="4B2EEF7F"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3D1052EB"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Enjoyment</w:t>
            </w:r>
          </w:p>
        </w:tc>
        <w:tc>
          <w:tcPr>
            <w:tcW w:w="4021" w:type="pct"/>
            <w:tcBorders>
              <w:top w:val="nil"/>
              <w:left w:val="nil"/>
              <w:bottom w:val="single" w:sz="12" w:space="0" w:color="FF9E3C"/>
              <w:right w:val="single" w:sz="12" w:space="0" w:color="FF9E3C"/>
            </w:tcBorders>
            <w:shd w:val="clear" w:color="auto" w:fill="auto"/>
            <w:vAlign w:val="center"/>
            <w:hideMark/>
          </w:tcPr>
          <w:p w14:paraId="3649E04E"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Got less enjoyment from time spent with people I care about</w:t>
            </w:r>
          </w:p>
        </w:tc>
      </w:tr>
      <w:tr w:rsidR="00B97789" w:rsidRPr="006D0B3F" w14:paraId="7E4C34DF"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2A6A8D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 xml:space="preserve">Neg. Resp. </w:t>
            </w:r>
            <w:r>
              <w:rPr>
                <w:rFonts w:cs="Arial"/>
                <w:color w:val="1C3158"/>
                <w:sz w:val="18"/>
                <w:lang w:eastAsia="ja-JP"/>
              </w:rPr>
              <w:t>Whānau</w:t>
            </w:r>
          </w:p>
        </w:tc>
        <w:tc>
          <w:tcPr>
            <w:tcW w:w="4021" w:type="pct"/>
            <w:tcBorders>
              <w:top w:val="nil"/>
              <w:left w:val="nil"/>
              <w:bottom w:val="single" w:sz="12" w:space="0" w:color="FF9E3C"/>
              <w:right w:val="single" w:sz="12" w:space="0" w:color="FF9E3C"/>
            </w:tcBorders>
            <w:shd w:val="clear" w:color="auto" w:fill="auto"/>
            <w:vAlign w:val="center"/>
            <w:hideMark/>
          </w:tcPr>
          <w:p w14:paraId="2EA8017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 xml:space="preserve">Neglected my </w:t>
            </w:r>
            <w:r>
              <w:rPr>
                <w:rFonts w:cs="Arial"/>
                <w:color w:val="1C3158"/>
                <w:sz w:val="18"/>
                <w:lang w:eastAsia="ja-JP"/>
              </w:rPr>
              <w:t>w</w:t>
            </w:r>
            <w:r w:rsidRPr="00B12BDA">
              <w:rPr>
                <w:rFonts w:cs="Arial"/>
                <w:color w:val="1C3158"/>
                <w:sz w:val="18"/>
                <w:lang w:eastAsia="ja-JP"/>
              </w:rPr>
              <w:t>hānau</w:t>
            </w:r>
            <w:r w:rsidRPr="006D0B3F">
              <w:rPr>
                <w:rFonts w:cs="Arial"/>
                <w:color w:val="1C3158"/>
                <w:sz w:val="18"/>
                <w:lang w:eastAsia="ja-JP"/>
              </w:rPr>
              <w:t>/family responsibilities</w:t>
            </w:r>
          </w:p>
        </w:tc>
      </w:tr>
      <w:tr w:rsidR="00B97789" w:rsidRPr="006D0B3F" w14:paraId="49D48159"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4C9553A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Reduced Events</w:t>
            </w:r>
          </w:p>
        </w:tc>
        <w:tc>
          <w:tcPr>
            <w:tcW w:w="4021" w:type="pct"/>
            <w:tcBorders>
              <w:top w:val="nil"/>
              <w:left w:val="nil"/>
              <w:bottom w:val="single" w:sz="12" w:space="0" w:color="FF9E3C"/>
              <w:right w:val="single" w:sz="12" w:space="0" w:color="FF9E3C"/>
            </w:tcBorders>
            <w:shd w:val="clear" w:color="auto" w:fill="auto"/>
            <w:vAlign w:val="center"/>
            <w:hideMark/>
          </w:tcPr>
          <w:p w14:paraId="17B65B2D" w14:textId="21998DEF"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Spent less time attending social events (non</w:t>
            </w:r>
            <w:r>
              <w:rPr>
                <w:rFonts w:cs="Arial"/>
                <w:color w:val="1C3158"/>
                <w:sz w:val="18"/>
                <w:lang w:eastAsia="ja-JP"/>
              </w:rPr>
              <w:t>-</w:t>
            </w:r>
            <w:r w:rsidRPr="006D0B3F">
              <w:rPr>
                <w:rFonts w:cs="Arial"/>
                <w:color w:val="1C3158"/>
                <w:sz w:val="18"/>
                <w:lang w:eastAsia="ja-JP"/>
              </w:rPr>
              <w:t>gambling related)</w:t>
            </w:r>
          </w:p>
        </w:tc>
      </w:tr>
      <w:tr w:rsidR="00B97789" w:rsidRPr="006D0B3F" w14:paraId="74F7C923"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78730F6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Increased Conflict</w:t>
            </w:r>
          </w:p>
        </w:tc>
        <w:tc>
          <w:tcPr>
            <w:tcW w:w="4021" w:type="pct"/>
            <w:tcBorders>
              <w:top w:val="nil"/>
              <w:left w:val="nil"/>
              <w:bottom w:val="single" w:sz="12" w:space="0" w:color="FF9E3C"/>
              <w:right w:val="single" w:sz="12" w:space="0" w:color="FF9E3C"/>
            </w:tcBorders>
            <w:shd w:val="clear" w:color="auto" w:fill="auto"/>
            <w:vAlign w:val="center"/>
            <w:hideMark/>
          </w:tcPr>
          <w:p w14:paraId="71235EC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Experienced greater conflict in my relationships (arguing, fighting, ultimatums)</w:t>
            </w:r>
          </w:p>
        </w:tc>
      </w:tr>
      <w:tr w:rsidR="00B97789" w:rsidRPr="006D0B3F" w14:paraId="67B897B1"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0EC439E"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Neg. Resp.</w:t>
            </w:r>
          </w:p>
        </w:tc>
        <w:tc>
          <w:tcPr>
            <w:tcW w:w="4021" w:type="pct"/>
            <w:tcBorders>
              <w:top w:val="nil"/>
              <w:left w:val="nil"/>
              <w:bottom w:val="single" w:sz="12" w:space="0" w:color="FF9E3C"/>
              <w:right w:val="single" w:sz="12" w:space="0" w:color="FF9E3C"/>
            </w:tcBorders>
            <w:shd w:val="clear" w:color="auto" w:fill="auto"/>
            <w:vAlign w:val="center"/>
            <w:hideMark/>
          </w:tcPr>
          <w:p w14:paraId="62EAE0A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Neglected my relationship responsibilities</w:t>
            </w:r>
          </w:p>
        </w:tc>
      </w:tr>
      <w:tr w:rsidR="00B97789" w:rsidRPr="006D0B3F" w14:paraId="53B9354E"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FA05045"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Increased Tension</w:t>
            </w:r>
          </w:p>
        </w:tc>
        <w:tc>
          <w:tcPr>
            <w:tcW w:w="4021" w:type="pct"/>
            <w:tcBorders>
              <w:top w:val="nil"/>
              <w:left w:val="nil"/>
              <w:bottom w:val="single" w:sz="12" w:space="0" w:color="FF9E3C"/>
              <w:right w:val="single" w:sz="12" w:space="0" w:color="FF9E3C"/>
            </w:tcBorders>
            <w:shd w:val="clear" w:color="auto" w:fill="auto"/>
            <w:vAlign w:val="center"/>
            <w:hideMark/>
          </w:tcPr>
          <w:p w14:paraId="34344148"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Experienced greater tension in my relationships (suspicion, lying, resentment, etc)</w:t>
            </w:r>
          </w:p>
        </w:tc>
      </w:tr>
      <w:tr w:rsidR="00B97789" w:rsidRPr="006D0B3F" w14:paraId="373ED8F4"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033EDC7D"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Reduced Time</w:t>
            </w:r>
          </w:p>
        </w:tc>
        <w:tc>
          <w:tcPr>
            <w:tcW w:w="4021" w:type="pct"/>
            <w:tcBorders>
              <w:top w:val="nil"/>
              <w:left w:val="nil"/>
              <w:bottom w:val="single" w:sz="12" w:space="0" w:color="FF9E3C"/>
              <w:right w:val="single" w:sz="12" w:space="0" w:color="FF9E3C"/>
            </w:tcBorders>
            <w:shd w:val="clear" w:color="auto" w:fill="auto"/>
            <w:vAlign w:val="center"/>
            <w:hideMark/>
          </w:tcPr>
          <w:p w14:paraId="1D9D512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Spent less time with people I care about</w:t>
            </w:r>
          </w:p>
        </w:tc>
      </w:tr>
      <w:tr w:rsidR="00B97789" w:rsidRPr="006D0B3F" w14:paraId="3D0C17F9" w14:textId="77777777" w:rsidTr="00455FAC">
        <w:trPr>
          <w:trHeight w:val="249"/>
        </w:trPr>
        <w:tc>
          <w:tcPr>
            <w:tcW w:w="5000" w:type="pct"/>
            <w:gridSpan w:val="2"/>
            <w:tcBorders>
              <w:top w:val="single" w:sz="12" w:space="0" w:color="FF9E3C"/>
              <w:left w:val="single" w:sz="12" w:space="0" w:color="FF9E3C"/>
              <w:bottom w:val="single" w:sz="12" w:space="0" w:color="FF9E3C"/>
              <w:right w:val="single" w:sz="12" w:space="0" w:color="FF9E3C"/>
            </w:tcBorders>
            <w:shd w:val="clear" w:color="000000" w:fill="FFD8A3"/>
            <w:vAlign w:val="center"/>
            <w:hideMark/>
          </w:tcPr>
          <w:p w14:paraId="0115D153" w14:textId="77777777" w:rsidR="00B97789" w:rsidRPr="006D0B3F" w:rsidRDefault="00B97789" w:rsidP="00455FAC">
            <w:pPr>
              <w:tabs>
                <w:tab w:val="clear" w:pos="426"/>
              </w:tabs>
              <w:spacing w:before="0" w:after="0" w:line="240" w:lineRule="auto"/>
              <w:ind w:left="0" w:right="0"/>
              <w:jc w:val="center"/>
              <w:rPr>
                <w:rFonts w:cs="Arial"/>
                <w:b/>
                <w:bCs/>
                <w:color w:val="1C3158"/>
                <w:sz w:val="18"/>
                <w:lang w:eastAsia="ja-JP"/>
              </w:rPr>
            </w:pPr>
            <w:r w:rsidRPr="006D0B3F">
              <w:rPr>
                <w:rFonts w:cs="Arial"/>
                <w:b/>
                <w:bCs/>
                <w:color w:val="1C3158"/>
                <w:sz w:val="18"/>
                <w:lang w:eastAsia="ja-JP"/>
              </w:rPr>
              <w:t>Other</w:t>
            </w:r>
          </w:p>
        </w:tc>
      </w:tr>
      <w:tr w:rsidR="00B97789" w:rsidRPr="006D0B3F" w14:paraId="7A08D6D3"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400757E"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Arrested Driving</w:t>
            </w:r>
          </w:p>
        </w:tc>
        <w:tc>
          <w:tcPr>
            <w:tcW w:w="4021" w:type="pct"/>
            <w:tcBorders>
              <w:top w:val="nil"/>
              <w:left w:val="nil"/>
              <w:bottom w:val="single" w:sz="12" w:space="0" w:color="FF9E3C"/>
              <w:right w:val="single" w:sz="12" w:space="0" w:color="FF9E3C"/>
            </w:tcBorders>
            <w:shd w:val="clear" w:color="auto" w:fill="auto"/>
            <w:vAlign w:val="center"/>
            <w:hideMark/>
          </w:tcPr>
          <w:p w14:paraId="70A80D08"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Arrested for unsafe driving</w:t>
            </w:r>
          </w:p>
        </w:tc>
      </w:tr>
      <w:tr w:rsidR="00B97789" w:rsidRPr="006D0B3F" w14:paraId="61840852"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402664A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Children Unsup.</w:t>
            </w:r>
          </w:p>
        </w:tc>
        <w:tc>
          <w:tcPr>
            <w:tcW w:w="4021" w:type="pct"/>
            <w:tcBorders>
              <w:top w:val="nil"/>
              <w:left w:val="nil"/>
              <w:bottom w:val="single" w:sz="12" w:space="0" w:color="FF9E3C"/>
              <w:right w:val="single" w:sz="12" w:space="0" w:color="FF9E3C"/>
            </w:tcBorders>
            <w:shd w:val="clear" w:color="auto" w:fill="auto"/>
            <w:vAlign w:val="center"/>
            <w:hideMark/>
          </w:tcPr>
          <w:p w14:paraId="1BF001D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Left children unsupervised</w:t>
            </w:r>
          </w:p>
        </w:tc>
      </w:tr>
      <w:tr w:rsidR="00B97789" w:rsidRPr="006D0B3F" w14:paraId="1516C564"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14022DC"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Outcast Church</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3486091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Outcast from church due to involvement with gambling</w:t>
            </w:r>
          </w:p>
        </w:tc>
      </w:tr>
      <w:tr w:rsidR="00B97789" w:rsidRPr="006D0B3F" w14:paraId="2273FA0E"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259F5C9B"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Violence</w:t>
            </w:r>
          </w:p>
        </w:tc>
        <w:tc>
          <w:tcPr>
            <w:tcW w:w="4021" w:type="pct"/>
            <w:tcBorders>
              <w:top w:val="nil"/>
              <w:left w:val="nil"/>
              <w:bottom w:val="single" w:sz="12" w:space="0" w:color="FF9E3C"/>
              <w:right w:val="single" w:sz="12" w:space="0" w:color="FF9E3C"/>
            </w:tcBorders>
            <w:shd w:val="clear" w:color="auto" w:fill="auto"/>
            <w:vAlign w:val="center"/>
            <w:hideMark/>
          </w:tcPr>
          <w:p w14:paraId="6DB0608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Had experiences with violence (include family/domestic violence)</w:t>
            </w:r>
          </w:p>
        </w:tc>
      </w:tr>
      <w:tr w:rsidR="00B97789" w:rsidRPr="006D0B3F" w14:paraId="6B993201"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64CAAD9"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Shame Church</w:t>
            </w:r>
          </w:p>
        </w:tc>
        <w:tc>
          <w:tcPr>
            <w:tcW w:w="4021" w:type="pct"/>
            <w:tcBorders>
              <w:top w:val="nil"/>
              <w:left w:val="nil"/>
              <w:bottom w:val="single" w:sz="12" w:space="0" w:color="FF9E3C"/>
              <w:right w:val="single" w:sz="12" w:space="0" w:color="FF9E3C"/>
            </w:tcBorders>
            <w:shd w:val="clear" w:color="auto" w:fill="auto"/>
            <w:vAlign w:val="center"/>
            <w:hideMark/>
          </w:tcPr>
          <w:p w14:paraId="564336C6"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that I had shamed my family name within my church</w:t>
            </w:r>
          </w:p>
        </w:tc>
      </w:tr>
      <w:tr w:rsidR="00B97789" w:rsidRPr="006D0B3F" w14:paraId="3E1F5D0C"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F2035A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Crime</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41B7AAC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compelled or forced to commit a crime or steal to fund gambling or pay debts</w:t>
            </w:r>
          </w:p>
        </w:tc>
      </w:tr>
      <w:tr w:rsidR="00B97789" w:rsidRPr="006D0B3F" w14:paraId="08E3840A"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4417D82"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Outcast Comm.</w:t>
            </w:r>
            <w:r w:rsidRPr="006D0B3F">
              <w:rPr>
                <w:rFonts w:ascii="Calibri" w:hAnsi="Calibri" w:cs="Arial"/>
                <w:color w:val="1C3158"/>
                <w:sz w:val="18"/>
                <w:vertAlign w:val="subscript"/>
                <w:lang w:eastAsia="ja-JP"/>
              </w:rPr>
              <w:t>b</w:t>
            </w:r>
          </w:p>
        </w:tc>
        <w:tc>
          <w:tcPr>
            <w:tcW w:w="4021" w:type="pct"/>
            <w:tcBorders>
              <w:top w:val="nil"/>
              <w:left w:val="nil"/>
              <w:bottom w:val="single" w:sz="12" w:space="0" w:color="FF9E3C"/>
              <w:right w:val="single" w:sz="12" w:space="0" w:color="FF9E3C"/>
            </w:tcBorders>
            <w:shd w:val="clear" w:color="auto" w:fill="auto"/>
            <w:vAlign w:val="center"/>
            <w:hideMark/>
          </w:tcPr>
          <w:p w14:paraId="6F78D07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Outcast from community due to involvement with gambling</w:t>
            </w:r>
          </w:p>
        </w:tc>
      </w:tr>
      <w:tr w:rsidR="00B97789" w:rsidRPr="006D0B3F" w14:paraId="778F4659"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B4D165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Connec. Church</w:t>
            </w:r>
          </w:p>
        </w:tc>
        <w:tc>
          <w:tcPr>
            <w:tcW w:w="4021" w:type="pct"/>
            <w:tcBorders>
              <w:top w:val="nil"/>
              <w:left w:val="nil"/>
              <w:bottom w:val="single" w:sz="12" w:space="0" w:color="FF9E3C"/>
              <w:right w:val="single" w:sz="12" w:space="0" w:color="FF9E3C"/>
            </w:tcBorders>
            <w:shd w:val="clear" w:color="auto" w:fill="auto"/>
            <w:vAlign w:val="center"/>
            <w:hideMark/>
          </w:tcPr>
          <w:p w14:paraId="775E4BC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less connected to my church</w:t>
            </w:r>
          </w:p>
        </w:tc>
      </w:tr>
      <w:tr w:rsidR="00B97789" w:rsidRPr="006D0B3F" w14:paraId="125878A6"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4E8AB1CD"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Child Neglected</w:t>
            </w:r>
          </w:p>
        </w:tc>
        <w:tc>
          <w:tcPr>
            <w:tcW w:w="4021" w:type="pct"/>
            <w:tcBorders>
              <w:top w:val="nil"/>
              <w:left w:val="nil"/>
              <w:bottom w:val="single" w:sz="12" w:space="0" w:color="FF9E3C"/>
              <w:right w:val="single" w:sz="12" w:space="0" w:color="FF9E3C"/>
            </w:tcBorders>
            <w:shd w:val="clear" w:color="auto" w:fill="auto"/>
            <w:vAlign w:val="center"/>
            <w:hideMark/>
          </w:tcPr>
          <w:p w14:paraId="39D3EDD9"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Didn’t fully attend to needs of children</w:t>
            </w:r>
          </w:p>
        </w:tc>
      </w:tr>
      <w:tr w:rsidR="00B97789" w:rsidRPr="006D0B3F" w14:paraId="2D0A0499"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67193179"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lastRenderedPageBreak/>
              <w:t>Red. Contrib. Church</w:t>
            </w:r>
          </w:p>
        </w:tc>
        <w:tc>
          <w:tcPr>
            <w:tcW w:w="4021" w:type="pct"/>
            <w:tcBorders>
              <w:top w:val="nil"/>
              <w:left w:val="nil"/>
              <w:bottom w:val="single" w:sz="12" w:space="0" w:color="FF9E3C"/>
              <w:right w:val="single" w:sz="12" w:space="0" w:color="FF9E3C"/>
            </w:tcBorders>
            <w:shd w:val="clear" w:color="auto" w:fill="auto"/>
            <w:vAlign w:val="center"/>
            <w:hideMark/>
          </w:tcPr>
          <w:p w14:paraId="4C8BDF80"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Reduced my contribution to church obligations</w:t>
            </w:r>
          </w:p>
        </w:tc>
      </w:tr>
      <w:tr w:rsidR="00B97789" w:rsidRPr="006D0B3F" w14:paraId="541C3A20"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745F25E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Contrib. Community</w:t>
            </w:r>
          </w:p>
        </w:tc>
        <w:tc>
          <w:tcPr>
            <w:tcW w:w="4021" w:type="pct"/>
            <w:tcBorders>
              <w:top w:val="nil"/>
              <w:left w:val="nil"/>
              <w:bottom w:val="single" w:sz="12" w:space="0" w:color="FF9E3C"/>
              <w:right w:val="single" w:sz="12" w:space="0" w:color="FF9E3C"/>
            </w:tcBorders>
            <w:shd w:val="clear" w:color="auto" w:fill="auto"/>
            <w:vAlign w:val="center"/>
            <w:hideMark/>
          </w:tcPr>
          <w:p w14:paraId="013E7507"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Reduced my contribution to community obligations</w:t>
            </w:r>
          </w:p>
        </w:tc>
      </w:tr>
      <w:tr w:rsidR="00B97789" w:rsidRPr="006D0B3F" w14:paraId="32F06242" w14:textId="77777777" w:rsidTr="00455FAC">
        <w:trPr>
          <w:trHeight w:val="22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9EEBA6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Theft Government</w:t>
            </w:r>
          </w:p>
        </w:tc>
        <w:tc>
          <w:tcPr>
            <w:tcW w:w="4021" w:type="pct"/>
            <w:tcBorders>
              <w:top w:val="nil"/>
              <w:left w:val="nil"/>
              <w:bottom w:val="single" w:sz="12" w:space="0" w:color="FF9E3C"/>
              <w:right w:val="single" w:sz="12" w:space="0" w:color="FF9E3C"/>
            </w:tcBorders>
            <w:shd w:val="clear" w:color="auto" w:fill="auto"/>
            <w:vAlign w:val="center"/>
            <w:hideMark/>
          </w:tcPr>
          <w:p w14:paraId="3671485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Petty theft or dishonesty in respect to government, businesses or other people (not family/wh</w:t>
            </w:r>
            <w:r w:rsidRPr="008A3AE0">
              <w:rPr>
                <w:rFonts w:cs="Arial"/>
                <w:color w:val="1C3158"/>
                <w:sz w:val="18"/>
                <w:lang w:eastAsia="ja-JP"/>
              </w:rPr>
              <w:t>ā</w:t>
            </w:r>
            <w:r w:rsidRPr="006D0B3F">
              <w:rPr>
                <w:rFonts w:cs="Arial"/>
                <w:color w:val="1C3158"/>
                <w:sz w:val="18"/>
                <w:lang w:eastAsia="ja-JP"/>
              </w:rPr>
              <w:t>nau/friends)</w:t>
            </w:r>
          </w:p>
        </w:tc>
      </w:tr>
      <w:tr w:rsidR="00B97789" w:rsidRPr="006D0B3F" w14:paraId="55AE1AFB"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4AF64A1A"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Took Money</w:t>
            </w:r>
          </w:p>
        </w:tc>
        <w:tc>
          <w:tcPr>
            <w:tcW w:w="4021" w:type="pct"/>
            <w:tcBorders>
              <w:top w:val="nil"/>
              <w:left w:val="nil"/>
              <w:bottom w:val="single" w:sz="12" w:space="0" w:color="FF9E3C"/>
              <w:right w:val="single" w:sz="12" w:space="0" w:color="FF9E3C"/>
            </w:tcBorders>
            <w:shd w:val="clear" w:color="auto" w:fill="auto"/>
            <w:vAlign w:val="center"/>
            <w:hideMark/>
          </w:tcPr>
          <w:p w14:paraId="6585B643"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Took money or items from friends or family/wh</w:t>
            </w:r>
            <w:r w:rsidRPr="008A3AE0">
              <w:rPr>
                <w:rFonts w:cs="Arial"/>
                <w:color w:val="1C3158"/>
                <w:sz w:val="18"/>
                <w:lang w:eastAsia="ja-JP"/>
              </w:rPr>
              <w:t>ā</w:t>
            </w:r>
            <w:r w:rsidRPr="006D0B3F">
              <w:rPr>
                <w:rFonts w:cs="Arial"/>
                <w:color w:val="1C3158"/>
                <w:sz w:val="18"/>
                <w:lang w:eastAsia="ja-JP"/>
              </w:rPr>
              <w:t>nau without asking first</w:t>
            </w:r>
          </w:p>
        </w:tc>
      </w:tr>
      <w:tr w:rsidR="00B97789" w:rsidRPr="006D0B3F" w14:paraId="2BDCE99E"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34DE59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Shame Community</w:t>
            </w:r>
          </w:p>
        </w:tc>
        <w:tc>
          <w:tcPr>
            <w:tcW w:w="4021" w:type="pct"/>
            <w:tcBorders>
              <w:top w:val="nil"/>
              <w:left w:val="nil"/>
              <w:bottom w:val="single" w:sz="12" w:space="0" w:color="FF9E3C"/>
              <w:right w:val="single" w:sz="12" w:space="0" w:color="FF9E3C"/>
            </w:tcBorders>
            <w:shd w:val="clear" w:color="auto" w:fill="auto"/>
            <w:vAlign w:val="center"/>
            <w:hideMark/>
          </w:tcPr>
          <w:p w14:paraId="2E6D22CD"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that I had shamed my family name within my community</w:t>
            </w:r>
          </w:p>
        </w:tc>
      </w:tr>
      <w:tr w:rsidR="00B97789" w:rsidRPr="006D0B3F" w14:paraId="595111DD" w14:textId="77777777" w:rsidTr="00455FAC">
        <w:trPr>
          <w:trHeight w:val="386"/>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54FB0F64"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Pay Money</w:t>
            </w:r>
          </w:p>
        </w:tc>
        <w:tc>
          <w:tcPr>
            <w:tcW w:w="4021" w:type="pct"/>
            <w:tcBorders>
              <w:top w:val="nil"/>
              <w:left w:val="nil"/>
              <w:bottom w:val="single" w:sz="12" w:space="0" w:color="FF9E3C"/>
              <w:right w:val="single" w:sz="12" w:space="0" w:color="FF9E3C"/>
            </w:tcBorders>
            <w:shd w:val="clear" w:color="auto" w:fill="auto"/>
            <w:vAlign w:val="center"/>
            <w:hideMark/>
          </w:tcPr>
          <w:p w14:paraId="3E8A439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Promised to pay back money without genuinely intending to do so</w:t>
            </w:r>
          </w:p>
        </w:tc>
      </w:tr>
      <w:tr w:rsidR="00B97789" w:rsidRPr="006D0B3F" w14:paraId="2B0C1680" w14:textId="77777777" w:rsidTr="00455FAC">
        <w:trPr>
          <w:trHeight w:val="249"/>
        </w:trPr>
        <w:tc>
          <w:tcPr>
            <w:tcW w:w="979" w:type="pct"/>
            <w:tcBorders>
              <w:top w:val="nil"/>
              <w:left w:val="single" w:sz="12" w:space="0" w:color="FF9E3C"/>
              <w:bottom w:val="single" w:sz="12" w:space="0" w:color="FF9E3C"/>
              <w:right w:val="single" w:sz="12" w:space="0" w:color="FF9E3C"/>
            </w:tcBorders>
            <w:shd w:val="clear" w:color="auto" w:fill="auto"/>
            <w:vAlign w:val="center"/>
            <w:hideMark/>
          </w:tcPr>
          <w:p w14:paraId="162722BB"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Red. Connec. Community</w:t>
            </w:r>
          </w:p>
        </w:tc>
        <w:tc>
          <w:tcPr>
            <w:tcW w:w="4021" w:type="pct"/>
            <w:tcBorders>
              <w:top w:val="nil"/>
              <w:left w:val="nil"/>
              <w:bottom w:val="single" w:sz="12" w:space="0" w:color="FF9E3C"/>
              <w:right w:val="single" w:sz="12" w:space="0" w:color="FF9E3C"/>
            </w:tcBorders>
            <w:shd w:val="clear" w:color="auto" w:fill="auto"/>
            <w:vAlign w:val="center"/>
            <w:hideMark/>
          </w:tcPr>
          <w:p w14:paraId="766C126F" w14:textId="77777777" w:rsidR="00B97789" w:rsidRPr="006D0B3F" w:rsidRDefault="00B97789" w:rsidP="00455FAC">
            <w:pPr>
              <w:tabs>
                <w:tab w:val="clear" w:pos="426"/>
              </w:tabs>
              <w:spacing w:before="0" w:after="0" w:line="240" w:lineRule="auto"/>
              <w:ind w:left="0" w:right="0"/>
              <w:rPr>
                <w:rFonts w:cs="Arial"/>
                <w:color w:val="1C3158"/>
                <w:sz w:val="18"/>
                <w:lang w:eastAsia="ja-JP"/>
              </w:rPr>
            </w:pPr>
            <w:r w:rsidRPr="006D0B3F">
              <w:rPr>
                <w:rFonts w:cs="Arial"/>
                <w:color w:val="1C3158"/>
                <w:sz w:val="18"/>
                <w:lang w:eastAsia="ja-JP"/>
              </w:rPr>
              <w:t>Felt less connected to my community</w:t>
            </w:r>
          </w:p>
        </w:tc>
      </w:tr>
    </w:tbl>
    <w:p w14:paraId="3D66C0A3" w14:textId="633B9BEE" w:rsidR="00965A41" w:rsidRDefault="00965A41" w:rsidP="00B97789">
      <w:pPr>
        <w:tabs>
          <w:tab w:val="clear" w:pos="426"/>
        </w:tabs>
        <w:spacing w:after="60" w:line="240" w:lineRule="auto"/>
        <w:ind w:left="0" w:right="0"/>
        <w:rPr>
          <w:rFonts w:cs="Arial"/>
          <w:color w:val="1C3158"/>
          <w:sz w:val="16"/>
          <w:szCs w:val="16"/>
          <w:lang w:eastAsia="ja-JP"/>
        </w:rPr>
      </w:pPr>
      <w:r>
        <w:rPr>
          <w:rFonts w:cs="Arial"/>
          <w:color w:val="1C3158"/>
          <w:sz w:val="16"/>
          <w:szCs w:val="16"/>
          <w:lang w:eastAsia="ja-JP"/>
        </w:rPr>
        <w:t xml:space="preserve">Note. </w:t>
      </w:r>
      <w:r w:rsidRPr="00965A41">
        <w:rPr>
          <w:rFonts w:cs="Arial"/>
          <w:color w:val="1C3158"/>
          <w:sz w:val="16"/>
          <w:szCs w:val="16"/>
          <w:lang w:eastAsia="ja-JP"/>
        </w:rPr>
        <w:t>The taxonomy</w:t>
      </w:r>
      <w:r>
        <w:rPr>
          <w:rFonts w:cs="Arial"/>
          <w:color w:val="1C3158"/>
          <w:sz w:val="16"/>
          <w:szCs w:val="16"/>
          <w:lang w:eastAsia="ja-JP"/>
        </w:rPr>
        <w:t xml:space="preserve"> of harms</w:t>
      </w:r>
      <w:r w:rsidRPr="00965A41">
        <w:rPr>
          <w:rFonts w:cs="Arial"/>
          <w:color w:val="1C3158"/>
          <w:sz w:val="16"/>
          <w:szCs w:val="16"/>
          <w:lang w:eastAsia="ja-JP"/>
        </w:rPr>
        <w:t xml:space="preserve"> was used as a base for item creation, therefore the phrasing for some items slightly varied between the taxonomy and the items used in the national survey</w:t>
      </w:r>
      <w:r w:rsidR="00756D1D">
        <w:rPr>
          <w:rFonts w:cs="Arial"/>
          <w:color w:val="1C3158"/>
          <w:sz w:val="16"/>
          <w:szCs w:val="16"/>
          <w:lang w:eastAsia="ja-JP"/>
        </w:rPr>
        <w:t xml:space="preserve"> of harms</w:t>
      </w:r>
      <w:r w:rsidRPr="00965A41">
        <w:rPr>
          <w:rFonts w:cs="Arial"/>
          <w:color w:val="1C3158"/>
          <w:sz w:val="16"/>
          <w:szCs w:val="16"/>
          <w:lang w:eastAsia="ja-JP"/>
        </w:rPr>
        <w:t xml:space="preserve">. For example, </w:t>
      </w:r>
      <w:r>
        <w:rPr>
          <w:rFonts w:cs="Arial"/>
          <w:color w:val="1C3158"/>
          <w:sz w:val="16"/>
          <w:szCs w:val="16"/>
          <w:lang w:eastAsia="ja-JP"/>
        </w:rPr>
        <w:t>the item ‘less spending on beneficial expenses’ from the financial harm domain, was originally ‘reduction or loss of non-immediate consequence expenditure’</w:t>
      </w:r>
      <w:r w:rsidR="00756D1D">
        <w:rPr>
          <w:rFonts w:cs="Arial"/>
          <w:color w:val="1C3158"/>
          <w:sz w:val="16"/>
          <w:szCs w:val="16"/>
          <w:lang w:eastAsia="ja-JP"/>
        </w:rPr>
        <w:t xml:space="preserve"> within the taxonomy</w:t>
      </w:r>
      <w:r>
        <w:rPr>
          <w:rFonts w:cs="Arial"/>
          <w:color w:val="1C3158"/>
          <w:sz w:val="16"/>
          <w:szCs w:val="16"/>
          <w:lang w:eastAsia="ja-JP"/>
        </w:rPr>
        <w:t xml:space="preserve">. </w:t>
      </w:r>
    </w:p>
    <w:p w14:paraId="1E942194" w14:textId="77777777" w:rsidR="00B97789" w:rsidRPr="00C3643F" w:rsidRDefault="00B97789" w:rsidP="00C82A76">
      <w:pPr>
        <w:tabs>
          <w:tab w:val="clear" w:pos="426"/>
        </w:tabs>
        <w:spacing w:before="0" w:after="60" w:line="240" w:lineRule="auto"/>
        <w:ind w:left="0" w:right="0"/>
        <w:rPr>
          <w:rFonts w:cs="Arial"/>
          <w:color w:val="1C3158"/>
          <w:sz w:val="16"/>
          <w:szCs w:val="16"/>
          <w:lang w:eastAsia="ja-JP"/>
        </w:rPr>
      </w:pPr>
      <w:r w:rsidRPr="00C3643F">
        <w:rPr>
          <w:rFonts w:cs="Arial"/>
          <w:color w:val="1C3158"/>
          <w:sz w:val="16"/>
          <w:szCs w:val="16"/>
          <w:lang w:eastAsia="ja-JP"/>
        </w:rPr>
        <w:t>a This item was only asked in the questionnaire for gamblers.</w:t>
      </w:r>
    </w:p>
    <w:p w14:paraId="33D8E330" w14:textId="044347A1" w:rsidR="00B97789" w:rsidRDefault="00B97789" w:rsidP="00C82A76">
      <w:pPr>
        <w:tabs>
          <w:tab w:val="clear" w:pos="426"/>
        </w:tabs>
        <w:spacing w:before="60" w:after="0" w:line="240" w:lineRule="auto"/>
        <w:ind w:left="0" w:right="0"/>
        <w:rPr>
          <w:rFonts w:cs="Arial"/>
          <w:color w:val="1C3158"/>
          <w:sz w:val="16"/>
          <w:szCs w:val="16"/>
          <w:lang w:eastAsia="ja-JP"/>
        </w:rPr>
      </w:pPr>
      <w:r w:rsidRPr="00C3643F">
        <w:rPr>
          <w:rFonts w:cs="Arial"/>
          <w:color w:val="1C3158"/>
          <w:sz w:val="16"/>
          <w:szCs w:val="16"/>
          <w:lang w:eastAsia="ja-JP"/>
        </w:rPr>
        <w:t>b The core contents of these items remained the same in both questionnaires, however their phrasing was slightly varied to suit either gamblers’ or affected others’ perspectives</w:t>
      </w:r>
      <w:r>
        <w:rPr>
          <w:rFonts w:cs="Arial"/>
          <w:color w:val="1C3158"/>
          <w:sz w:val="16"/>
          <w:szCs w:val="16"/>
          <w:lang w:eastAsia="ja-JP"/>
        </w:rPr>
        <w:t>.</w:t>
      </w:r>
      <w:r w:rsidR="008610D3">
        <w:rPr>
          <w:rFonts w:cs="Arial"/>
          <w:color w:val="1C3158"/>
          <w:sz w:val="16"/>
          <w:szCs w:val="16"/>
          <w:lang w:eastAsia="ja-JP"/>
        </w:rPr>
        <w:t xml:space="preserve"> </w:t>
      </w:r>
      <w:r w:rsidRPr="00C3643F">
        <w:rPr>
          <w:rFonts w:cs="Arial"/>
          <w:color w:val="1C3158"/>
          <w:sz w:val="16"/>
          <w:szCs w:val="16"/>
          <w:lang w:eastAsia="ja-JP"/>
        </w:rPr>
        <w:t>For example, the full item for “Resources” read “Used my work or study resources to gamble” in the questionnaire for gamblers, and read “Used my work or study resources to assist with matters arising from their gambling” in the questionnaire for affected others.</w:t>
      </w:r>
    </w:p>
    <w:p w14:paraId="6015BFAA" w14:textId="77777777" w:rsidR="00965A41" w:rsidRDefault="00965A41" w:rsidP="00B97789">
      <w:pPr>
        <w:tabs>
          <w:tab w:val="clear" w:pos="426"/>
        </w:tabs>
        <w:spacing w:before="0" w:after="0" w:line="240" w:lineRule="auto"/>
        <w:ind w:left="0" w:right="0"/>
        <w:rPr>
          <w:rFonts w:cs="Arial"/>
          <w:color w:val="1C3158"/>
          <w:sz w:val="16"/>
          <w:szCs w:val="16"/>
          <w:lang w:eastAsia="ja-JP"/>
        </w:rPr>
      </w:pPr>
    </w:p>
    <w:p w14:paraId="378887DD" w14:textId="10B63073" w:rsidR="00B97789" w:rsidRDefault="00B97789" w:rsidP="00B97789"/>
    <w:p w14:paraId="386D5896" w14:textId="05A759ED" w:rsidR="00B97789" w:rsidRPr="00B97789" w:rsidRDefault="00B97789" w:rsidP="00B97789">
      <w:pPr>
        <w:tabs>
          <w:tab w:val="center" w:pos="4737"/>
        </w:tabs>
        <w:sectPr w:rsidR="00B97789" w:rsidRPr="00B97789" w:rsidSect="00B97789">
          <w:pgSz w:w="11906" w:h="16838"/>
          <w:pgMar w:top="1440" w:right="1440" w:bottom="1440" w:left="1440" w:header="425" w:footer="176" w:gutter="0"/>
          <w:cols w:space="708"/>
          <w:docGrid w:linePitch="360"/>
        </w:sectPr>
      </w:pPr>
      <w:r>
        <w:tab/>
      </w:r>
    </w:p>
    <w:p w14:paraId="169FE5C2" w14:textId="27E83EFD" w:rsidR="00767EAD" w:rsidRDefault="00767EAD" w:rsidP="00767EAD">
      <w:pPr>
        <w:pStyle w:val="Caption"/>
      </w:pPr>
      <w:bookmarkStart w:id="438" w:name="_Ref448417182"/>
      <w:bookmarkStart w:id="439" w:name="_Ref448417178"/>
      <w:bookmarkStart w:id="440" w:name="_Toc462738147"/>
      <w:r>
        <w:lastRenderedPageBreak/>
        <w:t xml:space="preserve">Appendix </w:t>
      </w:r>
      <w:fldSimple w:instr=" SEQ Appendix \* ARABIC ">
        <w:r w:rsidR="0006479A">
          <w:rPr>
            <w:noProof/>
          </w:rPr>
          <w:t>8</w:t>
        </w:r>
      </w:fldSimple>
      <w:bookmarkEnd w:id="426"/>
      <w:bookmarkEnd w:id="438"/>
      <w:r>
        <w:t>. Vignette clause assignment</w:t>
      </w:r>
      <w:bookmarkEnd w:id="439"/>
      <w:bookmarkEnd w:id="440"/>
    </w:p>
    <w:tbl>
      <w:tblPr>
        <w:tblW w:w="13585" w:type="dxa"/>
        <w:tblLook w:val="04A0" w:firstRow="1" w:lastRow="0" w:firstColumn="1" w:lastColumn="0" w:noHBand="0" w:noVBand="1"/>
      </w:tblPr>
      <w:tblGrid>
        <w:gridCol w:w="567"/>
        <w:gridCol w:w="2301"/>
        <w:gridCol w:w="5400"/>
        <w:gridCol w:w="1017"/>
        <w:gridCol w:w="4300"/>
      </w:tblGrid>
      <w:tr w:rsidR="00DF080D" w:rsidRPr="00DF080D" w14:paraId="0958E7D3" w14:textId="77777777" w:rsidTr="00767EAD">
        <w:trPr>
          <w:trHeight w:val="330"/>
          <w:tblHeader/>
        </w:trPr>
        <w:tc>
          <w:tcPr>
            <w:tcW w:w="567" w:type="dxa"/>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6FC946FD"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 </w:t>
            </w:r>
          </w:p>
        </w:tc>
        <w:tc>
          <w:tcPr>
            <w:tcW w:w="2301" w:type="dxa"/>
            <w:tcBorders>
              <w:top w:val="single" w:sz="12" w:space="0" w:color="FF9E3C"/>
              <w:left w:val="nil"/>
              <w:bottom w:val="single" w:sz="12" w:space="0" w:color="FF9E3C"/>
              <w:right w:val="single" w:sz="12" w:space="0" w:color="FF9E3C"/>
            </w:tcBorders>
            <w:shd w:val="clear" w:color="000000" w:fill="FFBC64"/>
            <w:vAlign w:val="center"/>
            <w:hideMark/>
          </w:tcPr>
          <w:p w14:paraId="17B54ED3"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Domain</w:t>
            </w:r>
          </w:p>
        </w:tc>
        <w:tc>
          <w:tcPr>
            <w:tcW w:w="5400" w:type="dxa"/>
            <w:tcBorders>
              <w:top w:val="single" w:sz="12" w:space="0" w:color="FF9E3C"/>
              <w:left w:val="nil"/>
              <w:bottom w:val="single" w:sz="12" w:space="0" w:color="FF9E3C"/>
              <w:right w:val="single" w:sz="12" w:space="0" w:color="FF9E3C"/>
            </w:tcBorders>
            <w:shd w:val="clear" w:color="000000" w:fill="FFBC64"/>
            <w:vAlign w:val="center"/>
            <w:hideMark/>
          </w:tcPr>
          <w:p w14:paraId="219DB252"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Full label</w:t>
            </w:r>
          </w:p>
        </w:tc>
        <w:tc>
          <w:tcPr>
            <w:tcW w:w="1017" w:type="dxa"/>
            <w:tcBorders>
              <w:top w:val="single" w:sz="12" w:space="0" w:color="FF9E3C"/>
              <w:left w:val="nil"/>
              <w:bottom w:val="single" w:sz="12" w:space="0" w:color="FF9E3C"/>
              <w:right w:val="single" w:sz="12" w:space="0" w:color="FF9E3C"/>
            </w:tcBorders>
            <w:shd w:val="clear" w:color="000000" w:fill="FFBC64"/>
            <w:vAlign w:val="center"/>
            <w:hideMark/>
          </w:tcPr>
          <w:p w14:paraId="39CEBA13"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Sentence</w:t>
            </w:r>
          </w:p>
        </w:tc>
        <w:tc>
          <w:tcPr>
            <w:tcW w:w="4300" w:type="dxa"/>
            <w:tcBorders>
              <w:top w:val="single" w:sz="12" w:space="0" w:color="FF9E3C"/>
              <w:left w:val="nil"/>
              <w:bottom w:val="single" w:sz="12" w:space="0" w:color="FF9E3C"/>
              <w:right w:val="single" w:sz="12" w:space="0" w:color="FF9E3C"/>
            </w:tcBorders>
            <w:shd w:val="clear" w:color="000000" w:fill="FFBC64"/>
            <w:vAlign w:val="center"/>
            <w:hideMark/>
          </w:tcPr>
          <w:p w14:paraId="4AC52CEA"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Phrase</w:t>
            </w:r>
          </w:p>
        </w:tc>
      </w:tr>
      <w:tr w:rsidR="00DF080D" w:rsidRPr="00DF080D" w14:paraId="6BDCA584" w14:textId="77777777" w:rsidTr="00767EAD">
        <w:trPr>
          <w:trHeight w:val="330"/>
        </w:trPr>
        <w:tc>
          <w:tcPr>
            <w:tcW w:w="56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32C242D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2301" w:type="dxa"/>
            <w:tcBorders>
              <w:top w:val="nil"/>
              <w:left w:val="nil"/>
              <w:bottom w:val="single" w:sz="12" w:space="0" w:color="FF9E3C"/>
              <w:right w:val="single" w:sz="12" w:space="0" w:color="FF9E3C"/>
            </w:tcBorders>
            <w:shd w:val="clear" w:color="auto" w:fill="auto"/>
            <w:vAlign w:val="center"/>
            <w:hideMark/>
          </w:tcPr>
          <w:p w14:paraId="618A62D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14FE587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Had regrets that made me feel sorry about my gambling</w:t>
            </w:r>
          </w:p>
        </w:tc>
        <w:tc>
          <w:tcPr>
            <w:tcW w:w="1017" w:type="dxa"/>
            <w:tcBorders>
              <w:top w:val="nil"/>
              <w:left w:val="nil"/>
              <w:bottom w:val="single" w:sz="12" w:space="0" w:color="FF9E3C"/>
              <w:right w:val="single" w:sz="12" w:space="0" w:color="FF9E3C"/>
            </w:tcBorders>
            <w:shd w:val="clear" w:color="auto" w:fill="auto"/>
            <w:vAlign w:val="center"/>
            <w:hideMark/>
          </w:tcPr>
          <w:p w14:paraId="7C9504A7"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7BE06DA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regretful</w:t>
            </w:r>
          </w:p>
        </w:tc>
      </w:tr>
      <w:tr w:rsidR="00DF080D" w:rsidRPr="00DF080D" w14:paraId="1F1A0AAA"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0AC6BC2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052D001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2A69E0C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ashamed of my gambling</w:t>
            </w:r>
          </w:p>
        </w:tc>
        <w:tc>
          <w:tcPr>
            <w:tcW w:w="1017" w:type="dxa"/>
            <w:tcBorders>
              <w:top w:val="nil"/>
              <w:left w:val="nil"/>
              <w:bottom w:val="single" w:sz="12" w:space="0" w:color="FF9E3C"/>
              <w:right w:val="single" w:sz="12" w:space="0" w:color="FF9E3C"/>
            </w:tcBorders>
            <w:shd w:val="clear" w:color="auto" w:fill="auto"/>
            <w:vAlign w:val="center"/>
            <w:hideMark/>
          </w:tcPr>
          <w:p w14:paraId="3AE10B6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667E875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ashamed</w:t>
            </w:r>
          </w:p>
        </w:tc>
      </w:tr>
      <w:tr w:rsidR="00DF080D" w:rsidRPr="00DF080D" w14:paraId="3A011BD4"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4517E63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40E87AC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31BA8B6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angry about not controlling my gambling</w:t>
            </w:r>
          </w:p>
        </w:tc>
        <w:tc>
          <w:tcPr>
            <w:tcW w:w="1017" w:type="dxa"/>
            <w:tcBorders>
              <w:top w:val="nil"/>
              <w:left w:val="nil"/>
              <w:bottom w:val="single" w:sz="12" w:space="0" w:color="FF9E3C"/>
              <w:right w:val="single" w:sz="12" w:space="0" w:color="FF9E3C"/>
            </w:tcBorders>
            <w:shd w:val="clear" w:color="auto" w:fill="auto"/>
            <w:vAlign w:val="center"/>
            <w:hideMark/>
          </w:tcPr>
          <w:p w14:paraId="5C835605"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3587E8F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angry </w:t>
            </w:r>
          </w:p>
        </w:tc>
      </w:tr>
      <w:tr w:rsidR="00DF080D" w:rsidRPr="00DF080D" w14:paraId="20C6CDD0"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5795748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1BA410B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00224D1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distressed about my gambling</w:t>
            </w:r>
          </w:p>
        </w:tc>
        <w:tc>
          <w:tcPr>
            <w:tcW w:w="1017" w:type="dxa"/>
            <w:tcBorders>
              <w:top w:val="nil"/>
              <w:left w:val="nil"/>
              <w:bottom w:val="single" w:sz="12" w:space="0" w:color="FF9E3C"/>
              <w:right w:val="single" w:sz="12" w:space="0" w:color="FF9E3C"/>
            </w:tcBorders>
            <w:shd w:val="clear" w:color="auto" w:fill="auto"/>
            <w:vAlign w:val="center"/>
            <w:hideMark/>
          </w:tcPr>
          <w:p w14:paraId="3EF45AE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3F50FB5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distressed</w:t>
            </w:r>
          </w:p>
        </w:tc>
      </w:tr>
      <w:tr w:rsidR="00DF080D" w:rsidRPr="00DF080D" w14:paraId="253AE80C"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05D2678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73DB4E8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3F60AE1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Feelings of hopelessness about gambling</w:t>
            </w:r>
          </w:p>
        </w:tc>
        <w:tc>
          <w:tcPr>
            <w:tcW w:w="1017" w:type="dxa"/>
            <w:tcBorders>
              <w:top w:val="nil"/>
              <w:left w:val="nil"/>
              <w:bottom w:val="single" w:sz="12" w:space="0" w:color="FF9E3C"/>
              <w:right w:val="single" w:sz="12" w:space="0" w:color="FF9E3C"/>
            </w:tcBorders>
            <w:shd w:val="clear" w:color="auto" w:fill="auto"/>
            <w:vAlign w:val="center"/>
            <w:hideMark/>
          </w:tcPr>
          <w:p w14:paraId="7B039DC4"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54C85A3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hopeless</w:t>
            </w:r>
          </w:p>
        </w:tc>
      </w:tr>
      <w:tr w:rsidR="00DF080D" w:rsidRPr="00DF080D" w14:paraId="0E2FABC9"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5FE4E0E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6A96231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1CCD034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like a failure</w:t>
            </w:r>
          </w:p>
        </w:tc>
        <w:tc>
          <w:tcPr>
            <w:tcW w:w="1017" w:type="dxa"/>
            <w:tcBorders>
              <w:top w:val="nil"/>
              <w:left w:val="nil"/>
              <w:bottom w:val="single" w:sz="12" w:space="0" w:color="FF9E3C"/>
              <w:right w:val="single" w:sz="12" w:space="0" w:color="FF9E3C"/>
            </w:tcBorders>
            <w:shd w:val="clear" w:color="auto" w:fill="auto"/>
            <w:vAlign w:val="center"/>
            <w:hideMark/>
          </w:tcPr>
          <w:p w14:paraId="000346B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18BC630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like a failure</w:t>
            </w:r>
          </w:p>
        </w:tc>
      </w:tr>
      <w:tr w:rsidR="00DF080D" w:rsidRPr="00DF080D" w14:paraId="32AD70B4"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55DDEDB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3DF53D5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043F091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Feelings of extreme distress</w:t>
            </w:r>
          </w:p>
        </w:tc>
        <w:tc>
          <w:tcPr>
            <w:tcW w:w="1017" w:type="dxa"/>
            <w:tcBorders>
              <w:top w:val="nil"/>
              <w:left w:val="nil"/>
              <w:bottom w:val="single" w:sz="12" w:space="0" w:color="FF9E3C"/>
              <w:right w:val="single" w:sz="12" w:space="0" w:color="FF9E3C"/>
            </w:tcBorders>
            <w:shd w:val="clear" w:color="auto" w:fill="auto"/>
            <w:vAlign w:val="center"/>
            <w:hideMark/>
          </w:tcPr>
          <w:p w14:paraId="014BE8E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5832DF4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extremely distressed</w:t>
            </w:r>
          </w:p>
        </w:tc>
      </w:tr>
      <w:tr w:rsidR="00DF080D" w:rsidRPr="00DF080D" w14:paraId="682C23A1"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42C985A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48183BF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64C161B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insecure or vulnerable</w:t>
            </w:r>
          </w:p>
        </w:tc>
        <w:tc>
          <w:tcPr>
            <w:tcW w:w="1017" w:type="dxa"/>
            <w:tcBorders>
              <w:top w:val="nil"/>
              <w:left w:val="nil"/>
              <w:bottom w:val="single" w:sz="12" w:space="0" w:color="FF9E3C"/>
              <w:right w:val="single" w:sz="12" w:space="0" w:color="FF9E3C"/>
            </w:tcBorders>
            <w:shd w:val="clear" w:color="auto" w:fill="auto"/>
            <w:vAlign w:val="center"/>
            <w:hideMark/>
          </w:tcPr>
          <w:p w14:paraId="69CDEA3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1BA01AA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vulnerable</w:t>
            </w:r>
          </w:p>
        </w:tc>
      </w:tr>
      <w:tr w:rsidR="00DF080D" w:rsidRPr="00DF080D" w14:paraId="02F27AEF"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005FCDF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766CC3C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459FCE1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like I had a mental illness</w:t>
            </w:r>
          </w:p>
        </w:tc>
        <w:tc>
          <w:tcPr>
            <w:tcW w:w="1017" w:type="dxa"/>
            <w:tcBorders>
              <w:top w:val="nil"/>
              <w:left w:val="nil"/>
              <w:bottom w:val="single" w:sz="12" w:space="0" w:color="FF9E3C"/>
              <w:right w:val="single" w:sz="12" w:space="0" w:color="FF9E3C"/>
            </w:tcBorders>
            <w:shd w:val="clear" w:color="auto" w:fill="auto"/>
            <w:vAlign w:val="center"/>
            <w:hideMark/>
          </w:tcPr>
          <w:p w14:paraId="1EB10E2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0979064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like you have a mental illness</w:t>
            </w:r>
          </w:p>
        </w:tc>
      </w:tr>
      <w:tr w:rsidR="00DF080D" w:rsidRPr="00DF080D" w14:paraId="55F7B4EB"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2B62CB9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08290C2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5400" w:type="dxa"/>
            <w:tcBorders>
              <w:top w:val="nil"/>
              <w:left w:val="nil"/>
              <w:bottom w:val="single" w:sz="12" w:space="0" w:color="FF9E3C"/>
              <w:right w:val="single" w:sz="12" w:space="0" w:color="FF9E3C"/>
            </w:tcBorders>
            <w:shd w:val="clear" w:color="auto" w:fill="auto"/>
            <w:vAlign w:val="center"/>
            <w:hideMark/>
          </w:tcPr>
          <w:p w14:paraId="29C398F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worthless</w:t>
            </w:r>
          </w:p>
        </w:tc>
        <w:tc>
          <w:tcPr>
            <w:tcW w:w="1017" w:type="dxa"/>
            <w:tcBorders>
              <w:top w:val="nil"/>
              <w:left w:val="nil"/>
              <w:bottom w:val="single" w:sz="12" w:space="0" w:color="FF9E3C"/>
              <w:right w:val="single" w:sz="12" w:space="0" w:color="FF9E3C"/>
            </w:tcBorders>
            <w:shd w:val="clear" w:color="auto" w:fill="auto"/>
            <w:vAlign w:val="center"/>
            <w:hideMark/>
          </w:tcPr>
          <w:p w14:paraId="4FD03E6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02F6ED3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worthless</w:t>
            </w:r>
          </w:p>
        </w:tc>
      </w:tr>
      <w:tr w:rsidR="00DF080D" w:rsidRPr="00DF080D" w14:paraId="3087E337" w14:textId="77777777" w:rsidTr="00767EAD">
        <w:trPr>
          <w:trHeight w:val="330"/>
        </w:trPr>
        <w:tc>
          <w:tcPr>
            <w:tcW w:w="56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1AE475F7"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2301" w:type="dxa"/>
            <w:tcBorders>
              <w:top w:val="nil"/>
              <w:left w:val="nil"/>
              <w:bottom w:val="single" w:sz="12" w:space="0" w:color="FF9E3C"/>
              <w:right w:val="single" w:sz="12" w:space="0" w:color="FF9E3C"/>
            </w:tcBorders>
            <w:shd w:val="clear" w:color="auto" w:fill="auto"/>
            <w:vAlign w:val="center"/>
            <w:hideMark/>
          </w:tcPr>
          <w:p w14:paraId="498E400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713A0D7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Reduction of my available spending money</w:t>
            </w:r>
          </w:p>
        </w:tc>
        <w:tc>
          <w:tcPr>
            <w:tcW w:w="1017" w:type="dxa"/>
            <w:tcBorders>
              <w:top w:val="nil"/>
              <w:left w:val="nil"/>
              <w:bottom w:val="single" w:sz="12" w:space="0" w:color="FF9E3C"/>
              <w:right w:val="single" w:sz="12" w:space="0" w:color="FF9E3C"/>
            </w:tcBorders>
            <w:shd w:val="clear" w:color="auto" w:fill="auto"/>
            <w:vAlign w:val="center"/>
            <w:hideMark/>
          </w:tcPr>
          <w:p w14:paraId="5B23D41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088D51C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have less spending money</w:t>
            </w:r>
          </w:p>
        </w:tc>
      </w:tr>
      <w:tr w:rsidR="00DF080D" w:rsidRPr="00DF080D" w14:paraId="01B67D24"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6824823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5BA4F5B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62723C2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Reduction of my savings</w:t>
            </w:r>
          </w:p>
        </w:tc>
        <w:tc>
          <w:tcPr>
            <w:tcW w:w="1017" w:type="dxa"/>
            <w:tcBorders>
              <w:top w:val="nil"/>
              <w:left w:val="nil"/>
              <w:bottom w:val="single" w:sz="12" w:space="0" w:color="FF9E3C"/>
              <w:right w:val="single" w:sz="12" w:space="0" w:color="FF9E3C"/>
            </w:tcBorders>
            <w:shd w:val="clear" w:color="auto" w:fill="auto"/>
            <w:vAlign w:val="center"/>
            <w:hideMark/>
          </w:tcPr>
          <w:p w14:paraId="537973A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7556102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have reduced savings</w:t>
            </w:r>
          </w:p>
        </w:tc>
      </w:tr>
      <w:tr w:rsidR="00DF080D" w:rsidRPr="00DF080D" w14:paraId="085D4478"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50EB80F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75BEF74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3A21E33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Less spending on recreational expenses such as eating out, going to movies or other entertainment.</w:t>
            </w:r>
          </w:p>
        </w:tc>
        <w:tc>
          <w:tcPr>
            <w:tcW w:w="1017" w:type="dxa"/>
            <w:tcBorders>
              <w:top w:val="nil"/>
              <w:left w:val="nil"/>
              <w:bottom w:val="single" w:sz="12" w:space="0" w:color="FF9E3C"/>
              <w:right w:val="single" w:sz="12" w:space="0" w:color="FF9E3C"/>
            </w:tcBorders>
            <w:shd w:val="clear" w:color="auto" w:fill="auto"/>
            <w:vAlign w:val="center"/>
            <w:hideMark/>
          </w:tcPr>
          <w:p w14:paraId="4117AA0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43E3771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spend less recreationally (e.g. movies, eating out)</w:t>
            </w:r>
          </w:p>
        </w:tc>
      </w:tr>
      <w:tr w:rsidR="00DF080D" w:rsidRPr="00DF080D" w14:paraId="39BB327E"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7D18542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96174F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1AD04FD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Late payments on bills (e.g. utilities, rates)</w:t>
            </w:r>
          </w:p>
        </w:tc>
        <w:tc>
          <w:tcPr>
            <w:tcW w:w="1017" w:type="dxa"/>
            <w:tcBorders>
              <w:top w:val="nil"/>
              <w:left w:val="nil"/>
              <w:bottom w:val="single" w:sz="12" w:space="0" w:color="FF9E3C"/>
              <w:right w:val="single" w:sz="12" w:space="0" w:color="FF9E3C"/>
            </w:tcBorders>
            <w:shd w:val="clear" w:color="auto" w:fill="auto"/>
            <w:vAlign w:val="center"/>
            <w:hideMark/>
          </w:tcPr>
          <w:p w14:paraId="4493C27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73986DD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are late on bill payments</w:t>
            </w:r>
          </w:p>
        </w:tc>
      </w:tr>
      <w:tr w:rsidR="00DF080D" w:rsidRPr="00DF080D" w14:paraId="4D949B2E"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5D8CCDA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7DB9B31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5818612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Less spending on beneficial expenses such as insurances, education, car and home maintenance</w:t>
            </w:r>
          </w:p>
        </w:tc>
        <w:tc>
          <w:tcPr>
            <w:tcW w:w="1017" w:type="dxa"/>
            <w:tcBorders>
              <w:top w:val="nil"/>
              <w:left w:val="nil"/>
              <w:bottom w:val="single" w:sz="12" w:space="0" w:color="FF9E3C"/>
              <w:right w:val="single" w:sz="12" w:space="0" w:color="FF9E3C"/>
            </w:tcBorders>
            <w:shd w:val="clear" w:color="auto" w:fill="auto"/>
            <w:vAlign w:val="center"/>
            <w:hideMark/>
          </w:tcPr>
          <w:p w14:paraId="3A531ED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21D398A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have reduced spending on beneficial expenses (e.g. insurance, car and home maintenance)</w:t>
            </w:r>
          </w:p>
        </w:tc>
      </w:tr>
      <w:tr w:rsidR="00DF080D" w:rsidRPr="00DF080D" w14:paraId="641A1A50"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5912235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7E3264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503FA7C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Increased credit card debt</w:t>
            </w:r>
          </w:p>
        </w:tc>
        <w:tc>
          <w:tcPr>
            <w:tcW w:w="1017" w:type="dxa"/>
            <w:tcBorders>
              <w:top w:val="nil"/>
              <w:left w:val="nil"/>
              <w:bottom w:val="single" w:sz="12" w:space="0" w:color="FF9E3C"/>
              <w:right w:val="single" w:sz="12" w:space="0" w:color="FF9E3C"/>
            </w:tcBorders>
            <w:shd w:val="clear" w:color="auto" w:fill="auto"/>
            <w:vAlign w:val="center"/>
            <w:hideMark/>
          </w:tcPr>
          <w:p w14:paraId="3513D25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5479EA3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increased credit card debt</w:t>
            </w:r>
          </w:p>
        </w:tc>
      </w:tr>
      <w:tr w:rsidR="00DF080D" w:rsidRPr="00DF080D" w14:paraId="3F259F0E"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587057F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68EB5D9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2872794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Sold personal items</w:t>
            </w:r>
          </w:p>
        </w:tc>
        <w:tc>
          <w:tcPr>
            <w:tcW w:w="1017" w:type="dxa"/>
            <w:tcBorders>
              <w:top w:val="nil"/>
              <w:left w:val="nil"/>
              <w:bottom w:val="single" w:sz="12" w:space="0" w:color="FF9E3C"/>
              <w:right w:val="single" w:sz="12" w:space="0" w:color="FF9E3C"/>
            </w:tcBorders>
            <w:shd w:val="clear" w:color="auto" w:fill="auto"/>
            <w:vAlign w:val="center"/>
            <w:hideMark/>
          </w:tcPr>
          <w:p w14:paraId="4AA318D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6DFDDD7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needed to sell personal items</w:t>
            </w:r>
          </w:p>
        </w:tc>
      </w:tr>
      <w:tr w:rsidR="00DF080D" w:rsidRPr="00DF080D" w14:paraId="058B6D7E"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2153B5E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37716C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2AB15CF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Needed assistance from welfare organisations (foodbanks or emergency bill payments)</w:t>
            </w:r>
          </w:p>
        </w:tc>
        <w:tc>
          <w:tcPr>
            <w:tcW w:w="1017" w:type="dxa"/>
            <w:tcBorders>
              <w:top w:val="nil"/>
              <w:left w:val="nil"/>
              <w:bottom w:val="single" w:sz="12" w:space="0" w:color="FF9E3C"/>
              <w:right w:val="single" w:sz="12" w:space="0" w:color="FF9E3C"/>
            </w:tcBorders>
            <w:shd w:val="clear" w:color="auto" w:fill="auto"/>
            <w:vAlign w:val="center"/>
            <w:hideMark/>
          </w:tcPr>
          <w:p w14:paraId="7147F13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6FFE302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needed assistance from welfare organisations</w:t>
            </w:r>
          </w:p>
        </w:tc>
      </w:tr>
      <w:tr w:rsidR="00DF080D" w:rsidRPr="00DF080D" w14:paraId="7BFAE8AA"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50F43C5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44BB869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6927E09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Less spending on essential expenses such as medications, healthcare and food</w:t>
            </w:r>
          </w:p>
        </w:tc>
        <w:tc>
          <w:tcPr>
            <w:tcW w:w="1017" w:type="dxa"/>
            <w:tcBorders>
              <w:top w:val="nil"/>
              <w:left w:val="nil"/>
              <w:bottom w:val="single" w:sz="12" w:space="0" w:color="FF9E3C"/>
              <w:right w:val="single" w:sz="12" w:space="0" w:color="FF9E3C"/>
            </w:tcBorders>
            <w:shd w:val="clear" w:color="auto" w:fill="auto"/>
            <w:vAlign w:val="center"/>
            <w:hideMark/>
          </w:tcPr>
          <w:p w14:paraId="39DF08F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3C67FA5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reduced your spending on essential items (e.g. medication, food)</w:t>
            </w:r>
          </w:p>
        </w:tc>
      </w:tr>
      <w:tr w:rsidR="00DF080D" w:rsidRPr="00DF080D" w14:paraId="7127D19D"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63BCA98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57C0B64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171D7C8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Required assistance from whanau/family</w:t>
            </w:r>
          </w:p>
        </w:tc>
        <w:tc>
          <w:tcPr>
            <w:tcW w:w="1017" w:type="dxa"/>
            <w:tcBorders>
              <w:top w:val="nil"/>
              <w:left w:val="nil"/>
              <w:bottom w:val="single" w:sz="12" w:space="0" w:color="FF9E3C"/>
              <w:right w:val="single" w:sz="12" w:space="0" w:color="FF9E3C"/>
            </w:tcBorders>
            <w:shd w:val="clear" w:color="auto" w:fill="auto"/>
            <w:vAlign w:val="center"/>
            <w:hideMark/>
          </w:tcPr>
          <w:p w14:paraId="613F7D3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5BB2B07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required assistance from whanau/family</w:t>
            </w:r>
          </w:p>
        </w:tc>
      </w:tr>
      <w:tr w:rsidR="00DF080D" w:rsidRPr="00DF080D" w14:paraId="6621097B"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1FA169D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0E658BD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68B15AF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Loss of significant assets (e.g. car, home, business, superannuation)</w:t>
            </w:r>
          </w:p>
        </w:tc>
        <w:tc>
          <w:tcPr>
            <w:tcW w:w="1017" w:type="dxa"/>
            <w:tcBorders>
              <w:top w:val="nil"/>
              <w:left w:val="nil"/>
              <w:bottom w:val="single" w:sz="12" w:space="0" w:color="FF9E3C"/>
              <w:right w:val="single" w:sz="12" w:space="0" w:color="FF9E3C"/>
            </w:tcBorders>
            <w:shd w:val="clear" w:color="auto" w:fill="auto"/>
            <w:vAlign w:val="center"/>
            <w:hideMark/>
          </w:tcPr>
          <w:p w14:paraId="76FB9C9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2DB3CF3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lost assets</w:t>
            </w:r>
          </w:p>
        </w:tc>
      </w:tr>
      <w:tr w:rsidR="00DF080D" w:rsidRPr="00DF080D" w14:paraId="2A497012"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1C759CB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670AA51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1E6C90E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Needed emergency or temporary accommodation</w:t>
            </w:r>
          </w:p>
        </w:tc>
        <w:tc>
          <w:tcPr>
            <w:tcW w:w="1017" w:type="dxa"/>
            <w:tcBorders>
              <w:top w:val="nil"/>
              <w:left w:val="nil"/>
              <w:bottom w:val="single" w:sz="12" w:space="0" w:color="FF9E3C"/>
              <w:right w:val="single" w:sz="12" w:space="0" w:color="FF9E3C"/>
            </w:tcBorders>
            <w:shd w:val="clear" w:color="auto" w:fill="auto"/>
            <w:vAlign w:val="center"/>
            <w:hideMark/>
          </w:tcPr>
          <w:p w14:paraId="45FF486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6D888B0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needed emergency accommodation</w:t>
            </w:r>
          </w:p>
        </w:tc>
      </w:tr>
      <w:tr w:rsidR="00DF080D" w:rsidRPr="00DF080D" w14:paraId="34655808"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5E5D19C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34B222A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30E8788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Loss of supply of utilities (electricity, gas, etc.)</w:t>
            </w:r>
          </w:p>
        </w:tc>
        <w:tc>
          <w:tcPr>
            <w:tcW w:w="1017" w:type="dxa"/>
            <w:tcBorders>
              <w:top w:val="nil"/>
              <w:left w:val="nil"/>
              <w:bottom w:val="single" w:sz="12" w:space="0" w:color="FF9E3C"/>
              <w:right w:val="single" w:sz="12" w:space="0" w:color="FF9E3C"/>
            </w:tcBorders>
            <w:shd w:val="clear" w:color="auto" w:fill="auto"/>
            <w:vAlign w:val="center"/>
            <w:hideMark/>
          </w:tcPr>
          <w:p w14:paraId="616573D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0C18F46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lost utilities (e.g. electricity) </w:t>
            </w:r>
          </w:p>
        </w:tc>
      </w:tr>
      <w:tr w:rsidR="00DF080D" w:rsidRPr="00DF080D" w14:paraId="443F6FCB"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2EEEF65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06DFDE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5400" w:type="dxa"/>
            <w:tcBorders>
              <w:top w:val="nil"/>
              <w:left w:val="nil"/>
              <w:bottom w:val="single" w:sz="12" w:space="0" w:color="FF9E3C"/>
              <w:right w:val="single" w:sz="12" w:space="0" w:color="FF9E3C"/>
            </w:tcBorders>
            <w:shd w:val="clear" w:color="auto" w:fill="auto"/>
            <w:vAlign w:val="center"/>
            <w:hideMark/>
          </w:tcPr>
          <w:p w14:paraId="36B1DED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Bankruptcy</w:t>
            </w:r>
          </w:p>
        </w:tc>
        <w:tc>
          <w:tcPr>
            <w:tcW w:w="1017" w:type="dxa"/>
            <w:tcBorders>
              <w:top w:val="nil"/>
              <w:left w:val="nil"/>
              <w:bottom w:val="single" w:sz="12" w:space="0" w:color="FF9E3C"/>
              <w:right w:val="single" w:sz="12" w:space="0" w:color="FF9E3C"/>
            </w:tcBorders>
            <w:shd w:val="clear" w:color="auto" w:fill="auto"/>
            <w:vAlign w:val="center"/>
            <w:hideMark/>
          </w:tcPr>
          <w:p w14:paraId="60BE646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031E80C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gone bankrupt </w:t>
            </w:r>
          </w:p>
        </w:tc>
      </w:tr>
      <w:tr w:rsidR="00DF080D" w:rsidRPr="00DF080D" w14:paraId="48980952" w14:textId="77777777" w:rsidTr="00767EAD">
        <w:trPr>
          <w:trHeight w:val="510"/>
        </w:trPr>
        <w:tc>
          <w:tcPr>
            <w:tcW w:w="56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50B0913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2301" w:type="dxa"/>
            <w:tcBorders>
              <w:top w:val="nil"/>
              <w:left w:val="nil"/>
              <w:bottom w:val="single" w:sz="12" w:space="0" w:color="FF9E3C"/>
              <w:right w:val="single" w:sz="12" w:space="0" w:color="FF9E3C"/>
            </w:tcBorders>
            <w:shd w:val="clear" w:color="auto" w:fill="auto"/>
            <w:vAlign w:val="center"/>
            <w:hideMark/>
          </w:tcPr>
          <w:p w14:paraId="20C0E7D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238B07A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Loss of sleep due to stress or worry about gambling or gambling-related problems</w:t>
            </w:r>
          </w:p>
        </w:tc>
        <w:tc>
          <w:tcPr>
            <w:tcW w:w="1017" w:type="dxa"/>
            <w:tcBorders>
              <w:top w:val="nil"/>
              <w:left w:val="nil"/>
              <w:bottom w:val="single" w:sz="12" w:space="0" w:color="FF9E3C"/>
              <w:right w:val="single" w:sz="12" w:space="0" w:color="FF9E3C"/>
            </w:tcBorders>
            <w:shd w:val="clear" w:color="auto" w:fill="auto"/>
            <w:vAlign w:val="center"/>
            <w:hideMark/>
          </w:tcPr>
          <w:p w14:paraId="27B1AF1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6696F73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losing sleep due to worrying about gambling</w:t>
            </w:r>
          </w:p>
        </w:tc>
      </w:tr>
      <w:tr w:rsidR="00DF080D" w:rsidRPr="00DF080D" w14:paraId="0CD8BED4"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0BAA7C0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66538A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143BB1F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Loss of sleep due to spending time gambling</w:t>
            </w:r>
          </w:p>
        </w:tc>
        <w:tc>
          <w:tcPr>
            <w:tcW w:w="1017" w:type="dxa"/>
            <w:tcBorders>
              <w:top w:val="nil"/>
              <w:left w:val="nil"/>
              <w:bottom w:val="single" w:sz="12" w:space="0" w:color="FF9E3C"/>
              <w:right w:val="single" w:sz="12" w:space="0" w:color="FF9E3C"/>
            </w:tcBorders>
            <w:shd w:val="clear" w:color="auto" w:fill="auto"/>
            <w:vAlign w:val="center"/>
            <w:hideMark/>
          </w:tcPr>
          <w:p w14:paraId="5127334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67E665B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losing sleep due to spending time gambling</w:t>
            </w:r>
          </w:p>
        </w:tc>
      </w:tr>
      <w:tr w:rsidR="00DF080D" w:rsidRPr="00DF080D" w14:paraId="7A0494E2"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721D77F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6F9064B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1173E76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Increased experience of depression</w:t>
            </w:r>
          </w:p>
        </w:tc>
        <w:tc>
          <w:tcPr>
            <w:tcW w:w="1017" w:type="dxa"/>
            <w:tcBorders>
              <w:top w:val="nil"/>
              <w:left w:val="nil"/>
              <w:bottom w:val="single" w:sz="12" w:space="0" w:color="FF9E3C"/>
              <w:right w:val="single" w:sz="12" w:space="0" w:color="FF9E3C"/>
            </w:tcBorders>
            <w:shd w:val="clear" w:color="auto" w:fill="auto"/>
            <w:vAlign w:val="center"/>
            <w:hideMark/>
          </w:tcPr>
          <w:p w14:paraId="2680C25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34AD5E3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experiencing depression</w:t>
            </w:r>
          </w:p>
        </w:tc>
      </w:tr>
      <w:tr w:rsidR="00DF080D" w:rsidRPr="00DF080D" w14:paraId="2AC1E53C"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1CD09CB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0A17C5B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4D088C5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Stress related health problems (e.g. high blood pressure, headaches)</w:t>
            </w:r>
          </w:p>
        </w:tc>
        <w:tc>
          <w:tcPr>
            <w:tcW w:w="1017" w:type="dxa"/>
            <w:tcBorders>
              <w:top w:val="nil"/>
              <w:left w:val="nil"/>
              <w:bottom w:val="single" w:sz="12" w:space="0" w:color="FF9E3C"/>
              <w:right w:val="single" w:sz="12" w:space="0" w:color="FF9E3C"/>
            </w:tcBorders>
            <w:shd w:val="clear" w:color="auto" w:fill="auto"/>
            <w:vAlign w:val="center"/>
            <w:hideMark/>
          </w:tcPr>
          <w:p w14:paraId="5BFBD7E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679719B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experiencing stress related health problems (e.g. high blood pressure) </w:t>
            </w:r>
          </w:p>
        </w:tc>
      </w:tr>
      <w:tr w:rsidR="00DF080D" w:rsidRPr="00DF080D" w14:paraId="5827F008"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6B83F64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408BE69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521954B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Ate too much</w:t>
            </w:r>
          </w:p>
        </w:tc>
        <w:tc>
          <w:tcPr>
            <w:tcW w:w="1017" w:type="dxa"/>
            <w:tcBorders>
              <w:top w:val="nil"/>
              <w:left w:val="nil"/>
              <w:bottom w:val="single" w:sz="12" w:space="0" w:color="FF9E3C"/>
              <w:right w:val="single" w:sz="12" w:space="0" w:color="FF9E3C"/>
            </w:tcBorders>
            <w:shd w:val="clear" w:color="auto" w:fill="auto"/>
            <w:vAlign w:val="center"/>
            <w:hideMark/>
          </w:tcPr>
          <w:p w14:paraId="30D3DCF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4</w:t>
            </w:r>
          </w:p>
        </w:tc>
        <w:tc>
          <w:tcPr>
            <w:tcW w:w="4300" w:type="dxa"/>
            <w:tcBorders>
              <w:top w:val="nil"/>
              <w:left w:val="nil"/>
              <w:bottom w:val="single" w:sz="12" w:space="0" w:color="FF9E3C"/>
              <w:right w:val="single" w:sz="12" w:space="0" w:color="FF9E3C"/>
            </w:tcBorders>
            <w:shd w:val="clear" w:color="auto" w:fill="auto"/>
            <w:vAlign w:val="center"/>
            <w:hideMark/>
          </w:tcPr>
          <w:p w14:paraId="4AD13D4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eating too much</w:t>
            </w:r>
          </w:p>
        </w:tc>
      </w:tr>
      <w:tr w:rsidR="00DF080D" w:rsidRPr="00DF080D" w14:paraId="4CCFB5A7"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0F3041B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4954F48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5B358E9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Reduced physical activity due to my gambling</w:t>
            </w:r>
          </w:p>
        </w:tc>
        <w:tc>
          <w:tcPr>
            <w:tcW w:w="1017" w:type="dxa"/>
            <w:tcBorders>
              <w:top w:val="nil"/>
              <w:left w:val="nil"/>
              <w:bottom w:val="single" w:sz="12" w:space="0" w:color="FF9E3C"/>
              <w:right w:val="single" w:sz="12" w:space="0" w:color="FF9E3C"/>
            </w:tcBorders>
            <w:shd w:val="clear" w:color="auto" w:fill="auto"/>
            <w:vAlign w:val="center"/>
            <w:hideMark/>
          </w:tcPr>
          <w:p w14:paraId="30AD50B7"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4</w:t>
            </w:r>
          </w:p>
        </w:tc>
        <w:tc>
          <w:tcPr>
            <w:tcW w:w="4300" w:type="dxa"/>
            <w:tcBorders>
              <w:top w:val="nil"/>
              <w:left w:val="nil"/>
              <w:bottom w:val="single" w:sz="12" w:space="0" w:color="FF9E3C"/>
              <w:right w:val="single" w:sz="12" w:space="0" w:color="FF9E3C"/>
            </w:tcBorders>
            <w:shd w:val="clear" w:color="auto" w:fill="auto"/>
            <w:vAlign w:val="center"/>
            <w:hideMark/>
          </w:tcPr>
          <w:p w14:paraId="03FE45F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less physically active</w:t>
            </w:r>
          </w:p>
        </w:tc>
      </w:tr>
      <w:tr w:rsidR="00DF080D" w:rsidRPr="00DF080D" w14:paraId="0A174EE6"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5778B11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4C2EAF0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35FC5F3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Increased my use of tobacco</w:t>
            </w:r>
          </w:p>
        </w:tc>
        <w:tc>
          <w:tcPr>
            <w:tcW w:w="1017" w:type="dxa"/>
            <w:tcBorders>
              <w:top w:val="nil"/>
              <w:left w:val="nil"/>
              <w:bottom w:val="single" w:sz="12" w:space="0" w:color="FF9E3C"/>
              <w:right w:val="single" w:sz="12" w:space="0" w:color="FF9E3C"/>
            </w:tcBorders>
            <w:shd w:val="clear" w:color="auto" w:fill="auto"/>
            <w:vAlign w:val="center"/>
            <w:hideMark/>
          </w:tcPr>
          <w:p w14:paraId="2DDD1D5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16BA749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tobacco use is increasing</w:t>
            </w:r>
          </w:p>
        </w:tc>
      </w:tr>
      <w:tr w:rsidR="00DF080D" w:rsidRPr="00DF080D" w14:paraId="1A38C322"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3B3A8E1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50690B1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68DABD2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Didnt eat as much or often as I should</w:t>
            </w:r>
          </w:p>
        </w:tc>
        <w:tc>
          <w:tcPr>
            <w:tcW w:w="1017" w:type="dxa"/>
            <w:tcBorders>
              <w:top w:val="nil"/>
              <w:left w:val="nil"/>
              <w:bottom w:val="single" w:sz="12" w:space="0" w:color="FF9E3C"/>
              <w:right w:val="single" w:sz="12" w:space="0" w:color="FF9E3C"/>
            </w:tcBorders>
            <w:shd w:val="clear" w:color="auto" w:fill="auto"/>
            <w:vAlign w:val="center"/>
            <w:hideMark/>
          </w:tcPr>
          <w:p w14:paraId="2A96840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6B54406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eating as much as you should </w:t>
            </w:r>
          </w:p>
        </w:tc>
      </w:tr>
      <w:tr w:rsidR="00DF080D" w:rsidRPr="00DF080D" w14:paraId="449B56B6"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0EA2BCE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1435C3A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6DA0DB4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Increased my consumption of alcohol</w:t>
            </w:r>
          </w:p>
        </w:tc>
        <w:tc>
          <w:tcPr>
            <w:tcW w:w="1017" w:type="dxa"/>
            <w:tcBorders>
              <w:top w:val="nil"/>
              <w:left w:val="nil"/>
              <w:bottom w:val="single" w:sz="12" w:space="0" w:color="FF9E3C"/>
              <w:right w:val="single" w:sz="12" w:space="0" w:color="FF9E3C"/>
            </w:tcBorders>
            <w:shd w:val="clear" w:color="auto" w:fill="auto"/>
            <w:vAlign w:val="center"/>
            <w:hideMark/>
          </w:tcPr>
          <w:p w14:paraId="4F09104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4</w:t>
            </w:r>
          </w:p>
        </w:tc>
        <w:tc>
          <w:tcPr>
            <w:tcW w:w="4300" w:type="dxa"/>
            <w:tcBorders>
              <w:top w:val="nil"/>
              <w:left w:val="nil"/>
              <w:bottom w:val="single" w:sz="12" w:space="0" w:color="FF9E3C"/>
              <w:right w:val="single" w:sz="12" w:space="0" w:color="FF9E3C"/>
            </w:tcBorders>
            <w:shd w:val="clear" w:color="auto" w:fill="auto"/>
            <w:vAlign w:val="center"/>
            <w:hideMark/>
          </w:tcPr>
          <w:p w14:paraId="29C34E3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drinking more alcohol</w:t>
            </w:r>
          </w:p>
        </w:tc>
      </w:tr>
      <w:tr w:rsidR="00DF080D" w:rsidRPr="00DF080D" w14:paraId="717E6279"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165A64B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4D6060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41B26D6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Neglected my hygiene and self-care</w:t>
            </w:r>
          </w:p>
        </w:tc>
        <w:tc>
          <w:tcPr>
            <w:tcW w:w="1017" w:type="dxa"/>
            <w:tcBorders>
              <w:top w:val="nil"/>
              <w:left w:val="nil"/>
              <w:bottom w:val="single" w:sz="12" w:space="0" w:color="FF9E3C"/>
              <w:right w:val="single" w:sz="12" w:space="0" w:color="FF9E3C"/>
            </w:tcBorders>
            <w:shd w:val="clear" w:color="auto" w:fill="auto"/>
            <w:vAlign w:val="center"/>
            <w:hideMark/>
          </w:tcPr>
          <w:p w14:paraId="751BABA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4</w:t>
            </w:r>
          </w:p>
        </w:tc>
        <w:tc>
          <w:tcPr>
            <w:tcW w:w="4300" w:type="dxa"/>
            <w:tcBorders>
              <w:top w:val="nil"/>
              <w:left w:val="nil"/>
              <w:bottom w:val="single" w:sz="12" w:space="0" w:color="FF9E3C"/>
              <w:right w:val="single" w:sz="12" w:space="0" w:color="FF9E3C"/>
            </w:tcBorders>
            <w:shd w:val="clear" w:color="auto" w:fill="auto"/>
            <w:vAlign w:val="center"/>
            <w:hideMark/>
          </w:tcPr>
          <w:p w14:paraId="41944DE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neglecting your hygiene </w:t>
            </w:r>
          </w:p>
        </w:tc>
      </w:tr>
      <w:tr w:rsidR="00DF080D" w:rsidRPr="00DF080D" w14:paraId="5CF81D78"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1894B2F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1BA1B27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2548AD8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Neglected my medical needs (including taking prescribed medications)</w:t>
            </w:r>
          </w:p>
        </w:tc>
        <w:tc>
          <w:tcPr>
            <w:tcW w:w="1017" w:type="dxa"/>
            <w:tcBorders>
              <w:top w:val="nil"/>
              <w:left w:val="nil"/>
              <w:bottom w:val="single" w:sz="12" w:space="0" w:color="FF9E3C"/>
              <w:right w:val="single" w:sz="12" w:space="0" w:color="FF9E3C"/>
            </w:tcBorders>
            <w:shd w:val="clear" w:color="auto" w:fill="auto"/>
            <w:vAlign w:val="center"/>
            <w:hideMark/>
          </w:tcPr>
          <w:p w14:paraId="70356775"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4</w:t>
            </w:r>
          </w:p>
        </w:tc>
        <w:tc>
          <w:tcPr>
            <w:tcW w:w="4300" w:type="dxa"/>
            <w:tcBorders>
              <w:top w:val="nil"/>
              <w:left w:val="nil"/>
              <w:bottom w:val="single" w:sz="12" w:space="0" w:color="FF9E3C"/>
              <w:right w:val="single" w:sz="12" w:space="0" w:color="FF9E3C"/>
            </w:tcBorders>
            <w:shd w:val="clear" w:color="auto" w:fill="auto"/>
            <w:vAlign w:val="center"/>
            <w:hideMark/>
          </w:tcPr>
          <w:p w14:paraId="4BCEF0C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neglecting your medical needs (e.g. taking prescriptions)</w:t>
            </w:r>
          </w:p>
        </w:tc>
      </w:tr>
      <w:tr w:rsidR="00DF080D" w:rsidRPr="00DF080D" w14:paraId="573BAE40"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358F654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592C2E3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0EF6491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Increased use of health services due to health issues caused or exacerbated by my gambling</w:t>
            </w:r>
          </w:p>
        </w:tc>
        <w:tc>
          <w:tcPr>
            <w:tcW w:w="1017" w:type="dxa"/>
            <w:tcBorders>
              <w:top w:val="nil"/>
              <w:left w:val="nil"/>
              <w:bottom w:val="single" w:sz="12" w:space="0" w:color="FF9E3C"/>
              <w:right w:val="single" w:sz="12" w:space="0" w:color="FF9E3C"/>
            </w:tcBorders>
            <w:shd w:val="clear" w:color="auto" w:fill="auto"/>
            <w:vAlign w:val="center"/>
            <w:hideMark/>
          </w:tcPr>
          <w:p w14:paraId="195E4E3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4</w:t>
            </w:r>
          </w:p>
        </w:tc>
        <w:tc>
          <w:tcPr>
            <w:tcW w:w="4300" w:type="dxa"/>
            <w:tcBorders>
              <w:top w:val="nil"/>
              <w:left w:val="nil"/>
              <w:bottom w:val="single" w:sz="12" w:space="0" w:color="FF9E3C"/>
              <w:right w:val="single" w:sz="12" w:space="0" w:color="FF9E3C"/>
            </w:tcBorders>
            <w:shd w:val="clear" w:color="auto" w:fill="auto"/>
            <w:vAlign w:val="center"/>
            <w:hideMark/>
          </w:tcPr>
          <w:p w14:paraId="51EB9EE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using more health services</w:t>
            </w:r>
          </w:p>
        </w:tc>
      </w:tr>
      <w:tr w:rsidR="00DF080D" w:rsidRPr="00DF080D" w14:paraId="513F6E44"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2798BF2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9E9A58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037F7FD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Unhygienic living conditions (living rough, neglected or unclean housing, etc)</w:t>
            </w:r>
          </w:p>
        </w:tc>
        <w:tc>
          <w:tcPr>
            <w:tcW w:w="1017" w:type="dxa"/>
            <w:tcBorders>
              <w:top w:val="nil"/>
              <w:left w:val="nil"/>
              <w:bottom w:val="single" w:sz="12" w:space="0" w:color="FF9E3C"/>
              <w:right w:val="single" w:sz="12" w:space="0" w:color="FF9E3C"/>
            </w:tcBorders>
            <w:shd w:val="clear" w:color="auto" w:fill="auto"/>
            <w:vAlign w:val="center"/>
            <w:hideMark/>
          </w:tcPr>
          <w:p w14:paraId="4D58082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5</w:t>
            </w:r>
          </w:p>
        </w:tc>
        <w:tc>
          <w:tcPr>
            <w:tcW w:w="4300" w:type="dxa"/>
            <w:tcBorders>
              <w:top w:val="nil"/>
              <w:left w:val="nil"/>
              <w:bottom w:val="single" w:sz="12" w:space="0" w:color="FF9E3C"/>
              <w:right w:val="single" w:sz="12" w:space="0" w:color="FF9E3C"/>
            </w:tcBorders>
            <w:shd w:val="clear" w:color="auto" w:fill="auto"/>
            <w:vAlign w:val="center"/>
            <w:hideMark/>
          </w:tcPr>
          <w:p w14:paraId="453D06E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living in unhygienic conditions (e.g. living rough, neglected) </w:t>
            </w:r>
          </w:p>
        </w:tc>
      </w:tr>
      <w:tr w:rsidR="00DF080D" w:rsidRPr="00DF080D" w14:paraId="4C517585"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0975FB1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0E2DCF9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0E8266F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Committed acts of self harm</w:t>
            </w:r>
          </w:p>
        </w:tc>
        <w:tc>
          <w:tcPr>
            <w:tcW w:w="1017" w:type="dxa"/>
            <w:tcBorders>
              <w:top w:val="nil"/>
              <w:left w:val="nil"/>
              <w:bottom w:val="single" w:sz="12" w:space="0" w:color="FF9E3C"/>
              <w:right w:val="single" w:sz="12" w:space="0" w:color="FF9E3C"/>
            </w:tcBorders>
            <w:shd w:val="clear" w:color="auto" w:fill="auto"/>
            <w:vAlign w:val="center"/>
            <w:hideMark/>
          </w:tcPr>
          <w:p w14:paraId="3BB5F78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5</w:t>
            </w:r>
          </w:p>
        </w:tc>
        <w:tc>
          <w:tcPr>
            <w:tcW w:w="4300" w:type="dxa"/>
            <w:tcBorders>
              <w:top w:val="nil"/>
              <w:left w:val="nil"/>
              <w:bottom w:val="single" w:sz="12" w:space="0" w:color="FF9E3C"/>
              <w:right w:val="single" w:sz="12" w:space="0" w:color="FF9E3C"/>
            </w:tcBorders>
            <w:shd w:val="clear" w:color="auto" w:fill="auto"/>
            <w:vAlign w:val="center"/>
            <w:hideMark/>
          </w:tcPr>
          <w:p w14:paraId="4EE5433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self-harming</w:t>
            </w:r>
          </w:p>
        </w:tc>
      </w:tr>
      <w:tr w:rsidR="00DF080D" w:rsidRPr="00DF080D" w14:paraId="0A4E687C"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6C163A8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BD0CE6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048BDCA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Attempted suicide</w:t>
            </w:r>
          </w:p>
        </w:tc>
        <w:tc>
          <w:tcPr>
            <w:tcW w:w="1017" w:type="dxa"/>
            <w:tcBorders>
              <w:top w:val="nil"/>
              <w:left w:val="nil"/>
              <w:bottom w:val="single" w:sz="12" w:space="0" w:color="FF9E3C"/>
              <w:right w:val="single" w:sz="12" w:space="0" w:color="FF9E3C"/>
            </w:tcBorders>
            <w:shd w:val="clear" w:color="auto" w:fill="auto"/>
            <w:vAlign w:val="center"/>
            <w:hideMark/>
          </w:tcPr>
          <w:p w14:paraId="049DB1B7"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6</w:t>
            </w:r>
          </w:p>
        </w:tc>
        <w:tc>
          <w:tcPr>
            <w:tcW w:w="4300" w:type="dxa"/>
            <w:tcBorders>
              <w:top w:val="nil"/>
              <w:left w:val="nil"/>
              <w:bottom w:val="single" w:sz="12" w:space="0" w:color="FF9E3C"/>
              <w:right w:val="single" w:sz="12" w:space="0" w:color="FF9E3C"/>
            </w:tcBorders>
            <w:shd w:val="clear" w:color="auto" w:fill="auto"/>
            <w:vAlign w:val="center"/>
            <w:hideMark/>
          </w:tcPr>
          <w:p w14:paraId="30B77D4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attempted suicide</w:t>
            </w:r>
          </w:p>
        </w:tc>
      </w:tr>
      <w:tr w:rsidR="00DF080D" w:rsidRPr="00DF080D" w14:paraId="1D0D9A26"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7D0B266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FCD109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5400" w:type="dxa"/>
            <w:tcBorders>
              <w:top w:val="nil"/>
              <w:left w:val="nil"/>
              <w:bottom w:val="single" w:sz="12" w:space="0" w:color="FF9E3C"/>
              <w:right w:val="single" w:sz="12" w:space="0" w:color="FF9E3C"/>
            </w:tcBorders>
            <w:shd w:val="clear" w:color="auto" w:fill="auto"/>
            <w:vAlign w:val="center"/>
            <w:hideMark/>
          </w:tcPr>
          <w:p w14:paraId="69023C4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Required emergency medical treatment for health issues caused or exacerbated by gambling</w:t>
            </w:r>
          </w:p>
        </w:tc>
        <w:tc>
          <w:tcPr>
            <w:tcW w:w="1017" w:type="dxa"/>
            <w:tcBorders>
              <w:top w:val="nil"/>
              <w:left w:val="nil"/>
              <w:bottom w:val="single" w:sz="12" w:space="0" w:color="FF9E3C"/>
              <w:right w:val="single" w:sz="12" w:space="0" w:color="FF9E3C"/>
            </w:tcBorders>
            <w:shd w:val="clear" w:color="auto" w:fill="auto"/>
            <w:vAlign w:val="center"/>
            <w:hideMark/>
          </w:tcPr>
          <w:p w14:paraId="15D0792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6</w:t>
            </w:r>
          </w:p>
        </w:tc>
        <w:tc>
          <w:tcPr>
            <w:tcW w:w="4300" w:type="dxa"/>
            <w:tcBorders>
              <w:top w:val="nil"/>
              <w:left w:val="nil"/>
              <w:bottom w:val="single" w:sz="12" w:space="0" w:color="FF9E3C"/>
              <w:right w:val="single" w:sz="12" w:space="0" w:color="FF9E3C"/>
            </w:tcBorders>
            <w:shd w:val="clear" w:color="auto" w:fill="auto"/>
            <w:vAlign w:val="center"/>
            <w:hideMark/>
          </w:tcPr>
          <w:p w14:paraId="79C5319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required emergency medical treatment due to gambling related issues</w:t>
            </w:r>
          </w:p>
        </w:tc>
      </w:tr>
      <w:tr w:rsidR="00DF080D" w:rsidRPr="00DF080D" w14:paraId="37298C34" w14:textId="77777777" w:rsidTr="00767EAD">
        <w:trPr>
          <w:trHeight w:val="510"/>
        </w:trPr>
        <w:tc>
          <w:tcPr>
            <w:tcW w:w="56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2DDF612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lastRenderedPageBreak/>
              <w:t>4</w:t>
            </w:r>
          </w:p>
        </w:tc>
        <w:tc>
          <w:tcPr>
            <w:tcW w:w="2301" w:type="dxa"/>
            <w:tcBorders>
              <w:top w:val="nil"/>
              <w:left w:val="nil"/>
              <w:bottom w:val="single" w:sz="12" w:space="0" w:color="FF9E3C"/>
              <w:right w:val="single" w:sz="12" w:space="0" w:color="FF9E3C"/>
            </w:tcBorders>
            <w:shd w:val="clear" w:color="auto" w:fill="auto"/>
            <w:vAlign w:val="center"/>
            <w:hideMark/>
          </w:tcPr>
          <w:p w14:paraId="6D9FA5C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20A6D5F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Took money or items from friends or family/whanau without asking first</w:t>
            </w:r>
          </w:p>
        </w:tc>
        <w:tc>
          <w:tcPr>
            <w:tcW w:w="1017" w:type="dxa"/>
            <w:tcBorders>
              <w:top w:val="nil"/>
              <w:left w:val="nil"/>
              <w:bottom w:val="single" w:sz="12" w:space="0" w:color="FF9E3C"/>
              <w:right w:val="single" w:sz="12" w:space="0" w:color="FF9E3C"/>
            </w:tcBorders>
            <w:shd w:val="clear" w:color="auto" w:fill="auto"/>
            <w:vAlign w:val="center"/>
            <w:hideMark/>
          </w:tcPr>
          <w:p w14:paraId="3B6B8AD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27BA750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taking money/items from family/whanau or friends without asking</w:t>
            </w:r>
          </w:p>
        </w:tc>
      </w:tr>
      <w:tr w:rsidR="00DF080D" w:rsidRPr="00DF080D" w14:paraId="19741C70"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4FF472D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6FE78F8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217A28E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Promised to pay back money without genuinely intending to do so</w:t>
            </w:r>
          </w:p>
        </w:tc>
        <w:tc>
          <w:tcPr>
            <w:tcW w:w="1017" w:type="dxa"/>
            <w:tcBorders>
              <w:top w:val="nil"/>
              <w:left w:val="nil"/>
              <w:bottom w:val="single" w:sz="12" w:space="0" w:color="FF9E3C"/>
              <w:right w:val="single" w:sz="12" w:space="0" w:color="FF9E3C"/>
            </w:tcBorders>
            <w:shd w:val="clear" w:color="auto" w:fill="auto"/>
            <w:vAlign w:val="center"/>
            <w:hideMark/>
          </w:tcPr>
          <w:p w14:paraId="6680E1B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7961011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promising to pay back money without intending to do so</w:t>
            </w:r>
          </w:p>
        </w:tc>
      </w:tr>
      <w:tr w:rsidR="00DF080D" w:rsidRPr="00DF080D" w14:paraId="09E8487C"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1673AE0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6EE75AD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3C94DB5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compelled or forced to commit a crime or steal to fund gambling or pay debts</w:t>
            </w:r>
          </w:p>
        </w:tc>
        <w:tc>
          <w:tcPr>
            <w:tcW w:w="1017" w:type="dxa"/>
            <w:tcBorders>
              <w:top w:val="nil"/>
              <w:left w:val="nil"/>
              <w:bottom w:val="single" w:sz="12" w:space="0" w:color="FF9E3C"/>
              <w:right w:val="single" w:sz="12" w:space="0" w:color="FF9E3C"/>
            </w:tcBorders>
            <w:shd w:val="clear" w:color="auto" w:fill="auto"/>
            <w:vAlign w:val="center"/>
            <w:hideMark/>
          </w:tcPr>
          <w:p w14:paraId="35AEC45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0CADFDA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feel compelled to commit a crime to fund gambling or pay debts</w:t>
            </w:r>
          </w:p>
        </w:tc>
      </w:tr>
      <w:tr w:rsidR="00DF080D" w:rsidRPr="00DF080D" w14:paraId="263DCBF8"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2F31709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16B9763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63F93DF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Reduced my contribution to church obligations</w:t>
            </w:r>
          </w:p>
        </w:tc>
        <w:tc>
          <w:tcPr>
            <w:tcW w:w="1017" w:type="dxa"/>
            <w:tcBorders>
              <w:top w:val="nil"/>
              <w:left w:val="nil"/>
              <w:bottom w:val="single" w:sz="12" w:space="0" w:color="FF9E3C"/>
              <w:right w:val="single" w:sz="12" w:space="0" w:color="FF9E3C"/>
            </w:tcBorders>
            <w:shd w:val="clear" w:color="auto" w:fill="auto"/>
            <w:vAlign w:val="center"/>
            <w:hideMark/>
          </w:tcPr>
          <w:p w14:paraId="6BCB6E6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7657ED7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have reduced your contribution to church obligations</w:t>
            </w:r>
          </w:p>
        </w:tc>
      </w:tr>
      <w:tr w:rsidR="00DF080D" w:rsidRPr="00DF080D" w14:paraId="1AA7E6D6"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2BC6A59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7ECA4F3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324CE86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Reduced my contribution to community obligations</w:t>
            </w:r>
          </w:p>
        </w:tc>
        <w:tc>
          <w:tcPr>
            <w:tcW w:w="1017" w:type="dxa"/>
            <w:tcBorders>
              <w:top w:val="nil"/>
              <w:left w:val="nil"/>
              <w:bottom w:val="single" w:sz="12" w:space="0" w:color="FF9E3C"/>
              <w:right w:val="single" w:sz="12" w:space="0" w:color="FF9E3C"/>
            </w:tcBorders>
            <w:shd w:val="clear" w:color="auto" w:fill="auto"/>
            <w:vAlign w:val="center"/>
            <w:hideMark/>
          </w:tcPr>
          <w:p w14:paraId="4B7BF2D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6D20B40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have reduced your contribution to community obligations</w:t>
            </w:r>
          </w:p>
        </w:tc>
      </w:tr>
      <w:tr w:rsidR="00DF080D" w:rsidRPr="00DF080D" w14:paraId="1928714E"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364F555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1C88D96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4908D0C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Outcast from church due to involvement with gambling</w:t>
            </w:r>
          </w:p>
        </w:tc>
        <w:tc>
          <w:tcPr>
            <w:tcW w:w="1017" w:type="dxa"/>
            <w:tcBorders>
              <w:top w:val="nil"/>
              <w:left w:val="nil"/>
              <w:bottom w:val="single" w:sz="12" w:space="0" w:color="FF9E3C"/>
              <w:right w:val="single" w:sz="12" w:space="0" w:color="FF9E3C"/>
            </w:tcBorders>
            <w:shd w:val="clear" w:color="auto" w:fill="auto"/>
            <w:vAlign w:val="center"/>
            <w:hideMark/>
          </w:tcPr>
          <w:p w14:paraId="723E615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5E2A55B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are an outcast from church</w:t>
            </w:r>
          </w:p>
        </w:tc>
      </w:tr>
      <w:tr w:rsidR="00DF080D" w:rsidRPr="00DF080D" w14:paraId="18E3F3B3" w14:textId="77777777" w:rsidTr="00767EAD">
        <w:trPr>
          <w:trHeight w:val="432"/>
        </w:trPr>
        <w:tc>
          <w:tcPr>
            <w:tcW w:w="567" w:type="dxa"/>
            <w:vMerge/>
            <w:tcBorders>
              <w:top w:val="nil"/>
              <w:left w:val="single" w:sz="12" w:space="0" w:color="FF9E3C"/>
              <w:bottom w:val="single" w:sz="12" w:space="0" w:color="FF9E3C"/>
              <w:right w:val="single" w:sz="12" w:space="0" w:color="FF9E3C"/>
            </w:tcBorders>
            <w:vAlign w:val="center"/>
            <w:hideMark/>
          </w:tcPr>
          <w:p w14:paraId="3F8F8CE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011D9CB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6812CD2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Outcast from community due to involvement with gambling</w:t>
            </w:r>
          </w:p>
        </w:tc>
        <w:tc>
          <w:tcPr>
            <w:tcW w:w="1017" w:type="dxa"/>
            <w:tcBorders>
              <w:top w:val="nil"/>
              <w:left w:val="nil"/>
              <w:bottom w:val="single" w:sz="12" w:space="0" w:color="FF9E3C"/>
              <w:right w:val="single" w:sz="12" w:space="0" w:color="FF9E3C"/>
            </w:tcBorders>
            <w:shd w:val="clear" w:color="auto" w:fill="auto"/>
            <w:vAlign w:val="center"/>
            <w:hideMark/>
          </w:tcPr>
          <w:p w14:paraId="34566BB4"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726E9F5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are an outcast from your community</w:t>
            </w:r>
          </w:p>
        </w:tc>
      </w:tr>
      <w:tr w:rsidR="00DF080D" w:rsidRPr="00DF080D" w14:paraId="18C258E3"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7C08CFE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791C9B6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598260CF" w14:textId="00CFC27E"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Didn</w:t>
            </w:r>
            <w:r w:rsidR="00D456FF">
              <w:rPr>
                <w:rFonts w:cs="Arial"/>
                <w:color w:val="1C3158"/>
                <w:sz w:val="18"/>
                <w:lang w:eastAsia="ja-JP"/>
              </w:rPr>
              <w:t>’</w:t>
            </w:r>
            <w:r w:rsidRPr="00DF080D">
              <w:rPr>
                <w:rFonts w:cs="Arial"/>
                <w:color w:val="1C3158"/>
                <w:sz w:val="18"/>
                <w:lang w:eastAsia="ja-JP"/>
              </w:rPr>
              <w:t>t fully attend to needs of children</w:t>
            </w:r>
          </w:p>
        </w:tc>
        <w:tc>
          <w:tcPr>
            <w:tcW w:w="1017" w:type="dxa"/>
            <w:tcBorders>
              <w:top w:val="nil"/>
              <w:left w:val="nil"/>
              <w:bottom w:val="single" w:sz="12" w:space="0" w:color="FF9E3C"/>
              <w:right w:val="single" w:sz="12" w:space="0" w:color="FF9E3C"/>
            </w:tcBorders>
            <w:shd w:val="clear" w:color="auto" w:fill="auto"/>
            <w:vAlign w:val="center"/>
            <w:hideMark/>
          </w:tcPr>
          <w:p w14:paraId="79C8CD6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277D9B7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do not attend fully to your children's needs</w:t>
            </w:r>
          </w:p>
        </w:tc>
      </w:tr>
      <w:tr w:rsidR="00DF080D" w:rsidRPr="00DF080D" w14:paraId="345DED4D"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72D8AD7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7D83A67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3E96F7C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Petty theft or dishonesty in respect to government, businesses or other people (not family/whanau/friends)</w:t>
            </w:r>
          </w:p>
        </w:tc>
        <w:tc>
          <w:tcPr>
            <w:tcW w:w="1017" w:type="dxa"/>
            <w:tcBorders>
              <w:top w:val="nil"/>
              <w:left w:val="nil"/>
              <w:bottom w:val="single" w:sz="12" w:space="0" w:color="FF9E3C"/>
              <w:right w:val="single" w:sz="12" w:space="0" w:color="FF9E3C"/>
            </w:tcBorders>
            <w:shd w:val="clear" w:color="auto" w:fill="auto"/>
            <w:vAlign w:val="center"/>
            <w:hideMark/>
          </w:tcPr>
          <w:p w14:paraId="40AC7C9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3433700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engaging in petty theft/dishonesty with professional enterprises (e.g. governments, businesses, colleagues)</w:t>
            </w:r>
          </w:p>
        </w:tc>
      </w:tr>
      <w:tr w:rsidR="00DF080D" w:rsidRPr="00DF080D" w14:paraId="4219EADB" w14:textId="77777777" w:rsidTr="00767EAD">
        <w:trPr>
          <w:trHeight w:val="382"/>
        </w:trPr>
        <w:tc>
          <w:tcPr>
            <w:tcW w:w="567" w:type="dxa"/>
            <w:vMerge/>
            <w:tcBorders>
              <w:top w:val="nil"/>
              <w:left w:val="single" w:sz="12" w:space="0" w:color="FF9E3C"/>
              <w:bottom w:val="single" w:sz="12" w:space="0" w:color="FF9E3C"/>
              <w:right w:val="single" w:sz="12" w:space="0" w:color="FF9E3C"/>
            </w:tcBorders>
            <w:vAlign w:val="center"/>
            <w:hideMark/>
          </w:tcPr>
          <w:p w14:paraId="1265694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5783CAF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760F26B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less connected to my church</w:t>
            </w:r>
          </w:p>
        </w:tc>
        <w:tc>
          <w:tcPr>
            <w:tcW w:w="1017" w:type="dxa"/>
            <w:tcBorders>
              <w:top w:val="nil"/>
              <w:left w:val="nil"/>
              <w:bottom w:val="single" w:sz="12" w:space="0" w:color="FF9E3C"/>
              <w:right w:val="single" w:sz="12" w:space="0" w:color="FF9E3C"/>
            </w:tcBorders>
            <w:shd w:val="clear" w:color="auto" w:fill="auto"/>
            <w:vAlign w:val="center"/>
            <w:hideMark/>
          </w:tcPr>
          <w:p w14:paraId="3E4D66B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3A6B514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feel less connected to your church</w:t>
            </w:r>
          </w:p>
        </w:tc>
      </w:tr>
      <w:tr w:rsidR="00DF080D" w:rsidRPr="00DF080D" w14:paraId="1E66D29B"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7753BA2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hideMark/>
          </w:tcPr>
          <w:p w14:paraId="62189DB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6568515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less connected to my community</w:t>
            </w:r>
          </w:p>
        </w:tc>
        <w:tc>
          <w:tcPr>
            <w:tcW w:w="1017" w:type="dxa"/>
            <w:tcBorders>
              <w:top w:val="nil"/>
              <w:left w:val="nil"/>
              <w:bottom w:val="single" w:sz="12" w:space="0" w:color="FF9E3C"/>
              <w:right w:val="single" w:sz="12" w:space="0" w:color="FF9E3C"/>
            </w:tcBorders>
            <w:shd w:val="clear" w:color="auto" w:fill="auto"/>
            <w:vAlign w:val="center"/>
            <w:hideMark/>
          </w:tcPr>
          <w:p w14:paraId="6E06910F"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0CF7EDB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feel less connected to your community</w:t>
            </w:r>
          </w:p>
        </w:tc>
      </w:tr>
      <w:tr w:rsidR="00DF080D" w:rsidRPr="00DF080D" w14:paraId="14BE5530"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69AA515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hideMark/>
          </w:tcPr>
          <w:p w14:paraId="45FF1F9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5400" w:type="dxa"/>
            <w:tcBorders>
              <w:top w:val="nil"/>
              <w:left w:val="nil"/>
              <w:bottom w:val="single" w:sz="12" w:space="0" w:color="FF9E3C"/>
              <w:right w:val="single" w:sz="12" w:space="0" w:color="FF9E3C"/>
            </w:tcBorders>
            <w:shd w:val="clear" w:color="auto" w:fill="auto"/>
            <w:vAlign w:val="center"/>
            <w:hideMark/>
          </w:tcPr>
          <w:p w14:paraId="676BCB6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Had experiences with violence (include family/domestic violence)</w:t>
            </w:r>
          </w:p>
        </w:tc>
        <w:tc>
          <w:tcPr>
            <w:tcW w:w="1017" w:type="dxa"/>
            <w:tcBorders>
              <w:top w:val="nil"/>
              <w:left w:val="nil"/>
              <w:bottom w:val="single" w:sz="12" w:space="0" w:color="FF9E3C"/>
              <w:right w:val="single" w:sz="12" w:space="0" w:color="FF9E3C"/>
            </w:tcBorders>
            <w:shd w:val="clear" w:color="auto" w:fill="auto"/>
            <w:vAlign w:val="center"/>
            <w:hideMark/>
          </w:tcPr>
          <w:p w14:paraId="2D672FA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6A9C999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have experiences with violence (include family/domestic)</w:t>
            </w:r>
          </w:p>
        </w:tc>
      </w:tr>
      <w:tr w:rsidR="00DF080D" w:rsidRPr="00DF080D" w14:paraId="56A0CF97" w14:textId="77777777" w:rsidTr="00767EAD">
        <w:trPr>
          <w:trHeight w:val="510"/>
        </w:trPr>
        <w:tc>
          <w:tcPr>
            <w:tcW w:w="56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64D6BF8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5</w:t>
            </w:r>
          </w:p>
        </w:tc>
        <w:tc>
          <w:tcPr>
            <w:tcW w:w="2301" w:type="dxa"/>
            <w:tcBorders>
              <w:top w:val="nil"/>
              <w:left w:val="nil"/>
              <w:bottom w:val="single" w:sz="12" w:space="0" w:color="FF9E3C"/>
              <w:right w:val="single" w:sz="12" w:space="0" w:color="FF9E3C"/>
            </w:tcBorders>
            <w:shd w:val="clear" w:color="auto" w:fill="auto"/>
            <w:vAlign w:val="center"/>
            <w:hideMark/>
          </w:tcPr>
          <w:p w14:paraId="1D7F1EA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30C88AE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Got less enjoyment from time spent with people I care about</w:t>
            </w:r>
          </w:p>
        </w:tc>
        <w:tc>
          <w:tcPr>
            <w:tcW w:w="1017" w:type="dxa"/>
            <w:tcBorders>
              <w:top w:val="nil"/>
              <w:left w:val="nil"/>
              <w:bottom w:val="single" w:sz="12" w:space="0" w:color="FF9E3C"/>
              <w:right w:val="single" w:sz="12" w:space="0" w:color="FF9E3C"/>
            </w:tcBorders>
            <w:shd w:val="clear" w:color="auto" w:fill="auto"/>
            <w:vAlign w:val="center"/>
            <w:hideMark/>
          </w:tcPr>
          <w:p w14:paraId="188547F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4C25865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don't get enjoyment from spending time with people you care about</w:t>
            </w:r>
          </w:p>
        </w:tc>
      </w:tr>
      <w:tr w:rsidR="00DF080D" w:rsidRPr="00DF080D" w14:paraId="1D463C69"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7248AEF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696D352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1D9C5FD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Spent less time with people I care about</w:t>
            </w:r>
          </w:p>
        </w:tc>
        <w:tc>
          <w:tcPr>
            <w:tcW w:w="1017" w:type="dxa"/>
            <w:tcBorders>
              <w:top w:val="nil"/>
              <w:left w:val="nil"/>
              <w:bottom w:val="single" w:sz="12" w:space="0" w:color="FF9E3C"/>
              <w:right w:val="single" w:sz="12" w:space="0" w:color="FF9E3C"/>
            </w:tcBorders>
            <w:shd w:val="clear" w:color="auto" w:fill="auto"/>
            <w:vAlign w:val="center"/>
            <w:hideMark/>
          </w:tcPr>
          <w:p w14:paraId="1315E36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49C1722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spend less time with the people you care about</w:t>
            </w:r>
          </w:p>
        </w:tc>
      </w:tr>
      <w:tr w:rsidR="00DF080D" w:rsidRPr="00DF080D" w14:paraId="5E5B76F2"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2A8838A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46F1199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2A703417" w14:textId="4FB9620F" w:rsidR="00DF080D" w:rsidRPr="00DF080D" w:rsidRDefault="00DF080D" w:rsidP="00D456FF">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Spent less time attending social events (non</w:t>
            </w:r>
            <w:r w:rsidR="00D456FF">
              <w:rPr>
                <w:rFonts w:cs="Arial"/>
                <w:color w:val="1C3158"/>
                <w:sz w:val="18"/>
                <w:lang w:eastAsia="ja-JP"/>
              </w:rPr>
              <w:t>-</w:t>
            </w:r>
            <w:r w:rsidRPr="00DF080D">
              <w:rPr>
                <w:rFonts w:cs="Arial"/>
                <w:color w:val="1C3158"/>
                <w:sz w:val="18"/>
                <w:lang w:eastAsia="ja-JP"/>
              </w:rPr>
              <w:t>gambling related)</w:t>
            </w:r>
          </w:p>
        </w:tc>
        <w:tc>
          <w:tcPr>
            <w:tcW w:w="1017" w:type="dxa"/>
            <w:tcBorders>
              <w:top w:val="nil"/>
              <w:left w:val="nil"/>
              <w:bottom w:val="single" w:sz="12" w:space="0" w:color="FF9E3C"/>
              <w:right w:val="single" w:sz="12" w:space="0" w:color="FF9E3C"/>
            </w:tcBorders>
            <w:shd w:val="clear" w:color="auto" w:fill="auto"/>
            <w:vAlign w:val="center"/>
            <w:hideMark/>
          </w:tcPr>
          <w:p w14:paraId="2D8B159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4BC84DB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spend less time attending social events</w:t>
            </w:r>
          </w:p>
        </w:tc>
      </w:tr>
      <w:tr w:rsidR="00DF080D" w:rsidRPr="00DF080D" w14:paraId="78140387"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75EF049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6D901D8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4CC9838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Social isolation (felt excluded or shut-off from others)</w:t>
            </w:r>
          </w:p>
        </w:tc>
        <w:tc>
          <w:tcPr>
            <w:tcW w:w="1017" w:type="dxa"/>
            <w:tcBorders>
              <w:top w:val="nil"/>
              <w:left w:val="nil"/>
              <w:bottom w:val="single" w:sz="12" w:space="0" w:color="FF9E3C"/>
              <w:right w:val="single" w:sz="12" w:space="0" w:color="FF9E3C"/>
            </w:tcBorders>
            <w:shd w:val="clear" w:color="auto" w:fill="auto"/>
            <w:vAlign w:val="center"/>
            <w:hideMark/>
          </w:tcPr>
          <w:p w14:paraId="69C6E65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0E80A3A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experience social isolation</w:t>
            </w:r>
          </w:p>
        </w:tc>
      </w:tr>
      <w:tr w:rsidR="00DF080D" w:rsidRPr="00DF080D" w14:paraId="30A85A7B"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32D8508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F95EF8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26131FD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Experienced greater tension in my relationships (suspicion, lying, resentment, etc)</w:t>
            </w:r>
          </w:p>
        </w:tc>
        <w:tc>
          <w:tcPr>
            <w:tcW w:w="1017" w:type="dxa"/>
            <w:tcBorders>
              <w:top w:val="nil"/>
              <w:left w:val="nil"/>
              <w:bottom w:val="single" w:sz="12" w:space="0" w:color="FF9E3C"/>
              <w:right w:val="single" w:sz="12" w:space="0" w:color="FF9E3C"/>
            </w:tcBorders>
            <w:shd w:val="clear" w:color="auto" w:fill="auto"/>
            <w:vAlign w:val="center"/>
            <w:hideMark/>
          </w:tcPr>
          <w:p w14:paraId="46B9DA2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62F373A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tension</w:t>
            </w:r>
          </w:p>
        </w:tc>
      </w:tr>
      <w:tr w:rsidR="00DF080D" w:rsidRPr="00DF080D" w14:paraId="539E451B"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45A3FCD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3F27D45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760A00B1" w14:textId="2DF5E176"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Experienced greater conflict in my relationships</w:t>
            </w:r>
            <w:r w:rsidR="00BE3642">
              <w:rPr>
                <w:rFonts w:cs="Arial"/>
                <w:color w:val="1C3158"/>
                <w:sz w:val="18"/>
                <w:lang w:eastAsia="ja-JP"/>
              </w:rPr>
              <w:t xml:space="preserve"> </w:t>
            </w:r>
            <w:r w:rsidRPr="00DF080D">
              <w:rPr>
                <w:rFonts w:cs="Arial"/>
                <w:color w:val="1C3158"/>
                <w:sz w:val="18"/>
                <w:lang w:eastAsia="ja-JP"/>
              </w:rPr>
              <w:t>(arguing, fighting, ultimatums)</w:t>
            </w:r>
          </w:p>
        </w:tc>
        <w:tc>
          <w:tcPr>
            <w:tcW w:w="1017" w:type="dxa"/>
            <w:tcBorders>
              <w:top w:val="nil"/>
              <w:left w:val="nil"/>
              <w:bottom w:val="single" w:sz="12" w:space="0" w:color="FF9E3C"/>
              <w:right w:val="single" w:sz="12" w:space="0" w:color="FF9E3C"/>
            </w:tcBorders>
            <w:shd w:val="clear" w:color="auto" w:fill="auto"/>
            <w:vAlign w:val="center"/>
            <w:hideMark/>
          </w:tcPr>
          <w:p w14:paraId="78C9868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6639D49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conflict</w:t>
            </w:r>
          </w:p>
        </w:tc>
      </w:tr>
      <w:tr w:rsidR="00DF080D" w:rsidRPr="00DF080D" w14:paraId="07D55ABA"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79CDEDE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6C2BBF1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654F5E1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Experienced physical or emotional violence in my relationships</w:t>
            </w:r>
          </w:p>
        </w:tc>
        <w:tc>
          <w:tcPr>
            <w:tcW w:w="1017" w:type="dxa"/>
            <w:tcBorders>
              <w:top w:val="nil"/>
              <w:left w:val="nil"/>
              <w:bottom w:val="single" w:sz="12" w:space="0" w:color="FF9E3C"/>
              <w:right w:val="single" w:sz="12" w:space="0" w:color="FF9E3C"/>
            </w:tcBorders>
            <w:shd w:val="clear" w:color="auto" w:fill="auto"/>
            <w:vAlign w:val="center"/>
            <w:hideMark/>
          </w:tcPr>
          <w:p w14:paraId="30D8F51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0E3E51D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physical or emotional violence</w:t>
            </w:r>
          </w:p>
        </w:tc>
      </w:tr>
      <w:tr w:rsidR="00DF080D" w:rsidRPr="00DF080D" w14:paraId="7284B37E"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1F0653F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50CFB54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4B6AEF8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Neglected my relationship responsibilities</w:t>
            </w:r>
          </w:p>
        </w:tc>
        <w:tc>
          <w:tcPr>
            <w:tcW w:w="1017" w:type="dxa"/>
            <w:tcBorders>
              <w:top w:val="nil"/>
              <w:left w:val="nil"/>
              <w:bottom w:val="single" w:sz="12" w:space="0" w:color="FF9E3C"/>
              <w:right w:val="single" w:sz="12" w:space="0" w:color="FF9E3C"/>
            </w:tcBorders>
            <w:shd w:val="clear" w:color="auto" w:fill="auto"/>
            <w:vAlign w:val="center"/>
            <w:hideMark/>
          </w:tcPr>
          <w:p w14:paraId="60744D2F"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68C1EBE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neglect your relationship responsibilities </w:t>
            </w:r>
          </w:p>
        </w:tc>
      </w:tr>
      <w:tr w:rsidR="00DF080D" w:rsidRPr="00DF080D" w14:paraId="08C5E83A"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67E6E52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1FF1F71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20A0F2B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Neglected my whanau/family responsibilities</w:t>
            </w:r>
          </w:p>
        </w:tc>
        <w:tc>
          <w:tcPr>
            <w:tcW w:w="1017" w:type="dxa"/>
            <w:tcBorders>
              <w:top w:val="nil"/>
              <w:left w:val="nil"/>
              <w:bottom w:val="single" w:sz="12" w:space="0" w:color="FF9E3C"/>
              <w:right w:val="single" w:sz="12" w:space="0" w:color="FF9E3C"/>
            </w:tcBorders>
            <w:shd w:val="clear" w:color="auto" w:fill="auto"/>
            <w:vAlign w:val="center"/>
            <w:hideMark/>
          </w:tcPr>
          <w:p w14:paraId="598D1E24"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15CA30F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neglect your whanau/family responsibilities</w:t>
            </w:r>
          </w:p>
        </w:tc>
      </w:tr>
      <w:tr w:rsidR="00DF080D" w:rsidRPr="00DF080D" w14:paraId="52457A4D"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2B6AA0C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hideMark/>
          </w:tcPr>
          <w:p w14:paraId="34A6FCD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5400" w:type="dxa"/>
            <w:tcBorders>
              <w:top w:val="nil"/>
              <w:left w:val="nil"/>
              <w:bottom w:val="single" w:sz="12" w:space="0" w:color="FF9E3C"/>
              <w:right w:val="single" w:sz="12" w:space="0" w:color="FF9E3C"/>
            </w:tcBorders>
            <w:shd w:val="clear" w:color="auto" w:fill="auto"/>
            <w:vAlign w:val="center"/>
            <w:hideMark/>
          </w:tcPr>
          <w:p w14:paraId="053E71F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Felt belittled in my relationships</w:t>
            </w:r>
          </w:p>
        </w:tc>
        <w:tc>
          <w:tcPr>
            <w:tcW w:w="1017" w:type="dxa"/>
            <w:tcBorders>
              <w:top w:val="nil"/>
              <w:left w:val="nil"/>
              <w:bottom w:val="single" w:sz="12" w:space="0" w:color="FF9E3C"/>
              <w:right w:val="single" w:sz="12" w:space="0" w:color="FF9E3C"/>
            </w:tcBorders>
            <w:shd w:val="clear" w:color="auto" w:fill="auto"/>
            <w:vAlign w:val="center"/>
            <w:hideMark/>
          </w:tcPr>
          <w:p w14:paraId="47A6CA8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64B36C0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feel belittled in your relationship</w:t>
            </w:r>
          </w:p>
        </w:tc>
      </w:tr>
      <w:tr w:rsidR="00DF080D" w:rsidRPr="00DF080D" w14:paraId="2FEE1C8E" w14:textId="77777777" w:rsidTr="00767EAD">
        <w:trPr>
          <w:trHeight w:val="330"/>
        </w:trPr>
        <w:tc>
          <w:tcPr>
            <w:tcW w:w="567"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4E71C9A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6</w:t>
            </w:r>
          </w:p>
        </w:tc>
        <w:tc>
          <w:tcPr>
            <w:tcW w:w="2301" w:type="dxa"/>
            <w:tcBorders>
              <w:top w:val="nil"/>
              <w:left w:val="nil"/>
              <w:bottom w:val="single" w:sz="12" w:space="0" w:color="FF9E3C"/>
              <w:right w:val="single" w:sz="12" w:space="0" w:color="FF9E3C"/>
            </w:tcBorders>
            <w:shd w:val="clear" w:color="auto" w:fill="auto"/>
            <w:vAlign w:val="center"/>
            <w:hideMark/>
          </w:tcPr>
          <w:p w14:paraId="7E527BF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3D6A7A3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Was late for work or study</w:t>
            </w:r>
          </w:p>
        </w:tc>
        <w:tc>
          <w:tcPr>
            <w:tcW w:w="1017" w:type="dxa"/>
            <w:tcBorders>
              <w:top w:val="nil"/>
              <w:left w:val="nil"/>
              <w:bottom w:val="single" w:sz="12" w:space="0" w:color="FF9E3C"/>
              <w:right w:val="single" w:sz="12" w:space="0" w:color="FF9E3C"/>
            </w:tcBorders>
            <w:shd w:val="clear" w:color="auto" w:fill="auto"/>
            <w:vAlign w:val="center"/>
            <w:hideMark/>
          </w:tcPr>
          <w:p w14:paraId="38DF4E8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69D51E0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been late</w:t>
            </w:r>
          </w:p>
        </w:tc>
      </w:tr>
      <w:tr w:rsidR="00DF080D" w:rsidRPr="00DF080D" w14:paraId="47C0C316"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5CCA52E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58DAF6D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633C027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Was absent from work or study</w:t>
            </w:r>
          </w:p>
        </w:tc>
        <w:tc>
          <w:tcPr>
            <w:tcW w:w="1017" w:type="dxa"/>
            <w:tcBorders>
              <w:top w:val="nil"/>
              <w:left w:val="nil"/>
              <w:bottom w:val="single" w:sz="12" w:space="0" w:color="FF9E3C"/>
              <w:right w:val="single" w:sz="12" w:space="0" w:color="FF9E3C"/>
            </w:tcBorders>
            <w:shd w:val="clear" w:color="auto" w:fill="auto"/>
            <w:vAlign w:val="center"/>
            <w:hideMark/>
          </w:tcPr>
          <w:p w14:paraId="1037C58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46A1C99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been absent</w:t>
            </w:r>
          </w:p>
        </w:tc>
      </w:tr>
      <w:tr w:rsidR="00DF080D" w:rsidRPr="00DF080D" w14:paraId="0698BB6B" w14:textId="77777777" w:rsidTr="00767EAD">
        <w:trPr>
          <w:trHeight w:val="510"/>
        </w:trPr>
        <w:tc>
          <w:tcPr>
            <w:tcW w:w="567" w:type="dxa"/>
            <w:vMerge/>
            <w:tcBorders>
              <w:top w:val="nil"/>
              <w:left w:val="single" w:sz="12" w:space="0" w:color="FF9E3C"/>
              <w:bottom w:val="single" w:sz="12" w:space="0" w:color="FF9E3C"/>
              <w:right w:val="single" w:sz="12" w:space="0" w:color="FF9E3C"/>
            </w:tcBorders>
            <w:vAlign w:val="center"/>
            <w:hideMark/>
          </w:tcPr>
          <w:p w14:paraId="4908F32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776579B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0AFBF53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Reduced performance at work or study (i.e. due to tiredness or distraction)</w:t>
            </w:r>
          </w:p>
        </w:tc>
        <w:tc>
          <w:tcPr>
            <w:tcW w:w="1017" w:type="dxa"/>
            <w:tcBorders>
              <w:top w:val="nil"/>
              <w:left w:val="nil"/>
              <w:bottom w:val="single" w:sz="12" w:space="0" w:color="FF9E3C"/>
              <w:right w:val="single" w:sz="12" w:space="0" w:color="FF9E3C"/>
            </w:tcBorders>
            <w:shd w:val="clear" w:color="auto" w:fill="auto"/>
            <w:vAlign w:val="center"/>
            <w:hideMark/>
          </w:tcPr>
          <w:p w14:paraId="7EFB299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300" w:type="dxa"/>
            <w:tcBorders>
              <w:top w:val="nil"/>
              <w:left w:val="nil"/>
              <w:bottom w:val="single" w:sz="12" w:space="0" w:color="FF9E3C"/>
              <w:right w:val="single" w:sz="12" w:space="0" w:color="FF9E3C"/>
            </w:tcBorders>
            <w:shd w:val="clear" w:color="auto" w:fill="auto"/>
            <w:vAlign w:val="center"/>
            <w:hideMark/>
          </w:tcPr>
          <w:p w14:paraId="0477E4F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reduced your performance (e.g. due to tiredness or distraction)</w:t>
            </w:r>
          </w:p>
        </w:tc>
      </w:tr>
      <w:tr w:rsidR="00DF080D" w:rsidRPr="00DF080D" w14:paraId="7D5B2384"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2C5AB4D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ED9569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62DB52D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Used my work or study time to gamble</w:t>
            </w:r>
          </w:p>
        </w:tc>
        <w:tc>
          <w:tcPr>
            <w:tcW w:w="1017" w:type="dxa"/>
            <w:tcBorders>
              <w:top w:val="nil"/>
              <w:left w:val="nil"/>
              <w:bottom w:val="single" w:sz="12" w:space="0" w:color="FF9E3C"/>
              <w:right w:val="single" w:sz="12" w:space="0" w:color="FF9E3C"/>
            </w:tcBorders>
            <w:shd w:val="clear" w:color="auto" w:fill="auto"/>
            <w:vAlign w:val="center"/>
            <w:hideMark/>
          </w:tcPr>
          <w:p w14:paraId="1306E61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0AB5D93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use this time to gamble</w:t>
            </w:r>
          </w:p>
        </w:tc>
      </w:tr>
      <w:tr w:rsidR="00DF080D" w:rsidRPr="00DF080D" w14:paraId="2464B982"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2C6E678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2877BF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42AA9FB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Lack of progression in my job or study</w:t>
            </w:r>
          </w:p>
        </w:tc>
        <w:tc>
          <w:tcPr>
            <w:tcW w:w="1017" w:type="dxa"/>
            <w:tcBorders>
              <w:top w:val="nil"/>
              <w:left w:val="nil"/>
              <w:bottom w:val="single" w:sz="12" w:space="0" w:color="FF9E3C"/>
              <w:right w:val="single" w:sz="12" w:space="0" w:color="FF9E3C"/>
            </w:tcBorders>
            <w:shd w:val="clear" w:color="auto" w:fill="auto"/>
            <w:vAlign w:val="center"/>
            <w:hideMark/>
          </w:tcPr>
          <w:p w14:paraId="26BE478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6CCA351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lack progression</w:t>
            </w:r>
          </w:p>
        </w:tc>
      </w:tr>
      <w:tr w:rsidR="00DF080D" w:rsidRPr="00DF080D" w14:paraId="1485201A"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472D829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37F70CC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1BB2242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Used my work or study resources to gamble</w:t>
            </w:r>
          </w:p>
        </w:tc>
        <w:tc>
          <w:tcPr>
            <w:tcW w:w="1017" w:type="dxa"/>
            <w:tcBorders>
              <w:top w:val="nil"/>
              <w:left w:val="nil"/>
              <w:bottom w:val="single" w:sz="12" w:space="0" w:color="FF9E3C"/>
              <w:right w:val="single" w:sz="12" w:space="0" w:color="FF9E3C"/>
            </w:tcBorders>
            <w:shd w:val="clear" w:color="auto" w:fill="auto"/>
            <w:vAlign w:val="center"/>
            <w:hideMark/>
          </w:tcPr>
          <w:p w14:paraId="1C21E1A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5ADABCA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use resources to gamble</w:t>
            </w:r>
          </w:p>
        </w:tc>
      </w:tr>
      <w:tr w:rsidR="00DF080D" w:rsidRPr="00DF080D" w14:paraId="50F33715"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522D447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DA8337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28CC2D5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Conflict with my colleagues</w:t>
            </w:r>
          </w:p>
        </w:tc>
        <w:tc>
          <w:tcPr>
            <w:tcW w:w="1017" w:type="dxa"/>
            <w:tcBorders>
              <w:top w:val="nil"/>
              <w:left w:val="nil"/>
              <w:bottom w:val="single" w:sz="12" w:space="0" w:color="FF9E3C"/>
              <w:right w:val="single" w:sz="12" w:space="0" w:color="FF9E3C"/>
            </w:tcBorders>
            <w:shd w:val="clear" w:color="auto" w:fill="auto"/>
            <w:vAlign w:val="center"/>
            <w:hideMark/>
          </w:tcPr>
          <w:p w14:paraId="3BF3F77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19684A3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have conflict with colleagues</w:t>
            </w:r>
          </w:p>
        </w:tc>
      </w:tr>
      <w:tr w:rsidR="00DF080D" w:rsidRPr="00DF080D" w14:paraId="4F56A636"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1D94EF1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75A4B2E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4A70EDB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Conflict with my classmates</w:t>
            </w:r>
          </w:p>
        </w:tc>
        <w:tc>
          <w:tcPr>
            <w:tcW w:w="1017" w:type="dxa"/>
            <w:tcBorders>
              <w:top w:val="nil"/>
              <w:left w:val="nil"/>
              <w:bottom w:val="single" w:sz="12" w:space="0" w:color="FF9E3C"/>
              <w:right w:val="single" w:sz="12" w:space="0" w:color="FF9E3C"/>
            </w:tcBorders>
            <w:shd w:val="clear" w:color="auto" w:fill="auto"/>
            <w:vAlign w:val="center"/>
            <w:hideMark/>
          </w:tcPr>
          <w:p w14:paraId="695C413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300" w:type="dxa"/>
            <w:tcBorders>
              <w:top w:val="nil"/>
              <w:left w:val="nil"/>
              <w:bottom w:val="single" w:sz="12" w:space="0" w:color="FF9E3C"/>
              <w:right w:val="single" w:sz="12" w:space="0" w:color="FF9E3C"/>
            </w:tcBorders>
            <w:shd w:val="clear" w:color="auto" w:fill="auto"/>
            <w:vAlign w:val="center"/>
            <w:hideMark/>
          </w:tcPr>
          <w:p w14:paraId="133E127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have conflict with classmates</w:t>
            </w:r>
          </w:p>
        </w:tc>
      </w:tr>
      <w:tr w:rsidR="00DF080D" w:rsidRPr="00DF080D" w14:paraId="71310C44"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4A3336B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vAlign w:val="center"/>
            <w:hideMark/>
          </w:tcPr>
          <w:p w14:paraId="29C5EC4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29075B8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Hindered my job-seeking efforts</w:t>
            </w:r>
          </w:p>
        </w:tc>
        <w:tc>
          <w:tcPr>
            <w:tcW w:w="1017" w:type="dxa"/>
            <w:tcBorders>
              <w:top w:val="nil"/>
              <w:left w:val="nil"/>
              <w:bottom w:val="single" w:sz="12" w:space="0" w:color="FF9E3C"/>
              <w:right w:val="single" w:sz="12" w:space="0" w:color="FF9E3C"/>
            </w:tcBorders>
            <w:shd w:val="clear" w:color="auto" w:fill="auto"/>
            <w:vAlign w:val="center"/>
            <w:hideMark/>
          </w:tcPr>
          <w:p w14:paraId="1A4F392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6C50C20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are being hindered in your job-seeking efforts</w:t>
            </w:r>
          </w:p>
        </w:tc>
      </w:tr>
      <w:tr w:rsidR="00DF080D" w:rsidRPr="00DF080D" w14:paraId="2C300ADA" w14:textId="77777777" w:rsidTr="00767EAD">
        <w:trPr>
          <w:trHeight w:val="330"/>
        </w:trPr>
        <w:tc>
          <w:tcPr>
            <w:tcW w:w="567" w:type="dxa"/>
            <w:vMerge/>
            <w:tcBorders>
              <w:top w:val="nil"/>
              <w:left w:val="single" w:sz="12" w:space="0" w:color="FF9E3C"/>
              <w:bottom w:val="single" w:sz="12" w:space="0" w:color="FF9E3C"/>
              <w:right w:val="single" w:sz="12" w:space="0" w:color="FF9E3C"/>
            </w:tcBorders>
            <w:vAlign w:val="center"/>
            <w:hideMark/>
          </w:tcPr>
          <w:p w14:paraId="01B078A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301" w:type="dxa"/>
            <w:tcBorders>
              <w:top w:val="nil"/>
              <w:left w:val="nil"/>
              <w:bottom w:val="single" w:sz="12" w:space="0" w:color="FF9E3C"/>
              <w:right w:val="single" w:sz="12" w:space="0" w:color="FF9E3C"/>
            </w:tcBorders>
            <w:shd w:val="clear" w:color="auto" w:fill="auto"/>
            <w:hideMark/>
          </w:tcPr>
          <w:p w14:paraId="6A1254F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5400" w:type="dxa"/>
            <w:tcBorders>
              <w:top w:val="nil"/>
              <w:left w:val="nil"/>
              <w:bottom w:val="single" w:sz="12" w:space="0" w:color="FF9E3C"/>
              <w:right w:val="single" w:sz="12" w:space="0" w:color="FF9E3C"/>
            </w:tcBorders>
            <w:shd w:val="clear" w:color="auto" w:fill="auto"/>
            <w:vAlign w:val="center"/>
            <w:hideMark/>
          </w:tcPr>
          <w:p w14:paraId="5C51A86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Excluded from study</w:t>
            </w:r>
          </w:p>
        </w:tc>
        <w:tc>
          <w:tcPr>
            <w:tcW w:w="1017" w:type="dxa"/>
            <w:tcBorders>
              <w:top w:val="nil"/>
              <w:left w:val="nil"/>
              <w:bottom w:val="single" w:sz="12" w:space="0" w:color="FF9E3C"/>
              <w:right w:val="single" w:sz="12" w:space="0" w:color="FF9E3C"/>
            </w:tcBorders>
            <w:shd w:val="clear" w:color="auto" w:fill="auto"/>
            <w:vAlign w:val="center"/>
            <w:hideMark/>
          </w:tcPr>
          <w:p w14:paraId="43B72647"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300" w:type="dxa"/>
            <w:tcBorders>
              <w:top w:val="nil"/>
              <w:left w:val="nil"/>
              <w:bottom w:val="single" w:sz="12" w:space="0" w:color="FF9E3C"/>
              <w:right w:val="single" w:sz="12" w:space="0" w:color="FF9E3C"/>
            </w:tcBorders>
            <w:shd w:val="clear" w:color="auto" w:fill="auto"/>
            <w:vAlign w:val="center"/>
            <w:hideMark/>
          </w:tcPr>
          <w:p w14:paraId="644452F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are being excluded from study</w:t>
            </w:r>
          </w:p>
        </w:tc>
      </w:tr>
    </w:tbl>
    <w:p w14:paraId="0EC4BAAA" w14:textId="77777777" w:rsidR="00DF080D" w:rsidRDefault="00DF080D" w:rsidP="00BB099A">
      <w:pPr>
        <w:pStyle w:val="VRGFBodycontent"/>
        <w:sectPr w:rsidR="00DF080D" w:rsidSect="00DF080D">
          <w:pgSz w:w="16838" w:h="11906" w:orient="landscape"/>
          <w:pgMar w:top="1440" w:right="1440" w:bottom="1440" w:left="1440" w:header="425" w:footer="176" w:gutter="0"/>
          <w:cols w:space="708"/>
          <w:docGrid w:linePitch="360"/>
        </w:sectPr>
      </w:pPr>
    </w:p>
    <w:p w14:paraId="1D820DBD" w14:textId="14BB23C8" w:rsidR="00DF080D" w:rsidRDefault="00767EAD" w:rsidP="00767EAD">
      <w:pPr>
        <w:pStyle w:val="Caption"/>
      </w:pPr>
      <w:bookmarkStart w:id="441" w:name="_Ref445410730"/>
      <w:bookmarkStart w:id="442" w:name="_Toc462738148"/>
      <w:r>
        <w:lastRenderedPageBreak/>
        <w:t xml:space="preserve">Appendix </w:t>
      </w:r>
      <w:fldSimple w:instr=" SEQ Appendix \* ARABIC ">
        <w:r w:rsidR="0006479A">
          <w:rPr>
            <w:noProof/>
          </w:rPr>
          <w:t>9</w:t>
        </w:r>
      </w:fldSimple>
      <w:bookmarkEnd w:id="441"/>
      <w:r>
        <w:t xml:space="preserve">. </w:t>
      </w:r>
      <w:r w:rsidR="00DF080D">
        <w:t>Sentence descriptors</w:t>
      </w:r>
      <w:bookmarkEnd w:id="442"/>
    </w:p>
    <w:tbl>
      <w:tblPr>
        <w:tblW w:w="9072" w:type="dxa"/>
        <w:tblLook w:val="04A0" w:firstRow="1" w:lastRow="0" w:firstColumn="1" w:lastColumn="0" w:noHBand="0" w:noVBand="1"/>
      </w:tblPr>
      <w:tblGrid>
        <w:gridCol w:w="425"/>
        <w:gridCol w:w="2268"/>
        <w:gridCol w:w="1017"/>
        <w:gridCol w:w="4086"/>
        <w:gridCol w:w="1276"/>
      </w:tblGrid>
      <w:tr w:rsidR="00DF080D" w:rsidRPr="00DF080D" w14:paraId="73DB8756" w14:textId="77777777" w:rsidTr="00DF080D">
        <w:trPr>
          <w:trHeight w:val="330"/>
        </w:trPr>
        <w:tc>
          <w:tcPr>
            <w:tcW w:w="425" w:type="dxa"/>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04506B6F"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 </w:t>
            </w:r>
          </w:p>
        </w:tc>
        <w:tc>
          <w:tcPr>
            <w:tcW w:w="2268" w:type="dxa"/>
            <w:tcBorders>
              <w:top w:val="single" w:sz="12" w:space="0" w:color="FF9E3C"/>
              <w:left w:val="nil"/>
              <w:bottom w:val="single" w:sz="12" w:space="0" w:color="FF9E3C"/>
              <w:right w:val="single" w:sz="12" w:space="0" w:color="FF9E3C"/>
            </w:tcBorders>
            <w:shd w:val="clear" w:color="000000" w:fill="FFBC64"/>
            <w:vAlign w:val="center"/>
            <w:hideMark/>
          </w:tcPr>
          <w:p w14:paraId="1C362FC8"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Domain</w:t>
            </w:r>
          </w:p>
        </w:tc>
        <w:tc>
          <w:tcPr>
            <w:tcW w:w="1017" w:type="dxa"/>
            <w:tcBorders>
              <w:top w:val="single" w:sz="12" w:space="0" w:color="FF9E3C"/>
              <w:left w:val="nil"/>
              <w:bottom w:val="single" w:sz="12" w:space="0" w:color="FF9E3C"/>
              <w:right w:val="single" w:sz="12" w:space="0" w:color="FF9E3C"/>
            </w:tcBorders>
            <w:shd w:val="clear" w:color="000000" w:fill="FFBC64"/>
            <w:vAlign w:val="center"/>
            <w:hideMark/>
          </w:tcPr>
          <w:p w14:paraId="65D3D6CF"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Sentence</w:t>
            </w:r>
          </w:p>
        </w:tc>
        <w:tc>
          <w:tcPr>
            <w:tcW w:w="4086" w:type="dxa"/>
            <w:tcBorders>
              <w:top w:val="single" w:sz="12" w:space="0" w:color="FF9E3C"/>
              <w:left w:val="nil"/>
              <w:bottom w:val="single" w:sz="12" w:space="0" w:color="FF9E3C"/>
              <w:right w:val="single" w:sz="12" w:space="0" w:color="FF9E3C"/>
            </w:tcBorders>
            <w:shd w:val="clear" w:color="000000" w:fill="FFBC64"/>
            <w:vAlign w:val="center"/>
            <w:hideMark/>
          </w:tcPr>
          <w:p w14:paraId="0AE4A429"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Stem</w:t>
            </w:r>
          </w:p>
        </w:tc>
        <w:tc>
          <w:tcPr>
            <w:tcW w:w="1276" w:type="dxa"/>
            <w:tcBorders>
              <w:top w:val="single" w:sz="12" w:space="0" w:color="FF9E3C"/>
              <w:left w:val="nil"/>
              <w:bottom w:val="single" w:sz="12" w:space="0" w:color="FF9E3C"/>
              <w:right w:val="single" w:sz="12" w:space="0" w:color="FF9E3C"/>
            </w:tcBorders>
            <w:shd w:val="clear" w:color="000000" w:fill="FFBC64"/>
            <w:vAlign w:val="center"/>
            <w:hideMark/>
          </w:tcPr>
          <w:p w14:paraId="007A6E06"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Conjunction</w:t>
            </w:r>
          </w:p>
        </w:tc>
      </w:tr>
      <w:tr w:rsidR="00DF080D" w:rsidRPr="00DF080D" w14:paraId="08AA84A7" w14:textId="77777777" w:rsidTr="00DF080D">
        <w:trPr>
          <w:trHeight w:val="275"/>
        </w:trPr>
        <w:tc>
          <w:tcPr>
            <w:tcW w:w="425"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47E3E00F" w14:textId="77777777" w:rsidR="00DF080D" w:rsidRPr="00DF080D" w:rsidRDefault="00DF080D" w:rsidP="00DF080D">
            <w:pPr>
              <w:tabs>
                <w:tab w:val="clear" w:pos="426"/>
              </w:tabs>
              <w:spacing w:before="0" w:after="0" w:line="240" w:lineRule="auto"/>
              <w:ind w:left="0" w:right="0"/>
              <w:jc w:val="right"/>
              <w:rPr>
                <w:rFonts w:cs="Arial"/>
                <w:color w:val="1C3158"/>
                <w:sz w:val="18"/>
                <w:lang w:eastAsia="ja-JP"/>
              </w:rPr>
            </w:pPr>
            <w:r w:rsidRPr="00DF080D">
              <w:rPr>
                <w:rFonts w:cs="Arial"/>
                <w:color w:val="1C3158"/>
                <w:sz w:val="18"/>
                <w:lang w:eastAsia="ja-JP"/>
              </w:rPr>
              <w:t>1</w:t>
            </w:r>
          </w:p>
        </w:tc>
        <w:tc>
          <w:tcPr>
            <w:tcW w:w="2268" w:type="dxa"/>
            <w:tcBorders>
              <w:top w:val="nil"/>
              <w:left w:val="nil"/>
              <w:bottom w:val="single" w:sz="12" w:space="0" w:color="FF9E3C"/>
              <w:right w:val="single" w:sz="12" w:space="0" w:color="FF9E3C"/>
            </w:tcBorders>
            <w:shd w:val="clear" w:color="auto" w:fill="auto"/>
            <w:vAlign w:val="center"/>
            <w:hideMark/>
          </w:tcPr>
          <w:p w14:paraId="0C17818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1017" w:type="dxa"/>
            <w:tcBorders>
              <w:top w:val="nil"/>
              <w:left w:val="nil"/>
              <w:bottom w:val="single" w:sz="12" w:space="0" w:color="FF9E3C"/>
              <w:right w:val="single" w:sz="12" w:space="0" w:color="FF9E3C"/>
            </w:tcBorders>
            <w:shd w:val="clear" w:color="auto" w:fill="auto"/>
            <w:vAlign w:val="center"/>
            <w:hideMark/>
          </w:tcPr>
          <w:p w14:paraId="7CD10F5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086" w:type="dxa"/>
            <w:tcBorders>
              <w:top w:val="nil"/>
              <w:left w:val="nil"/>
              <w:bottom w:val="single" w:sz="12" w:space="0" w:color="FF9E3C"/>
              <w:right w:val="single" w:sz="12" w:space="0" w:color="FF9E3C"/>
            </w:tcBorders>
            <w:shd w:val="clear" w:color="auto" w:fill="auto"/>
            <w:vAlign w:val="center"/>
            <w:hideMark/>
          </w:tcPr>
          <w:p w14:paraId="7B45E9F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The gambling is making you feel</w:t>
            </w:r>
          </w:p>
        </w:tc>
        <w:tc>
          <w:tcPr>
            <w:tcW w:w="1276" w:type="dxa"/>
            <w:tcBorders>
              <w:top w:val="nil"/>
              <w:left w:val="nil"/>
              <w:bottom w:val="single" w:sz="12" w:space="0" w:color="FF9E3C"/>
              <w:right w:val="single" w:sz="12" w:space="0" w:color="FF9E3C"/>
            </w:tcBorders>
            <w:shd w:val="clear" w:color="auto" w:fill="auto"/>
            <w:vAlign w:val="center"/>
            <w:hideMark/>
          </w:tcPr>
          <w:p w14:paraId="442CE06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2289F3F2" w14:textId="77777777" w:rsidTr="00DF080D">
        <w:trPr>
          <w:trHeight w:val="265"/>
        </w:trPr>
        <w:tc>
          <w:tcPr>
            <w:tcW w:w="425" w:type="dxa"/>
            <w:vMerge/>
            <w:tcBorders>
              <w:top w:val="nil"/>
              <w:left w:val="single" w:sz="12" w:space="0" w:color="FF9E3C"/>
              <w:bottom w:val="single" w:sz="12" w:space="0" w:color="FF9E3C"/>
              <w:right w:val="single" w:sz="12" w:space="0" w:color="FF9E3C"/>
            </w:tcBorders>
            <w:vAlign w:val="center"/>
            <w:hideMark/>
          </w:tcPr>
          <w:p w14:paraId="10AF9FF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3C994B8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1017" w:type="dxa"/>
            <w:tcBorders>
              <w:top w:val="nil"/>
              <w:left w:val="nil"/>
              <w:bottom w:val="single" w:sz="12" w:space="0" w:color="FF9E3C"/>
              <w:right w:val="single" w:sz="12" w:space="0" w:color="FF9E3C"/>
            </w:tcBorders>
            <w:shd w:val="clear" w:color="auto" w:fill="auto"/>
            <w:vAlign w:val="center"/>
            <w:hideMark/>
          </w:tcPr>
          <w:p w14:paraId="5FF46B9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086" w:type="dxa"/>
            <w:tcBorders>
              <w:top w:val="nil"/>
              <w:left w:val="nil"/>
              <w:bottom w:val="single" w:sz="12" w:space="0" w:color="FF9E3C"/>
              <w:right w:val="single" w:sz="12" w:space="0" w:color="FF9E3C"/>
            </w:tcBorders>
            <w:shd w:val="clear" w:color="auto" w:fill="auto"/>
            <w:vAlign w:val="center"/>
            <w:hideMark/>
          </w:tcPr>
          <w:p w14:paraId="3ED0540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 also feel</w:t>
            </w:r>
          </w:p>
        </w:tc>
        <w:tc>
          <w:tcPr>
            <w:tcW w:w="1276" w:type="dxa"/>
            <w:tcBorders>
              <w:top w:val="nil"/>
              <w:left w:val="nil"/>
              <w:bottom w:val="single" w:sz="12" w:space="0" w:color="FF9E3C"/>
              <w:right w:val="single" w:sz="12" w:space="0" w:color="FF9E3C"/>
            </w:tcBorders>
            <w:shd w:val="clear" w:color="auto" w:fill="auto"/>
            <w:vAlign w:val="center"/>
            <w:hideMark/>
          </w:tcPr>
          <w:p w14:paraId="59335D2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3C0F24BC" w14:textId="77777777" w:rsidTr="00DF080D">
        <w:trPr>
          <w:trHeight w:val="255"/>
        </w:trPr>
        <w:tc>
          <w:tcPr>
            <w:tcW w:w="425" w:type="dxa"/>
            <w:vMerge/>
            <w:tcBorders>
              <w:top w:val="nil"/>
              <w:left w:val="single" w:sz="12" w:space="0" w:color="FF9E3C"/>
              <w:bottom w:val="single" w:sz="12" w:space="0" w:color="FF9E3C"/>
              <w:right w:val="single" w:sz="12" w:space="0" w:color="FF9E3C"/>
            </w:tcBorders>
            <w:vAlign w:val="center"/>
            <w:hideMark/>
          </w:tcPr>
          <w:p w14:paraId="21603CA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040436F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emotional/psychological</w:t>
            </w:r>
          </w:p>
        </w:tc>
        <w:tc>
          <w:tcPr>
            <w:tcW w:w="1017" w:type="dxa"/>
            <w:tcBorders>
              <w:top w:val="nil"/>
              <w:left w:val="nil"/>
              <w:bottom w:val="single" w:sz="12" w:space="0" w:color="FF9E3C"/>
              <w:right w:val="single" w:sz="12" w:space="0" w:color="FF9E3C"/>
            </w:tcBorders>
            <w:shd w:val="clear" w:color="auto" w:fill="auto"/>
            <w:vAlign w:val="center"/>
            <w:hideMark/>
          </w:tcPr>
          <w:p w14:paraId="30BDD9E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086" w:type="dxa"/>
            <w:tcBorders>
              <w:top w:val="nil"/>
              <w:left w:val="nil"/>
              <w:bottom w:val="single" w:sz="12" w:space="0" w:color="FF9E3C"/>
              <w:right w:val="single" w:sz="12" w:space="0" w:color="FF9E3C"/>
            </w:tcBorders>
            <w:shd w:val="clear" w:color="auto" w:fill="auto"/>
            <w:vAlign w:val="center"/>
            <w:hideMark/>
          </w:tcPr>
          <w:p w14:paraId="7E5D5EE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w:t>
            </w:r>
          </w:p>
        </w:tc>
        <w:tc>
          <w:tcPr>
            <w:tcW w:w="1276" w:type="dxa"/>
            <w:tcBorders>
              <w:top w:val="nil"/>
              <w:left w:val="nil"/>
              <w:bottom w:val="single" w:sz="12" w:space="0" w:color="FF9E3C"/>
              <w:right w:val="single" w:sz="12" w:space="0" w:color="FF9E3C"/>
            </w:tcBorders>
            <w:shd w:val="clear" w:color="auto" w:fill="auto"/>
            <w:vAlign w:val="center"/>
            <w:hideMark/>
          </w:tcPr>
          <w:p w14:paraId="5F0E20D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r>
      <w:tr w:rsidR="00DF080D" w:rsidRPr="00DF080D" w14:paraId="54BEF581" w14:textId="77777777" w:rsidTr="00DF080D">
        <w:trPr>
          <w:trHeight w:val="245"/>
        </w:trPr>
        <w:tc>
          <w:tcPr>
            <w:tcW w:w="425"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2C011C76" w14:textId="77777777" w:rsidR="00DF080D" w:rsidRPr="00DF080D" w:rsidRDefault="00DF080D" w:rsidP="00DF080D">
            <w:pPr>
              <w:tabs>
                <w:tab w:val="clear" w:pos="426"/>
              </w:tabs>
              <w:spacing w:before="0" w:after="0" w:line="240" w:lineRule="auto"/>
              <w:ind w:left="0" w:right="0"/>
              <w:jc w:val="right"/>
              <w:rPr>
                <w:rFonts w:cs="Arial"/>
                <w:color w:val="1C3158"/>
                <w:sz w:val="18"/>
                <w:lang w:eastAsia="ja-JP"/>
              </w:rPr>
            </w:pPr>
            <w:r w:rsidRPr="00DF080D">
              <w:rPr>
                <w:rFonts w:cs="Arial"/>
                <w:color w:val="1C3158"/>
                <w:sz w:val="18"/>
                <w:lang w:eastAsia="ja-JP"/>
              </w:rPr>
              <w:t>2</w:t>
            </w:r>
          </w:p>
        </w:tc>
        <w:tc>
          <w:tcPr>
            <w:tcW w:w="2268" w:type="dxa"/>
            <w:tcBorders>
              <w:top w:val="nil"/>
              <w:left w:val="nil"/>
              <w:bottom w:val="single" w:sz="12" w:space="0" w:color="FF9E3C"/>
              <w:right w:val="single" w:sz="12" w:space="0" w:color="FF9E3C"/>
            </w:tcBorders>
            <w:shd w:val="clear" w:color="auto" w:fill="auto"/>
            <w:vAlign w:val="center"/>
            <w:hideMark/>
          </w:tcPr>
          <w:p w14:paraId="41AD9E6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1017" w:type="dxa"/>
            <w:tcBorders>
              <w:top w:val="nil"/>
              <w:left w:val="nil"/>
              <w:bottom w:val="single" w:sz="12" w:space="0" w:color="FF9E3C"/>
              <w:right w:val="single" w:sz="12" w:space="0" w:color="FF9E3C"/>
            </w:tcBorders>
            <w:shd w:val="clear" w:color="auto" w:fill="auto"/>
            <w:vAlign w:val="center"/>
            <w:hideMark/>
          </w:tcPr>
          <w:p w14:paraId="3CA1BBF7"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086" w:type="dxa"/>
            <w:tcBorders>
              <w:top w:val="nil"/>
              <w:left w:val="nil"/>
              <w:bottom w:val="single" w:sz="12" w:space="0" w:color="FF9E3C"/>
              <w:right w:val="single" w:sz="12" w:space="0" w:color="FF9E3C"/>
            </w:tcBorders>
            <w:shd w:val="clear" w:color="auto" w:fill="auto"/>
            <w:vAlign w:val="center"/>
            <w:hideMark/>
          </w:tcPr>
          <w:p w14:paraId="23B4CC9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w:t>
            </w:r>
          </w:p>
        </w:tc>
        <w:tc>
          <w:tcPr>
            <w:tcW w:w="1276" w:type="dxa"/>
            <w:tcBorders>
              <w:top w:val="nil"/>
              <w:left w:val="nil"/>
              <w:bottom w:val="single" w:sz="12" w:space="0" w:color="FF9E3C"/>
              <w:right w:val="single" w:sz="12" w:space="0" w:color="FF9E3C"/>
            </w:tcBorders>
            <w:shd w:val="clear" w:color="auto" w:fill="auto"/>
            <w:vAlign w:val="center"/>
            <w:hideMark/>
          </w:tcPr>
          <w:p w14:paraId="6A18CEB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3C1C9C3F" w14:textId="77777777" w:rsidTr="00DF080D">
        <w:trPr>
          <w:trHeight w:val="249"/>
        </w:trPr>
        <w:tc>
          <w:tcPr>
            <w:tcW w:w="425" w:type="dxa"/>
            <w:vMerge/>
            <w:tcBorders>
              <w:top w:val="nil"/>
              <w:left w:val="single" w:sz="12" w:space="0" w:color="FF9E3C"/>
              <w:bottom w:val="single" w:sz="12" w:space="0" w:color="FF9E3C"/>
              <w:right w:val="single" w:sz="12" w:space="0" w:color="FF9E3C"/>
            </w:tcBorders>
            <w:vAlign w:val="center"/>
            <w:hideMark/>
          </w:tcPr>
          <w:p w14:paraId="3CDD4A7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107E0FE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1017" w:type="dxa"/>
            <w:tcBorders>
              <w:top w:val="nil"/>
              <w:left w:val="nil"/>
              <w:bottom w:val="single" w:sz="12" w:space="0" w:color="FF9E3C"/>
              <w:right w:val="single" w:sz="12" w:space="0" w:color="FF9E3C"/>
            </w:tcBorders>
            <w:shd w:val="clear" w:color="auto" w:fill="auto"/>
            <w:vAlign w:val="center"/>
            <w:hideMark/>
          </w:tcPr>
          <w:p w14:paraId="4F34902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086" w:type="dxa"/>
            <w:tcBorders>
              <w:top w:val="nil"/>
              <w:left w:val="nil"/>
              <w:bottom w:val="single" w:sz="12" w:space="0" w:color="FF9E3C"/>
              <w:right w:val="single" w:sz="12" w:space="0" w:color="FF9E3C"/>
            </w:tcBorders>
            <w:shd w:val="clear" w:color="auto" w:fill="auto"/>
            <w:vAlign w:val="center"/>
            <w:hideMark/>
          </w:tcPr>
          <w:p w14:paraId="2E8BA28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Additionally, you have</w:t>
            </w:r>
          </w:p>
        </w:tc>
        <w:tc>
          <w:tcPr>
            <w:tcW w:w="1276" w:type="dxa"/>
            <w:tcBorders>
              <w:top w:val="nil"/>
              <w:left w:val="nil"/>
              <w:bottom w:val="single" w:sz="12" w:space="0" w:color="FF9E3C"/>
              <w:right w:val="single" w:sz="12" w:space="0" w:color="FF9E3C"/>
            </w:tcBorders>
            <w:shd w:val="clear" w:color="auto" w:fill="auto"/>
            <w:vAlign w:val="center"/>
            <w:hideMark/>
          </w:tcPr>
          <w:p w14:paraId="3DE6036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 have</w:t>
            </w:r>
          </w:p>
        </w:tc>
      </w:tr>
      <w:tr w:rsidR="00DF080D" w:rsidRPr="00DF080D" w14:paraId="47257AA2" w14:textId="77777777" w:rsidTr="00DF080D">
        <w:trPr>
          <w:trHeight w:val="253"/>
        </w:trPr>
        <w:tc>
          <w:tcPr>
            <w:tcW w:w="425" w:type="dxa"/>
            <w:vMerge/>
            <w:tcBorders>
              <w:top w:val="nil"/>
              <w:left w:val="single" w:sz="12" w:space="0" w:color="FF9E3C"/>
              <w:bottom w:val="single" w:sz="12" w:space="0" w:color="FF9E3C"/>
              <w:right w:val="single" w:sz="12" w:space="0" w:color="FF9E3C"/>
            </w:tcBorders>
            <w:vAlign w:val="center"/>
            <w:hideMark/>
          </w:tcPr>
          <w:p w14:paraId="30A2E7F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74A9C8B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financial</w:t>
            </w:r>
          </w:p>
        </w:tc>
        <w:tc>
          <w:tcPr>
            <w:tcW w:w="1017" w:type="dxa"/>
            <w:tcBorders>
              <w:top w:val="nil"/>
              <w:left w:val="nil"/>
              <w:bottom w:val="single" w:sz="12" w:space="0" w:color="FF9E3C"/>
              <w:right w:val="single" w:sz="12" w:space="0" w:color="FF9E3C"/>
            </w:tcBorders>
            <w:shd w:val="clear" w:color="auto" w:fill="auto"/>
            <w:vAlign w:val="center"/>
            <w:hideMark/>
          </w:tcPr>
          <w:p w14:paraId="30861A74"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086" w:type="dxa"/>
            <w:tcBorders>
              <w:top w:val="nil"/>
              <w:left w:val="nil"/>
              <w:bottom w:val="single" w:sz="12" w:space="0" w:color="FF9E3C"/>
              <w:right w:val="single" w:sz="12" w:space="0" w:color="FF9E3C"/>
            </w:tcBorders>
            <w:shd w:val="clear" w:color="auto" w:fill="auto"/>
            <w:vAlign w:val="center"/>
            <w:hideMark/>
          </w:tcPr>
          <w:p w14:paraId="23B1A54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You have also </w:t>
            </w:r>
          </w:p>
        </w:tc>
        <w:tc>
          <w:tcPr>
            <w:tcW w:w="1276" w:type="dxa"/>
            <w:tcBorders>
              <w:top w:val="nil"/>
              <w:left w:val="nil"/>
              <w:bottom w:val="single" w:sz="12" w:space="0" w:color="FF9E3C"/>
              <w:right w:val="single" w:sz="12" w:space="0" w:color="FF9E3C"/>
            </w:tcBorders>
            <w:shd w:val="clear" w:color="auto" w:fill="auto"/>
            <w:vAlign w:val="center"/>
            <w:hideMark/>
          </w:tcPr>
          <w:p w14:paraId="711ED6D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and have </w:t>
            </w:r>
          </w:p>
        </w:tc>
      </w:tr>
      <w:tr w:rsidR="00DF080D" w:rsidRPr="00DF080D" w14:paraId="6B262806" w14:textId="77777777" w:rsidTr="00DF080D">
        <w:trPr>
          <w:trHeight w:val="261"/>
        </w:trPr>
        <w:tc>
          <w:tcPr>
            <w:tcW w:w="425"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03DE620F" w14:textId="77777777" w:rsidR="00DF080D" w:rsidRPr="00DF080D" w:rsidRDefault="00DF080D" w:rsidP="00DF080D">
            <w:pPr>
              <w:tabs>
                <w:tab w:val="clear" w:pos="426"/>
              </w:tabs>
              <w:spacing w:before="0" w:after="0" w:line="240" w:lineRule="auto"/>
              <w:ind w:left="0" w:right="0"/>
              <w:jc w:val="right"/>
              <w:rPr>
                <w:rFonts w:cs="Arial"/>
                <w:color w:val="1C3158"/>
                <w:sz w:val="18"/>
                <w:lang w:eastAsia="ja-JP"/>
              </w:rPr>
            </w:pPr>
            <w:r w:rsidRPr="00DF080D">
              <w:rPr>
                <w:rFonts w:cs="Arial"/>
                <w:color w:val="1C3158"/>
                <w:sz w:val="18"/>
                <w:lang w:eastAsia="ja-JP"/>
              </w:rPr>
              <w:t>3</w:t>
            </w:r>
          </w:p>
        </w:tc>
        <w:tc>
          <w:tcPr>
            <w:tcW w:w="2268" w:type="dxa"/>
            <w:tcBorders>
              <w:top w:val="nil"/>
              <w:left w:val="nil"/>
              <w:bottom w:val="single" w:sz="12" w:space="0" w:color="FF9E3C"/>
              <w:right w:val="single" w:sz="12" w:space="0" w:color="FF9E3C"/>
            </w:tcBorders>
            <w:shd w:val="clear" w:color="auto" w:fill="auto"/>
            <w:vAlign w:val="center"/>
            <w:hideMark/>
          </w:tcPr>
          <w:p w14:paraId="05649EB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1017" w:type="dxa"/>
            <w:tcBorders>
              <w:top w:val="nil"/>
              <w:left w:val="nil"/>
              <w:bottom w:val="single" w:sz="12" w:space="0" w:color="FF9E3C"/>
              <w:right w:val="single" w:sz="12" w:space="0" w:color="FF9E3C"/>
            </w:tcBorders>
            <w:shd w:val="clear" w:color="auto" w:fill="auto"/>
            <w:vAlign w:val="center"/>
            <w:hideMark/>
          </w:tcPr>
          <w:p w14:paraId="0028732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086" w:type="dxa"/>
            <w:tcBorders>
              <w:top w:val="nil"/>
              <w:left w:val="nil"/>
              <w:bottom w:val="single" w:sz="12" w:space="0" w:color="FF9E3C"/>
              <w:right w:val="single" w:sz="12" w:space="0" w:color="FF9E3C"/>
            </w:tcBorders>
            <w:shd w:val="clear" w:color="auto" w:fill="auto"/>
            <w:vAlign w:val="center"/>
            <w:hideMark/>
          </w:tcPr>
          <w:p w14:paraId="2AD5340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 are</w:t>
            </w:r>
          </w:p>
        </w:tc>
        <w:tc>
          <w:tcPr>
            <w:tcW w:w="1276" w:type="dxa"/>
            <w:tcBorders>
              <w:top w:val="nil"/>
              <w:left w:val="nil"/>
              <w:bottom w:val="single" w:sz="12" w:space="0" w:color="FF9E3C"/>
              <w:right w:val="single" w:sz="12" w:space="0" w:color="FF9E3C"/>
            </w:tcBorders>
            <w:shd w:val="clear" w:color="auto" w:fill="auto"/>
            <w:vAlign w:val="center"/>
            <w:hideMark/>
          </w:tcPr>
          <w:p w14:paraId="503A644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 are</w:t>
            </w:r>
          </w:p>
        </w:tc>
      </w:tr>
      <w:tr w:rsidR="00DF080D" w:rsidRPr="00DF080D" w14:paraId="3D186A86" w14:textId="77777777" w:rsidTr="00DF080D">
        <w:trPr>
          <w:trHeight w:val="251"/>
        </w:trPr>
        <w:tc>
          <w:tcPr>
            <w:tcW w:w="425" w:type="dxa"/>
            <w:vMerge/>
            <w:tcBorders>
              <w:top w:val="nil"/>
              <w:left w:val="single" w:sz="12" w:space="0" w:color="FF9E3C"/>
              <w:bottom w:val="single" w:sz="12" w:space="0" w:color="FF9E3C"/>
              <w:right w:val="single" w:sz="12" w:space="0" w:color="FF9E3C"/>
            </w:tcBorders>
            <w:vAlign w:val="center"/>
            <w:hideMark/>
          </w:tcPr>
          <w:p w14:paraId="31DA506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1F4BAB1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1017" w:type="dxa"/>
            <w:tcBorders>
              <w:top w:val="nil"/>
              <w:left w:val="nil"/>
              <w:bottom w:val="single" w:sz="12" w:space="0" w:color="FF9E3C"/>
              <w:right w:val="single" w:sz="12" w:space="0" w:color="FF9E3C"/>
            </w:tcBorders>
            <w:shd w:val="clear" w:color="auto" w:fill="auto"/>
            <w:vAlign w:val="center"/>
            <w:hideMark/>
          </w:tcPr>
          <w:p w14:paraId="34EEFD6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086" w:type="dxa"/>
            <w:tcBorders>
              <w:top w:val="nil"/>
              <w:left w:val="nil"/>
              <w:bottom w:val="single" w:sz="12" w:space="0" w:color="FF9E3C"/>
              <w:right w:val="single" w:sz="12" w:space="0" w:color="FF9E3C"/>
            </w:tcBorders>
            <w:shd w:val="clear" w:color="auto" w:fill="auto"/>
            <w:vAlign w:val="center"/>
            <w:hideMark/>
          </w:tcPr>
          <w:p w14:paraId="4F7D0C4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Your</w:t>
            </w:r>
          </w:p>
        </w:tc>
        <w:tc>
          <w:tcPr>
            <w:tcW w:w="1276" w:type="dxa"/>
            <w:tcBorders>
              <w:top w:val="nil"/>
              <w:left w:val="nil"/>
              <w:bottom w:val="single" w:sz="12" w:space="0" w:color="FF9E3C"/>
              <w:right w:val="single" w:sz="12" w:space="0" w:color="FF9E3C"/>
            </w:tcBorders>
            <w:shd w:val="clear" w:color="auto" w:fill="auto"/>
            <w:vAlign w:val="center"/>
            <w:hideMark/>
          </w:tcPr>
          <w:p w14:paraId="0B4DA75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0E0EF1B6" w14:textId="77777777" w:rsidTr="00DF080D">
        <w:trPr>
          <w:trHeight w:val="255"/>
        </w:trPr>
        <w:tc>
          <w:tcPr>
            <w:tcW w:w="425" w:type="dxa"/>
            <w:vMerge/>
            <w:tcBorders>
              <w:top w:val="nil"/>
              <w:left w:val="single" w:sz="12" w:space="0" w:color="FF9E3C"/>
              <w:bottom w:val="single" w:sz="12" w:space="0" w:color="FF9E3C"/>
              <w:right w:val="single" w:sz="12" w:space="0" w:color="FF9E3C"/>
            </w:tcBorders>
            <w:vAlign w:val="center"/>
            <w:hideMark/>
          </w:tcPr>
          <w:p w14:paraId="6CBB74F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6E82085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1017" w:type="dxa"/>
            <w:tcBorders>
              <w:top w:val="nil"/>
              <w:left w:val="nil"/>
              <w:bottom w:val="single" w:sz="12" w:space="0" w:color="FF9E3C"/>
              <w:right w:val="single" w:sz="12" w:space="0" w:color="FF9E3C"/>
            </w:tcBorders>
            <w:shd w:val="clear" w:color="auto" w:fill="auto"/>
            <w:vAlign w:val="center"/>
            <w:hideMark/>
          </w:tcPr>
          <w:p w14:paraId="0D877DE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086" w:type="dxa"/>
            <w:tcBorders>
              <w:top w:val="nil"/>
              <w:left w:val="nil"/>
              <w:bottom w:val="single" w:sz="12" w:space="0" w:color="FF9E3C"/>
              <w:right w:val="single" w:sz="12" w:space="0" w:color="FF9E3C"/>
            </w:tcBorders>
            <w:shd w:val="clear" w:color="auto" w:fill="auto"/>
            <w:vAlign w:val="center"/>
            <w:hideMark/>
          </w:tcPr>
          <w:p w14:paraId="21F6B21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 are not</w:t>
            </w:r>
          </w:p>
        </w:tc>
        <w:tc>
          <w:tcPr>
            <w:tcW w:w="1276" w:type="dxa"/>
            <w:tcBorders>
              <w:top w:val="nil"/>
              <w:left w:val="nil"/>
              <w:bottom w:val="single" w:sz="12" w:space="0" w:color="FF9E3C"/>
              <w:right w:val="single" w:sz="12" w:space="0" w:color="FF9E3C"/>
            </w:tcBorders>
            <w:shd w:val="clear" w:color="auto" w:fill="auto"/>
            <w:vAlign w:val="center"/>
            <w:hideMark/>
          </w:tcPr>
          <w:p w14:paraId="101B9AD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r>
      <w:tr w:rsidR="00DF080D" w:rsidRPr="00DF080D" w14:paraId="49F325D8" w14:textId="77777777" w:rsidTr="00DF080D">
        <w:trPr>
          <w:trHeight w:val="259"/>
        </w:trPr>
        <w:tc>
          <w:tcPr>
            <w:tcW w:w="425" w:type="dxa"/>
            <w:vMerge/>
            <w:tcBorders>
              <w:top w:val="nil"/>
              <w:left w:val="single" w:sz="12" w:space="0" w:color="FF9E3C"/>
              <w:bottom w:val="single" w:sz="12" w:space="0" w:color="FF9E3C"/>
              <w:right w:val="single" w:sz="12" w:space="0" w:color="FF9E3C"/>
            </w:tcBorders>
            <w:vAlign w:val="center"/>
            <w:hideMark/>
          </w:tcPr>
          <w:p w14:paraId="6E5B85E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482D680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1017" w:type="dxa"/>
            <w:tcBorders>
              <w:top w:val="nil"/>
              <w:left w:val="nil"/>
              <w:bottom w:val="single" w:sz="12" w:space="0" w:color="FF9E3C"/>
              <w:right w:val="single" w:sz="12" w:space="0" w:color="FF9E3C"/>
            </w:tcBorders>
            <w:shd w:val="clear" w:color="auto" w:fill="auto"/>
            <w:vAlign w:val="center"/>
            <w:hideMark/>
          </w:tcPr>
          <w:p w14:paraId="10FDB94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4</w:t>
            </w:r>
          </w:p>
        </w:tc>
        <w:tc>
          <w:tcPr>
            <w:tcW w:w="4086" w:type="dxa"/>
            <w:tcBorders>
              <w:top w:val="nil"/>
              <w:left w:val="nil"/>
              <w:bottom w:val="single" w:sz="12" w:space="0" w:color="FF9E3C"/>
              <w:right w:val="single" w:sz="12" w:space="0" w:color="FF9E3C"/>
            </w:tcBorders>
            <w:shd w:val="clear" w:color="auto" w:fill="auto"/>
            <w:vAlign w:val="center"/>
            <w:hideMark/>
          </w:tcPr>
          <w:p w14:paraId="70B9AA9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 are</w:t>
            </w:r>
          </w:p>
        </w:tc>
        <w:tc>
          <w:tcPr>
            <w:tcW w:w="1276" w:type="dxa"/>
            <w:tcBorders>
              <w:top w:val="nil"/>
              <w:left w:val="nil"/>
              <w:bottom w:val="single" w:sz="12" w:space="0" w:color="FF9E3C"/>
              <w:right w:val="single" w:sz="12" w:space="0" w:color="FF9E3C"/>
            </w:tcBorders>
            <w:shd w:val="clear" w:color="auto" w:fill="auto"/>
            <w:vAlign w:val="center"/>
            <w:hideMark/>
          </w:tcPr>
          <w:p w14:paraId="1DD3305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061F8019" w14:textId="77777777" w:rsidTr="00DF080D">
        <w:trPr>
          <w:trHeight w:val="249"/>
        </w:trPr>
        <w:tc>
          <w:tcPr>
            <w:tcW w:w="425" w:type="dxa"/>
            <w:vMerge/>
            <w:tcBorders>
              <w:top w:val="nil"/>
              <w:left w:val="single" w:sz="12" w:space="0" w:color="FF9E3C"/>
              <w:bottom w:val="single" w:sz="12" w:space="0" w:color="FF9E3C"/>
              <w:right w:val="single" w:sz="12" w:space="0" w:color="FF9E3C"/>
            </w:tcBorders>
            <w:vAlign w:val="center"/>
            <w:hideMark/>
          </w:tcPr>
          <w:p w14:paraId="0FFFA2F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5D1AB85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1017" w:type="dxa"/>
            <w:tcBorders>
              <w:top w:val="nil"/>
              <w:left w:val="nil"/>
              <w:bottom w:val="single" w:sz="12" w:space="0" w:color="FF9E3C"/>
              <w:right w:val="single" w:sz="12" w:space="0" w:color="FF9E3C"/>
            </w:tcBorders>
            <w:shd w:val="clear" w:color="auto" w:fill="auto"/>
            <w:vAlign w:val="center"/>
            <w:hideMark/>
          </w:tcPr>
          <w:p w14:paraId="651FA63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5</w:t>
            </w:r>
          </w:p>
        </w:tc>
        <w:tc>
          <w:tcPr>
            <w:tcW w:w="4086" w:type="dxa"/>
            <w:tcBorders>
              <w:top w:val="nil"/>
              <w:left w:val="nil"/>
              <w:bottom w:val="single" w:sz="12" w:space="0" w:color="FF9E3C"/>
              <w:right w:val="single" w:sz="12" w:space="0" w:color="FF9E3C"/>
            </w:tcBorders>
            <w:shd w:val="clear" w:color="auto" w:fill="auto"/>
            <w:vAlign w:val="center"/>
            <w:hideMark/>
          </w:tcPr>
          <w:p w14:paraId="0A37A0E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 are also</w:t>
            </w:r>
          </w:p>
        </w:tc>
        <w:tc>
          <w:tcPr>
            <w:tcW w:w="1276" w:type="dxa"/>
            <w:tcBorders>
              <w:top w:val="nil"/>
              <w:left w:val="nil"/>
              <w:bottom w:val="single" w:sz="12" w:space="0" w:color="FF9E3C"/>
              <w:right w:val="single" w:sz="12" w:space="0" w:color="FF9E3C"/>
            </w:tcBorders>
            <w:shd w:val="clear" w:color="auto" w:fill="auto"/>
            <w:vAlign w:val="center"/>
            <w:hideMark/>
          </w:tcPr>
          <w:p w14:paraId="1324CED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0222ABF8" w14:textId="77777777" w:rsidTr="00DF080D">
        <w:trPr>
          <w:trHeight w:val="253"/>
        </w:trPr>
        <w:tc>
          <w:tcPr>
            <w:tcW w:w="425" w:type="dxa"/>
            <w:vMerge/>
            <w:tcBorders>
              <w:top w:val="nil"/>
              <w:left w:val="single" w:sz="12" w:space="0" w:color="FF9E3C"/>
              <w:bottom w:val="single" w:sz="12" w:space="0" w:color="FF9E3C"/>
              <w:right w:val="single" w:sz="12" w:space="0" w:color="FF9E3C"/>
            </w:tcBorders>
            <w:vAlign w:val="center"/>
            <w:hideMark/>
          </w:tcPr>
          <w:p w14:paraId="0181F3D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7174076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health</w:t>
            </w:r>
          </w:p>
        </w:tc>
        <w:tc>
          <w:tcPr>
            <w:tcW w:w="1017" w:type="dxa"/>
            <w:tcBorders>
              <w:top w:val="nil"/>
              <w:left w:val="nil"/>
              <w:bottom w:val="single" w:sz="12" w:space="0" w:color="FF9E3C"/>
              <w:right w:val="single" w:sz="12" w:space="0" w:color="FF9E3C"/>
            </w:tcBorders>
            <w:shd w:val="clear" w:color="auto" w:fill="auto"/>
            <w:vAlign w:val="center"/>
            <w:hideMark/>
          </w:tcPr>
          <w:p w14:paraId="0B4D9A4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6</w:t>
            </w:r>
          </w:p>
        </w:tc>
        <w:tc>
          <w:tcPr>
            <w:tcW w:w="4086" w:type="dxa"/>
            <w:tcBorders>
              <w:top w:val="nil"/>
              <w:left w:val="nil"/>
              <w:bottom w:val="single" w:sz="12" w:space="0" w:color="FF9E3C"/>
              <w:right w:val="single" w:sz="12" w:space="0" w:color="FF9E3C"/>
            </w:tcBorders>
            <w:shd w:val="clear" w:color="auto" w:fill="auto"/>
            <w:vAlign w:val="center"/>
            <w:hideMark/>
          </w:tcPr>
          <w:p w14:paraId="3B250F6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 have</w:t>
            </w:r>
          </w:p>
        </w:tc>
        <w:tc>
          <w:tcPr>
            <w:tcW w:w="1276" w:type="dxa"/>
            <w:tcBorders>
              <w:top w:val="nil"/>
              <w:left w:val="nil"/>
              <w:bottom w:val="single" w:sz="12" w:space="0" w:color="FF9E3C"/>
              <w:right w:val="single" w:sz="12" w:space="0" w:color="FF9E3C"/>
            </w:tcBorders>
            <w:shd w:val="clear" w:color="auto" w:fill="auto"/>
            <w:vAlign w:val="center"/>
            <w:hideMark/>
          </w:tcPr>
          <w:p w14:paraId="17CBD7C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2BE1AECB" w14:textId="77777777" w:rsidTr="00DF080D">
        <w:trPr>
          <w:trHeight w:val="243"/>
        </w:trPr>
        <w:tc>
          <w:tcPr>
            <w:tcW w:w="425"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072BEA11" w14:textId="77777777" w:rsidR="00DF080D" w:rsidRPr="00DF080D" w:rsidRDefault="00DF080D" w:rsidP="00DF080D">
            <w:pPr>
              <w:tabs>
                <w:tab w:val="clear" w:pos="426"/>
              </w:tabs>
              <w:spacing w:before="0" w:after="0" w:line="240" w:lineRule="auto"/>
              <w:ind w:left="0" w:right="0"/>
              <w:jc w:val="right"/>
              <w:rPr>
                <w:rFonts w:cs="Arial"/>
                <w:color w:val="1C3158"/>
                <w:sz w:val="18"/>
                <w:lang w:eastAsia="ja-JP"/>
              </w:rPr>
            </w:pPr>
            <w:r w:rsidRPr="00DF080D">
              <w:rPr>
                <w:rFonts w:cs="Arial"/>
                <w:color w:val="1C3158"/>
                <w:sz w:val="18"/>
                <w:lang w:eastAsia="ja-JP"/>
              </w:rPr>
              <w:t>4</w:t>
            </w:r>
          </w:p>
        </w:tc>
        <w:tc>
          <w:tcPr>
            <w:tcW w:w="2268" w:type="dxa"/>
            <w:tcBorders>
              <w:top w:val="nil"/>
              <w:left w:val="nil"/>
              <w:bottom w:val="single" w:sz="12" w:space="0" w:color="FF9E3C"/>
              <w:right w:val="single" w:sz="12" w:space="0" w:color="FF9E3C"/>
            </w:tcBorders>
            <w:shd w:val="clear" w:color="auto" w:fill="auto"/>
            <w:vAlign w:val="center"/>
            <w:hideMark/>
          </w:tcPr>
          <w:p w14:paraId="3ABF3EA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1017" w:type="dxa"/>
            <w:tcBorders>
              <w:top w:val="nil"/>
              <w:left w:val="nil"/>
              <w:bottom w:val="single" w:sz="12" w:space="0" w:color="FF9E3C"/>
              <w:right w:val="single" w:sz="12" w:space="0" w:color="FF9E3C"/>
            </w:tcBorders>
            <w:shd w:val="clear" w:color="auto" w:fill="auto"/>
            <w:vAlign w:val="center"/>
            <w:hideMark/>
          </w:tcPr>
          <w:p w14:paraId="55D3918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086" w:type="dxa"/>
            <w:tcBorders>
              <w:top w:val="nil"/>
              <w:left w:val="nil"/>
              <w:bottom w:val="single" w:sz="12" w:space="0" w:color="FF9E3C"/>
              <w:right w:val="single" w:sz="12" w:space="0" w:color="FF9E3C"/>
            </w:tcBorders>
            <w:shd w:val="clear" w:color="auto" w:fill="auto"/>
            <w:vAlign w:val="center"/>
            <w:hideMark/>
          </w:tcPr>
          <w:p w14:paraId="3081F4A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 are</w:t>
            </w:r>
          </w:p>
        </w:tc>
        <w:tc>
          <w:tcPr>
            <w:tcW w:w="1276" w:type="dxa"/>
            <w:tcBorders>
              <w:top w:val="nil"/>
              <w:left w:val="nil"/>
              <w:bottom w:val="single" w:sz="12" w:space="0" w:color="FF9E3C"/>
              <w:right w:val="single" w:sz="12" w:space="0" w:color="FF9E3C"/>
            </w:tcBorders>
            <w:shd w:val="clear" w:color="auto" w:fill="auto"/>
            <w:vAlign w:val="center"/>
            <w:hideMark/>
          </w:tcPr>
          <w:p w14:paraId="04938F0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5F80BB4E" w14:textId="77777777" w:rsidTr="00DF080D">
        <w:trPr>
          <w:trHeight w:val="119"/>
        </w:trPr>
        <w:tc>
          <w:tcPr>
            <w:tcW w:w="425" w:type="dxa"/>
            <w:vMerge/>
            <w:tcBorders>
              <w:top w:val="nil"/>
              <w:left w:val="single" w:sz="12" w:space="0" w:color="FF9E3C"/>
              <w:bottom w:val="single" w:sz="12" w:space="0" w:color="FF9E3C"/>
              <w:right w:val="single" w:sz="12" w:space="0" w:color="FF9E3C"/>
            </w:tcBorders>
            <w:vAlign w:val="center"/>
            <w:hideMark/>
          </w:tcPr>
          <w:p w14:paraId="0BFB79A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49763E8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1017" w:type="dxa"/>
            <w:tcBorders>
              <w:top w:val="nil"/>
              <w:left w:val="nil"/>
              <w:bottom w:val="single" w:sz="12" w:space="0" w:color="FF9E3C"/>
              <w:right w:val="single" w:sz="12" w:space="0" w:color="FF9E3C"/>
            </w:tcBorders>
            <w:shd w:val="clear" w:color="auto" w:fill="auto"/>
            <w:vAlign w:val="center"/>
            <w:hideMark/>
          </w:tcPr>
          <w:p w14:paraId="5849927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086" w:type="dxa"/>
            <w:tcBorders>
              <w:top w:val="nil"/>
              <w:left w:val="nil"/>
              <w:bottom w:val="single" w:sz="12" w:space="0" w:color="FF9E3C"/>
              <w:right w:val="single" w:sz="12" w:space="0" w:color="FF9E3C"/>
            </w:tcBorders>
            <w:shd w:val="clear" w:color="auto" w:fill="auto"/>
            <w:vAlign w:val="center"/>
            <w:hideMark/>
          </w:tcPr>
          <w:p w14:paraId="1985B04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w:t>
            </w:r>
          </w:p>
        </w:tc>
        <w:tc>
          <w:tcPr>
            <w:tcW w:w="1276" w:type="dxa"/>
            <w:tcBorders>
              <w:top w:val="nil"/>
              <w:left w:val="nil"/>
              <w:bottom w:val="single" w:sz="12" w:space="0" w:color="FF9E3C"/>
              <w:right w:val="single" w:sz="12" w:space="0" w:color="FF9E3C"/>
            </w:tcBorders>
            <w:shd w:val="clear" w:color="auto" w:fill="auto"/>
            <w:vAlign w:val="center"/>
            <w:hideMark/>
          </w:tcPr>
          <w:p w14:paraId="38C7AE9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7111AFC7" w14:textId="77777777" w:rsidTr="00DF080D">
        <w:trPr>
          <w:trHeight w:val="223"/>
        </w:trPr>
        <w:tc>
          <w:tcPr>
            <w:tcW w:w="425" w:type="dxa"/>
            <w:vMerge/>
            <w:tcBorders>
              <w:top w:val="nil"/>
              <w:left w:val="single" w:sz="12" w:space="0" w:color="FF9E3C"/>
              <w:bottom w:val="single" w:sz="12" w:space="0" w:color="FF9E3C"/>
              <w:right w:val="single" w:sz="12" w:space="0" w:color="FF9E3C"/>
            </w:tcBorders>
            <w:vAlign w:val="center"/>
            <w:hideMark/>
          </w:tcPr>
          <w:p w14:paraId="689E75E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221D0AB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other</w:t>
            </w:r>
          </w:p>
        </w:tc>
        <w:tc>
          <w:tcPr>
            <w:tcW w:w="1017" w:type="dxa"/>
            <w:tcBorders>
              <w:top w:val="nil"/>
              <w:left w:val="nil"/>
              <w:bottom w:val="single" w:sz="12" w:space="0" w:color="FF9E3C"/>
              <w:right w:val="single" w:sz="12" w:space="0" w:color="FF9E3C"/>
            </w:tcBorders>
            <w:shd w:val="clear" w:color="auto" w:fill="auto"/>
            <w:vAlign w:val="center"/>
            <w:hideMark/>
          </w:tcPr>
          <w:p w14:paraId="4F30B704"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086" w:type="dxa"/>
            <w:tcBorders>
              <w:top w:val="nil"/>
              <w:left w:val="nil"/>
              <w:bottom w:val="single" w:sz="12" w:space="0" w:color="FF9E3C"/>
              <w:right w:val="single" w:sz="12" w:space="0" w:color="FF9E3C"/>
            </w:tcBorders>
            <w:shd w:val="clear" w:color="auto" w:fill="auto"/>
            <w:vAlign w:val="center"/>
            <w:hideMark/>
          </w:tcPr>
          <w:p w14:paraId="1AE9F88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You also </w:t>
            </w:r>
          </w:p>
        </w:tc>
        <w:tc>
          <w:tcPr>
            <w:tcW w:w="1276" w:type="dxa"/>
            <w:tcBorders>
              <w:top w:val="nil"/>
              <w:left w:val="nil"/>
              <w:bottom w:val="single" w:sz="12" w:space="0" w:color="FF9E3C"/>
              <w:right w:val="single" w:sz="12" w:space="0" w:color="FF9E3C"/>
            </w:tcBorders>
            <w:shd w:val="clear" w:color="auto" w:fill="auto"/>
            <w:vAlign w:val="center"/>
            <w:hideMark/>
          </w:tcPr>
          <w:p w14:paraId="1CF1533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39A3BB44" w14:textId="77777777" w:rsidTr="00DF080D">
        <w:trPr>
          <w:trHeight w:val="255"/>
        </w:trPr>
        <w:tc>
          <w:tcPr>
            <w:tcW w:w="425"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4E9166D8" w14:textId="77777777" w:rsidR="00DF080D" w:rsidRPr="00DF080D" w:rsidRDefault="00DF080D" w:rsidP="00DF080D">
            <w:pPr>
              <w:tabs>
                <w:tab w:val="clear" w:pos="426"/>
              </w:tabs>
              <w:spacing w:before="0" w:after="0" w:line="240" w:lineRule="auto"/>
              <w:ind w:left="0" w:right="0"/>
              <w:jc w:val="right"/>
              <w:rPr>
                <w:rFonts w:cs="Arial"/>
                <w:color w:val="1C3158"/>
                <w:sz w:val="18"/>
                <w:lang w:eastAsia="ja-JP"/>
              </w:rPr>
            </w:pPr>
            <w:r w:rsidRPr="00DF080D">
              <w:rPr>
                <w:rFonts w:cs="Arial"/>
                <w:color w:val="1C3158"/>
                <w:sz w:val="18"/>
                <w:lang w:eastAsia="ja-JP"/>
              </w:rPr>
              <w:t>5</w:t>
            </w:r>
          </w:p>
        </w:tc>
        <w:tc>
          <w:tcPr>
            <w:tcW w:w="2268" w:type="dxa"/>
            <w:tcBorders>
              <w:top w:val="nil"/>
              <w:left w:val="nil"/>
              <w:bottom w:val="single" w:sz="12" w:space="0" w:color="FF9E3C"/>
              <w:right w:val="single" w:sz="12" w:space="0" w:color="FF9E3C"/>
            </w:tcBorders>
            <w:shd w:val="clear" w:color="auto" w:fill="auto"/>
            <w:vAlign w:val="center"/>
            <w:hideMark/>
          </w:tcPr>
          <w:p w14:paraId="3B23488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1017" w:type="dxa"/>
            <w:tcBorders>
              <w:top w:val="nil"/>
              <w:left w:val="nil"/>
              <w:bottom w:val="single" w:sz="12" w:space="0" w:color="FF9E3C"/>
              <w:right w:val="single" w:sz="12" w:space="0" w:color="FF9E3C"/>
            </w:tcBorders>
            <w:shd w:val="clear" w:color="auto" w:fill="auto"/>
            <w:vAlign w:val="center"/>
            <w:hideMark/>
          </w:tcPr>
          <w:p w14:paraId="53A3527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086" w:type="dxa"/>
            <w:tcBorders>
              <w:top w:val="nil"/>
              <w:left w:val="nil"/>
              <w:bottom w:val="single" w:sz="12" w:space="0" w:color="FF9E3C"/>
              <w:right w:val="single" w:sz="12" w:space="0" w:color="FF9E3C"/>
            </w:tcBorders>
            <w:shd w:val="clear" w:color="auto" w:fill="auto"/>
            <w:vAlign w:val="center"/>
            <w:hideMark/>
          </w:tcPr>
          <w:p w14:paraId="3BA07C9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w:t>
            </w:r>
          </w:p>
        </w:tc>
        <w:tc>
          <w:tcPr>
            <w:tcW w:w="1276" w:type="dxa"/>
            <w:tcBorders>
              <w:top w:val="nil"/>
              <w:left w:val="nil"/>
              <w:bottom w:val="single" w:sz="12" w:space="0" w:color="FF9E3C"/>
              <w:right w:val="single" w:sz="12" w:space="0" w:color="FF9E3C"/>
            </w:tcBorders>
            <w:shd w:val="clear" w:color="auto" w:fill="auto"/>
            <w:vAlign w:val="center"/>
            <w:hideMark/>
          </w:tcPr>
          <w:p w14:paraId="16D9B93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6D3704B8" w14:textId="77777777" w:rsidTr="00DF080D">
        <w:trPr>
          <w:trHeight w:val="103"/>
        </w:trPr>
        <w:tc>
          <w:tcPr>
            <w:tcW w:w="425" w:type="dxa"/>
            <w:vMerge/>
            <w:tcBorders>
              <w:top w:val="nil"/>
              <w:left w:val="single" w:sz="12" w:space="0" w:color="FF9E3C"/>
              <w:bottom w:val="single" w:sz="12" w:space="0" w:color="FF9E3C"/>
              <w:right w:val="single" w:sz="12" w:space="0" w:color="FF9E3C"/>
            </w:tcBorders>
            <w:vAlign w:val="center"/>
            <w:hideMark/>
          </w:tcPr>
          <w:p w14:paraId="5953E75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02DE9A9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1017" w:type="dxa"/>
            <w:tcBorders>
              <w:top w:val="nil"/>
              <w:left w:val="nil"/>
              <w:bottom w:val="single" w:sz="12" w:space="0" w:color="FF9E3C"/>
              <w:right w:val="single" w:sz="12" w:space="0" w:color="FF9E3C"/>
            </w:tcBorders>
            <w:shd w:val="clear" w:color="auto" w:fill="auto"/>
            <w:vAlign w:val="center"/>
            <w:hideMark/>
          </w:tcPr>
          <w:p w14:paraId="30DD9695"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086" w:type="dxa"/>
            <w:tcBorders>
              <w:top w:val="nil"/>
              <w:left w:val="nil"/>
              <w:bottom w:val="single" w:sz="12" w:space="0" w:color="FF9E3C"/>
              <w:right w:val="single" w:sz="12" w:space="0" w:color="FF9E3C"/>
            </w:tcBorders>
            <w:shd w:val="clear" w:color="auto" w:fill="auto"/>
            <w:vAlign w:val="center"/>
            <w:hideMark/>
          </w:tcPr>
          <w:p w14:paraId="3FE6920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In your relationships you’re experiencing greater</w:t>
            </w:r>
          </w:p>
        </w:tc>
        <w:tc>
          <w:tcPr>
            <w:tcW w:w="1276" w:type="dxa"/>
            <w:tcBorders>
              <w:top w:val="nil"/>
              <w:left w:val="nil"/>
              <w:bottom w:val="single" w:sz="12" w:space="0" w:color="FF9E3C"/>
              <w:right w:val="single" w:sz="12" w:space="0" w:color="FF9E3C"/>
            </w:tcBorders>
            <w:shd w:val="clear" w:color="auto" w:fill="auto"/>
            <w:vAlign w:val="center"/>
            <w:hideMark/>
          </w:tcPr>
          <w:p w14:paraId="0B7D9E8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30991C4F" w14:textId="77777777" w:rsidTr="00DF080D">
        <w:trPr>
          <w:trHeight w:val="237"/>
        </w:trPr>
        <w:tc>
          <w:tcPr>
            <w:tcW w:w="425" w:type="dxa"/>
            <w:vMerge/>
            <w:tcBorders>
              <w:top w:val="nil"/>
              <w:left w:val="single" w:sz="12" w:space="0" w:color="FF9E3C"/>
              <w:bottom w:val="single" w:sz="12" w:space="0" w:color="FF9E3C"/>
              <w:right w:val="single" w:sz="12" w:space="0" w:color="FF9E3C"/>
            </w:tcBorders>
            <w:vAlign w:val="center"/>
            <w:hideMark/>
          </w:tcPr>
          <w:p w14:paraId="72BCEDB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54F894D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1017" w:type="dxa"/>
            <w:tcBorders>
              <w:top w:val="nil"/>
              <w:left w:val="nil"/>
              <w:bottom w:val="single" w:sz="12" w:space="0" w:color="FF9E3C"/>
              <w:right w:val="single" w:sz="12" w:space="0" w:color="FF9E3C"/>
            </w:tcBorders>
            <w:shd w:val="clear" w:color="auto" w:fill="auto"/>
            <w:vAlign w:val="center"/>
            <w:hideMark/>
          </w:tcPr>
          <w:p w14:paraId="5F72023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086" w:type="dxa"/>
            <w:tcBorders>
              <w:top w:val="nil"/>
              <w:left w:val="nil"/>
              <w:bottom w:val="single" w:sz="12" w:space="0" w:color="FF9E3C"/>
              <w:right w:val="single" w:sz="12" w:space="0" w:color="FF9E3C"/>
            </w:tcBorders>
            <w:shd w:val="clear" w:color="auto" w:fill="auto"/>
            <w:vAlign w:val="center"/>
            <w:hideMark/>
          </w:tcPr>
          <w:p w14:paraId="33CB241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w:t>
            </w:r>
          </w:p>
        </w:tc>
        <w:tc>
          <w:tcPr>
            <w:tcW w:w="1276" w:type="dxa"/>
            <w:tcBorders>
              <w:top w:val="nil"/>
              <w:left w:val="nil"/>
              <w:bottom w:val="single" w:sz="12" w:space="0" w:color="FF9E3C"/>
              <w:right w:val="single" w:sz="12" w:space="0" w:color="FF9E3C"/>
            </w:tcBorders>
            <w:shd w:val="clear" w:color="auto" w:fill="auto"/>
            <w:vAlign w:val="center"/>
            <w:hideMark/>
          </w:tcPr>
          <w:p w14:paraId="133342D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28BF4455" w14:textId="77777777" w:rsidTr="00DF080D">
        <w:trPr>
          <w:trHeight w:val="241"/>
        </w:trPr>
        <w:tc>
          <w:tcPr>
            <w:tcW w:w="425" w:type="dxa"/>
            <w:vMerge/>
            <w:tcBorders>
              <w:top w:val="nil"/>
              <w:left w:val="single" w:sz="12" w:space="0" w:color="FF9E3C"/>
              <w:bottom w:val="single" w:sz="12" w:space="0" w:color="FF9E3C"/>
              <w:right w:val="single" w:sz="12" w:space="0" w:color="FF9E3C"/>
            </w:tcBorders>
            <w:vAlign w:val="center"/>
            <w:hideMark/>
          </w:tcPr>
          <w:p w14:paraId="7CDFDE7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3367287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relationships</w:t>
            </w:r>
          </w:p>
        </w:tc>
        <w:tc>
          <w:tcPr>
            <w:tcW w:w="1017" w:type="dxa"/>
            <w:tcBorders>
              <w:top w:val="nil"/>
              <w:left w:val="nil"/>
              <w:bottom w:val="single" w:sz="12" w:space="0" w:color="FF9E3C"/>
              <w:right w:val="single" w:sz="12" w:space="0" w:color="FF9E3C"/>
            </w:tcBorders>
            <w:shd w:val="clear" w:color="auto" w:fill="auto"/>
            <w:vAlign w:val="center"/>
            <w:hideMark/>
          </w:tcPr>
          <w:p w14:paraId="1787586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4</w:t>
            </w:r>
          </w:p>
        </w:tc>
        <w:tc>
          <w:tcPr>
            <w:tcW w:w="4086" w:type="dxa"/>
            <w:tcBorders>
              <w:top w:val="nil"/>
              <w:left w:val="nil"/>
              <w:bottom w:val="single" w:sz="12" w:space="0" w:color="FF9E3C"/>
              <w:right w:val="single" w:sz="12" w:space="0" w:color="FF9E3C"/>
            </w:tcBorders>
            <w:shd w:val="clear" w:color="auto" w:fill="auto"/>
            <w:vAlign w:val="center"/>
            <w:hideMark/>
          </w:tcPr>
          <w:p w14:paraId="3E567F9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Your</w:t>
            </w:r>
          </w:p>
        </w:tc>
        <w:tc>
          <w:tcPr>
            <w:tcW w:w="1276" w:type="dxa"/>
            <w:tcBorders>
              <w:top w:val="nil"/>
              <w:left w:val="nil"/>
              <w:bottom w:val="single" w:sz="12" w:space="0" w:color="FF9E3C"/>
              <w:right w:val="single" w:sz="12" w:space="0" w:color="FF9E3C"/>
            </w:tcBorders>
            <w:shd w:val="clear" w:color="auto" w:fill="auto"/>
            <w:vAlign w:val="center"/>
            <w:hideMark/>
          </w:tcPr>
          <w:p w14:paraId="1768C0F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r>
      <w:tr w:rsidR="00DF080D" w:rsidRPr="00DF080D" w14:paraId="6DE0138B" w14:textId="77777777" w:rsidTr="00DF080D">
        <w:trPr>
          <w:trHeight w:val="259"/>
        </w:trPr>
        <w:tc>
          <w:tcPr>
            <w:tcW w:w="425" w:type="dxa"/>
            <w:vMerge w:val="restart"/>
            <w:tcBorders>
              <w:top w:val="nil"/>
              <w:left w:val="single" w:sz="12" w:space="0" w:color="FF9E3C"/>
              <w:bottom w:val="single" w:sz="12" w:space="0" w:color="FF9E3C"/>
              <w:right w:val="single" w:sz="12" w:space="0" w:color="FF9E3C"/>
            </w:tcBorders>
            <w:shd w:val="clear" w:color="auto" w:fill="auto"/>
            <w:vAlign w:val="center"/>
            <w:hideMark/>
          </w:tcPr>
          <w:p w14:paraId="4CAD35BD" w14:textId="77777777" w:rsidR="00DF080D" w:rsidRPr="00DF080D" w:rsidRDefault="00DF080D" w:rsidP="00DF080D">
            <w:pPr>
              <w:tabs>
                <w:tab w:val="clear" w:pos="426"/>
              </w:tabs>
              <w:spacing w:before="0" w:after="0" w:line="240" w:lineRule="auto"/>
              <w:ind w:left="0" w:right="0"/>
              <w:jc w:val="right"/>
              <w:rPr>
                <w:rFonts w:cs="Arial"/>
                <w:color w:val="1C3158"/>
                <w:sz w:val="18"/>
                <w:lang w:eastAsia="ja-JP"/>
              </w:rPr>
            </w:pPr>
            <w:r w:rsidRPr="00DF080D">
              <w:rPr>
                <w:rFonts w:cs="Arial"/>
                <w:color w:val="1C3158"/>
                <w:sz w:val="18"/>
                <w:lang w:eastAsia="ja-JP"/>
              </w:rPr>
              <w:t>6</w:t>
            </w:r>
          </w:p>
        </w:tc>
        <w:tc>
          <w:tcPr>
            <w:tcW w:w="2268" w:type="dxa"/>
            <w:tcBorders>
              <w:top w:val="nil"/>
              <w:left w:val="nil"/>
              <w:bottom w:val="single" w:sz="12" w:space="0" w:color="FF9E3C"/>
              <w:right w:val="single" w:sz="12" w:space="0" w:color="FF9E3C"/>
            </w:tcBorders>
            <w:shd w:val="clear" w:color="auto" w:fill="auto"/>
            <w:vAlign w:val="center"/>
            <w:hideMark/>
          </w:tcPr>
          <w:p w14:paraId="2BF36AB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1017" w:type="dxa"/>
            <w:tcBorders>
              <w:top w:val="nil"/>
              <w:left w:val="nil"/>
              <w:bottom w:val="single" w:sz="12" w:space="0" w:color="FF9E3C"/>
              <w:right w:val="single" w:sz="12" w:space="0" w:color="FF9E3C"/>
            </w:tcBorders>
            <w:shd w:val="clear" w:color="auto" w:fill="auto"/>
            <w:vAlign w:val="center"/>
            <w:hideMark/>
          </w:tcPr>
          <w:p w14:paraId="34523DF5"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w:t>
            </w:r>
          </w:p>
        </w:tc>
        <w:tc>
          <w:tcPr>
            <w:tcW w:w="4086" w:type="dxa"/>
            <w:tcBorders>
              <w:top w:val="nil"/>
              <w:left w:val="nil"/>
              <w:bottom w:val="single" w:sz="12" w:space="0" w:color="FF9E3C"/>
              <w:right w:val="single" w:sz="12" w:space="0" w:color="FF9E3C"/>
            </w:tcBorders>
            <w:shd w:val="clear" w:color="auto" w:fill="auto"/>
            <w:vAlign w:val="center"/>
            <w:hideMark/>
          </w:tcPr>
          <w:p w14:paraId="521FB86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At work/study you have</w:t>
            </w:r>
          </w:p>
        </w:tc>
        <w:tc>
          <w:tcPr>
            <w:tcW w:w="1276" w:type="dxa"/>
            <w:tcBorders>
              <w:top w:val="nil"/>
              <w:left w:val="nil"/>
              <w:bottom w:val="single" w:sz="12" w:space="0" w:color="FF9E3C"/>
              <w:right w:val="single" w:sz="12" w:space="0" w:color="FF9E3C"/>
            </w:tcBorders>
            <w:shd w:val="clear" w:color="auto" w:fill="auto"/>
            <w:vAlign w:val="center"/>
            <w:hideMark/>
          </w:tcPr>
          <w:p w14:paraId="25F2C79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54A38E6C" w14:textId="77777777" w:rsidTr="00DF080D">
        <w:trPr>
          <w:trHeight w:val="263"/>
        </w:trPr>
        <w:tc>
          <w:tcPr>
            <w:tcW w:w="425" w:type="dxa"/>
            <w:vMerge/>
            <w:tcBorders>
              <w:top w:val="nil"/>
              <w:left w:val="single" w:sz="12" w:space="0" w:color="FF9E3C"/>
              <w:bottom w:val="single" w:sz="12" w:space="0" w:color="FF9E3C"/>
              <w:right w:val="single" w:sz="12" w:space="0" w:color="FF9E3C"/>
            </w:tcBorders>
            <w:vAlign w:val="center"/>
            <w:hideMark/>
          </w:tcPr>
          <w:p w14:paraId="485AA8F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5910F41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1017" w:type="dxa"/>
            <w:tcBorders>
              <w:top w:val="nil"/>
              <w:left w:val="nil"/>
              <w:bottom w:val="single" w:sz="12" w:space="0" w:color="FF9E3C"/>
              <w:right w:val="single" w:sz="12" w:space="0" w:color="FF9E3C"/>
            </w:tcBorders>
            <w:shd w:val="clear" w:color="auto" w:fill="auto"/>
            <w:vAlign w:val="center"/>
            <w:hideMark/>
          </w:tcPr>
          <w:p w14:paraId="7A718A9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w:t>
            </w:r>
          </w:p>
        </w:tc>
        <w:tc>
          <w:tcPr>
            <w:tcW w:w="4086" w:type="dxa"/>
            <w:tcBorders>
              <w:top w:val="nil"/>
              <w:left w:val="nil"/>
              <w:bottom w:val="single" w:sz="12" w:space="0" w:color="FF9E3C"/>
              <w:right w:val="single" w:sz="12" w:space="0" w:color="FF9E3C"/>
            </w:tcBorders>
            <w:shd w:val="clear" w:color="auto" w:fill="auto"/>
            <w:vAlign w:val="center"/>
            <w:hideMark/>
          </w:tcPr>
          <w:p w14:paraId="70DFD54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Additionally, in your work/study you</w:t>
            </w:r>
          </w:p>
        </w:tc>
        <w:tc>
          <w:tcPr>
            <w:tcW w:w="1276" w:type="dxa"/>
            <w:tcBorders>
              <w:top w:val="nil"/>
              <w:left w:val="nil"/>
              <w:bottom w:val="single" w:sz="12" w:space="0" w:color="FF9E3C"/>
              <w:right w:val="single" w:sz="12" w:space="0" w:color="FF9E3C"/>
            </w:tcBorders>
            <w:shd w:val="clear" w:color="auto" w:fill="auto"/>
            <w:vAlign w:val="center"/>
            <w:hideMark/>
          </w:tcPr>
          <w:p w14:paraId="56068ED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r w:rsidR="00DF080D" w:rsidRPr="00DF080D" w14:paraId="163BC9F0" w14:textId="77777777" w:rsidTr="00DF080D">
        <w:trPr>
          <w:trHeight w:val="253"/>
        </w:trPr>
        <w:tc>
          <w:tcPr>
            <w:tcW w:w="425" w:type="dxa"/>
            <w:vMerge/>
            <w:tcBorders>
              <w:top w:val="nil"/>
              <w:left w:val="single" w:sz="12" w:space="0" w:color="FF9E3C"/>
              <w:bottom w:val="single" w:sz="12" w:space="0" w:color="FF9E3C"/>
              <w:right w:val="single" w:sz="12" w:space="0" w:color="FF9E3C"/>
            </w:tcBorders>
            <w:vAlign w:val="center"/>
            <w:hideMark/>
          </w:tcPr>
          <w:p w14:paraId="219BB2C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p>
        </w:tc>
        <w:tc>
          <w:tcPr>
            <w:tcW w:w="2268" w:type="dxa"/>
            <w:tcBorders>
              <w:top w:val="nil"/>
              <w:left w:val="nil"/>
              <w:bottom w:val="single" w:sz="12" w:space="0" w:color="FF9E3C"/>
              <w:right w:val="single" w:sz="12" w:space="0" w:color="FF9E3C"/>
            </w:tcBorders>
            <w:shd w:val="clear" w:color="auto" w:fill="auto"/>
            <w:vAlign w:val="center"/>
            <w:hideMark/>
          </w:tcPr>
          <w:p w14:paraId="6D266B8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work/study</w:t>
            </w:r>
          </w:p>
        </w:tc>
        <w:tc>
          <w:tcPr>
            <w:tcW w:w="1017" w:type="dxa"/>
            <w:tcBorders>
              <w:top w:val="nil"/>
              <w:left w:val="nil"/>
              <w:bottom w:val="single" w:sz="12" w:space="0" w:color="FF9E3C"/>
              <w:right w:val="single" w:sz="12" w:space="0" w:color="FF9E3C"/>
            </w:tcBorders>
            <w:shd w:val="clear" w:color="auto" w:fill="auto"/>
            <w:vAlign w:val="center"/>
            <w:hideMark/>
          </w:tcPr>
          <w:p w14:paraId="75F9430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w:t>
            </w:r>
          </w:p>
        </w:tc>
        <w:tc>
          <w:tcPr>
            <w:tcW w:w="4086" w:type="dxa"/>
            <w:tcBorders>
              <w:top w:val="nil"/>
              <w:left w:val="nil"/>
              <w:bottom w:val="single" w:sz="12" w:space="0" w:color="FF9E3C"/>
              <w:right w:val="single" w:sz="12" w:space="0" w:color="FF9E3C"/>
            </w:tcBorders>
            <w:shd w:val="clear" w:color="auto" w:fill="auto"/>
            <w:vAlign w:val="center"/>
            <w:hideMark/>
          </w:tcPr>
          <w:p w14:paraId="768D944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You</w:t>
            </w:r>
          </w:p>
        </w:tc>
        <w:tc>
          <w:tcPr>
            <w:tcW w:w="1276" w:type="dxa"/>
            <w:tcBorders>
              <w:top w:val="nil"/>
              <w:left w:val="nil"/>
              <w:bottom w:val="single" w:sz="12" w:space="0" w:color="FF9E3C"/>
              <w:right w:val="single" w:sz="12" w:space="0" w:color="FF9E3C"/>
            </w:tcBorders>
            <w:shd w:val="clear" w:color="auto" w:fill="auto"/>
            <w:vAlign w:val="center"/>
            <w:hideMark/>
          </w:tcPr>
          <w:p w14:paraId="307F145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and</w:t>
            </w:r>
          </w:p>
        </w:tc>
      </w:tr>
    </w:tbl>
    <w:p w14:paraId="67EDECFD" w14:textId="77777777" w:rsidR="00DF080D" w:rsidRDefault="00DF080D" w:rsidP="00BB099A">
      <w:pPr>
        <w:pStyle w:val="VRGFBodycontent"/>
        <w:sectPr w:rsidR="00DF080D" w:rsidSect="00DF080D">
          <w:pgSz w:w="11906" w:h="16838"/>
          <w:pgMar w:top="1440" w:right="1440" w:bottom="1440" w:left="1440" w:header="425" w:footer="176" w:gutter="0"/>
          <w:cols w:space="708"/>
          <w:docGrid w:linePitch="360"/>
        </w:sectPr>
      </w:pPr>
    </w:p>
    <w:p w14:paraId="611554AE" w14:textId="31DE1E8C" w:rsidR="00DF080D" w:rsidRDefault="00767EAD" w:rsidP="00767EAD">
      <w:pPr>
        <w:pStyle w:val="Caption"/>
      </w:pPr>
      <w:bookmarkStart w:id="443" w:name="_Ref445410794"/>
      <w:bookmarkStart w:id="444" w:name="_Toc462738149"/>
      <w:r>
        <w:lastRenderedPageBreak/>
        <w:t xml:space="preserve">Appendix </w:t>
      </w:r>
      <w:fldSimple w:instr=" SEQ Appendix \* ARABIC ">
        <w:r w:rsidR="0006479A">
          <w:rPr>
            <w:noProof/>
          </w:rPr>
          <w:t>10</w:t>
        </w:r>
      </w:fldSimple>
      <w:bookmarkEnd w:id="443"/>
      <w:r>
        <w:t xml:space="preserve">. </w:t>
      </w:r>
      <w:r w:rsidR="00DF080D">
        <w:t>Comparison conditions displayed on the visual analogue scale</w:t>
      </w:r>
      <w:bookmarkEnd w:id="444"/>
    </w:p>
    <w:tbl>
      <w:tblPr>
        <w:tblW w:w="13882" w:type="dxa"/>
        <w:tblBorders>
          <w:top w:val="single" w:sz="12" w:space="0" w:color="FF9E3C"/>
          <w:left w:val="single" w:sz="12" w:space="0" w:color="FF9E3C"/>
          <w:bottom w:val="single" w:sz="12" w:space="0" w:color="FF9E3C"/>
          <w:right w:val="single" w:sz="12" w:space="0" w:color="FF9E3C"/>
          <w:insideH w:val="single" w:sz="12" w:space="0" w:color="FF9E3C"/>
          <w:insideV w:val="single" w:sz="12" w:space="0" w:color="FF9E3C"/>
        </w:tblBorders>
        <w:tblLook w:val="04A0" w:firstRow="1" w:lastRow="0" w:firstColumn="1" w:lastColumn="0" w:noHBand="0" w:noVBand="1"/>
      </w:tblPr>
      <w:tblGrid>
        <w:gridCol w:w="3818"/>
        <w:gridCol w:w="1134"/>
        <w:gridCol w:w="8930"/>
      </w:tblGrid>
      <w:tr w:rsidR="00DF080D" w:rsidRPr="00DF080D" w14:paraId="1857C88E" w14:textId="77777777" w:rsidTr="004D2A63">
        <w:trPr>
          <w:trHeight w:val="284"/>
          <w:tblHeader/>
        </w:trPr>
        <w:tc>
          <w:tcPr>
            <w:tcW w:w="3818" w:type="dxa"/>
            <w:shd w:val="clear" w:color="000000" w:fill="FFBC64"/>
            <w:vAlign w:val="center"/>
          </w:tcPr>
          <w:p w14:paraId="5F0C28A5" w14:textId="77777777" w:rsidR="00DF080D" w:rsidRPr="00DF080D" w:rsidRDefault="00DF080D" w:rsidP="00DF080D">
            <w:pPr>
              <w:tabs>
                <w:tab w:val="clear" w:pos="426"/>
              </w:tabs>
              <w:spacing w:before="0" w:after="0" w:line="240" w:lineRule="auto"/>
              <w:ind w:left="0" w:right="0"/>
              <w:rPr>
                <w:rFonts w:cs="Arial"/>
                <w:b/>
                <w:bCs/>
                <w:color w:val="1C3158"/>
                <w:sz w:val="18"/>
                <w:lang w:eastAsia="ja-JP"/>
              </w:rPr>
            </w:pPr>
            <w:r w:rsidRPr="00DF080D">
              <w:rPr>
                <w:rFonts w:eastAsiaTheme="minorEastAsia" w:cs="Arial"/>
                <w:b/>
                <w:color w:val="1C3158"/>
                <w:sz w:val="18"/>
                <w:lang w:eastAsia="zh-CN"/>
              </w:rPr>
              <w:t>Condition</w:t>
            </w:r>
          </w:p>
        </w:tc>
        <w:tc>
          <w:tcPr>
            <w:tcW w:w="1134" w:type="dxa"/>
            <w:shd w:val="clear" w:color="000000" w:fill="FFBC64"/>
            <w:vAlign w:val="center"/>
          </w:tcPr>
          <w:p w14:paraId="70801961"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eastAsiaTheme="minorEastAsia" w:cs="Arial"/>
                <w:b/>
                <w:color w:val="1C3158"/>
                <w:sz w:val="18"/>
                <w:lang w:eastAsia="zh-CN"/>
              </w:rPr>
              <w:t>% ranking on VAS</w:t>
            </w:r>
          </w:p>
        </w:tc>
        <w:tc>
          <w:tcPr>
            <w:tcW w:w="8930" w:type="dxa"/>
            <w:shd w:val="clear" w:color="000000" w:fill="FFBC64"/>
            <w:vAlign w:val="center"/>
          </w:tcPr>
          <w:p w14:paraId="7D5A9D77"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eastAsiaTheme="minorEastAsia" w:cs="Arial"/>
                <w:b/>
                <w:color w:val="1C3158"/>
                <w:sz w:val="18"/>
                <w:lang w:eastAsia="zh-CN"/>
              </w:rPr>
              <w:t>Descriptor</w:t>
            </w:r>
          </w:p>
        </w:tc>
      </w:tr>
      <w:tr w:rsidR="00DF080D" w:rsidRPr="00DF080D" w14:paraId="3BCBF884" w14:textId="77777777" w:rsidTr="004D2A63">
        <w:trPr>
          <w:trHeight w:val="284"/>
        </w:trPr>
        <w:tc>
          <w:tcPr>
            <w:tcW w:w="3818" w:type="dxa"/>
            <w:shd w:val="clear" w:color="auto" w:fill="auto"/>
            <w:vAlign w:val="center"/>
          </w:tcPr>
          <w:p w14:paraId="7AB5BFD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Asthma: controlled</w:t>
            </w:r>
          </w:p>
        </w:tc>
        <w:tc>
          <w:tcPr>
            <w:tcW w:w="1134" w:type="dxa"/>
            <w:shd w:val="clear" w:color="auto" w:fill="auto"/>
            <w:vAlign w:val="center"/>
          </w:tcPr>
          <w:p w14:paraId="298D3CD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0.9</w:t>
            </w:r>
          </w:p>
        </w:tc>
        <w:tc>
          <w:tcPr>
            <w:tcW w:w="8930" w:type="dxa"/>
            <w:shd w:val="clear" w:color="auto" w:fill="auto"/>
            <w:vAlign w:val="center"/>
          </w:tcPr>
          <w:p w14:paraId="2A633A9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wheeze and cough once a month, which does not cause difficulty with your daily activities.</w:t>
            </w:r>
          </w:p>
        </w:tc>
      </w:tr>
      <w:tr w:rsidR="00DF080D" w:rsidRPr="00DF080D" w14:paraId="38786601" w14:textId="77777777" w:rsidTr="004D2A63">
        <w:trPr>
          <w:trHeight w:val="284"/>
        </w:trPr>
        <w:tc>
          <w:tcPr>
            <w:tcW w:w="3818" w:type="dxa"/>
            <w:shd w:val="clear" w:color="auto" w:fill="auto"/>
            <w:vAlign w:val="center"/>
          </w:tcPr>
          <w:p w14:paraId="1B09C03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Infertility: primary</w:t>
            </w:r>
          </w:p>
        </w:tc>
        <w:tc>
          <w:tcPr>
            <w:tcW w:w="1134" w:type="dxa"/>
            <w:shd w:val="clear" w:color="auto" w:fill="auto"/>
            <w:vAlign w:val="center"/>
          </w:tcPr>
          <w:p w14:paraId="6020A74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1.1</w:t>
            </w:r>
          </w:p>
        </w:tc>
        <w:tc>
          <w:tcPr>
            <w:tcW w:w="8930" w:type="dxa"/>
            <w:shd w:val="clear" w:color="auto" w:fill="auto"/>
            <w:vAlign w:val="center"/>
          </w:tcPr>
          <w:p w14:paraId="5FBEDED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want to have a child and have a fertile partner, but you cannot conceive.</w:t>
            </w:r>
          </w:p>
        </w:tc>
      </w:tr>
      <w:tr w:rsidR="00DF080D" w:rsidRPr="00DF080D" w14:paraId="31D62772" w14:textId="77777777" w:rsidTr="004D2A63">
        <w:trPr>
          <w:trHeight w:val="284"/>
        </w:trPr>
        <w:tc>
          <w:tcPr>
            <w:tcW w:w="3818" w:type="dxa"/>
            <w:shd w:val="clear" w:color="auto" w:fill="auto"/>
            <w:vAlign w:val="center"/>
          </w:tcPr>
          <w:p w14:paraId="7DEE042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COPD and other chronic respiratory problems: mild</w:t>
            </w:r>
          </w:p>
        </w:tc>
        <w:tc>
          <w:tcPr>
            <w:tcW w:w="1134" w:type="dxa"/>
            <w:shd w:val="clear" w:color="auto" w:fill="auto"/>
            <w:vAlign w:val="center"/>
          </w:tcPr>
          <w:p w14:paraId="2F2283E5"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1.5</w:t>
            </w:r>
          </w:p>
        </w:tc>
        <w:tc>
          <w:tcPr>
            <w:tcW w:w="8930" w:type="dxa"/>
            <w:shd w:val="clear" w:color="auto" w:fill="auto"/>
            <w:vAlign w:val="center"/>
          </w:tcPr>
          <w:p w14:paraId="5A2AAA5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cough and are short of breath after heavy physical activity, but are able to walk long distances and climb stairs.</w:t>
            </w:r>
          </w:p>
        </w:tc>
      </w:tr>
      <w:tr w:rsidR="00DF080D" w:rsidRPr="00DF080D" w14:paraId="48A4DFFA" w14:textId="77777777" w:rsidTr="004D2A63">
        <w:trPr>
          <w:trHeight w:val="284"/>
        </w:trPr>
        <w:tc>
          <w:tcPr>
            <w:tcW w:w="3818" w:type="dxa"/>
            <w:shd w:val="clear" w:color="auto" w:fill="auto"/>
            <w:vAlign w:val="center"/>
          </w:tcPr>
          <w:p w14:paraId="7FB417B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Stroke: long-term consequences, mild</w:t>
            </w:r>
          </w:p>
        </w:tc>
        <w:tc>
          <w:tcPr>
            <w:tcW w:w="1134" w:type="dxa"/>
            <w:shd w:val="clear" w:color="auto" w:fill="auto"/>
            <w:vAlign w:val="center"/>
          </w:tcPr>
          <w:p w14:paraId="3AFE45AF"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2.1</w:t>
            </w:r>
          </w:p>
        </w:tc>
        <w:tc>
          <w:tcPr>
            <w:tcW w:w="8930" w:type="dxa"/>
            <w:shd w:val="clear" w:color="auto" w:fill="auto"/>
            <w:vAlign w:val="center"/>
          </w:tcPr>
          <w:p w14:paraId="47C416A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some difficulty in moving around and some weakness in one hand, but are able to walk without help.</w:t>
            </w:r>
          </w:p>
        </w:tc>
      </w:tr>
      <w:tr w:rsidR="00DF080D" w:rsidRPr="00DF080D" w14:paraId="793B6C59" w14:textId="77777777" w:rsidTr="004D2A63">
        <w:trPr>
          <w:trHeight w:val="284"/>
        </w:trPr>
        <w:tc>
          <w:tcPr>
            <w:tcW w:w="3818" w:type="dxa"/>
            <w:shd w:val="clear" w:color="auto" w:fill="auto"/>
            <w:vAlign w:val="center"/>
          </w:tcPr>
          <w:p w14:paraId="78314A3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Asthma, partially controlled</w:t>
            </w:r>
          </w:p>
        </w:tc>
        <w:tc>
          <w:tcPr>
            <w:tcW w:w="1134" w:type="dxa"/>
            <w:shd w:val="clear" w:color="auto" w:fill="auto"/>
            <w:vAlign w:val="center"/>
          </w:tcPr>
          <w:p w14:paraId="15F91C5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2.7</w:t>
            </w:r>
          </w:p>
        </w:tc>
        <w:tc>
          <w:tcPr>
            <w:tcW w:w="8930" w:type="dxa"/>
            <w:shd w:val="clear" w:color="auto" w:fill="auto"/>
            <w:vAlign w:val="center"/>
          </w:tcPr>
          <w:p w14:paraId="10C1E35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wheeze and cough once a week, which causes some difficulty with your daily activities.</w:t>
            </w:r>
          </w:p>
        </w:tc>
      </w:tr>
      <w:tr w:rsidR="00DF080D" w:rsidRPr="00DF080D" w14:paraId="50DF5ECB" w14:textId="77777777" w:rsidTr="004D2A63">
        <w:trPr>
          <w:trHeight w:val="284"/>
        </w:trPr>
        <w:tc>
          <w:tcPr>
            <w:tcW w:w="3818" w:type="dxa"/>
            <w:shd w:val="clear" w:color="auto" w:fill="auto"/>
            <w:vAlign w:val="center"/>
          </w:tcPr>
          <w:p w14:paraId="77B89A2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Anxiety disorders: mild</w:t>
            </w:r>
          </w:p>
        </w:tc>
        <w:tc>
          <w:tcPr>
            <w:tcW w:w="1134" w:type="dxa"/>
            <w:shd w:val="clear" w:color="auto" w:fill="auto"/>
            <w:vAlign w:val="center"/>
          </w:tcPr>
          <w:p w14:paraId="7FFF965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3</w:t>
            </w:r>
          </w:p>
        </w:tc>
        <w:tc>
          <w:tcPr>
            <w:tcW w:w="8930" w:type="dxa"/>
            <w:shd w:val="clear" w:color="auto" w:fill="auto"/>
            <w:vAlign w:val="center"/>
          </w:tcPr>
          <w:p w14:paraId="0B36D03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feel mildly anxious and worried, which makes it slightly difficult to concentrate, remember things, and sleep. You tire easily but are able to perform daily activities.</w:t>
            </w:r>
          </w:p>
        </w:tc>
      </w:tr>
      <w:tr w:rsidR="00DF080D" w:rsidRPr="00DF080D" w14:paraId="09273A62" w14:textId="77777777" w:rsidTr="004D2A63">
        <w:trPr>
          <w:trHeight w:val="284"/>
        </w:trPr>
        <w:tc>
          <w:tcPr>
            <w:tcW w:w="3818" w:type="dxa"/>
            <w:shd w:val="clear" w:color="auto" w:fill="auto"/>
            <w:vAlign w:val="center"/>
          </w:tcPr>
          <w:p w14:paraId="2444792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Bipolar Disorder: residual state</w:t>
            </w:r>
          </w:p>
        </w:tc>
        <w:tc>
          <w:tcPr>
            <w:tcW w:w="1134" w:type="dxa"/>
            <w:shd w:val="clear" w:color="auto" w:fill="auto"/>
            <w:vAlign w:val="center"/>
          </w:tcPr>
          <w:p w14:paraId="71E873C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3.5</w:t>
            </w:r>
          </w:p>
        </w:tc>
        <w:tc>
          <w:tcPr>
            <w:tcW w:w="8930" w:type="dxa"/>
            <w:shd w:val="clear" w:color="auto" w:fill="auto"/>
            <w:vAlign w:val="center"/>
          </w:tcPr>
          <w:p w14:paraId="7DADA1D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mild mood swings, irritability and some difficulty with daily activities.</w:t>
            </w:r>
          </w:p>
        </w:tc>
      </w:tr>
      <w:tr w:rsidR="00DF080D" w:rsidRPr="00DF080D" w14:paraId="64638CCE" w14:textId="77777777" w:rsidTr="004D2A63">
        <w:trPr>
          <w:trHeight w:val="284"/>
        </w:trPr>
        <w:tc>
          <w:tcPr>
            <w:tcW w:w="3818" w:type="dxa"/>
            <w:shd w:val="clear" w:color="auto" w:fill="auto"/>
            <w:vAlign w:val="center"/>
          </w:tcPr>
          <w:p w14:paraId="40F783C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Hearing loss: mild, with ringing</w:t>
            </w:r>
          </w:p>
        </w:tc>
        <w:tc>
          <w:tcPr>
            <w:tcW w:w="1134" w:type="dxa"/>
            <w:shd w:val="clear" w:color="auto" w:fill="auto"/>
            <w:vAlign w:val="center"/>
          </w:tcPr>
          <w:p w14:paraId="7286B89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3.8</w:t>
            </w:r>
          </w:p>
        </w:tc>
        <w:tc>
          <w:tcPr>
            <w:tcW w:w="8930" w:type="dxa"/>
            <w:shd w:val="clear" w:color="auto" w:fill="auto"/>
            <w:vAlign w:val="center"/>
          </w:tcPr>
          <w:p w14:paraId="3564502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great difficulty following a conversation in a noisy environment, and have ringing in the ears for more than 5 minutes, almost every day.</w:t>
            </w:r>
          </w:p>
        </w:tc>
      </w:tr>
      <w:tr w:rsidR="00DF080D" w:rsidRPr="00DF080D" w14:paraId="47FF3058" w14:textId="77777777" w:rsidTr="004D2A63">
        <w:trPr>
          <w:trHeight w:val="284"/>
        </w:trPr>
        <w:tc>
          <w:tcPr>
            <w:tcW w:w="3818" w:type="dxa"/>
            <w:shd w:val="clear" w:color="auto" w:fill="auto"/>
            <w:vAlign w:val="center"/>
          </w:tcPr>
          <w:p w14:paraId="5A1DB43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Neck pain: acute, mild</w:t>
            </w:r>
          </w:p>
        </w:tc>
        <w:tc>
          <w:tcPr>
            <w:tcW w:w="1134" w:type="dxa"/>
            <w:shd w:val="clear" w:color="auto" w:fill="auto"/>
            <w:vAlign w:val="center"/>
          </w:tcPr>
          <w:p w14:paraId="4097AC1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4</w:t>
            </w:r>
          </w:p>
        </w:tc>
        <w:tc>
          <w:tcPr>
            <w:tcW w:w="8930" w:type="dxa"/>
            <w:shd w:val="clear" w:color="auto" w:fill="auto"/>
            <w:vAlign w:val="center"/>
          </w:tcPr>
          <w:p w14:paraId="15B125A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neck pain, and difficulty turning the head and lifting things.</w:t>
            </w:r>
          </w:p>
        </w:tc>
      </w:tr>
      <w:tr w:rsidR="00DF080D" w:rsidRPr="00DF080D" w14:paraId="5B862339" w14:textId="77777777" w:rsidTr="004D2A63">
        <w:trPr>
          <w:trHeight w:val="284"/>
        </w:trPr>
        <w:tc>
          <w:tcPr>
            <w:tcW w:w="3818" w:type="dxa"/>
            <w:shd w:val="clear" w:color="auto" w:fill="auto"/>
            <w:vAlign w:val="center"/>
          </w:tcPr>
          <w:p w14:paraId="23EE794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Attention deficit hyperactivity disorder</w:t>
            </w:r>
          </w:p>
        </w:tc>
        <w:tc>
          <w:tcPr>
            <w:tcW w:w="1134" w:type="dxa"/>
            <w:shd w:val="clear" w:color="auto" w:fill="auto"/>
            <w:vAlign w:val="center"/>
          </w:tcPr>
          <w:p w14:paraId="0EAFACC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4.9</w:t>
            </w:r>
          </w:p>
        </w:tc>
        <w:tc>
          <w:tcPr>
            <w:tcW w:w="8930" w:type="dxa"/>
            <w:shd w:val="clear" w:color="auto" w:fill="auto"/>
            <w:vAlign w:val="center"/>
          </w:tcPr>
          <w:p w14:paraId="04841E2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are hyperactive and have difficulty concentrating, remembering things, and completing tasks.</w:t>
            </w:r>
          </w:p>
        </w:tc>
      </w:tr>
      <w:tr w:rsidR="00DF080D" w:rsidRPr="00DF080D" w14:paraId="652951EC" w14:textId="77777777" w:rsidTr="004D2A63">
        <w:trPr>
          <w:trHeight w:val="284"/>
        </w:trPr>
        <w:tc>
          <w:tcPr>
            <w:tcW w:w="3818" w:type="dxa"/>
            <w:shd w:val="clear" w:color="auto" w:fill="auto"/>
            <w:vAlign w:val="center"/>
          </w:tcPr>
          <w:p w14:paraId="4402261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Diarrhoea: mild</w:t>
            </w:r>
          </w:p>
        </w:tc>
        <w:tc>
          <w:tcPr>
            <w:tcW w:w="1134" w:type="dxa"/>
            <w:shd w:val="clear" w:color="auto" w:fill="auto"/>
            <w:vAlign w:val="center"/>
          </w:tcPr>
          <w:p w14:paraId="217CE94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6.1</w:t>
            </w:r>
          </w:p>
        </w:tc>
        <w:tc>
          <w:tcPr>
            <w:tcW w:w="8930" w:type="dxa"/>
            <w:shd w:val="clear" w:color="auto" w:fill="auto"/>
            <w:vAlign w:val="center"/>
          </w:tcPr>
          <w:p w14:paraId="500EDC6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diarrhoea three or more times a day with occasional discomfort in your belly.</w:t>
            </w:r>
          </w:p>
        </w:tc>
      </w:tr>
      <w:tr w:rsidR="00DF080D" w:rsidRPr="00DF080D" w14:paraId="1E41C1EC" w14:textId="77777777" w:rsidTr="004D2A63">
        <w:trPr>
          <w:trHeight w:val="284"/>
        </w:trPr>
        <w:tc>
          <w:tcPr>
            <w:tcW w:w="3818" w:type="dxa"/>
            <w:shd w:val="clear" w:color="auto" w:fill="auto"/>
            <w:vAlign w:val="center"/>
          </w:tcPr>
          <w:p w14:paraId="7D38BF0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Stroke: long-term consequences, moderate</w:t>
            </w:r>
          </w:p>
        </w:tc>
        <w:tc>
          <w:tcPr>
            <w:tcW w:w="1134" w:type="dxa"/>
            <w:shd w:val="clear" w:color="auto" w:fill="auto"/>
            <w:vAlign w:val="center"/>
          </w:tcPr>
          <w:p w14:paraId="05051F6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7.2</w:t>
            </w:r>
          </w:p>
        </w:tc>
        <w:tc>
          <w:tcPr>
            <w:tcW w:w="8930" w:type="dxa"/>
            <w:shd w:val="clear" w:color="auto" w:fill="auto"/>
            <w:vAlign w:val="center"/>
          </w:tcPr>
          <w:p w14:paraId="30934EC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some difficulty in moving around, and in using your hands for lifting and holding things, dressing, and grooming.</w:t>
            </w:r>
          </w:p>
        </w:tc>
      </w:tr>
      <w:tr w:rsidR="00DF080D" w:rsidRPr="00DF080D" w14:paraId="37E2BF4D" w14:textId="77777777" w:rsidTr="004D2A63">
        <w:trPr>
          <w:trHeight w:val="284"/>
        </w:trPr>
        <w:tc>
          <w:tcPr>
            <w:tcW w:w="3818" w:type="dxa"/>
            <w:shd w:val="clear" w:color="auto" w:fill="auto"/>
            <w:vAlign w:val="center"/>
          </w:tcPr>
          <w:p w14:paraId="5BB932D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Musculoskeletal problems: legs, moderate</w:t>
            </w:r>
          </w:p>
        </w:tc>
        <w:tc>
          <w:tcPr>
            <w:tcW w:w="1134" w:type="dxa"/>
            <w:shd w:val="clear" w:color="auto" w:fill="auto"/>
            <w:vAlign w:val="center"/>
          </w:tcPr>
          <w:p w14:paraId="6AE0D745"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7.9</w:t>
            </w:r>
          </w:p>
        </w:tc>
        <w:tc>
          <w:tcPr>
            <w:tcW w:w="8930" w:type="dxa"/>
            <w:shd w:val="clear" w:color="auto" w:fill="auto"/>
            <w:vAlign w:val="center"/>
          </w:tcPr>
          <w:p w14:paraId="4EAF587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moderate pain in your leg, which makes you limp, and causes some difficulty walking, standing, lifting and carrying heavy things, getting up and down, and sleeping.</w:t>
            </w:r>
          </w:p>
        </w:tc>
      </w:tr>
      <w:tr w:rsidR="00DF080D" w:rsidRPr="00DF080D" w14:paraId="7AD05A6F" w14:textId="77777777" w:rsidTr="004D2A63">
        <w:trPr>
          <w:trHeight w:val="284"/>
        </w:trPr>
        <w:tc>
          <w:tcPr>
            <w:tcW w:w="3818" w:type="dxa"/>
            <w:shd w:val="clear" w:color="auto" w:fill="auto"/>
            <w:vAlign w:val="center"/>
          </w:tcPr>
          <w:p w14:paraId="10D1CB8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Stoma</w:t>
            </w:r>
          </w:p>
        </w:tc>
        <w:tc>
          <w:tcPr>
            <w:tcW w:w="1134" w:type="dxa"/>
            <w:shd w:val="clear" w:color="auto" w:fill="auto"/>
            <w:vAlign w:val="center"/>
          </w:tcPr>
          <w:p w14:paraId="5B7A031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8.6</w:t>
            </w:r>
          </w:p>
        </w:tc>
        <w:tc>
          <w:tcPr>
            <w:tcW w:w="8930" w:type="dxa"/>
            <w:shd w:val="clear" w:color="auto" w:fill="auto"/>
            <w:vAlign w:val="center"/>
          </w:tcPr>
          <w:p w14:paraId="72D5454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a pouch attached to an opening in your belly to collect and empty stools.</w:t>
            </w:r>
          </w:p>
        </w:tc>
      </w:tr>
      <w:tr w:rsidR="00DF080D" w:rsidRPr="00DF080D" w14:paraId="19EDF4B8" w14:textId="77777777" w:rsidTr="004D2A63">
        <w:trPr>
          <w:trHeight w:val="284"/>
        </w:trPr>
        <w:tc>
          <w:tcPr>
            <w:tcW w:w="3818" w:type="dxa"/>
            <w:shd w:val="clear" w:color="auto" w:fill="auto"/>
            <w:vAlign w:val="center"/>
          </w:tcPr>
          <w:p w14:paraId="262A4ED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Hearing loss: complete, with ringing</w:t>
            </w:r>
          </w:p>
        </w:tc>
        <w:tc>
          <w:tcPr>
            <w:tcW w:w="1134" w:type="dxa"/>
            <w:shd w:val="clear" w:color="auto" w:fill="auto"/>
            <w:vAlign w:val="center"/>
          </w:tcPr>
          <w:p w14:paraId="401F1A9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9.2</w:t>
            </w:r>
          </w:p>
        </w:tc>
        <w:tc>
          <w:tcPr>
            <w:tcW w:w="8930" w:type="dxa"/>
            <w:shd w:val="clear" w:color="auto" w:fill="auto"/>
            <w:vAlign w:val="center"/>
          </w:tcPr>
          <w:p w14:paraId="044D060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cannot hear at all, even loud sounds, cannot use a phone, and have ringing in your ears for more than 5 minutes, almost every day.</w:t>
            </w:r>
          </w:p>
        </w:tc>
      </w:tr>
      <w:tr w:rsidR="00DF080D" w:rsidRPr="00DF080D" w14:paraId="206C2F7B" w14:textId="77777777" w:rsidTr="004D2A63">
        <w:trPr>
          <w:trHeight w:val="284"/>
        </w:trPr>
        <w:tc>
          <w:tcPr>
            <w:tcW w:w="3818" w:type="dxa"/>
            <w:shd w:val="clear" w:color="auto" w:fill="auto"/>
            <w:vAlign w:val="center"/>
          </w:tcPr>
          <w:p w14:paraId="58D2021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Musculoskeletal problems: arms, moderate</w:t>
            </w:r>
          </w:p>
        </w:tc>
        <w:tc>
          <w:tcPr>
            <w:tcW w:w="1134" w:type="dxa"/>
            <w:shd w:val="clear" w:color="auto" w:fill="auto"/>
            <w:vAlign w:val="center"/>
          </w:tcPr>
          <w:p w14:paraId="0BA6547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11.4</w:t>
            </w:r>
          </w:p>
        </w:tc>
        <w:tc>
          <w:tcPr>
            <w:tcW w:w="8930" w:type="dxa"/>
            <w:shd w:val="clear" w:color="auto" w:fill="auto"/>
            <w:vAlign w:val="center"/>
          </w:tcPr>
          <w:p w14:paraId="0703309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moderate pain and stiffness in your arms and hands, which causes difficulty lifting, carrying, and holding things, and you have trouble sleeping because of the pain.</w:t>
            </w:r>
          </w:p>
        </w:tc>
      </w:tr>
      <w:tr w:rsidR="00DF080D" w:rsidRPr="00DF080D" w14:paraId="27E3B4B4" w14:textId="77777777" w:rsidTr="004D2A63">
        <w:trPr>
          <w:trHeight w:val="284"/>
        </w:trPr>
        <w:tc>
          <w:tcPr>
            <w:tcW w:w="3818" w:type="dxa"/>
            <w:shd w:val="clear" w:color="auto" w:fill="auto"/>
            <w:vAlign w:val="center"/>
          </w:tcPr>
          <w:p w14:paraId="7166499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Amputation of one arm: long term, with or without treatment</w:t>
            </w:r>
          </w:p>
        </w:tc>
        <w:tc>
          <w:tcPr>
            <w:tcW w:w="1134" w:type="dxa"/>
            <w:shd w:val="clear" w:color="auto" w:fill="auto"/>
            <w:vAlign w:val="center"/>
          </w:tcPr>
          <w:p w14:paraId="7C22F44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13</w:t>
            </w:r>
          </w:p>
        </w:tc>
        <w:tc>
          <w:tcPr>
            <w:tcW w:w="8930" w:type="dxa"/>
            <w:shd w:val="clear" w:color="auto" w:fill="auto"/>
            <w:vAlign w:val="center"/>
          </w:tcPr>
          <w:p w14:paraId="64017B4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lost one hand and part of the arm, leaving pain and tingling in the stump and flashbacks from the injury. You require help lifting objects and in daily activities such as cooking.</w:t>
            </w:r>
          </w:p>
        </w:tc>
      </w:tr>
      <w:tr w:rsidR="00DF080D" w:rsidRPr="00DF080D" w14:paraId="31F8B30E" w14:textId="77777777" w:rsidTr="004D2A63">
        <w:trPr>
          <w:trHeight w:val="284"/>
        </w:trPr>
        <w:tc>
          <w:tcPr>
            <w:tcW w:w="3818" w:type="dxa"/>
            <w:shd w:val="clear" w:color="auto" w:fill="auto"/>
            <w:vAlign w:val="center"/>
          </w:tcPr>
          <w:p w14:paraId="659829A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Urinary incontinence</w:t>
            </w:r>
          </w:p>
        </w:tc>
        <w:tc>
          <w:tcPr>
            <w:tcW w:w="1134" w:type="dxa"/>
            <w:shd w:val="clear" w:color="auto" w:fill="auto"/>
            <w:vAlign w:val="center"/>
          </w:tcPr>
          <w:p w14:paraId="19835B84"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14.2</w:t>
            </w:r>
          </w:p>
        </w:tc>
        <w:tc>
          <w:tcPr>
            <w:tcW w:w="8930" w:type="dxa"/>
            <w:shd w:val="clear" w:color="auto" w:fill="auto"/>
            <w:vAlign w:val="center"/>
          </w:tcPr>
          <w:p w14:paraId="5F5A9AFD"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cannot control your urinating.</w:t>
            </w:r>
          </w:p>
        </w:tc>
      </w:tr>
      <w:tr w:rsidR="00DF080D" w:rsidRPr="00DF080D" w14:paraId="26E2A72A" w14:textId="77777777" w:rsidTr="004D2A63">
        <w:trPr>
          <w:trHeight w:val="284"/>
        </w:trPr>
        <w:tc>
          <w:tcPr>
            <w:tcW w:w="3818" w:type="dxa"/>
            <w:shd w:val="clear" w:color="auto" w:fill="auto"/>
            <w:vAlign w:val="center"/>
          </w:tcPr>
          <w:p w14:paraId="2CF9DD14"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Anxiety disorders: moderate</w:t>
            </w:r>
          </w:p>
        </w:tc>
        <w:tc>
          <w:tcPr>
            <w:tcW w:w="1134" w:type="dxa"/>
            <w:shd w:val="clear" w:color="auto" w:fill="auto"/>
            <w:vAlign w:val="center"/>
          </w:tcPr>
          <w:p w14:paraId="08A31C9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14.9</w:t>
            </w:r>
          </w:p>
        </w:tc>
        <w:tc>
          <w:tcPr>
            <w:tcW w:w="8930" w:type="dxa"/>
            <w:shd w:val="clear" w:color="auto" w:fill="auto"/>
            <w:vAlign w:val="center"/>
          </w:tcPr>
          <w:p w14:paraId="748B810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feel anxious and worried, which makes it difficult to concentrate, remember things, and sleep. You tire easily and find it difficult to perform daily activities.</w:t>
            </w:r>
          </w:p>
        </w:tc>
      </w:tr>
      <w:tr w:rsidR="00DF080D" w:rsidRPr="00DF080D" w14:paraId="3ACB11A8" w14:textId="77777777" w:rsidTr="004D2A63">
        <w:trPr>
          <w:trHeight w:val="284"/>
        </w:trPr>
        <w:tc>
          <w:tcPr>
            <w:tcW w:w="3818" w:type="dxa"/>
            <w:shd w:val="clear" w:color="auto" w:fill="auto"/>
            <w:vAlign w:val="center"/>
          </w:tcPr>
          <w:p w14:paraId="6033CF3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Musculoskeletal problems: legs, severe</w:t>
            </w:r>
          </w:p>
        </w:tc>
        <w:tc>
          <w:tcPr>
            <w:tcW w:w="1134" w:type="dxa"/>
            <w:shd w:val="clear" w:color="auto" w:fill="auto"/>
            <w:vAlign w:val="center"/>
          </w:tcPr>
          <w:p w14:paraId="3EA0A24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17.1</w:t>
            </w:r>
          </w:p>
        </w:tc>
        <w:tc>
          <w:tcPr>
            <w:tcW w:w="8930" w:type="dxa"/>
            <w:shd w:val="clear" w:color="auto" w:fill="auto"/>
            <w:vAlign w:val="center"/>
          </w:tcPr>
          <w:p w14:paraId="337F6ED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severe pain in your leg, which makes you limp and causes a lot of difficulty walking, standing, lifting and carrying heavy things, getting up and down, and sleeping.</w:t>
            </w:r>
          </w:p>
        </w:tc>
      </w:tr>
      <w:tr w:rsidR="00DF080D" w:rsidRPr="00DF080D" w14:paraId="442BDB61" w14:textId="77777777" w:rsidTr="004D2A63">
        <w:trPr>
          <w:trHeight w:val="284"/>
        </w:trPr>
        <w:tc>
          <w:tcPr>
            <w:tcW w:w="3818" w:type="dxa"/>
            <w:shd w:val="clear" w:color="auto" w:fill="auto"/>
            <w:vAlign w:val="center"/>
          </w:tcPr>
          <w:p w14:paraId="1B7129A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lastRenderedPageBreak/>
              <w:t>COPD and other chronic respiratory problems: moderate</w:t>
            </w:r>
          </w:p>
        </w:tc>
        <w:tc>
          <w:tcPr>
            <w:tcW w:w="1134" w:type="dxa"/>
            <w:shd w:val="clear" w:color="auto" w:fill="auto"/>
            <w:vAlign w:val="center"/>
          </w:tcPr>
          <w:p w14:paraId="5F58D545"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19.2</w:t>
            </w:r>
          </w:p>
        </w:tc>
        <w:tc>
          <w:tcPr>
            <w:tcW w:w="8930" w:type="dxa"/>
            <w:shd w:val="clear" w:color="auto" w:fill="auto"/>
            <w:vAlign w:val="center"/>
          </w:tcPr>
          <w:p w14:paraId="6DFAA8D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cough, wheeze and are short of breath, even after light physical activity. You feel tired and can walk only short distances or climb only a few stairs.</w:t>
            </w:r>
          </w:p>
        </w:tc>
      </w:tr>
      <w:tr w:rsidR="00DF080D" w:rsidRPr="00DF080D" w14:paraId="4F676228" w14:textId="77777777" w:rsidTr="004D2A63">
        <w:trPr>
          <w:trHeight w:val="284"/>
        </w:trPr>
        <w:tc>
          <w:tcPr>
            <w:tcW w:w="3818" w:type="dxa"/>
            <w:shd w:val="clear" w:color="auto" w:fill="auto"/>
            <w:vAlign w:val="center"/>
          </w:tcPr>
          <w:p w14:paraId="618BF69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Severe traumatic brain injury: short term, with or without treatment</w:t>
            </w:r>
          </w:p>
        </w:tc>
        <w:tc>
          <w:tcPr>
            <w:tcW w:w="1134" w:type="dxa"/>
            <w:shd w:val="clear" w:color="auto" w:fill="auto"/>
            <w:vAlign w:val="center"/>
          </w:tcPr>
          <w:p w14:paraId="517F332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23.5</w:t>
            </w:r>
          </w:p>
        </w:tc>
        <w:tc>
          <w:tcPr>
            <w:tcW w:w="8930" w:type="dxa"/>
            <w:shd w:val="clear" w:color="auto" w:fill="auto"/>
            <w:vAlign w:val="center"/>
          </w:tcPr>
          <w:p w14:paraId="17DB340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cannot concentrate and have headaches, memory problems, dizziness, and feel angry.</w:t>
            </w:r>
          </w:p>
        </w:tc>
      </w:tr>
      <w:tr w:rsidR="00DF080D" w:rsidRPr="00DF080D" w14:paraId="5FCBBC6E" w14:textId="77777777" w:rsidTr="004D2A63">
        <w:trPr>
          <w:trHeight w:val="284"/>
        </w:trPr>
        <w:tc>
          <w:tcPr>
            <w:tcW w:w="3818" w:type="dxa"/>
            <w:shd w:val="clear" w:color="auto" w:fill="auto"/>
            <w:vAlign w:val="center"/>
          </w:tcPr>
          <w:p w14:paraId="4C2D772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Alcohol use disorder: mild</w:t>
            </w:r>
          </w:p>
        </w:tc>
        <w:tc>
          <w:tcPr>
            <w:tcW w:w="1134" w:type="dxa"/>
            <w:shd w:val="clear" w:color="auto" w:fill="auto"/>
            <w:vAlign w:val="center"/>
          </w:tcPr>
          <w:p w14:paraId="07416FE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25.9</w:t>
            </w:r>
          </w:p>
        </w:tc>
        <w:tc>
          <w:tcPr>
            <w:tcW w:w="8930" w:type="dxa"/>
            <w:shd w:val="clear" w:color="auto" w:fill="auto"/>
            <w:vAlign w:val="center"/>
          </w:tcPr>
          <w:p w14:paraId="746EF577"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drink a lot of alcohol and sometimes have difficulty controlling the urge to drink. While intoxicated, you have difficulty performing daily activities.</w:t>
            </w:r>
          </w:p>
        </w:tc>
      </w:tr>
      <w:tr w:rsidR="00DF080D" w:rsidRPr="00DF080D" w14:paraId="4A611B47" w14:textId="77777777" w:rsidTr="004D2A63">
        <w:trPr>
          <w:trHeight w:val="284"/>
        </w:trPr>
        <w:tc>
          <w:tcPr>
            <w:tcW w:w="3818" w:type="dxa"/>
            <w:shd w:val="clear" w:color="auto" w:fill="auto"/>
            <w:vAlign w:val="center"/>
          </w:tcPr>
          <w:p w14:paraId="2608BEE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Stroke: long-term consequences, moderate plus cognition problems</w:t>
            </w:r>
          </w:p>
        </w:tc>
        <w:tc>
          <w:tcPr>
            <w:tcW w:w="1134" w:type="dxa"/>
            <w:shd w:val="clear" w:color="auto" w:fill="auto"/>
            <w:vAlign w:val="center"/>
          </w:tcPr>
          <w:p w14:paraId="388F54F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31.2</w:t>
            </w:r>
          </w:p>
        </w:tc>
        <w:tc>
          <w:tcPr>
            <w:tcW w:w="8930" w:type="dxa"/>
            <w:shd w:val="clear" w:color="auto" w:fill="auto"/>
            <w:vAlign w:val="center"/>
          </w:tcPr>
          <w:p w14:paraId="6DBB6D6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some difficulty in moving around, in using the hands for lifting and holding things, dressing and grooming, and in speaking. You are often forgetful and confused.</w:t>
            </w:r>
          </w:p>
        </w:tc>
      </w:tr>
      <w:tr w:rsidR="00DF080D" w:rsidRPr="00DF080D" w14:paraId="21D5CC63" w14:textId="77777777" w:rsidTr="004D2A63">
        <w:trPr>
          <w:trHeight w:val="284"/>
        </w:trPr>
        <w:tc>
          <w:tcPr>
            <w:tcW w:w="3818" w:type="dxa"/>
            <w:shd w:val="clear" w:color="auto" w:fill="auto"/>
            <w:vAlign w:val="center"/>
          </w:tcPr>
          <w:p w14:paraId="0A604D3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Amphetamine dependence</w:t>
            </w:r>
          </w:p>
        </w:tc>
        <w:tc>
          <w:tcPr>
            <w:tcW w:w="1134" w:type="dxa"/>
            <w:shd w:val="clear" w:color="auto" w:fill="auto"/>
            <w:vAlign w:val="center"/>
          </w:tcPr>
          <w:p w14:paraId="2B7FB37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35.3</w:t>
            </w:r>
          </w:p>
        </w:tc>
        <w:tc>
          <w:tcPr>
            <w:tcW w:w="8930" w:type="dxa"/>
            <w:shd w:val="clear" w:color="auto" w:fill="auto"/>
            <w:vAlign w:val="center"/>
          </w:tcPr>
          <w:p w14:paraId="5D15A13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use stimulants (drugs) and have difficulty controlling the habit. You sometimes have depression, hallucinations and mood swings, and have difficulty in daily activities.</w:t>
            </w:r>
          </w:p>
        </w:tc>
      </w:tr>
      <w:tr w:rsidR="00DF080D" w:rsidRPr="00DF080D" w14:paraId="06F9DC15" w14:textId="77777777" w:rsidTr="004D2A63">
        <w:trPr>
          <w:trHeight w:val="284"/>
        </w:trPr>
        <w:tc>
          <w:tcPr>
            <w:tcW w:w="3818" w:type="dxa"/>
            <w:shd w:val="clear" w:color="auto" w:fill="auto"/>
            <w:vAlign w:val="center"/>
          </w:tcPr>
          <w:p w14:paraId="220EC7E9"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Alcohol use disorder: moderate</w:t>
            </w:r>
          </w:p>
        </w:tc>
        <w:tc>
          <w:tcPr>
            <w:tcW w:w="1134" w:type="dxa"/>
            <w:shd w:val="clear" w:color="auto" w:fill="auto"/>
            <w:vAlign w:val="center"/>
          </w:tcPr>
          <w:p w14:paraId="2C17F63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38.8</w:t>
            </w:r>
          </w:p>
        </w:tc>
        <w:tc>
          <w:tcPr>
            <w:tcW w:w="8930" w:type="dxa"/>
            <w:shd w:val="clear" w:color="auto" w:fill="auto"/>
            <w:vAlign w:val="center"/>
          </w:tcPr>
          <w:p w14:paraId="2E4E254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drink a lot, get drunk almost every week and have great difficulty controlling the urge to drink. Your drinking and recovering cause great difficulty in daily activities, sleep loss, and fatigue.</w:t>
            </w:r>
          </w:p>
        </w:tc>
      </w:tr>
      <w:tr w:rsidR="00DF080D" w:rsidRPr="00DF080D" w14:paraId="5BDC574D" w14:textId="77777777" w:rsidTr="004D2A63">
        <w:trPr>
          <w:trHeight w:val="284"/>
        </w:trPr>
        <w:tc>
          <w:tcPr>
            <w:tcW w:w="3818" w:type="dxa"/>
            <w:shd w:val="clear" w:color="auto" w:fill="auto"/>
            <w:vAlign w:val="center"/>
          </w:tcPr>
          <w:p w14:paraId="3A7CD4B1"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Headache: migraine</w:t>
            </w:r>
          </w:p>
        </w:tc>
        <w:tc>
          <w:tcPr>
            <w:tcW w:w="1134" w:type="dxa"/>
            <w:shd w:val="clear" w:color="auto" w:fill="auto"/>
            <w:vAlign w:val="center"/>
          </w:tcPr>
          <w:p w14:paraId="61F85394"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43.3</w:t>
            </w:r>
          </w:p>
        </w:tc>
        <w:tc>
          <w:tcPr>
            <w:tcW w:w="8930" w:type="dxa"/>
            <w:shd w:val="clear" w:color="auto" w:fill="auto"/>
            <w:vAlign w:val="center"/>
          </w:tcPr>
          <w:p w14:paraId="0EAB475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severe, throbbing head pain and nausea that cause great difficulty in daily activities and sometimes confine you to bed. Moving around, light, and noise make it worse.</w:t>
            </w:r>
          </w:p>
        </w:tc>
      </w:tr>
      <w:tr w:rsidR="00DF080D" w:rsidRPr="00DF080D" w14:paraId="043C2DA1" w14:textId="77777777" w:rsidTr="004D2A63">
        <w:trPr>
          <w:trHeight w:val="284"/>
        </w:trPr>
        <w:tc>
          <w:tcPr>
            <w:tcW w:w="3818" w:type="dxa"/>
            <w:shd w:val="clear" w:color="auto" w:fill="auto"/>
            <w:vAlign w:val="center"/>
          </w:tcPr>
          <w:p w14:paraId="2F0E137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Bipolar Disorder: manic episode</w:t>
            </w:r>
          </w:p>
        </w:tc>
        <w:tc>
          <w:tcPr>
            <w:tcW w:w="1134" w:type="dxa"/>
            <w:shd w:val="clear" w:color="auto" w:fill="auto"/>
            <w:vAlign w:val="center"/>
          </w:tcPr>
          <w:p w14:paraId="4A0E9F8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48</w:t>
            </w:r>
          </w:p>
        </w:tc>
        <w:tc>
          <w:tcPr>
            <w:tcW w:w="8930" w:type="dxa"/>
            <w:shd w:val="clear" w:color="auto" w:fill="auto"/>
            <w:vAlign w:val="center"/>
          </w:tcPr>
          <w:p w14:paraId="2E0B5803" w14:textId="3D650835"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are hyperactive, you hear and believe things that are not real, and engage in impulsive and aggressive behavio</w:t>
            </w:r>
            <w:r w:rsidR="00D456FF">
              <w:rPr>
                <w:rFonts w:eastAsiaTheme="minorEastAsia" w:cs="Arial"/>
                <w:color w:val="1C3158"/>
                <w:sz w:val="18"/>
                <w:lang w:eastAsia="zh-CN"/>
              </w:rPr>
              <w:t>u</w:t>
            </w:r>
            <w:r w:rsidRPr="00DF080D">
              <w:rPr>
                <w:rFonts w:eastAsiaTheme="minorEastAsia" w:cs="Arial"/>
                <w:color w:val="1C3158"/>
                <w:sz w:val="18"/>
                <w:lang w:eastAsia="zh-CN"/>
              </w:rPr>
              <w:t>r that endanger yourself and others.</w:t>
            </w:r>
          </w:p>
        </w:tc>
      </w:tr>
      <w:tr w:rsidR="00DF080D" w:rsidRPr="00DF080D" w14:paraId="2C9EB33F" w14:textId="77777777" w:rsidTr="004D2A63">
        <w:trPr>
          <w:trHeight w:val="284"/>
        </w:trPr>
        <w:tc>
          <w:tcPr>
            <w:tcW w:w="3818" w:type="dxa"/>
            <w:shd w:val="clear" w:color="auto" w:fill="auto"/>
            <w:vAlign w:val="center"/>
          </w:tcPr>
          <w:p w14:paraId="13AF385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Alcohol use disorder: severe</w:t>
            </w:r>
          </w:p>
        </w:tc>
        <w:tc>
          <w:tcPr>
            <w:tcW w:w="1134" w:type="dxa"/>
            <w:shd w:val="clear" w:color="auto" w:fill="auto"/>
            <w:vAlign w:val="center"/>
          </w:tcPr>
          <w:p w14:paraId="4411BDBF"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54.9</w:t>
            </w:r>
          </w:p>
        </w:tc>
        <w:tc>
          <w:tcPr>
            <w:tcW w:w="8930" w:type="dxa"/>
            <w:shd w:val="clear" w:color="auto" w:fill="auto"/>
            <w:vAlign w:val="center"/>
          </w:tcPr>
          <w:p w14:paraId="77A9152F"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get drunk almost every day and are unable to control the urge to drink. Your drinking and recovering replace most daily activities. You have difficulty thinking, remembering and communicating, and feel constant pain and fatigue.</w:t>
            </w:r>
          </w:p>
        </w:tc>
      </w:tr>
      <w:tr w:rsidR="00DF080D" w:rsidRPr="00DF080D" w14:paraId="21FDC30E" w14:textId="77777777" w:rsidTr="004D2A63">
        <w:trPr>
          <w:trHeight w:val="284"/>
        </w:trPr>
        <w:tc>
          <w:tcPr>
            <w:tcW w:w="3818" w:type="dxa"/>
            <w:shd w:val="clear" w:color="auto" w:fill="auto"/>
            <w:vAlign w:val="center"/>
          </w:tcPr>
          <w:p w14:paraId="5F4F4570"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Schizophrenia: residual state</w:t>
            </w:r>
          </w:p>
        </w:tc>
        <w:tc>
          <w:tcPr>
            <w:tcW w:w="1134" w:type="dxa"/>
            <w:shd w:val="clear" w:color="auto" w:fill="auto"/>
            <w:vAlign w:val="center"/>
          </w:tcPr>
          <w:p w14:paraId="7F27B37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57.6</w:t>
            </w:r>
          </w:p>
        </w:tc>
        <w:tc>
          <w:tcPr>
            <w:tcW w:w="8930" w:type="dxa"/>
            <w:shd w:val="clear" w:color="auto" w:fill="auto"/>
            <w:vAlign w:val="center"/>
          </w:tcPr>
          <w:p w14:paraId="311C33D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hear and see things that are not real and have trouble communicating. You can be forgetful, have difficulty with daily activities, and think about hurting yourself.</w:t>
            </w:r>
          </w:p>
        </w:tc>
      </w:tr>
      <w:tr w:rsidR="00DF080D" w:rsidRPr="00DF080D" w14:paraId="3D4057A5" w14:textId="77777777" w:rsidTr="004D2A63">
        <w:trPr>
          <w:trHeight w:val="284"/>
        </w:trPr>
        <w:tc>
          <w:tcPr>
            <w:tcW w:w="3818" w:type="dxa"/>
            <w:shd w:val="clear" w:color="auto" w:fill="auto"/>
            <w:vAlign w:val="center"/>
          </w:tcPr>
          <w:p w14:paraId="1F30C4E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Heroin and other opioid dependence</w:t>
            </w:r>
          </w:p>
        </w:tc>
        <w:tc>
          <w:tcPr>
            <w:tcW w:w="1134" w:type="dxa"/>
            <w:shd w:val="clear" w:color="auto" w:fill="auto"/>
            <w:vAlign w:val="center"/>
          </w:tcPr>
          <w:p w14:paraId="2CFEC37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64.1</w:t>
            </w:r>
          </w:p>
        </w:tc>
        <w:tc>
          <w:tcPr>
            <w:tcW w:w="8930" w:type="dxa"/>
            <w:shd w:val="clear" w:color="auto" w:fill="auto"/>
            <w:vAlign w:val="center"/>
          </w:tcPr>
          <w:p w14:paraId="449C5A48"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use heroin daily and have difficulty controlling the habit. When the effects wear off, you feel severe nausea, agitation, vomiting and fever. You have a lot of difficulty in daily activities.</w:t>
            </w:r>
          </w:p>
        </w:tc>
      </w:tr>
      <w:tr w:rsidR="00DF080D" w:rsidRPr="00DF080D" w14:paraId="3DA69F00" w14:textId="77777777" w:rsidTr="004D2A63">
        <w:trPr>
          <w:trHeight w:val="284"/>
        </w:trPr>
        <w:tc>
          <w:tcPr>
            <w:tcW w:w="3818" w:type="dxa"/>
            <w:shd w:val="clear" w:color="auto" w:fill="auto"/>
            <w:vAlign w:val="center"/>
          </w:tcPr>
          <w:p w14:paraId="686F2676"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Multiple sclerosis: severe</w:t>
            </w:r>
          </w:p>
        </w:tc>
        <w:tc>
          <w:tcPr>
            <w:tcW w:w="1134" w:type="dxa"/>
            <w:shd w:val="clear" w:color="auto" w:fill="auto"/>
            <w:vAlign w:val="center"/>
          </w:tcPr>
          <w:p w14:paraId="0B236EB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eastAsiaTheme="minorEastAsia" w:cs="Arial"/>
                <w:color w:val="1C3158"/>
                <w:sz w:val="18"/>
                <w:lang w:eastAsia="zh-CN"/>
              </w:rPr>
              <w:t>70.7</w:t>
            </w:r>
          </w:p>
        </w:tc>
        <w:tc>
          <w:tcPr>
            <w:tcW w:w="8930" w:type="dxa"/>
            <w:shd w:val="clear" w:color="auto" w:fill="auto"/>
            <w:vAlign w:val="center"/>
          </w:tcPr>
          <w:p w14:paraId="695A060A"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have slurred speech and difficulty swallowing. You also have weak arms and hands, very limited and stiff leg movement, have loss of vision in both eyes and cannot control urinating.</w:t>
            </w:r>
          </w:p>
        </w:tc>
      </w:tr>
      <w:tr w:rsidR="00DF080D" w:rsidRPr="00DF080D" w14:paraId="1AB2C15A" w14:textId="77777777" w:rsidTr="004D2A63">
        <w:trPr>
          <w:trHeight w:val="284"/>
        </w:trPr>
        <w:tc>
          <w:tcPr>
            <w:tcW w:w="3818" w:type="dxa"/>
            <w:shd w:val="clear" w:color="auto" w:fill="auto"/>
            <w:vAlign w:val="center"/>
          </w:tcPr>
          <w:p w14:paraId="3C2E9605"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Schizophrenia: acute state</w:t>
            </w:r>
          </w:p>
        </w:tc>
        <w:tc>
          <w:tcPr>
            <w:tcW w:w="1134" w:type="dxa"/>
            <w:shd w:val="clear" w:color="auto" w:fill="auto"/>
            <w:vAlign w:val="center"/>
          </w:tcPr>
          <w:p w14:paraId="623E218B" w14:textId="77777777" w:rsidR="00DF080D" w:rsidRPr="00DF080D" w:rsidRDefault="00DF080D" w:rsidP="00DF080D">
            <w:pPr>
              <w:tabs>
                <w:tab w:val="clear" w:pos="426"/>
              </w:tabs>
              <w:spacing w:before="0" w:after="160" w:line="259" w:lineRule="auto"/>
              <w:ind w:left="0" w:right="0"/>
              <w:jc w:val="center"/>
              <w:rPr>
                <w:rFonts w:cs="Arial"/>
                <w:color w:val="1C3158"/>
                <w:sz w:val="18"/>
                <w:lang w:eastAsia="ja-JP"/>
              </w:rPr>
            </w:pPr>
            <w:r w:rsidRPr="00DF080D">
              <w:rPr>
                <w:rFonts w:eastAsiaTheme="minorEastAsia" w:cs="Arial"/>
                <w:color w:val="1C3158"/>
                <w:sz w:val="18"/>
                <w:lang w:eastAsia="zh-CN"/>
              </w:rPr>
              <w:t>75.6</w:t>
            </w:r>
          </w:p>
        </w:tc>
        <w:tc>
          <w:tcPr>
            <w:tcW w:w="8930" w:type="dxa"/>
            <w:shd w:val="clear" w:color="auto" w:fill="auto"/>
            <w:vAlign w:val="center"/>
          </w:tcPr>
          <w:p w14:paraId="0499C8A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eastAsiaTheme="minorEastAsia" w:cs="Arial"/>
                <w:color w:val="1C3158"/>
                <w:sz w:val="18"/>
                <w:lang w:eastAsia="zh-CN"/>
              </w:rPr>
              <w:t>You hear and see things that are not real and are afraid, confused, and sometimes violent. You have great difficulty with communication and daily activities, and sometimes want to harm or kill yourself.</w:t>
            </w:r>
          </w:p>
        </w:tc>
      </w:tr>
    </w:tbl>
    <w:p w14:paraId="66D302BE" w14:textId="7B21BB2F" w:rsidR="00DF080D" w:rsidRDefault="00DF080D" w:rsidP="00BB099A">
      <w:pPr>
        <w:pStyle w:val="VRGFBodycontent"/>
      </w:pPr>
    </w:p>
    <w:p w14:paraId="5816EC0A" w14:textId="77777777" w:rsidR="00DF080D" w:rsidRDefault="00DF080D">
      <w:pPr>
        <w:tabs>
          <w:tab w:val="clear" w:pos="426"/>
        </w:tabs>
        <w:spacing w:before="0" w:after="0" w:line="240" w:lineRule="auto"/>
        <w:ind w:left="0" w:right="0"/>
      </w:pPr>
      <w:r>
        <w:br w:type="page"/>
      </w:r>
    </w:p>
    <w:p w14:paraId="44794390" w14:textId="361E5CB0" w:rsidR="00DF080D" w:rsidRDefault="00767EAD" w:rsidP="00767EAD">
      <w:pPr>
        <w:pStyle w:val="Caption"/>
        <w:spacing w:after="0"/>
      </w:pPr>
      <w:bookmarkStart w:id="445" w:name="_Ref445565230"/>
      <w:bookmarkStart w:id="446" w:name="_Toc462738150"/>
      <w:r>
        <w:lastRenderedPageBreak/>
        <w:t xml:space="preserve">Appendix </w:t>
      </w:r>
      <w:fldSimple w:instr=" SEQ Appendix \* ARABIC ">
        <w:r w:rsidR="0006479A">
          <w:rPr>
            <w:noProof/>
          </w:rPr>
          <w:t>11</w:t>
        </w:r>
      </w:fldSimple>
      <w:bookmarkEnd w:id="445"/>
      <w:r>
        <w:t>.</w:t>
      </w:r>
      <w:r w:rsidR="00DF080D">
        <w:t xml:space="preserve"> Figures and sources for harm and years of</w:t>
      </w:r>
      <w:r w:rsidR="00E47430">
        <w:t xml:space="preserve"> healthy</w:t>
      </w:r>
      <w:r w:rsidR="00DF080D">
        <w:t xml:space="preserve"> life lost for the New Zealand adult population</w:t>
      </w:r>
      <w:bookmarkEnd w:id="446"/>
    </w:p>
    <w:tbl>
      <w:tblPr>
        <w:tblW w:w="14317" w:type="dxa"/>
        <w:tblInd w:w="-15" w:type="dxa"/>
        <w:tblLook w:val="04A0" w:firstRow="1" w:lastRow="0" w:firstColumn="1" w:lastColumn="0" w:noHBand="0" w:noVBand="1"/>
      </w:tblPr>
      <w:tblGrid>
        <w:gridCol w:w="3400"/>
        <w:gridCol w:w="1136"/>
        <w:gridCol w:w="1660"/>
        <w:gridCol w:w="1742"/>
        <w:gridCol w:w="1730"/>
        <w:gridCol w:w="4649"/>
      </w:tblGrid>
      <w:tr w:rsidR="00DF080D" w:rsidRPr="00DF080D" w14:paraId="26E7F1D7" w14:textId="77777777" w:rsidTr="004D2A63">
        <w:trPr>
          <w:trHeight w:val="404"/>
        </w:trPr>
        <w:tc>
          <w:tcPr>
            <w:tcW w:w="3400" w:type="dxa"/>
            <w:tcBorders>
              <w:top w:val="single" w:sz="12" w:space="0" w:color="FF9E3C"/>
              <w:left w:val="single" w:sz="12" w:space="0" w:color="FF9E3C"/>
              <w:bottom w:val="single" w:sz="12" w:space="0" w:color="FF9E3C"/>
              <w:right w:val="single" w:sz="12" w:space="0" w:color="FF9E3C"/>
            </w:tcBorders>
            <w:shd w:val="clear" w:color="000000" w:fill="FFBC64"/>
            <w:vAlign w:val="center"/>
            <w:hideMark/>
          </w:tcPr>
          <w:p w14:paraId="327A54AD" w14:textId="77777777" w:rsidR="00DF080D" w:rsidRPr="00DF080D" w:rsidRDefault="00DF080D" w:rsidP="00DF080D">
            <w:pPr>
              <w:tabs>
                <w:tab w:val="clear" w:pos="426"/>
              </w:tabs>
              <w:spacing w:before="0" w:after="0" w:line="240" w:lineRule="auto"/>
              <w:ind w:left="0" w:right="0"/>
              <w:rPr>
                <w:rFonts w:cs="Arial"/>
                <w:b/>
                <w:bCs/>
                <w:color w:val="1C3158"/>
                <w:sz w:val="18"/>
                <w:lang w:eastAsia="ja-JP"/>
              </w:rPr>
            </w:pPr>
            <w:r w:rsidRPr="00DF080D">
              <w:rPr>
                <w:rFonts w:cs="Arial"/>
                <w:b/>
                <w:bCs/>
                <w:color w:val="1C3158"/>
                <w:sz w:val="18"/>
                <w:lang w:eastAsia="ja-JP"/>
              </w:rPr>
              <w:t>Health State</w:t>
            </w:r>
          </w:p>
        </w:tc>
        <w:tc>
          <w:tcPr>
            <w:tcW w:w="1136" w:type="dxa"/>
            <w:tcBorders>
              <w:top w:val="single" w:sz="12" w:space="0" w:color="FF9E3C"/>
              <w:left w:val="nil"/>
              <w:bottom w:val="single" w:sz="12" w:space="0" w:color="FF9E3C"/>
              <w:right w:val="single" w:sz="12" w:space="0" w:color="FF9E3C"/>
            </w:tcBorders>
            <w:shd w:val="clear" w:color="000000" w:fill="FFBC64"/>
            <w:vAlign w:val="center"/>
            <w:hideMark/>
          </w:tcPr>
          <w:p w14:paraId="1A0F4632" w14:textId="45D6A5ED" w:rsidR="00DF080D" w:rsidRPr="00DF080D" w:rsidRDefault="00E47430" w:rsidP="00DF080D">
            <w:pPr>
              <w:tabs>
                <w:tab w:val="clear" w:pos="426"/>
              </w:tabs>
              <w:spacing w:before="0" w:after="0" w:line="240" w:lineRule="auto"/>
              <w:ind w:left="0" w:right="0"/>
              <w:jc w:val="center"/>
              <w:rPr>
                <w:rFonts w:cs="Arial"/>
                <w:b/>
                <w:bCs/>
                <w:color w:val="1C3158"/>
                <w:sz w:val="18"/>
                <w:lang w:eastAsia="ja-JP"/>
              </w:rPr>
            </w:pPr>
            <w:r>
              <w:rPr>
                <w:rFonts w:cs="Arial"/>
                <w:b/>
                <w:bCs/>
                <w:color w:val="1C3158"/>
                <w:sz w:val="18"/>
                <w:lang w:eastAsia="ja-JP"/>
              </w:rPr>
              <w:t xml:space="preserve">Utility </w:t>
            </w:r>
            <w:r w:rsidR="00DF080D" w:rsidRPr="00DF080D">
              <w:rPr>
                <w:rFonts w:cs="Arial"/>
                <w:b/>
                <w:bCs/>
                <w:color w:val="1C3158"/>
                <w:sz w:val="18"/>
                <w:lang w:eastAsia="ja-JP"/>
              </w:rPr>
              <w:t>Weight</w:t>
            </w:r>
          </w:p>
        </w:tc>
        <w:tc>
          <w:tcPr>
            <w:tcW w:w="1660" w:type="dxa"/>
            <w:tcBorders>
              <w:top w:val="single" w:sz="12" w:space="0" w:color="FF9E3C"/>
              <w:left w:val="nil"/>
              <w:bottom w:val="single" w:sz="12" w:space="0" w:color="FF9E3C"/>
              <w:right w:val="single" w:sz="12" w:space="0" w:color="FF9E3C"/>
            </w:tcBorders>
            <w:shd w:val="clear" w:color="000000" w:fill="FFBC64"/>
            <w:vAlign w:val="center"/>
            <w:hideMark/>
          </w:tcPr>
          <w:p w14:paraId="5704B25F"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Prevalence in Population (%)</w:t>
            </w:r>
          </w:p>
        </w:tc>
        <w:tc>
          <w:tcPr>
            <w:tcW w:w="1742" w:type="dxa"/>
            <w:tcBorders>
              <w:top w:val="single" w:sz="12" w:space="0" w:color="FF9E3C"/>
              <w:left w:val="nil"/>
              <w:bottom w:val="single" w:sz="12" w:space="0" w:color="FF9E3C"/>
              <w:right w:val="single" w:sz="12" w:space="0" w:color="FF9E3C"/>
            </w:tcBorders>
            <w:shd w:val="clear" w:color="000000" w:fill="FFBC64"/>
            <w:vAlign w:val="center"/>
            <w:hideMark/>
          </w:tcPr>
          <w:p w14:paraId="6A3BC7EB"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NZ Population With Health State</w:t>
            </w:r>
          </w:p>
        </w:tc>
        <w:tc>
          <w:tcPr>
            <w:tcW w:w="1730" w:type="dxa"/>
            <w:tcBorders>
              <w:top w:val="single" w:sz="12" w:space="0" w:color="FF9E3C"/>
              <w:left w:val="nil"/>
              <w:bottom w:val="single" w:sz="12" w:space="0" w:color="FF9E3C"/>
              <w:right w:val="single" w:sz="12" w:space="0" w:color="FF9E3C"/>
            </w:tcBorders>
            <w:shd w:val="clear" w:color="000000" w:fill="FFBC64"/>
            <w:vAlign w:val="center"/>
            <w:hideMark/>
          </w:tcPr>
          <w:p w14:paraId="1271614F" w14:textId="12C674E8" w:rsidR="00DF080D" w:rsidRPr="00DF080D" w:rsidRDefault="00DF080D" w:rsidP="00E47430">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Years of</w:t>
            </w:r>
            <w:r w:rsidR="00E47430">
              <w:rPr>
                <w:rFonts w:cs="Arial"/>
                <w:b/>
                <w:bCs/>
                <w:color w:val="1C3158"/>
                <w:sz w:val="18"/>
                <w:lang w:eastAsia="ja-JP"/>
              </w:rPr>
              <w:t xml:space="preserve"> Healthy </w:t>
            </w:r>
            <w:r w:rsidRPr="00DF080D">
              <w:rPr>
                <w:rFonts w:cs="Arial"/>
                <w:b/>
                <w:bCs/>
                <w:color w:val="1C3158"/>
                <w:sz w:val="18"/>
                <w:lang w:eastAsia="ja-JP"/>
              </w:rPr>
              <w:t>Life Lost</w:t>
            </w:r>
          </w:p>
        </w:tc>
        <w:tc>
          <w:tcPr>
            <w:tcW w:w="4649" w:type="dxa"/>
            <w:tcBorders>
              <w:top w:val="single" w:sz="12" w:space="0" w:color="FF9E3C"/>
              <w:left w:val="nil"/>
              <w:bottom w:val="single" w:sz="12" w:space="0" w:color="FF9E3C"/>
              <w:right w:val="single" w:sz="12" w:space="0" w:color="FF9E3C"/>
            </w:tcBorders>
            <w:shd w:val="clear" w:color="000000" w:fill="FFBC64"/>
            <w:vAlign w:val="center"/>
            <w:hideMark/>
          </w:tcPr>
          <w:p w14:paraId="22AECC7F"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Source of Prevalence (%)</w:t>
            </w:r>
          </w:p>
        </w:tc>
      </w:tr>
      <w:tr w:rsidR="00DF080D" w:rsidRPr="00DF080D" w14:paraId="296CBB5F" w14:textId="77777777" w:rsidTr="004D2A63">
        <w:trPr>
          <w:trHeight w:val="460"/>
        </w:trPr>
        <w:tc>
          <w:tcPr>
            <w:tcW w:w="3400" w:type="dxa"/>
            <w:tcBorders>
              <w:top w:val="nil"/>
              <w:left w:val="single" w:sz="12" w:space="0" w:color="FF9E3C"/>
              <w:bottom w:val="single" w:sz="12" w:space="0" w:color="FF9E3C"/>
              <w:right w:val="single" w:sz="12" w:space="0" w:color="FF9E3C"/>
            </w:tcBorders>
            <w:shd w:val="clear" w:color="000000" w:fill="FFD8A3"/>
            <w:vAlign w:val="center"/>
            <w:hideMark/>
          </w:tcPr>
          <w:p w14:paraId="2B358672" w14:textId="15F3B697" w:rsidR="00DF080D" w:rsidRPr="00DF080D" w:rsidRDefault="00D9419A" w:rsidP="00DF080D">
            <w:pPr>
              <w:tabs>
                <w:tab w:val="clear" w:pos="426"/>
              </w:tabs>
              <w:spacing w:before="0" w:after="0" w:line="240" w:lineRule="auto"/>
              <w:ind w:left="0" w:right="0"/>
              <w:rPr>
                <w:rFonts w:cs="Arial"/>
                <w:b/>
                <w:bCs/>
                <w:color w:val="1C3158"/>
                <w:sz w:val="18"/>
                <w:lang w:eastAsia="ja-JP"/>
              </w:rPr>
            </w:pPr>
            <w:r>
              <w:rPr>
                <w:rFonts w:cs="Arial"/>
                <w:b/>
                <w:bCs/>
                <w:color w:val="1C3158"/>
                <w:sz w:val="18"/>
                <w:lang w:eastAsia="ja-JP"/>
              </w:rPr>
              <w:t>Total g</w:t>
            </w:r>
            <w:r w:rsidRPr="00DF080D">
              <w:rPr>
                <w:rFonts w:cs="Arial"/>
                <w:b/>
                <w:bCs/>
                <w:color w:val="1C3158"/>
                <w:sz w:val="18"/>
                <w:lang w:eastAsia="ja-JP"/>
              </w:rPr>
              <w:t xml:space="preserve">ambling </w:t>
            </w:r>
            <w:r w:rsidR="00DF080D" w:rsidRPr="00DF080D">
              <w:rPr>
                <w:rFonts w:cs="Arial"/>
                <w:b/>
                <w:bCs/>
                <w:color w:val="1C3158"/>
                <w:sz w:val="18"/>
                <w:lang w:eastAsia="ja-JP"/>
              </w:rPr>
              <w:t>problems</w:t>
            </w:r>
          </w:p>
        </w:tc>
        <w:tc>
          <w:tcPr>
            <w:tcW w:w="1136" w:type="dxa"/>
            <w:tcBorders>
              <w:top w:val="nil"/>
              <w:left w:val="nil"/>
              <w:bottom w:val="single" w:sz="12" w:space="0" w:color="FF9E3C"/>
              <w:right w:val="single" w:sz="12" w:space="0" w:color="FF9E3C"/>
            </w:tcBorders>
            <w:shd w:val="clear" w:color="000000" w:fill="FFD8A3"/>
            <w:vAlign w:val="center"/>
            <w:hideMark/>
          </w:tcPr>
          <w:p w14:paraId="3F7385E0" w14:textId="77777777" w:rsidR="00DF080D" w:rsidRPr="00DF080D" w:rsidRDefault="00DF080D" w:rsidP="00DF080D">
            <w:pPr>
              <w:tabs>
                <w:tab w:val="clear" w:pos="426"/>
              </w:tabs>
              <w:spacing w:before="0" w:after="0" w:line="240" w:lineRule="auto"/>
              <w:ind w:left="0" w:right="0"/>
              <w:jc w:val="center"/>
              <w:rPr>
                <w:rFonts w:cs="Arial"/>
                <w:b/>
                <w:bCs/>
                <w:color w:val="1C3158"/>
                <w:sz w:val="18"/>
                <w:lang w:eastAsia="ja-JP"/>
              </w:rPr>
            </w:pPr>
            <w:r w:rsidRPr="00DF080D">
              <w:rPr>
                <w:rFonts w:cs="Arial"/>
                <w:b/>
                <w:bCs/>
                <w:color w:val="1C3158"/>
                <w:sz w:val="18"/>
                <w:lang w:eastAsia="ja-JP"/>
              </w:rPr>
              <w:t> </w:t>
            </w:r>
          </w:p>
        </w:tc>
        <w:tc>
          <w:tcPr>
            <w:tcW w:w="1660" w:type="dxa"/>
            <w:tcBorders>
              <w:top w:val="nil"/>
              <w:left w:val="nil"/>
              <w:bottom w:val="single" w:sz="12" w:space="0" w:color="FF9E3C"/>
              <w:right w:val="single" w:sz="12" w:space="0" w:color="FF9E3C"/>
            </w:tcBorders>
            <w:shd w:val="clear" w:color="000000" w:fill="FFD8A3"/>
            <w:vAlign w:val="center"/>
            <w:hideMark/>
          </w:tcPr>
          <w:p w14:paraId="4DE3C0A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7.3</w:t>
            </w:r>
          </w:p>
        </w:tc>
        <w:tc>
          <w:tcPr>
            <w:tcW w:w="1742" w:type="dxa"/>
            <w:tcBorders>
              <w:top w:val="nil"/>
              <w:left w:val="nil"/>
              <w:bottom w:val="single" w:sz="12" w:space="0" w:color="FF9E3C"/>
              <w:right w:val="single" w:sz="12" w:space="0" w:color="FF9E3C"/>
            </w:tcBorders>
            <w:shd w:val="clear" w:color="000000" w:fill="FFD8A3"/>
            <w:vAlign w:val="center"/>
            <w:hideMark/>
          </w:tcPr>
          <w:p w14:paraId="3561F40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260,011</w:t>
            </w:r>
          </w:p>
        </w:tc>
        <w:tc>
          <w:tcPr>
            <w:tcW w:w="1730" w:type="dxa"/>
            <w:tcBorders>
              <w:top w:val="nil"/>
              <w:left w:val="nil"/>
              <w:bottom w:val="single" w:sz="12" w:space="0" w:color="FF9E3C"/>
              <w:right w:val="single" w:sz="12" w:space="0" w:color="FF9E3C"/>
            </w:tcBorders>
            <w:shd w:val="clear" w:color="000000" w:fill="FFD8A3"/>
            <w:vAlign w:val="center"/>
            <w:hideMark/>
          </w:tcPr>
          <w:p w14:paraId="09DB569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67,199</w:t>
            </w:r>
          </w:p>
        </w:tc>
        <w:tc>
          <w:tcPr>
            <w:tcW w:w="4649" w:type="dxa"/>
            <w:tcBorders>
              <w:top w:val="single" w:sz="12" w:space="0" w:color="FF9E3C"/>
              <w:left w:val="nil"/>
              <w:bottom w:val="single" w:sz="12" w:space="0" w:color="FF9E3C"/>
              <w:right w:val="single" w:sz="12" w:space="0" w:color="FF9E3C"/>
            </w:tcBorders>
            <w:shd w:val="clear" w:color="000000" w:fill="FFD8A3"/>
            <w:vAlign w:val="center"/>
            <w:hideMark/>
          </w:tcPr>
          <w:p w14:paraId="3E965CA3" w14:textId="30974720" w:rsidR="00DF080D" w:rsidRPr="00DF080D" w:rsidRDefault="00DF080D" w:rsidP="00263368">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2012 New Zealand National Gambling Study (</w:t>
            </w:r>
            <w:r w:rsidR="00263368" w:rsidRPr="00263368">
              <w:rPr>
                <w:rFonts w:cs="Arial"/>
                <w:color w:val="1C3158"/>
                <w:sz w:val="18"/>
                <w:lang w:eastAsia="ja-JP"/>
              </w:rPr>
              <w:t>Abbott et al., 2014a</w:t>
            </w:r>
            <w:r w:rsidRPr="00DF080D">
              <w:rPr>
                <w:rFonts w:cs="Arial"/>
                <w:color w:val="1C3158"/>
                <w:sz w:val="18"/>
                <w:lang w:eastAsia="ja-JP"/>
              </w:rPr>
              <w:t>)</w:t>
            </w:r>
          </w:p>
        </w:tc>
      </w:tr>
      <w:tr w:rsidR="00DF080D" w:rsidRPr="00DF080D" w14:paraId="1BE82A05"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4B5D0367" w14:textId="77777777" w:rsidR="00DF080D" w:rsidRPr="00DF080D" w:rsidRDefault="00DF080D" w:rsidP="000B1C4C">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Low Risk Gambling</w:t>
            </w:r>
          </w:p>
        </w:tc>
        <w:tc>
          <w:tcPr>
            <w:tcW w:w="1136" w:type="dxa"/>
            <w:tcBorders>
              <w:top w:val="nil"/>
              <w:left w:val="nil"/>
              <w:bottom w:val="single" w:sz="12" w:space="0" w:color="FF9E3C"/>
              <w:right w:val="single" w:sz="12" w:space="0" w:color="FF9E3C"/>
            </w:tcBorders>
            <w:shd w:val="clear" w:color="000000" w:fill="FFFFFF"/>
            <w:vAlign w:val="center"/>
            <w:hideMark/>
          </w:tcPr>
          <w:p w14:paraId="4A5862B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0.18</w:t>
            </w:r>
          </w:p>
        </w:tc>
        <w:tc>
          <w:tcPr>
            <w:tcW w:w="1660" w:type="dxa"/>
            <w:tcBorders>
              <w:top w:val="nil"/>
              <w:left w:val="nil"/>
              <w:bottom w:val="single" w:sz="12" w:space="0" w:color="FF9E3C"/>
              <w:right w:val="single" w:sz="12" w:space="0" w:color="FF9E3C"/>
            </w:tcBorders>
            <w:shd w:val="clear" w:color="000000" w:fill="FFFFFF"/>
            <w:vAlign w:val="center"/>
            <w:hideMark/>
          </w:tcPr>
          <w:p w14:paraId="3BD0716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4.9</w:t>
            </w:r>
          </w:p>
        </w:tc>
        <w:tc>
          <w:tcPr>
            <w:tcW w:w="1742" w:type="dxa"/>
            <w:tcBorders>
              <w:top w:val="nil"/>
              <w:left w:val="nil"/>
              <w:bottom w:val="single" w:sz="12" w:space="0" w:color="FF9E3C"/>
              <w:right w:val="single" w:sz="12" w:space="0" w:color="FF9E3C"/>
            </w:tcBorders>
            <w:shd w:val="clear" w:color="000000" w:fill="FFFFFF"/>
            <w:vAlign w:val="center"/>
            <w:hideMark/>
          </w:tcPr>
          <w:p w14:paraId="469A811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175,511</w:t>
            </w:r>
          </w:p>
        </w:tc>
        <w:tc>
          <w:tcPr>
            <w:tcW w:w="1730" w:type="dxa"/>
            <w:tcBorders>
              <w:top w:val="nil"/>
              <w:left w:val="nil"/>
              <w:bottom w:val="single" w:sz="12" w:space="0" w:color="FF9E3C"/>
              <w:right w:val="single" w:sz="12" w:space="0" w:color="FF9E3C"/>
            </w:tcBorders>
            <w:shd w:val="clear" w:color="000000" w:fill="FFFFFF"/>
            <w:vAlign w:val="center"/>
            <w:hideMark/>
          </w:tcPr>
          <w:p w14:paraId="30570395"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32,280</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153135C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 </w:t>
            </w:r>
          </w:p>
        </w:tc>
      </w:tr>
      <w:tr w:rsidR="00DF080D" w:rsidRPr="00DF080D" w14:paraId="04C62B70"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34A0D3CA"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Moderate Risk Gambling</w:t>
            </w:r>
          </w:p>
        </w:tc>
        <w:tc>
          <w:tcPr>
            <w:tcW w:w="1136" w:type="dxa"/>
            <w:tcBorders>
              <w:top w:val="nil"/>
              <w:left w:val="nil"/>
              <w:bottom w:val="single" w:sz="12" w:space="0" w:color="FF9E3C"/>
              <w:right w:val="single" w:sz="12" w:space="0" w:color="FF9E3C"/>
            </w:tcBorders>
            <w:shd w:val="clear" w:color="000000" w:fill="FFFFFF"/>
            <w:vAlign w:val="center"/>
            <w:hideMark/>
          </w:tcPr>
          <w:p w14:paraId="18E9BB4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0.37</w:t>
            </w:r>
          </w:p>
        </w:tc>
        <w:tc>
          <w:tcPr>
            <w:tcW w:w="1660" w:type="dxa"/>
            <w:tcBorders>
              <w:top w:val="nil"/>
              <w:left w:val="nil"/>
              <w:bottom w:val="single" w:sz="12" w:space="0" w:color="FF9E3C"/>
              <w:right w:val="single" w:sz="12" w:space="0" w:color="FF9E3C"/>
            </w:tcBorders>
            <w:shd w:val="clear" w:color="000000" w:fill="FFFFFF"/>
            <w:vAlign w:val="center"/>
            <w:hideMark/>
          </w:tcPr>
          <w:p w14:paraId="59C29D4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1.7</w:t>
            </w:r>
          </w:p>
        </w:tc>
        <w:tc>
          <w:tcPr>
            <w:tcW w:w="1742" w:type="dxa"/>
            <w:tcBorders>
              <w:top w:val="nil"/>
              <w:left w:val="nil"/>
              <w:bottom w:val="single" w:sz="12" w:space="0" w:color="FF9E3C"/>
              <w:right w:val="single" w:sz="12" w:space="0" w:color="FF9E3C"/>
            </w:tcBorders>
            <w:shd w:val="clear" w:color="000000" w:fill="FFFFFF"/>
            <w:vAlign w:val="center"/>
            <w:hideMark/>
          </w:tcPr>
          <w:p w14:paraId="1A17E09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61,470</w:t>
            </w:r>
          </w:p>
        </w:tc>
        <w:tc>
          <w:tcPr>
            <w:tcW w:w="1730" w:type="dxa"/>
            <w:tcBorders>
              <w:top w:val="nil"/>
              <w:left w:val="nil"/>
              <w:bottom w:val="single" w:sz="12" w:space="0" w:color="FF9E3C"/>
              <w:right w:val="single" w:sz="12" w:space="0" w:color="FF9E3C"/>
            </w:tcBorders>
            <w:shd w:val="clear" w:color="000000" w:fill="FFFFFF"/>
            <w:vAlign w:val="center"/>
            <w:hideMark/>
          </w:tcPr>
          <w:p w14:paraId="210FE51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22,577</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79D53E5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 </w:t>
            </w:r>
          </w:p>
        </w:tc>
      </w:tr>
      <w:tr w:rsidR="00DF080D" w:rsidRPr="00DF080D" w14:paraId="458023E0"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417D1D43"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Problem Gambling</w:t>
            </w:r>
          </w:p>
        </w:tc>
        <w:tc>
          <w:tcPr>
            <w:tcW w:w="1136" w:type="dxa"/>
            <w:tcBorders>
              <w:top w:val="nil"/>
              <w:left w:val="nil"/>
              <w:bottom w:val="single" w:sz="12" w:space="0" w:color="FF9E3C"/>
              <w:right w:val="single" w:sz="12" w:space="0" w:color="FF9E3C"/>
            </w:tcBorders>
            <w:shd w:val="clear" w:color="000000" w:fill="FFFFFF"/>
            <w:vAlign w:val="center"/>
            <w:hideMark/>
          </w:tcPr>
          <w:p w14:paraId="77D8684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0.54</w:t>
            </w:r>
          </w:p>
        </w:tc>
        <w:tc>
          <w:tcPr>
            <w:tcW w:w="1660" w:type="dxa"/>
            <w:tcBorders>
              <w:top w:val="nil"/>
              <w:left w:val="nil"/>
              <w:bottom w:val="single" w:sz="12" w:space="0" w:color="FF9E3C"/>
              <w:right w:val="single" w:sz="12" w:space="0" w:color="FF9E3C"/>
            </w:tcBorders>
            <w:shd w:val="clear" w:color="000000" w:fill="FFFFFF"/>
            <w:vAlign w:val="center"/>
            <w:hideMark/>
          </w:tcPr>
          <w:p w14:paraId="442677C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0.6</w:t>
            </w:r>
          </w:p>
        </w:tc>
        <w:tc>
          <w:tcPr>
            <w:tcW w:w="1742" w:type="dxa"/>
            <w:tcBorders>
              <w:top w:val="nil"/>
              <w:left w:val="nil"/>
              <w:bottom w:val="single" w:sz="12" w:space="0" w:color="FF9E3C"/>
              <w:right w:val="single" w:sz="12" w:space="0" w:color="FF9E3C"/>
            </w:tcBorders>
            <w:shd w:val="clear" w:color="000000" w:fill="FFFFFF"/>
            <w:vAlign w:val="center"/>
            <w:hideMark/>
          </w:tcPr>
          <w:p w14:paraId="12CE592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23,029</w:t>
            </w:r>
          </w:p>
        </w:tc>
        <w:tc>
          <w:tcPr>
            <w:tcW w:w="1730" w:type="dxa"/>
            <w:tcBorders>
              <w:top w:val="nil"/>
              <w:left w:val="nil"/>
              <w:bottom w:val="single" w:sz="12" w:space="0" w:color="FF9E3C"/>
              <w:right w:val="single" w:sz="12" w:space="0" w:color="FF9E3C"/>
            </w:tcBorders>
            <w:shd w:val="clear" w:color="000000" w:fill="FFFFFF"/>
            <w:vAlign w:val="center"/>
            <w:hideMark/>
          </w:tcPr>
          <w:p w14:paraId="113FD03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12,341</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5822AE2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 </w:t>
            </w:r>
          </w:p>
        </w:tc>
      </w:tr>
      <w:tr w:rsidR="00DF080D" w:rsidRPr="00DF080D" w14:paraId="1EF38922" w14:textId="77777777" w:rsidTr="004D2A63">
        <w:trPr>
          <w:trHeight w:val="266"/>
        </w:trPr>
        <w:tc>
          <w:tcPr>
            <w:tcW w:w="3400" w:type="dxa"/>
            <w:tcBorders>
              <w:top w:val="nil"/>
              <w:left w:val="single" w:sz="12" w:space="0" w:color="FF9E3C"/>
              <w:bottom w:val="single" w:sz="12" w:space="0" w:color="FF9E3C"/>
              <w:right w:val="single" w:sz="12" w:space="0" w:color="FF9E3C"/>
            </w:tcBorders>
            <w:shd w:val="clear" w:color="000000" w:fill="FFD8A3"/>
            <w:vAlign w:val="center"/>
            <w:hideMark/>
          </w:tcPr>
          <w:p w14:paraId="5FED1F11" w14:textId="77777777" w:rsidR="00DF080D" w:rsidRPr="00DF080D" w:rsidRDefault="00DF080D" w:rsidP="00DF080D">
            <w:pPr>
              <w:tabs>
                <w:tab w:val="clear" w:pos="426"/>
              </w:tabs>
              <w:spacing w:before="0" w:after="0" w:line="240" w:lineRule="auto"/>
              <w:ind w:left="0" w:right="0"/>
              <w:rPr>
                <w:rFonts w:cs="Arial"/>
                <w:b/>
                <w:bCs/>
                <w:color w:val="1C3158"/>
                <w:sz w:val="18"/>
                <w:lang w:eastAsia="ja-JP"/>
              </w:rPr>
            </w:pPr>
            <w:r w:rsidRPr="00DF080D">
              <w:rPr>
                <w:rFonts w:cs="Arial"/>
                <w:b/>
                <w:bCs/>
                <w:color w:val="1C3158"/>
                <w:sz w:val="18"/>
                <w:lang w:eastAsia="ja-JP"/>
              </w:rPr>
              <w:t>Other health conditions*</w:t>
            </w:r>
          </w:p>
        </w:tc>
        <w:tc>
          <w:tcPr>
            <w:tcW w:w="1136" w:type="dxa"/>
            <w:tcBorders>
              <w:top w:val="nil"/>
              <w:left w:val="nil"/>
              <w:bottom w:val="single" w:sz="12" w:space="0" w:color="FF9E3C"/>
              <w:right w:val="single" w:sz="12" w:space="0" w:color="FF9E3C"/>
            </w:tcBorders>
            <w:shd w:val="clear" w:color="000000" w:fill="FFD8A3"/>
            <w:vAlign w:val="center"/>
            <w:hideMark/>
          </w:tcPr>
          <w:p w14:paraId="26CDAF1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 </w:t>
            </w:r>
          </w:p>
        </w:tc>
        <w:tc>
          <w:tcPr>
            <w:tcW w:w="1660" w:type="dxa"/>
            <w:tcBorders>
              <w:top w:val="nil"/>
              <w:left w:val="nil"/>
              <w:bottom w:val="single" w:sz="12" w:space="0" w:color="FF9E3C"/>
              <w:right w:val="single" w:sz="12" w:space="0" w:color="FF9E3C"/>
            </w:tcBorders>
            <w:shd w:val="clear" w:color="000000" w:fill="FFD8A3"/>
            <w:vAlign w:val="center"/>
            <w:hideMark/>
          </w:tcPr>
          <w:p w14:paraId="3BC2A5A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 </w:t>
            </w:r>
          </w:p>
        </w:tc>
        <w:tc>
          <w:tcPr>
            <w:tcW w:w="1742" w:type="dxa"/>
            <w:tcBorders>
              <w:top w:val="nil"/>
              <w:left w:val="nil"/>
              <w:bottom w:val="single" w:sz="12" w:space="0" w:color="FF9E3C"/>
              <w:right w:val="single" w:sz="12" w:space="0" w:color="FF9E3C"/>
            </w:tcBorders>
            <w:shd w:val="clear" w:color="000000" w:fill="FFD8A3"/>
            <w:vAlign w:val="center"/>
            <w:hideMark/>
          </w:tcPr>
          <w:p w14:paraId="3559B62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 </w:t>
            </w:r>
          </w:p>
        </w:tc>
        <w:tc>
          <w:tcPr>
            <w:tcW w:w="1730" w:type="dxa"/>
            <w:tcBorders>
              <w:top w:val="nil"/>
              <w:left w:val="nil"/>
              <w:bottom w:val="single" w:sz="12" w:space="0" w:color="FF9E3C"/>
              <w:right w:val="single" w:sz="12" w:space="0" w:color="FF9E3C"/>
            </w:tcBorders>
            <w:shd w:val="clear" w:color="000000" w:fill="FFD8A3"/>
            <w:vAlign w:val="center"/>
            <w:hideMark/>
          </w:tcPr>
          <w:p w14:paraId="4DAE091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lang w:eastAsia="ja-JP"/>
              </w:rPr>
              <w:t> </w:t>
            </w:r>
          </w:p>
        </w:tc>
        <w:tc>
          <w:tcPr>
            <w:tcW w:w="4649" w:type="dxa"/>
            <w:tcBorders>
              <w:top w:val="single" w:sz="12" w:space="0" w:color="FF9E3C"/>
              <w:left w:val="nil"/>
              <w:bottom w:val="single" w:sz="12" w:space="0" w:color="FF9E3C"/>
              <w:right w:val="single" w:sz="12" w:space="0" w:color="FF9E3C"/>
            </w:tcBorders>
            <w:shd w:val="clear" w:color="000000" w:fill="FFD8A3"/>
            <w:vAlign w:val="center"/>
            <w:hideMark/>
          </w:tcPr>
          <w:p w14:paraId="28A00BD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w:t>
            </w:r>
          </w:p>
        </w:tc>
      </w:tr>
      <w:tr w:rsidR="00DF080D" w:rsidRPr="00DF080D" w14:paraId="0A131D23" w14:textId="77777777" w:rsidTr="004D2A63">
        <w:trPr>
          <w:trHeight w:val="444"/>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7FE09625"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Alcohol - Hazardous drinking</w:t>
            </w:r>
          </w:p>
          <w:p w14:paraId="65ECFD81"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(&gt;8 AUDIT)</w:t>
            </w:r>
          </w:p>
        </w:tc>
        <w:tc>
          <w:tcPr>
            <w:tcW w:w="1136" w:type="dxa"/>
            <w:tcBorders>
              <w:top w:val="nil"/>
              <w:left w:val="nil"/>
              <w:bottom w:val="single" w:sz="12" w:space="0" w:color="FF9E3C"/>
              <w:right w:val="single" w:sz="12" w:space="0" w:color="FF9E3C"/>
            </w:tcBorders>
            <w:shd w:val="clear" w:color="000000" w:fill="FFFFFF"/>
            <w:vAlign w:val="center"/>
            <w:hideMark/>
          </w:tcPr>
          <w:p w14:paraId="4FC625A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0.11</w:t>
            </w:r>
          </w:p>
        </w:tc>
        <w:tc>
          <w:tcPr>
            <w:tcW w:w="1660" w:type="dxa"/>
            <w:tcBorders>
              <w:top w:val="nil"/>
              <w:left w:val="nil"/>
              <w:bottom w:val="single" w:sz="12" w:space="0" w:color="FF9E3C"/>
              <w:right w:val="single" w:sz="12" w:space="0" w:color="FF9E3C"/>
            </w:tcBorders>
            <w:shd w:val="clear" w:color="000000" w:fill="FFFFFF"/>
            <w:vAlign w:val="center"/>
            <w:hideMark/>
          </w:tcPr>
          <w:p w14:paraId="7F9ECE01" w14:textId="2C43C75A" w:rsidR="00DF080D" w:rsidRPr="00DF080D" w:rsidRDefault="00DF080D" w:rsidP="008C6CBB">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2</w:t>
            </w:r>
            <w:r w:rsidR="008C6CBB">
              <w:rPr>
                <w:rFonts w:cs="Arial"/>
                <w:color w:val="1C3158"/>
                <w:sz w:val="18"/>
              </w:rPr>
              <w:t>2</w:t>
            </w:r>
            <w:r w:rsidRPr="00DF080D">
              <w:rPr>
                <w:rFonts w:cs="Arial"/>
                <w:color w:val="1C3158"/>
                <w:sz w:val="18"/>
              </w:rPr>
              <w:t>.</w:t>
            </w:r>
            <w:r w:rsidR="008C6CBB">
              <w:rPr>
                <w:rFonts w:cs="Arial"/>
                <w:color w:val="1C3158"/>
                <w:sz w:val="18"/>
              </w:rPr>
              <w:t>3</w:t>
            </w:r>
          </w:p>
        </w:tc>
        <w:tc>
          <w:tcPr>
            <w:tcW w:w="1742" w:type="dxa"/>
            <w:tcBorders>
              <w:top w:val="nil"/>
              <w:left w:val="nil"/>
              <w:bottom w:val="single" w:sz="12" w:space="0" w:color="FF9E3C"/>
              <w:right w:val="single" w:sz="12" w:space="0" w:color="FF9E3C"/>
            </w:tcBorders>
            <w:shd w:val="clear" w:color="000000" w:fill="FFFFFF"/>
            <w:vAlign w:val="center"/>
            <w:hideMark/>
          </w:tcPr>
          <w:p w14:paraId="0A51FCDE" w14:textId="5F3A41D6" w:rsidR="00DF080D" w:rsidRPr="00DF080D" w:rsidRDefault="008C6CBB" w:rsidP="00DF080D">
            <w:pPr>
              <w:tabs>
                <w:tab w:val="clear" w:pos="426"/>
              </w:tabs>
              <w:spacing w:before="0" w:after="0" w:line="240" w:lineRule="auto"/>
              <w:ind w:left="0" w:right="0"/>
              <w:jc w:val="center"/>
              <w:rPr>
                <w:rFonts w:cs="Arial"/>
                <w:color w:val="1C3158"/>
                <w:sz w:val="18"/>
                <w:lang w:eastAsia="ja-JP"/>
              </w:rPr>
            </w:pPr>
            <w:r>
              <w:rPr>
                <w:rFonts w:cs="Arial"/>
                <w:color w:val="1C3158"/>
                <w:sz w:val="18"/>
              </w:rPr>
              <w:t>796,544</w:t>
            </w:r>
          </w:p>
        </w:tc>
        <w:tc>
          <w:tcPr>
            <w:tcW w:w="1730" w:type="dxa"/>
            <w:tcBorders>
              <w:top w:val="nil"/>
              <w:left w:val="nil"/>
              <w:bottom w:val="single" w:sz="12" w:space="0" w:color="FF9E3C"/>
              <w:right w:val="single" w:sz="12" w:space="0" w:color="FF9E3C"/>
            </w:tcBorders>
            <w:shd w:val="clear" w:color="000000" w:fill="FFFFFF"/>
            <w:vAlign w:val="center"/>
            <w:hideMark/>
          </w:tcPr>
          <w:p w14:paraId="065E97E9" w14:textId="58FC9D2F" w:rsidR="00DF080D" w:rsidRPr="00DF080D" w:rsidRDefault="008C6CBB" w:rsidP="00DF080D">
            <w:pPr>
              <w:tabs>
                <w:tab w:val="clear" w:pos="426"/>
              </w:tabs>
              <w:spacing w:before="0" w:after="0" w:line="240" w:lineRule="auto"/>
              <w:ind w:left="0" w:right="0"/>
              <w:jc w:val="center"/>
              <w:rPr>
                <w:rFonts w:cs="Arial"/>
                <w:color w:val="1C3158"/>
                <w:sz w:val="18"/>
                <w:lang w:eastAsia="ja-JP"/>
              </w:rPr>
            </w:pPr>
            <w:r>
              <w:rPr>
                <w:rFonts w:cs="Arial"/>
                <w:color w:val="1C3158"/>
                <w:sz w:val="18"/>
              </w:rPr>
              <w:t>87,620</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75F66F27" w14:textId="2FE7C9DE" w:rsidR="00DF080D" w:rsidRPr="00DF080D" w:rsidRDefault="00445600" w:rsidP="00445600">
            <w:pPr>
              <w:tabs>
                <w:tab w:val="clear" w:pos="426"/>
              </w:tabs>
              <w:spacing w:before="0" w:after="0" w:line="240" w:lineRule="auto"/>
              <w:ind w:left="0" w:right="0"/>
              <w:rPr>
                <w:rFonts w:cs="Arial"/>
                <w:color w:val="1C3158"/>
                <w:sz w:val="18"/>
                <w:lang w:eastAsia="ja-JP"/>
              </w:rPr>
            </w:pPr>
            <w:r>
              <w:rPr>
                <w:rFonts w:cs="Arial"/>
                <w:color w:val="1C3158"/>
                <w:sz w:val="18"/>
                <w:lang w:eastAsia="ja-JP"/>
              </w:rPr>
              <w:t xml:space="preserve">Ministry of Health (2015)** </w:t>
            </w:r>
          </w:p>
        </w:tc>
      </w:tr>
      <w:tr w:rsidR="00DF080D" w:rsidRPr="00DF080D" w14:paraId="43D775F7"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1A5185D5"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Anxiety and depressive disorders</w:t>
            </w:r>
          </w:p>
        </w:tc>
        <w:tc>
          <w:tcPr>
            <w:tcW w:w="1136" w:type="dxa"/>
            <w:tcBorders>
              <w:top w:val="nil"/>
              <w:left w:val="nil"/>
              <w:bottom w:val="single" w:sz="12" w:space="0" w:color="FF9E3C"/>
              <w:right w:val="single" w:sz="12" w:space="0" w:color="FF9E3C"/>
            </w:tcBorders>
            <w:shd w:val="clear" w:color="000000" w:fill="FFFFFF"/>
            <w:vAlign w:val="center"/>
            <w:hideMark/>
          </w:tcPr>
          <w:p w14:paraId="4488061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0.17</w:t>
            </w:r>
          </w:p>
        </w:tc>
        <w:tc>
          <w:tcPr>
            <w:tcW w:w="1660" w:type="dxa"/>
            <w:tcBorders>
              <w:top w:val="nil"/>
              <w:left w:val="nil"/>
              <w:bottom w:val="single" w:sz="12" w:space="0" w:color="FF9E3C"/>
              <w:right w:val="single" w:sz="12" w:space="0" w:color="FF9E3C"/>
            </w:tcBorders>
            <w:shd w:val="clear" w:color="000000" w:fill="FFFFFF"/>
            <w:vAlign w:val="center"/>
            <w:hideMark/>
          </w:tcPr>
          <w:p w14:paraId="315F2FD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17.4</w:t>
            </w:r>
          </w:p>
        </w:tc>
        <w:tc>
          <w:tcPr>
            <w:tcW w:w="1742" w:type="dxa"/>
            <w:tcBorders>
              <w:top w:val="nil"/>
              <w:left w:val="nil"/>
              <w:bottom w:val="single" w:sz="12" w:space="0" w:color="FF9E3C"/>
              <w:right w:val="single" w:sz="12" w:space="0" w:color="FF9E3C"/>
            </w:tcBorders>
            <w:shd w:val="clear" w:color="000000" w:fill="FFFFFF"/>
            <w:vAlign w:val="center"/>
            <w:hideMark/>
          </w:tcPr>
          <w:p w14:paraId="2BBA685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621,519</w:t>
            </w:r>
          </w:p>
        </w:tc>
        <w:tc>
          <w:tcPr>
            <w:tcW w:w="1730" w:type="dxa"/>
            <w:tcBorders>
              <w:top w:val="nil"/>
              <w:left w:val="nil"/>
              <w:bottom w:val="single" w:sz="12" w:space="0" w:color="FF9E3C"/>
              <w:right w:val="single" w:sz="12" w:space="0" w:color="FF9E3C"/>
            </w:tcBorders>
            <w:shd w:val="clear" w:color="000000" w:fill="FFFFFF"/>
            <w:vAlign w:val="center"/>
            <w:hideMark/>
          </w:tcPr>
          <w:p w14:paraId="29420F1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106,280</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664A1A15" w14:textId="19A8605C" w:rsidR="00DF080D" w:rsidRPr="00DF080D" w:rsidRDefault="00DF080D" w:rsidP="00C4250B">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Ministry of Health (201</w:t>
            </w:r>
            <w:r w:rsidR="00C4250B">
              <w:rPr>
                <w:rFonts w:cs="Arial"/>
                <w:color w:val="1C3158"/>
                <w:sz w:val="18"/>
                <w:lang w:eastAsia="ja-JP"/>
              </w:rPr>
              <w:t>5</w:t>
            </w:r>
            <w:r w:rsidRPr="00DF080D">
              <w:rPr>
                <w:rFonts w:cs="Arial"/>
                <w:color w:val="1C3158"/>
                <w:sz w:val="18"/>
                <w:lang w:eastAsia="ja-JP"/>
              </w:rPr>
              <w:t>)**</w:t>
            </w:r>
          </w:p>
        </w:tc>
      </w:tr>
      <w:tr w:rsidR="00DF080D" w:rsidRPr="00DF080D" w14:paraId="30BE0812"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3BD55282"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Asthma</w:t>
            </w:r>
          </w:p>
        </w:tc>
        <w:tc>
          <w:tcPr>
            <w:tcW w:w="1136" w:type="dxa"/>
            <w:tcBorders>
              <w:top w:val="nil"/>
              <w:left w:val="nil"/>
              <w:bottom w:val="single" w:sz="12" w:space="0" w:color="FF9E3C"/>
              <w:right w:val="single" w:sz="12" w:space="0" w:color="FF9E3C"/>
            </w:tcBorders>
            <w:shd w:val="clear" w:color="000000" w:fill="FFFFFF"/>
            <w:vAlign w:val="center"/>
            <w:hideMark/>
          </w:tcPr>
          <w:p w14:paraId="01CB0D8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0.02</w:t>
            </w:r>
          </w:p>
        </w:tc>
        <w:tc>
          <w:tcPr>
            <w:tcW w:w="1660" w:type="dxa"/>
            <w:tcBorders>
              <w:top w:val="nil"/>
              <w:left w:val="nil"/>
              <w:bottom w:val="single" w:sz="12" w:space="0" w:color="FF9E3C"/>
              <w:right w:val="single" w:sz="12" w:space="0" w:color="FF9E3C"/>
            </w:tcBorders>
            <w:shd w:val="clear" w:color="000000" w:fill="FFFFFF"/>
            <w:vAlign w:val="center"/>
            <w:hideMark/>
          </w:tcPr>
          <w:p w14:paraId="65D2FF1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11.0</w:t>
            </w:r>
          </w:p>
        </w:tc>
        <w:tc>
          <w:tcPr>
            <w:tcW w:w="1742" w:type="dxa"/>
            <w:tcBorders>
              <w:top w:val="nil"/>
              <w:left w:val="nil"/>
              <w:bottom w:val="single" w:sz="12" w:space="0" w:color="FF9E3C"/>
              <w:right w:val="single" w:sz="12" w:space="0" w:color="FF9E3C"/>
            </w:tcBorders>
            <w:shd w:val="clear" w:color="000000" w:fill="FFFFFF"/>
            <w:vAlign w:val="center"/>
            <w:hideMark/>
          </w:tcPr>
          <w:p w14:paraId="6A91B3C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392,914</w:t>
            </w:r>
          </w:p>
        </w:tc>
        <w:tc>
          <w:tcPr>
            <w:tcW w:w="1730" w:type="dxa"/>
            <w:tcBorders>
              <w:top w:val="nil"/>
              <w:left w:val="nil"/>
              <w:bottom w:val="single" w:sz="12" w:space="0" w:color="FF9E3C"/>
              <w:right w:val="single" w:sz="12" w:space="0" w:color="FF9E3C"/>
            </w:tcBorders>
            <w:shd w:val="clear" w:color="000000" w:fill="FFFFFF"/>
            <w:vAlign w:val="center"/>
            <w:hideMark/>
          </w:tcPr>
          <w:p w14:paraId="72ABE67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8,644</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47B61E87" w14:textId="7996CF34" w:rsidR="00DF080D" w:rsidRPr="00DF080D" w:rsidRDefault="00C4250B" w:rsidP="00DF080D">
            <w:pPr>
              <w:tabs>
                <w:tab w:val="clear" w:pos="426"/>
              </w:tabs>
              <w:spacing w:before="0" w:after="0" w:line="240" w:lineRule="auto"/>
              <w:ind w:left="0" w:right="0"/>
              <w:rPr>
                <w:rFonts w:cs="Arial"/>
                <w:color w:val="1C3158"/>
                <w:sz w:val="18"/>
                <w:lang w:eastAsia="ja-JP"/>
              </w:rPr>
            </w:pPr>
            <w:r>
              <w:rPr>
                <w:rFonts w:cs="Arial"/>
                <w:color w:val="1C3158"/>
                <w:sz w:val="18"/>
                <w:lang w:eastAsia="ja-JP"/>
              </w:rPr>
              <w:t>Ministry of Health (2015</w:t>
            </w:r>
            <w:r w:rsidR="00DF080D" w:rsidRPr="00DF080D">
              <w:rPr>
                <w:rFonts w:cs="Arial"/>
                <w:color w:val="1C3158"/>
                <w:sz w:val="18"/>
                <w:lang w:eastAsia="ja-JP"/>
              </w:rPr>
              <w:t>)**</w:t>
            </w:r>
          </w:p>
        </w:tc>
      </w:tr>
      <w:tr w:rsidR="00DF080D" w:rsidRPr="00DF080D" w14:paraId="37B86269"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05486B04"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Osteoarthritis</w:t>
            </w:r>
          </w:p>
        </w:tc>
        <w:tc>
          <w:tcPr>
            <w:tcW w:w="1136" w:type="dxa"/>
            <w:tcBorders>
              <w:top w:val="nil"/>
              <w:left w:val="nil"/>
              <w:bottom w:val="single" w:sz="12" w:space="0" w:color="FF9E3C"/>
              <w:right w:val="single" w:sz="12" w:space="0" w:color="FF9E3C"/>
            </w:tcBorders>
            <w:shd w:val="clear" w:color="000000" w:fill="FFFFFF"/>
            <w:vAlign w:val="center"/>
            <w:hideMark/>
          </w:tcPr>
          <w:p w14:paraId="463E2F1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0.08</w:t>
            </w:r>
          </w:p>
        </w:tc>
        <w:tc>
          <w:tcPr>
            <w:tcW w:w="1660" w:type="dxa"/>
            <w:tcBorders>
              <w:top w:val="nil"/>
              <w:left w:val="nil"/>
              <w:bottom w:val="single" w:sz="12" w:space="0" w:color="FF9E3C"/>
              <w:right w:val="single" w:sz="12" w:space="0" w:color="FF9E3C"/>
            </w:tcBorders>
            <w:shd w:val="clear" w:color="000000" w:fill="FFFFFF"/>
            <w:vAlign w:val="center"/>
            <w:hideMark/>
          </w:tcPr>
          <w:p w14:paraId="5AA0D5B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10.7</w:t>
            </w:r>
          </w:p>
        </w:tc>
        <w:tc>
          <w:tcPr>
            <w:tcW w:w="1742" w:type="dxa"/>
            <w:tcBorders>
              <w:top w:val="nil"/>
              <w:left w:val="nil"/>
              <w:bottom w:val="single" w:sz="12" w:space="0" w:color="FF9E3C"/>
              <w:right w:val="single" w:sz="12" w:space="0" w:color="FF9E3C"/>
            </w:tcBorders>
            <w:shd w:val="clear" w:color="000000" w:fill="FFFFFF"/>
            <w:vAlign w:val="center"/>
            <w:hideMark/>
          </w:tcPr>
          <w:p w14:paraId="6733202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382,198</w:t>
            </w:r>
          </w:p>
        </w:tc>
        <w:tc>
          <w:tcPr>
            <w:tcW w:w="1730" w:type="dxa"/>
            <w:tcBorders>
              <w:top w:val="nil"/>
              <w:left w:val="nil"/>
              <w:bottom w:val="single" w:sz="12" w:space="0" w:color="FF9E3C"/>
              <w:right w:val="single" w:sz="12" w:space="0" w:color="FF9E3C"/>
            </w:tcBorders>
            <w:shd w:val="clear" w:color="000000" w:fill="FFFFFF"/>
            <w:vAlign w:val="center"/>
            <w:hideMark/>
          </w:tcPr>
          <w:p w14:paraId="2F652FC4"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31,340</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57E64380" w14:textId="4391D7C8"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Ministry</w:t>
            </w:r>
            <w:r w:rsidR="00C4250B">
              <w:rPr>
                <w:rFonts w:cs="Arial"/>
                <w:color w:val="1C3158"/>
                <w:sz w:val="18"/>
                <w:lang w:eastAsia="ja-JP"/>
              </w:rPr>
              <w:t xml:space="preserve"> of Health (2015</w:t>
            </w:r>
            <w:r w:rsidRPr="00DF080D">
              <w:rPr>
                <w:rFonts w:cs="Arial"/>
                <w:color w:val="1C3158"/>
                <w:sz w:val="18"/>
                <w:lang w:eastAsia="ja-JP"/>
              </w:rPr>
              <w:t>)**</w:t>
            </w:r>
          </w:p>
        </w:tc>
      </w:tr>
      <w:tr w:rsidR="00DF080D" w:rsidRPr="00DF080D" w14:paraId="717E8A63"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37A438FA"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Diabetes</w:t>
            </w:r>
          </w:p>
        </w:tc>
        <w:tc>
          <w:tcPr>
            <w:tcW w:w="1136" w:type="dxa"/>
            <w:tcBorders>
              <w:top w:val="nil"/>
              <w:left w:val="nil"/>
              <w:bottom w:val="single" w:sz="12" w:space="0" w:color="FF9E3C"/>
              <w:right w:val="single" w:sz="12" w:space="0" w:color="FF9E3C"/>
            </w:tcBorders>
            <w:shd w:val="clear" w:color="000000" w:fill="FFFFFF"/>
            <w:vAlign w:val="center"/>
            <w:hideMark/>
          </w:tcPr>
          <w:p w14:paraId="322A98B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0.10</w:t>
            </w:r>
          </w:p>
        </w:tc>
        <w:tc>
          <w:tcPr>
            <w:tcW w:w="1660" w:type="dxa"/>
            <w:tcBorders>
              <w:top w:val="nil"/>
              <w:left w:val="nil"/>
              <w:bottom w:val="single" w:sz="12" w:space="0" w:color="FF9E3C"/>
              <w:right w:val="single" w:sz="12" w:space="0" w:color="FF9E3C"/>
            </w:tcBorders>
            <w:shd w:val="clear" w:color="000000" w:fill="FFFFFF"/>
            <w:vAlign w:val="center"/>
            <w:hideMark/>
          </w:tcPr>
          <w:p w14:paraId="2730E89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7.0</w:t>
            </w:r>
          </w:p>
        </w:tc>
        <w:tc>
          <w:tcPr>
            <w:tcW w:w="1742" w:type="dxa"/>
            <w:tcBorders>
              <w:top w:val="nil"/>
              <w:left w:val="nil"/>
              <w:bottom w:val="single" w:sz="12" w:space="0" w:color="FF9E3C"/>
              <w:right w:val="single" w:sz="12" w:space="0" w:color="FF9E3C"/>
            </w:tcBorders>
            <w:shd w:val="clear" w:color="000000" w:fill="FFFFFF"/>
            <w:vAlign w:val="center"/>
            <w:hideMark/>
          </w:tcPr>
          <w:p w14:paraId="1A58A3D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250,036</w:t>
            </w:r>
          </w:p>
        </w:tc>
        <w:tc>
          <w:tcPr>
            <w:tcW w:w="1730" w:type="dxa"/>
            <w:tcBorders>
              <w:top w:val="nil"/>
              <w:left w:val="nil"/>
              <w:bottom w:val="single" w:sz="12" w:space="0" w:color="FF9E3C"/>
              <w:right w:val="single" w:sz="12" w:space="0" w:color="FF9E3C"/>
            </w:tcBorders>
            <w:shd w:val="clear" w:color="000000" w:fill="FFFFFF"/>
            <w:vAlign w:val="center"/>
            <w:hideMark/>
          </w:tcPr>
          <w:p w14:paraId="5592D3B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26,004</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7CD0CE12"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Coppell et al. (2013)**</w:t>
            </w:r>
          </w:p>
        </w:tc>
      </w:tr>
      <w:tr w:rsidR="00DF080D" w:rsidRPr="00DF080D" w14:paraId="395DA61A"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1E8FEFED"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Rheumatoid arthritis</w:t>
            </w:r>
          </w:p>
        </w:tc>
        <w:tc>
          <w:tcPr>
            <w:tcW w:w="1136" w:type="dxa"/>
            <w:tcBorders>
              <w:top w:val="nil"/>
              <w:left w:val="nil"/>
              <w:bottom w:val="single" w:sz="12" w:space="0" w:color="FF9E3C"/>
              <w:right w:val="single" w:sz="12" w:space="0" w:color="FF9E3C"/>
            </w:tcBorders>
            <w:shd w:val="clear" w:color="000000" w:fill="FFFFFF"/>
            <w:vAlign w:val="center"/>
            <w:hideMark/>
          </w:tcPr>
          <w:p w14:paraId="12F4299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0.18</w:t>
            </w:r>
          </w:p>
        </w:tc>
        <w:tc>
          <w:tcPr>
            <w:tcW w:w="1660" w:type="dxa"/>
            <w:tcBorders>
              <w:top w:val="nil"/>
              <w:left w:val="nil"/>
              <w:bottom w:val="single" w:sz="12" w:space="0" w:color="FF9E3C"/>
              <w:right w:val="single" w:sz="12" w:space="0" w:color="FF9E3C"/>
            </w:tcBorders>
            <w:shd w:val="clear" w:color="000000" w:fill="FFFFFF"/>
            <w:vAlign w:val="center"/>
            <w:hideMark/>
          </w:tcPr>
          <w:p w14:paraId="3BEC858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2.4</w:t>
            </w:r>
          </w:p>
        </w:tc>
        <w:tc>
          <w:tcPr>
            <w:tcW w:w="1742" w:type="dxa"/>
            <w:tcBorders>
              <w:top w:val="nil"/>
              <w:left w:val="nil"/>
              <w:bottom w:val="single" w:sz="12" w:space="0" w:color="FF9E3C"/>
              <w:right w:val="single" w:sz="12" w:space="0" w:color="FF9E3C"/>
            </w:tcBorders>
            <w:shd w:val="clear" w:color="000000" w:fill="FFFFFF"/>
            <w:vAlign w:val="center"/>
            <w:hideMark/>
          </w:tcPr>
          <w:p w14:paraId="7BCBA00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85,727</w:t>
            </w:r>
          </w:p>
        </w:tc>
        <w:tc>
          <w:tcPr>
            <w:tcW w:w="1730" w:type="dxa"/>
            <w:tcBorders>
              <w:top w:val="nil"/>
              <w:left w:val="nil"/>
              <w:bottom w:val="single" w:sz="12" w:space="0" w:color="FF9E3C"/>
              <w:right w:val="single" w:sz="12" w:space="0" w:color="FF9E3C"/>
            </w:tcBorders>
            <w:shd w:val="clear" w:color="000000" w:fill="FFFFFF"/>
            <w:vAlign w:val="center"/>
            <w:hideMark/>
          </w:tcPr>
          <w:p w14:paraId="4DC6FC6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15,002</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65CE609F" w14:textId="76171E51" w:rsidR="00DF080D" w:rsidRPr="00DF080D" w:rsidRDefault="00C4250B" w:rsidP="00DF080D">
            <w:pPr>
              <w:tabs>
                <w:tab w:val="clear" w:pos="426"/>
              </w:tabs>
              <w:spacing w:before="0" w:after="0" w:line="240" w:lineRule="auto"/>
              <w:ind w:left="0" w:right="0"/>
              <w:rPr>
                <w:rFonts w:cs="Arial"/>
                <w:color w:val="1C3158"/>
                <w:sz w:val="18"/>
                <w:lang w:eastAsia="ja-JP"/>
              </w:rPr>
            </w:pPr>
            <w:r>
              <w:rPr>
                <w:rFonts w:cs="Arial"/>
                <w:color w:val="1C3158"/>
                <w:sz w:val="18"/>
                <w:lang w:eastAsia="ja-JP"/>
              </w:rPr>
              <w:t>Ministry of Health (2015</w:t>
            </w:r>
            <w:r w:rsidR="00DF080D" w:rsidRPr="00DF080D">
              <w:rPr>
                <w:rFonts w:cs="Arial"/>
                <w:color w:val="1C3158"/>
                <w:sz w:val="18"/>
                <w:lang w:eastAsia="ja-JP"/>
              </w:rPr>
              <w:t>)**</w:t>
            </w:r>
          </w:p>
        </w:tc>
      </w:tr>
      <w:tr w:rsidR="00DF080D" w:rsidRPr="00DF080D" w14:paraId="78E84990" w14:textId="77777777" w:rsidTr="004D2A63">
        <w:trPr>
          <w:trHeight w:val="378"/>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58BA1454"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 xml:space="preserve">Chronic obstructive pulmonary </w:t>
            </w:r>
          </w:p>
          <w:p w14:paraId="75AAAF08"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disease (COPD)</w:t>
            </w:r>
          </w:p>
        </w:tc>
        <w:tc>
          <w:tcPr>
            <w:tcW w:w="1136" w:type="dxa"/>
            <w:tcBorders>
              <w:top w:val="nil"/>
              <w:left w:val="nil"/>
              <w:bottom w:val="single" w:sz="12" w:space="0" w:color="FF9E3C"/>
              <w:right w:val="single" w:sz="12" w:space="0" w:color="FF9E3C"/>
            </w:tcBorders>
            <w:shd w:val="clear" w:color="000000" w:fill="FFFFFF"/>
            <w:vAlign w:val="center"/>
            <w:hideMark/>
          </w:tcPr>
          <w:p w14:paraId="3009C1E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0.13</w:t>
            </w:r>
          </w:p>
        </w:tc>
        <w:tc>
          <w:tcPr>
            <w:tcW w:w="1660" w:type="dxa"/>
            <w:tcBorders>
              <w:top w:val="nil"/>
              <w:left w:val="nil"/>
              <w:bottom w:val="single" w:sz="12" w:space="0" w:color="FF9E3C"/>
              <w:right w:val="single" w:sz="12" w:space="0" w:color="FF9E3C"/>
            </w:tcBorders>
            <w:shd w:val="clear" w:color="000000" w:fill="FFFFFF"/>
            <w:vAlign w:val="center"/>
            <w:hideMark/>
          </w:tcPr>
          <w:p w14:paraId="0160F92A"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2.3</w:t>
            </w:r>
          </w:p>
        </w:tc>
        <w:tc>
          <w:tcPr>
            <w:tcW w:w="1742" w:type="dxa"/>
            <w:tcBorders>
              <w:top w:val="nil"/>
              <w:left w:val="nil"/>
              <w:bottom w:val="single" w:sz="12" w:space="0" w:color="FF9E3C"/>
              <w:right w:val="single" w:sz="12" w:space="0" w:color="FF9E3C"/>
            </w:tcBorders>
            <w:shd w:val="clear" w:color="000000" w:fill="FFFFFF"/>
            <w:vAlign w:val="center"/>
            <w:hideMark/>
          </w:tcPr>
          <w:p w14:paraId="00437AD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82,155</w:t>
            </w:r>
          </w:p>
        </w:tc>
        <w:tc>
          <w:tcPr>
            <w:tcW w:w="1730" w:type="dxa"/>
            <w:tcBorders>
              <w:top w:val="nil"/>
              <w:left w:val="nil"/>
              <w:bottom w:val="single" w:sz="12" w:space="0" w:color="FF9E3C"/>
              <w:right w:val="single" w:sz="12" w:space="0" w:color="FF9E3C"/>
            </w:tcBorders>
            <w:shd w:val="clear" w:color="000000" w:fill="FFFFFF"/>
            <w:vAlign w:val="center"/>
            <w:hideMark/>
          </w:tcPr>
          <w:p w14:paraId="37CCD8AF"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11,009</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48A18E98" w14:textId="0AF8021E" w:rsidR="00DF080D" w:rsidRPr="00DF080D" w:rsidRDefault="00DF080D" w:rsidP="00F942B9">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 xml:space="preserve">GBC Health Research Limited </w:t>
            </w:r>
            <w:r w:rsidR="00F942B9">
              <w:rPr>
                <w:rFonts w:cs="Arial"/>
                <w:color w:val="1C3158"/>
                <w:sz w:val="18"/>
                <w:lang w:eastAsia="ja-JP"/>
              </w:rPr>
              <w:t xml:space="preserve">as cited in </w:t>
            </w:r>
            <w:r w:rsidRPr="00DF080D">
              <w:rPr>
                <w:rFonts w:cs="Arial"/>
                <w:color w:val="1C3158"/>
                <w:sz w:val="18"/>
                <w:lang w:eastAsia="ja-JP"/>
              </w:rPr>
              <w:t>Barnard, Baker, Pierse, &amp; Zhang (2015) page 66</w:t>
            </w:r>
          </w:p>
        </w:tc>
      </w:tr>
      <w:tr w:rsidR="00DF080D" w:rsidRPr="00DF080D" w14:paraId="08D0EC14" w14:textId="77777777" w:rsidTr="004D2A63">
        <w:trPr>
          <w:trHeight w:val="498"/>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025B0C2F"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Drug use disorders</w:t>
            </w:r>
          </w:p>
        </w:tc>
        <w:tc>
          <w:tcPr>
            <w:tcW w:w="1136" w:type="dxa"/>
            <w:tcBorders>
              <w:top w:val="nil"/>
              <w:left w:val="nil"/>
              <w:bottom w:val="single" w:sz="12" w:space="0" w:color="FF9E3C"/>
              <w:right w:val="single" w:sz="12" w:space="0" w:color="FF9E3C"/>
            </w:tcBorders>
            <w:shd w:val="clear" w:color="000000" w:fill="FFFFFF"/>
            <w:vAlign w:val="center"/>
            <w:hideMark/>
          </w:tcPr>
          <w:p w14:paraId="79EF05B7"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0.33</w:t>
            </w:r>
          </w:p>
        </w:tc>
        <w:tc>
          <w:tcPr>
            <w:tcW w:w="1660" w:type="dxa"/>
            <w:tcBorders>
              <w:top w:val="nil"/>
              <w:left w:val="nil"/>
              <w:bottom w:val="single" w:sz="12" w:space="0" w:color="FF9E3C"/>
              <w:right w:val="single" w:sz="12" w:space="0" w:color="FF9E3C"/>
            </w:tcBorders>
            <w:shd w:val="clear" w:color="000000" w:fill="FFFFFF"/>
            <w:vAlign w:val="center"/>
            <w:hideMark/>
          </w:tcPr>
          <w:p w14:paraId="61BB48D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1.9</w:t>
            </w:r>
          </w:p>
        </w:tc>
        <w:tc>
          <w:tcPr>
            <w:tcW w:w="1742" w:type="dxa"/>
            <w:tcBorders>
              <w:top w:val="nil"/>
              <w:left w:val="nil"/>
              <w:bottom w:val="single" w:sz="12" w:space="0" w:color="FF9E3C"/>
              <w:right w:val="single" w:sz="12" w:space="0" w:color="FF9E3C"/>
            </w:tcBorders>
            <w:shd w:val="clear" w:color="000000" w:fill="FFFFFF"/>
            <w:vAlign w:val="center"/>
            <w:hideMark/>
          </w:tcPr>
          <w:p w14:paraId="68E6980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67,867</w:t>
            </w:r>
          </w:p>
        </w:tc>
        <w:tc>
          <w:tcPr>
            <w:tcW w:w="1730" w:type="dxa"/>
            <w:tcBorders>
              <w:top w:val="nil"/>
              <w:left w:val="nil"/>
              <w:bottom w:val="single" w:sz="12" w:space="0" w:color="FF9E3C"/>
              <w:right w:val="single" w:sz="12" w:space="0" w:color="FF9E3C"/>
            </w:tcBorders>
            <w:shd w:val="clear" w:color="000000" w:fill="FFFFFF"/>
            <w:vAlign w:val="center"/>
            <w:hideMark/>
          </w:tcPr>
          <w:p w14:paraId="71642826"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22,396</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2A653C8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Wells et al., 2006***</w:t>
            </w:r>
            <w:r w:rsidRPr="00DF080D">
              <w:rPr>
                <w:rFonts w:cs="Arial"/>
                <w:color w:val="1C3158"/>
                <w:sz w:val="18"/>
                <w:lang w:eastAsia="ja-JP"/>
              </w:rPr>
              <w:br/>
              <w:t>Combined drug abuse (1.2%) and dependence (0.7%)</w:t>
            </w:r>
          </w:p>
        </w:tc>
      </w:tr>
      <w:tr w:rsidR="00DF080D" w:rsidRPr="00DF080D" w14:paraId="4923C57C" w14:textId="77777777" w:rsidTr="004D2A63">
        <w:trPr>
          <w:trHeight w:val="525"/>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51FD8299"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Stroke</w:t>
            </w:r>
          </w:p>
        </w:tc>
        <w:tc>
          <w:tcPr>
            <w:tcW w:w="1136" w:type="dxa"/>
            <w:tcBorders>
              <w:top w:val="nil"/>
              <w:left w:val="nil"/>
              <w:bottom w:val="single" w:sz="12" w:space="0" w:color="FF9E3C"/>
              <w:right w:val="single" w:sz="12" w:space="0" w:color="FF9E3C"/>
            </w:tcBorders>
            <w:shd w:val="clear" w:color="000000" w:fill="FFFFFF"/>
            <w:vAlign w:val="center"/>
            <w:hideMark/>
          </w:tcPr>
          <w:p w14:paraId="0587FE6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0.23</w:t>
            </w:r>
          </w:p>
        </w:tc>
        <w:tc>
          <w:tcPr>
            <w:tcW w:w="1660" w:type="dxa"/>
            <w:tcBorders>
              <w:top w:val="nil"/>
              <w:left w:val="nil"/>
              <w:bottom w:val="single" w:sz="12" w:space="0" w:color="FF9E3C"/>
              <w:right w:val="single" w:sz="12" w:space="0" w:color="FF9E3C"/>
            </w:tcBorders>
            <w:shd w:val="clear" w:color="000000" w:fill="FFFFFF"/>
            <w:vAlign w:val="center"/>
            <w:hideMark/>
          </w:tcPr>
          <w:p w14:paraId="4D386314"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1.6</w:t>
            </w:r>
          </w:p>
        </w:tc>
        <w:tc>
          <w:tcPr>
            <w:tcW w:w="1742" w:type="dxa"/>
            <w:tcBorders>
              <w:top w:val="nil"/>
              <w:left w:val="nil"/>
              <w:bottom w:val="single" w:sz="12" w:space="0" w:color="FF9E3C"/>
              <w:right w:val="single" w:sz="12" w:space="0" w:color="FF9E3C"/>
            </w:tcBorders>
            <w:shd w:val="clear" w:color="000000" w:fill="FFFFFF"/>
            <w:vAlign w:val="center"/>
            <w:hideMark/>
          </w:tcPr>
          <w:p w14:paraId="073DDB0C"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57,151</w:t>
            </w:r>
          </w:p>
        </w:tc>
        <w:tc>
          <w:tcPr>
            <w:tcW w:w="1730" w:type="dxa"/>
            <w:tcBorders>
              <w:top w:val="nil"/>
              <w:left w:val="nil"/>
              <w:bottom w:val="single" w:sz="12" w:space="0" w:color="FF9E3C"/>
              <w:right w:val="single" w:sz="12" w:space="0" w:color="FF9E3C"/>
            </w:tcBorders>
            <w:shd w:val="clear" w:color="000000" w:fill="FFFFFF"/>
            <w:vAlign w:val="center"/>
            <w:hideMark/>
          </w:tcPr>
          <w:p w14:paraId="6B091A99"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12,916</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574E451C"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Ministry of Health (2014)**</w:t>
            </w:r>
          </w:p>
          <w:p w14:paraId="70BE21C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Note: excludes transient ischemic attacks</w:t>
            </w:r>
          </w:p>
        </w:tc>
      </w:tr>
      <w:tr w:rsidR="00DF080D" w:rsidRPr="00DF080D" w14:paraId="4F173D5D"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7C5C0461"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Epilepsy</w:t>
            </w:r>
          </w:p>
        </w:tc>
        <w:tc>
          <w:tcPr>
            <w:tcW w:w="1136" w:type="dxa"/>
            <w:tcBorders>
              <w:top w:val="nil"/>
              <w:left w:val="nil"/>
              <w:bottom w:val="single" w:sz="12" w:space="0" w:color="FF9E3C"/>
              <w:right w:val="single" w:sz="12" w:space="0" w:color="FF9E3C"/>
            </w:tcBorders>
            <w:shd w:val="clear" w:color="000000" w:fill="FFFFFF"/>
            <w:vAlign w:val="center"/>
            <w:hideMark/>
          </w:tcPr>
          <w:p w14:paraId="7120F16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0.15</w:t>
            </w:r>
          </w:p>
        </w:tc>
        <w:tc>
          <w:tcPr>
            <w:tcW w:w="1660" w:type="dxa"/>
            <w:tcBorders>
              <w:top w:val="nil"/>
              <w:left w:val="nil"/>
              <w:bottom w:val="single" w:sz="12" w:space="0" w:color="FF9E3C"/>
              <w:right w:val="single" w:sz="12" w:space="0" w:color="FF9E3C"/>
            </w:tcBorders>
            <w:shd w:val="clear" w:color="000000" w:fill="FFFFFF"/>
            <w:vAlign w:val="center"/>
            <w:hideMark/>
          </w:tcPr>
          <w:p w14:paraId="17D8DEB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1.0</w:t>
            </w:r>
          </w:p>
        </w:tc>
        <w:tc>
          <w:tcPr>
            <w:tcW w:w="1742" w:type="dxa"/>
            <w:tcBorders>
              <w:top w:val="nil"/>
              <w:left w:val="nil"/>
              <w:bottom w:val="single" w:sz="12" w:space="0" w:color="FF9E3C"/>
              <w:right w:val="single" w:sz="12" w:space="0" w:color="FF9E3C"/>
            </w:tcBorders>
            <w:shd w:val="clear" w:color="000000" w:fill="FFFFFF"/>
            <w:vAlign w:val="center"/>
            <w:hideMark/>
          </w:tcPr>
          <w:p w14:paraId="75E41F0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35,719</w:t>
            </w:r>
          </w:p>
        </w:tc>
        <w:tc>
          <w:tcPr>
            <w:tcW w:w="1730" w:type="dxa"/>
            <w:tcBorders>
              <w:top w:val="nil"/>
              <w:left w:val="nil"/>
              <w:bottom w:val="single" w:sz="12" w:space="0" w:color="FF9E3C"/>
              <w:right w:val="single" w:sz="12" w:space="0" w:color="FF9E3C"/>
            </w:tcBorders>
            <w:shd w:val="clear" w:color="000000" w:fill="FFFFFF"/>
            <w:vAlign w:val="center"/>
            <w:hideMark/>
          </w:tcPr>
          <w:p w14:paraId="4B86B9D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5,465</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0A9346FE"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England (2012)</w:t>
            </w:r>
          </w:p>
        </w:tc>
      </w:tr>
      <w:tr w:rsidR="00DF080D" w:rsidRPr="00DF080D" w14:paraId="13687163"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4999F060"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Bipolar affective disorder</w:t>
            </w:r>
          </w:p>
        </w:tc>
        <w:tc>
          <w:tcPr>
            <w:tcW w:w="1136" w:type="dxa"/>
            <w:tcBorders>
              <w:top w:val="nil"/>
              <w:left w:val="nil"/>
              <w:bottom w:val="single" w:sz="12" w:space="0" w:color="FF9E3C"/>
              <w:right w:val="single" w:sz="12" w:space="0" w:color="FF9E3C"/>
            </w:tcBorders>
            <w:shd w:val="clear" w:color="000000" w:fill="FFFFFF"/>
            <w:vAlign w:val="center"/>
            <w:hideMark/>
          </w:tcPr>
          <w:p w14:paraId="31A779A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0.25</w:t>
            </w:r>
          </w:p>
        </w:tc>
        <w:tc>
          <w:tcPr>
            <w:tcW w:w="1660" w:type="dxa"/>
            <w:tcBorders>
              <w:top w:val="nil"/>
              <w:left w:val="nil"/>
              <w:bottom w:val="single" w:sz="12" w:space="0" w:color="FF9E3C"/>
              <w:right w:val="single" w:sz="12" w:space="0" w:color="FF9E3C"/>
            </w:tcBorders>
            <w:shd w:val="clear" w:color="000000" w:fill="FFFFFF"/>
            <w:vAlign w:val="center"/>
            <w:hideMark/>
          </w:tcPr>
          <w:p w14:paraId="00F3C3C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0.8</w:t>
            </w:r>
          </w:p>
        </w:tc>
        <w:tc>
          <w:tcPr>
            <w:tcW w:w="1742" w:type="dxa"/>
            <w:tcBorders>
              <w:top w:val="nil"/>
              <w:left w:val="nil"/>
              <w:bottom w:val="single" w:sz="12" w:space="0" w:color="FF9E3C"/>
              <w:right w:val="single" w:sz="12" w:space="0" w:color="FF9E3C"/>
            </w:tcBorders>
            <w:shd w:val="clear" w:color="000000" w:fill="FFFFFF"/>
            <w:vAlign w:val="center"/>
            <w:hideMark/>
          </w:tcPr>
          <w:p w14:paraId="22AA92A5"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28,576</w:t>
            </w:r>
          </w:p>
        </w:tc>
        <w:tc>
          <w:tcPr>
            <w:tcW w:w="1730" w:type="dxa"/>
            <w:tcBorders>
              <w:top w:val="nil"/>
              <w:left w:val="nil"/>
              <w:bottom w:val="single" w:sz="12" w:space="0" w:color="FF9E3C"/>
              <w:right w:val="single" w:sz="12" w:space="0" w:color="FF9E3C"/>
            </w:tcBorders>
            <w:shd w:val="clear" w:color="000000" w:fill="FFFFFF"/>
            <w:vAlign w:val="center"/>
            <w:hideMark/>
          </w:tcPr>
          <w:p w14:paraId="04C8864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7,144</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1BD34771" w14:textId="572D3509" w:rsidR="00DF080D" w:rsidRPr="00DF080D" w:rsidRDefault="00C4250B" w:rsidP="00DF080D">
            <w:pPr>
              <w:tabs>
                <w:tab w:val="clear" w:pos="426"/>
              </w:tabs>
              <w:spacing w:before="0" w:after="0" w:line="240" w:lineRule="auto"/>
              <w:ind w:left="0" w:right="0"/>
              <w:rPr>
                <w:rFonts w:cs="Arial"/>
                <w:color w:val="1C3158"/>
                <w:sz w:val="18"/>
                <w:lang w:eastAsia="ja-JP"/>
              </w:rPr>
            </w:pPr>
            <w:r>
              <w:rPr>
                <w:rFonts w:cs="Arial"/>
                <w:color w:val="1C3158"/>
                <w:sz w:val="18"/>
                <w:lang w:eastAsia="ja-JP"/>
              </w:rPr>
              <w:t>Ministry of Health (2015</w:t>
            </w:r>
            <w:r w:rsidR="00DF080D" w:rsidRPr="00DF080D">
              <w:rPr>
                <w:rFonts w:cs="Arial"/>
                <w:color w:val="1C3158"/>
                <w:sz w:val="18"/>
                <w:lang w:eastAsia="ja-JP"/>
              </w:rPr>
              <w:t>)**</w:t>
            </w:r>
          </w:p>
        </w:tc>
      </w:tr>
      <w:tr w:rsidR="00DF080D" w:rsidRPr="00DF080D" w14:paraId="25D1D3CB"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28D2AF0E"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Eating disorders</w:t>
            </w:r>
          </w:p>
        </w:tc>
        <w:tc>
          <w:tcPr>
            <w:tcW w:w="1136" w:type="dxa"/>
            <w:tcBorders>
              <w:top w:val="nil"/>
              <w:left w:val="nil"/>
              <w:bottom w:val="single" w:sz="12" w:space="0" w:color="FF9E3C"/>
              <w:right w:val="single" w:sz="12" w:space="0" w:color="FF9E3C"/>
            </w:tcBorders>
            <w:shd w:val="clear" w:color="000000" w:fill="FFFFFF"/>
            <w:vAlign w:val="center"/>
            <w:hideMark/>
          </w:tcPr>
          <w:p w14:paraId="3592843D"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0.22</w:t>
            </w:r>
          </w:p>
        </w:tc>
        <w:tc>
          <w:tcPr>
            <w:tcW w:w="1660" w:type="dxa"/>
            <w:tcBorders>
              <w:top w:val="nil"/>
              <w:left w:val="nil"/>
              <w:bottom w:val="single" w:sz="12" w:space="0" w:color="FF9E3C"/>
              <w:right w:val="single" w:sz="12" w:space="0" w:color="FF9E3C"/>
            </w:tcBorders>
            <w:shd w:val="clear" w:color="000000" w:fill="FFFFFF"/>
            <w:vAlign w:val="center"/>
            <w:hideMark/>
          </w:tcPr>
          <w:p w14:paraId="50E7F9AE"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0.5</w:t>
            </w:r>
          </w:p>
        </w:tc>
        <w:tc>
          <w:tcPr>
            <w:tcW w:w="1742" w:type="dxa"/>
            <w:tcBorders>
              <w:top w:val="nil"/>
              <w:left w:val="nil"/>
              <w:bottom w:val="single" w:sz="12" w:space="0" w:color="FF9E3C"/>
              <w:right w:val="single" w:sz="12" w:space="0" w:color="FF9E3C"/>
            </w:tcBorders>
            <w:shd w:val="clear" w:color="000000" w:fill="FFFFFF"/>
            <w:vAlign w:val="center"/>
            <w:hideMark/>
          </w:tcPr>
          <w:p w14:paraId="6E625E60"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17,860</w:t>
            </w:r>
          </w:p>
        </w:tc>
        <w:tc>
          <w:tcPr>
            <w:tcW w:w="1730" w:type="dxa"/>
            <w:tcBorders>
              <w:top w:val="nil"/>
              <w:left w:val="nil"/>
              <w:bottom w:val="single" w:sz="12" w:space="0" w:color="FF9E3C"/>
              <w:right w:val="single" w:sz="12" w:space="0" w:color="FF9E3C"/>
            </w:tcBorders>
            <w:shd w:val="clear" w:color="000000" w:fill="FFFFFF"/>
            <w:vAlign w:val="center"/>
            <w:hideMark/>
          </w:tcPr>
          <w:p w14:paraId="4ECB84BB"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3,983</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70AFDD83"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Wells et al., 2006***</w:t>
            </w:r>
          </w:p>
        </w:tc>
      </w:tr>
      <w:tr w:rsidR="00DF080D" w:rsidRPr="00DF080D" w14:paraId="2D926468" w14:textId="77777777" w:rsidTr="004D2A63">
        <w:trPr>
          <w:trHeight w:val="36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7DB6C71E"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Schizophrenia</w:t>
            </w:r>
          </w:p>
        </w:tc>
        <w:tc>
          <w:tcPr>
            <w:tcW w:w="1136" w:type="dxa"/>
            <w:tcBorders>
              <w:top w:val="nil"/>
              <w:left w:val="nil"/>
              <w:bottom w:val="single" w:sz="12" w:space="0" w:color="FF9E3C"/>
              <w:right w:val="single" w:sz="12" w:space="0" w:color="FF9E3C"/>
            </w:tcBorders>
            <w:shd w:val="clear" w:color="000000" w:fill="FFFFFF"/>
            <w:vAlign w:val="center"/>
            <w:hideMark/>
          </w:tcPr>
          <w:p w14:paraId="6801C8D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0.43</w:t>
            </w:r>
          </w:p>
        </w:tc>
        <w:tc>
          <w:tcPr>
            <w:tcW w:w="1660" w:type="dxa"/>
            <w:tcBorders>
              <w:top w:val="nil"/>
              <w:left w:val="nil"/>
              <w:bottom w:val="single" w:sz="12" w:space="0" w:color="FF9E3C"/>
              <w:right w:val="single" w:sz="12" w:space="0" w:color="FF9E3C"/>
            </w:tcBorders>
            <w:shd w:val="clear" w:color="000000" w:fill="FFFFFF"/>
            <w:vAlign w:val="center"/>
            <w:hideMark/>
          </w:tcPr>
          <w:p w14:paraId="27823B7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0.3</w:t>
            </w:r>
          </w:p>
        </w:tc>
        <w:tc>
          <w:tcPr>
            <w:tcW w:w="1742" w:type="dxa"/>
            <w:tcBorders>
              <w:top w:val="nil"/>
              <w:left w:val="nil"/>
              <w:bottom w:val="single" w:sz="12" w:space="0" w:color="FF9E3C"/>
              <w:right w:val="single" w:sz="12" w:space="0" w:color="FF9E3C"/>
            </w:tcBorders>
            <w:shd w:val="clear" w:color="000000" w:fill="FFFFFF"/>
            <w:vAlign w:val="center"/>
            <w:hideMark/>
          </w:tcPr>
          <w:p w14:paraId="4A3024E3"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10,716</w:t>
            </w:r>
          </w:p>
        </w:tc>
        <w:tc>
          <w:tcPr>
            <w:tcW w:w="1730" w:type="dxa"/>
            <w:tcBorders>
              <w:top w:val="nil"/>
              <w:left w:val="nil"/>
              <w:bottom w:val="single" w:sz="12" w:space="0" w:color="FF9E3C"/>
              <w:right w:val="single" w:sz="12" w:space="0" w:color="FF9E3C"/>
            </w:tcBorders>
            <w:shd w:val="clear" w:color="000000" w:fill="FFFFFF"/>
            <w:vAlign w:val="center"/>
            <w:hideMark/>
          </w:tcPr>
          <w:p w14:paraId="3403FE71"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4,608</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1845170F" w14:textId="43720A8A" w:rsidR="00DF080D" w:rsidRPr="00DF080D" w:rsidRDefault="00DF080D" w:rsidP="00F942B9">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Oakley-Browne et al 1989,</w:t>
            </w:r>
            <w:r w:rsidR="00F942B9">
              <w:rPr>
                <w:rFonts w:cs="Arial"/>
                <w:color w:val="1C3158"/>
                <w:sz w:val="18"/>
                <w:lang w:eastAsia="ja-JP"/>
              </w:rPr>
              <w:t xml:space="preserve"> as cited in </w:t>
            </w:r>
            <w:r w:rsidRPr="00DF080D">
              <w:rPr>
                <w:rFonts w:cs="Arial"/>
                <w:color w:val="1C3158"/>
                <w:sz w:val="18"/>
                <w:lang w:eastAsia="ja-JP"/>
              </w:rPr>
              <w:t xml:space="preserve">Ellis and Collings (1997) page 355. </w:t>
            </w:r>
          </w:p>
        </w:tc>
      </w:tr>
      <w:tr w:rsidR="00DF080D" w:rsidRPr="00DF080D" w14:paraId="1EDB59DB" w14:textId="77777777" w:rsidTr="004D2A63">
        <w:trPr>
          <w:trHeight w:val="330"/>
        </w:trPr>
        <w:tc>
          <w:tcPr>
            <w:tcW w:w="3400" w:type="dxa"/>
            <w:tcBorders>
              <w:top w:val="nil"/>
              <w:left w:val="single" w:sz="12" w:space="0" w:color="FF9E3C"/>
              <w:bottom w:val="single" w:sz="12" w:space="0" w:color="FF9E3C"/>
              <w:right w:val="single" w:sz="12" w:space="0" w:color="FF9E3C"/>
            </w:tcBorders>
            <w:shd w:val="clear" w:color="auto" w:fill="auto"/>
            <w:vAlign w:val="center"/>
            <w:hideMark/>
          </w:tcPr>
          <w:p w14:paraId="6422A7F8" w14:textId="77777777" w:rsidR="00DF080D" w:rsidRPr="00DF080D" w:rsidRDefault="00DF080D" w:rsidP="00DF080D">
            <w:pPr>
              <w:tabs>
                <w:tab w:val="clear" w:pos="426"/>
              </w:tabs>
              <w:spacing w:before="0" w:after="0" w:line="240" w:lineRule="auto"/>
              <w:ind w:left="0" w:right="0" w:firstLineChars="200" w:firstLine="360"/>
              <w:rPr>
                <w:rFonts w:cs="Arial"/>
                <w:color w:val="1C3158"/>
                <w:sz w:val="18"/>
                <w:lang w:eastAsia="ja-JP"/>
              </w:rPr>
            </w:pPr>
            <w:r w:rsidRPr="00DF080D">
              <w:rPr>
                <w:rFonts w:cs="Arial"/>
                <w:color w:val="1C3158"/>
                <w:sz w:val="18"/>
                <w:lang w:eastAsia="ja-JP"/>
              </w:rPr>
              <w:t>Multiple sclerosis</w:t>
            </w:r>
          </w:p>
        </w:tc>
        <w:tc>
          <w:tcPr>
            <w:tcW w:w="1136" w:type="dxa"/>
            <w:tcBorders>
              <w:top w:val="nil"/>
              <w:left w:val="nil"/>
              <w:bottom w:val="single" w:sz="12" w:space="0" w:color="FF9E3C"/>
              <w:right w:val="single" w:sz="12" w:space="0" w:color="FF9E3C"/>
            </w:tcBorders>
            <w:shd w:val="clear" w:color="000000" w:fill="FFFFFF"/>
            <w:vAlign w:val="center"/>
            <w:hideMark/>
          </w:tcPr>
          <w:p w14:paraId="2092CC2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0.51</w:t>
            </w:r>
          </w:p>
        </w:tc>
        <w:tc>
          <w:tcPr>
            <w:tcW w:w="1660" w:type="dxa"/>
            <w:tcBorders>
              <w:top w:val="nil"/>
              <w:left w:val="nil"/>
              <w:bottom w:val="single" w:sz="12" w:space="0" w:color="FF9E3C"/>
              <w:right w:val="single" w:sz="12" w:space="0" w:color="FF9E3C"/>
            </w:tcBorders>
            <w:shd w:val="clear" w:color="000000" w:fill="FFFFFF"/>
            <w:vAlign w:val="center"/>
            <w:hideMark/>
          </w:tcPr>
          <w:p w14:paraId="3AAEE60F"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0.1</w:t>
            </w:r>
          </w:p>
        </w:tc>
        <w:tc>
          <w:tcPr>
            <w:tcW w:w="1742" w:type="dxa"/>
            <w:tcBorders>
              <w:top w:val="nil"/>
              <w:left w:val="nil"/>
              <w:bottom w:val="single" w:sz="12" w:space="0" w:color="FF9E3C"/>
              <w:right w:val="single" w:sz="12" w:space="0" w:color="FF9E3C"/>
            </w:tcBorders>
            <w:shd w:val="clear" w:color="000000" w:fill="FFFFFF"/>
            <w:vAlign w:val="center"/>
            <w:hideMark/>
          </w:tcPr>
          <w:p w14:paraId="62BCAAE2"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3,572</w:t>
            </w:r>
          </w:p>
        </w:tc>
        <w:tc>
          <w:tcPr>
            <w:tcW w:w="1730" w:type="dxa"/>
            <w:tcBorders>
              <w:top w:val="nil"/>
              <w:left w:val="nil"/>
              <w:bottom w:val="single" w:sz="12" w:space="0" w:color="FF9E3C"/>
              <w:right w:val="single" w:sz="12" w:space="0" w:color="FF9E3C"/>
            </w:tcBorders>
            <w:shd w:val="clear" w:color="000000" w:fill="FFFFFF"/>
            <w:vAlign w:val="center"/>
            <w:hideMark/>
          </w:tcPr>
          <w:p w14:paraId="7AF48D58" w14:textId="77777777" w:rsidR="00DF080D" w:rsidRPr="00DF080D" w:rsidRDefault="00DF080D" w:rsidP="00DF080D">
            <w:pPr>
              <w:tabs>
                <w:tab w:val="clear" w:pos="426"/>
              </w:tabs>
              <w:spacing w:before="0" w:after="0" w:line="240" w:lineRule="auto"/>
              <w:ind w:left="0" w:right="0"/>
              <w:jc w:val="center"/>
              <w:rPr>
                <w:rFonts w:cs="Arial"/>
                <w:color w:val="1C3158"/>
                <w:sz w:val="18"/>
                <w:lang w:eastAsia="ja-JP"/>
              </w:rPr>
            </w:pPr>
            <w:r w:rsidRPr="00DF080D">
              <w:rPr>
                <w:rFonts w:cs="Arial"/>
                <w:color w:val="1C3158"/>
                <w:sz w:val="18"/>
              </w:rPr>
              <w:t>1,811</w:t>
            </w:r>
          </w:p>
        </w:tc>
        <w:tc>
          <w:tcPr>
            <w:tcW w:w="4649" w:type="dxa"/>
            <w:tcBorders>
              <w:top w:val="single" w:sz="12" w:space="0" w:color="FF9E3C"/>
              <w:left w:val="nil"/>
              <w:bottom w:val="single" w:sz="12" w:space="0" w:color="FF9E3C"/>
              <w:right w:val="single" w:sz="12" w:space="0" w:color="FF9E3C"/>
            </w:tcBorders>
            <w:shd w:val="clear" w:color="auto" w:fill="auto"/>
            <w:vAlign w:val="center"/>
            <w:hideMark/>
          </w:tcPr>
          <w:p w14:paraId="12DF62BB" w14:textId="77777777" w:rsidR="00DF080D" w:rsidRPr="00DF080D" w:rsidRDefault="00DF080D" w:rsidP="00DF080D">
            <w:pPr>
              <w:tabs>
                <w:tab w:val="clear" w:pos="426"/>
              </w:tabs>
              <w:spacing w:before="0" w:after="0" w:line="240" w:lineRule="auto"/>
              <w:ind w:left="0" w:right="0"/>
              <w:rPr>
                <w:rFonts w:cs="Arial"/>
                <w:color w:val="1C3158"/>
                <w:sz w:val="18"/>
                <w:lang w:eastAsia="ja-JP"/>
              </w:rPr>
            </w:pPr>
            <w:r w:rsidRPr="00DF080D">
              <w:rPr>
                <w:rFonts w:cs="Arial"/>
                <w:color w:val="1C3158"/>
                <w:sz w:val="18"/>
                <w:lang w:eastAsia="ja-JP"/>
              </w:rPr>
              <w:t>Alla &amp; Mason (2014)</w:t>
            </w:r>
          </w:p>
        </w:tc>
      </w:tr>
    </w:tbl>
    <w:p w14:paraId="3C3299C1" w14:textId="627F90E4" w:rsidR="00DF080D" w:rsidRPr="00767EAD" w:rsidRDefault="00DF080D" w:rsidP="00767EAD">
      <w:pPr>
        <w:spacing w:before="0" w:after="0" w:line="240" w:lineRule="auto"/>
        <w:ind w:left="0"/>
        <w:rPr>
          <w:rFonts w:eastAsia="SimSun" w:cs="Arial"/>
          <w:color w:val="1C3158"/>
          <w:sz w:val="16"/>
        </w:rPr>
      </w:pPr>
      <w:r w:rsidRPr="00767EAD">
        <w:rPr>
          <w:rFonts w:eastAsia="SimSun" w:cs="Arial"/>
          <w:color w:val="1C3158"/>
          <w:sz w:val="16"/>
        </w:rPr>
        <w:t xml:space="preserve">* Source of </w:t>
      </w:r>
      <w:r w:rsidR="00E47430">
        <w:rPr>
          <w:rFonts w:eastAsia="SimSun" w:cs="Arial"/>
          <w:color w:val="1C3158"/>
          <w:sz w:val="16"/>
        </w:rPr>
        <w:t>utility</w:t>
      </w:r>
      <w:r w:rsidR="00E47430" w:rsidRPr="00767EAD">
        <w:rPr>
          <w:rFonts w:eastAsia="SimSun" w:cs="Arial"/>
          <w:color w:val="1C3158"/>
          <w:sz w:val="16"/>
        </w:rPr>
        <w:t xml:space="preserve"> </w:t>
      </w:r>
      <w:r w:rsidRPr="00767EAD">
        <w:rPr>
          <w:rFonts w:eastAsia="SimSun" w:cs="Arial"/>
          <w:color w:val="1C3158"/>
          <w:sz w:val="16"/>
        </w:rPr>
        <w:t>weighs for other health conditions: Alcohol – Hazardous drinking (Stouthard et al. 1997); all other conditions (Ministry of Health, 201</w:t>
      </w:r>
      <w:r w:rsidR="00C4250B">
        <w:rPr>
          <w:rFonts w:eastAsia="SimSun" w:cs="Arial"/>
          <w:color w:val="1C3158"/>
          <w:sz w:val="16"/>
        </w:rPr>
        <w:t>3</w:t>
      </w:r>
      <w:r w:rsidRPr="00767EAD">
        <w:rPr>
          <w:rFonts w:eastAsia="SimSun" w:cs="Arial"/>
          <w:color w:val="1C3158"/>
          <w:sz w:val="16"/>
        </w:rPr>
        <w:t>).</w:t>
      </w:r>
    </w:p>
    <w:p w14:paraId="7C415448" w14:textId="77777777" w:rsidR="00DF080D" w:rsidRPr="00767EAD" w:rsidRDefault="00DF080D" w:rsidP="00767EAD">
      <w:pPr>
        <w:spacing w:before="0" w:after="0" w:line="240" w:lineRule="auto"/>
        <w:ind w:left="0"/>
        <w:rPr>
          <w:rFonts w:eastAsia="SimSun" w:cs="Arial"/>
          <w:color w:val="1C3158"/>
          <w:sz w:val="16"/>
        </w:rPr>
      </w:pPr>
      <w:r w:rsidRPr="00767EAD">
        <w:rPr>
          <w:rFonts w:eastAsia="SimSun" w:cs="Arial"/>
          <w:color w:val="1C3158"/>
          <w:sz w:val="16"/>
        </w:rPr>
        <w:t>** Sample consisted of participants aged 15 years and above</w:t>
      </w:r>
    </w:p>
    <w:p w14:paraId="026A201E" w14:textId="2023DE13" w:rsidR="00DF080D" w:rsidRPr="00767EAD" w:rsidRDefault="00DF080D" w:rsidP="00767EAD">
      <w:pPr>
        <w:spacing w:before="0" w:after="0" w:line="240" w:lineRule="auto"/>
        <w:ind w:left="0"/>
        <w:rPr>
          <w:rFonts w:eastAsia="SimSun" w:cs="Arial"/>
          <w:color w:val="1C3158"/>
          <w:sz w:val="16"/>
        </w:rPr>
      </w:pPr>
      <w:r w:rsidRPr="00767EAD">
        <w:rPr>
          <w:rFonts w:eastAsia="SimSun" w:cs="Arial"/>
          <w:color w:val="1C3158"/>
          <w:sz w:val="16"/>
        </w:rPr>
        <w:t>*** Sample consisted of participants aged 16 years and above</w:t>
      </w:r>
    </w:p>
    <w:sectPr w:rsidR="00DF080D" w:rsidRPr="00767EAD" w:rsidSect="00DF080D">
      <w:pgSz w:w="16838" w:h="11906" w:orient="landscape"/>
      <w:pgMar w:top="1440" w:right="1440" w:bottom="1440" w:left="1440" w:header="425"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51BC5" w14:textId="77777777" w:rsidR="00FD75E7" w:rsidRDefault="00FD75E7" w:rsidP="00047A2D">
      <w:pPr>
        <w:tabs>
          <w:tab w:val="clear" w:pos="426"/>
        </w:tabs>
        <w:spacing w:before="0" w:after="0"/>
        <w:ind w:left="284"/>
        <w:rPr>
          <w:sz w:val="19"/>
        </w:rPr>
      </w:pPr>
      <w:r>
        <w:rPr>
          <w:sz w:val="19"/>
        </w:rPr>
        <w:separator/>
      </w:r>
    </w:p>
    <w:p w14:paraId="76D74C39" w14:textId="77777777" w:rsidR="00FD75E7" w:rsidRDefault="00FD75E7" w:rsidP="00047A2D">
      <w:pPr>
        <w:tabs>
          <w:tab w:val="clear" w:pos="426"/>
        </w:tabs>
        <w:spacing w:before="0" w:after="0"/>
        <w:ind w:left="284"/>
        <w:rPr>
          <w:sz w:val="19"/>
        </w:rPr>
      </w:pPr>
    </w:p>
  </w:endnote>
  <w:endnote w:type="continuationSeparator" w:id="0">
    <w:p w14:paraId="1B1B6504" w14:textId="77777777" w:rsidR="00FD75E7" w:rsidRDefault="00FD75E7" w:rsidP="00047A2D">
      <w:pPr>
        <w:tabs>
          <w:tab w:val="clear" w:pos="426"/>
        </w:tabs>
        <w:spacing w:before="0" w:after="0"/>
        <w:ind w:left="284"/>
        <w:rPr>
          <w:sz w:val="19"/>
        </w:rPr>
      </w:pPr>
      <w:r>
        <w:rPr>
          <w:sz w:val="19"/>
        </w:rPr>
        <w:continuationSeparator/>
      </w:r>
    </w:p>
    <w:p w14:paraId="04FF1456" w14:textId="77777777" w:rsidR="00FD75E7" w:rsidRDefault="00FD75E7" w:rsidP="00047A2D">
      <w:pPr>
        <w:tabs>
          <w:tab w:val="clear" w:pos="426"/>
        </w:tabs>
        <w:spacing w:before="0" w:after="0"/>
        <w:ind w:left="284"/>
        <w:rPr>
          <w:sz w:val="19"/>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352488"/>
      <w:docPartObj>
        <w:docPartGallery w:val="Page Numbers (Bottom of Page)"/>
        <w:docPartUnique/>
      </w:docPartObj>
    </w:sdtPr>
    <w:sdtEndPr>
      <w:rPr>
        <w:noProof/>
      </w:rPr>
    </w:sdtEndPr>
    <w:sdtContent>
      <w:p w14:paraId="5B603BCF" w14:textId="4CAB8200" w:rsidR="00FD75E7" w:rsidRDefault="00FD75E7">
        <w:pPr>
          <w:pStyle w:val="Footer"/>
          <w:jc w:val="right"/>
        </w:pPr>
        <w:r>
          <w:fldChar w:fldCharType="begin"/>
        </w:r>
        <w:r>
          <w:instrText xml:space="preserve"> PAGE   \* MERGEFORMAT </w:instrText>
        </w:r>
        <w:r>
          <w:fldChar w:fldCharType="separate"/>
        </w:r>
        <w:r w:rsidR="0006479A">
          <w:rPr>
            <w:noProof/>
          </w:rPr>
          <w:t>179</w:t>
        </w:r>
        <w:r>
          <w:rPr>
            <w:noProof/>
          </w:rPr>
          <w:fldChar w:fldCharType="end"/>
        </w:r>
      </w:p>
    </w:sdtContent>
  </w:sdt>
  <w:p w14:paraId="1EA4255F" w14:textId="77777777" w:rsidR="00FD75E7" w:rsidRDefault="00FD75E7" w:rsidP="00444AF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C02D9" w14:textId="77777777" w:rsidR="00FD75E7" w:rsidRDefault="00FD75E7" w:rsidP="00047A2D">
      <w:pPr>
        <w:tabs>
          <w:tab w:val="clear" w:pos="426"/>
        </w:tabs>
        <w:spacing w:before="0" w:after="0"/>
        <w:ind w:left="284"/>
        <w:rPr>
          <w:sz w:val="19"/>
        </w:rPr>
      </w:pPr>
      <w:r>
        <w:rPr>
          <w:sz w:val="19"/>
        </w:rPr>
        <w:separator/>
      </w:r>
    </w:p>
    <w:p w14:paraId="64C625DB" w14:textId="77777777" w:rsidR="00FD75E7" w:rsidRDefault="00FD75E7" w:rsidP="00047A2D">
      <w:pPr>
        <w:tabs>
          <w:tab w:val="clear" w:pos="426"/>
        </w:tabs>
        <w:spacing w:before="0" w:after="0"/>
        <w:ind w:left="284"/>
        <w:rPr>
          <w:sz w:val="19"/>
        </w:rPr>
      </w:pPr>
    </w:p>
  </w:footnote>
  <w:footnote w:type="continuationSeparator" w:id="0">
    <w:p w14:paraId="4A51B4AD" w14:textId="77777777" w:rsidR="00FD75E7" w:rsidRDefault="00FD75E7" w:rsidP="00047A2D">
      <w:pPr>
        <w:tabs>
          <w:tab w:val="clear" w:pos="426"/>
        </w:tabs>
        <w:spacing w:before="0" w:after="0"/>
        <w:ind w:left="284"/>
        <w:rPr>
          <w:sz w:val="19"/>
        </w:rPr>
      </w:pPr>
      <w:r>
        <w:rPr>
          <w:sz w:val="19"/>
        </w:rPr>
        <w:continuationSeparator/>
      </w:r>
    </w:p>
    <w:p w14:paraId="3B8D3AA6" w14:textId="77777777" w:rsidR="00FD75E7" w:rsidRDefault="00FD75E7" w:rsidP="00047A2D">
      <w:pPr>
        <w:tabs>
          <w:tab w:val="clear" w:pos="426"/>
        </w:tabs>
        <w:spacing w:before="0" w:after="0"/>
        <w:ind w:left="284"/>
        <w:rPr>
          <w:sz w:val="19"/>
        </w:rPr>
      </w:pPr>
    </w:p>
  </w:footnote>
  <w:footnote w:id="1">
    <w:p w14:paraId="5190890D" w14:textId="77777777" w:rsidR="00FD75E7" w:rsidRPr="0026650A" w:rsidRDefault="00FD75E7" w:rsidP="00AA6E77">
      <w:pPr>
        <w:pStyle w:val="FootnoteText"/>
        <w:rPr>
          <w:lang w:val="en-NZ"/>
        </w:rPr>
      </w:pPr>
      <w:r>
        <w:rPr>
          <w:rStyle w:val="FootnoteReference"/>
        </w:rPr>
        <w:footnoteRef/>
      </w:r>
      <w:r>
        <w:t xml:space="preserve"> For instance, the use of the Chinese dragon dance symbols in gambling advertising during the Chinese New Year festival.</w:t>
      </w:r>
      <w:r>
        <w:rPr>
          <w:lang w:val="en-NZ"/>
        </w:rPr>
        <w:t xml:space="preserve"> </w:t>
      </w:r>
    </w:p>
  </w:footnote>
  <w:footnote w:id="2">
    <w:p w14:paraId="30E6A498" w14:textId="77777777" w:rsidR="00FD75E7" w:rsidRPr="003841A4" w:rsidRDefault="00FD75E7" w:rsidP="00AA6E77">
      <w:pPr>
        <w:pStyle w:val="FootnoteText"/>
        <w:rPr>
          <w:lang w:val="en-NZ"/>
        </w:rPr>
      </w:pPr>
      <w:r>
        <w:rPr>
          <w:rStyle w:val="FootnoteReference"/>
        </w:rPr>
        <w:footnoteRef/>
      </w:r>
      <w:r>
        <w:t xml:space="preserve"> Among the </w:t>
      </w:r>
      <w:r w:rsidRPr="003841A4">
        <w:t>94 female prisoners</w:t>
      </w:r>
      <w:r>
        <w:t xml:space="preserve"> in this study, </w:t>
      </w:r>
      <w:r w:rsidRPr="003841A4">
        <w:t>sixty-seven percent were of Māori ethnicity</w:t>
      </w:r>
      <w:r>
        <w:t>.</w:t>
      </w:r>
    </w:p>
  </w:footnote>
  <w:footnote w:id="3">
    <w:p w14:paraId="21E50AA7" w14:textId="77777777" w:rsidR="00FD75E7" w:rsidRPr="001F0E54" w:rsidRDefault="00FD75E7" w:rsidP="00AA6E77">
      <w:pPr>
        <w:pStyle w:val="FootnoteText"/>
        <w:rPr>
          <w:lang w:val="en-NZ"/>
        </w:rPr>
      </w:pPr>
      <w:r w:rsidRPr="00DF6397">
        <w:rPr>
          <w:rStyle w:val="FootnoteReference"/>
        </w:rPr>
        <w:footnoteRef/>
      </w:r>
      <w:r w:rsidRPr="00DF6397">
        <w:t xml:space="preserve"> The state sector tends to define an Asian as someone from the Asian continent, excluding Indians and South Asian New Zealanders.</w:t>
      </w:r>
      <w:r>
        <w:t xml:space="preserve"> </w:t>
      </w:r>
    </w:p>
  </w:footnote>
  <w:footnote w:id="4">
    <w:p w14:paraId="4EBED361" w14:textId="77777777" w:rsidR="00FD75E7" w:rsidRPr="00CE6AC7" w:rsidRDefault="00FD75E7" w:rsidP="00AA6E77">
      <w:pPr>
        <w:pStyle w:val="FootnoteText"/>
        <w:rPr>
          <w:lang w:val="en-NZ"/>
        </w:rPr>
      </w:pPr>
      <w:r w:rsidRPr="0010073D">
        <w:rPr>
          <w:rStyle w:val="FootnoteReference"/>
        </w:rPr>
        <w:footnoteRef/>
      </w:r>
      <w:r w:rsidRPr="0010073D">
        <w:t xml:space="preserve"> </w:t>
      </w:r>
      <w:r w:rsidRPr="0010073D">
        <w:rPr>
          <w:lang w:val="en-NZ"/>
        </w:rPr>
        <w:t>The term ‘person who gambles’ is used throughout this chapter and this is distinguished from the term ‘problem gambler’ used in other sections of this report, which is regarded as having to do with a condition of the ‘person who gambles’.</w:t>
      </w:r>
    </w:p>
  </w:footnote>
  <w:footnote w:id="5">
    <w:p w14:paraId="59D80A4D" w14:textId="2D944BEC" w:rsidR="00FD75E7" w:rsidRPr="00AA6E77" w:rsidRDefault="00FD75E7" w:rsidP="00AA6E77">
      <w:pPr>
        <w:pStyle w:val="FootnoteText"/>
      </w:pPr>
      <w:r w:rsidRPr="006E0F30">
        <w:rPr>
          <w:rStyle w:val="FootnoteReference"/>
        </w:rPr>
        <w:footnoteRef/>
      </w:r>
      <w:r w:rsidRPr="006E0F30">
        <w:t xml:space="preserve"> Drawn from the lifecourse theory </w:t>
      </w:r>
      <w:r>
        <w:t>(Elder, Johnson, &amp; Crosnoe, 2003</w:t>
      </w:r>
      <w:r w:rsidRPr="006E0F30">
        <w:t>), the definition of ‘lifecourse harms’ in the present study includes harms that relate to the social pathways, developmental trajectories and changes to structural and cultural contexts that individuals undergo within their life span</w:t>
      </w:r>
      <w:r>
        <w:t>.</w:t>
      </w:r>
    </w:p>
  </w:footnote>
  <w:footnote w:id="6">
    <w:p w14:paraId="29017F69" w14:textId="77777777" w:rsidR="00FD75E7" w:rsidRPr="006E0F30" w:rsidRDefault="00FD75E7" w:rsidP="00AA6E77">
      <w:pPr>
        <w:pStyle w:val="FootnoteText"/>
        <w:rPr>
          <w:u w:val="words"/>
          <w:lang w:val="en-NZ"/>
        </w:rPr>
      </w:pPr>
      <w:r w:rsidRPr="006E0F30">
        <w:rPr>
          <w:rStyle w:val="FootnoteReference"/>
        </w:rPr>
        <w:footnoteRef/>
      </w:r>
      <w:r w:rsidRPr="006E0F30">
        <w:t xml:space="preserve"> Within the context of this study, ‘intergenerational harms’ refers to patterns of harmful gambling or other related behaviours and the effects of those behaviours that are passed on from one generation to the next (often children). Such harms among children can occur as a result of either direct or indirect</w:t>
      </w:r>
      <w:r>
        <w:t xml:space="preserve"> exposure to adults’ gambling.</w:t>
      </w:r>
    </w:p>
  </w:footnote>
  <w:footnote w:id="7">
    <w:p w14:paraId="3981B011" w14:textId="77777777" w:rsidR="00FD75E7" w:rsidRPr="009D06C2" w:rsidRDefault="00FD75E7" w:rsidP="00AA6E77">
      <w:pPr>
        <w:pStyle w:val="FootnoteText"/>
        <w:rPr>
          <w:lang w:val="en-NZ"/>
        </w:rPr>
      </w:pPr>
      <w:r w:rsidRPr="006E0F30">
        <w:rPr>
          <w:rStyle w:val="FootnoteReference"/>
        </w:rPr>
        <w:footnoteRef/>
      </w:r>
      <w:r w:rsidRPr="006E0F30">
        <w:t xml:space="preserve"> Consumer representatives (sometimes referred to as consumer advisors) are often individuals who have experienced gambling harms themselves. All problem gambling service contracts in New Zealand require the involvement of consumer representatives in the planning and delivery of services (Ministry of Health, 2009).</w:t>
      </w:r>
    </w:p>
  </w:footnote>
  <w:footnote w:id="8">
    <w:p w14:paraId="3F4C5C9C" w14:textId="77777777" w:rsidR="00FD75E7" w:rsidRPr="00B16899" w:rsidRDefault="00FD75E7" w:rsidP="00AA6E77">
      <w:pPr>
        <w:pStyle w:val="FootnoteText"/>
        <w:rPr>
          <w:lang w:val="en-NZ"/>
        </w:rPr>
      </w:pPr>
      <w:r>
        <w:rPr>
          <w:rStyle w:val="FootnoteReference"/>
        </w:rPr>
        <w:footnoteRef/>
      </w:r>
      <w:r>
        <w:t xml:space="preserve"> </w:t>
      </w:r>
      <w:r w:rsidRPr="00B16899">
        <w:t>The majority of respondents i</w:t>
      </w:r>
      <w:r>
        <w:t>ndicated having seen the advertisements in community newspapers and Trade Me.</w:t>
      </w:r>
    </w:p>
  </w:footnote>
  <w:footnote w:id="9">
    <w:p w14:paraId="6F899DBE" w14:textId="77777777" w:rsidR="00FD75E7" w:rsidRPr="006D0F72" w:rsidRDefault="00FD75E7" w:rsidP="00AA6E77">
      <w:pPr>
        <w:pStyle w:val="FootnoteText"/>
        <w:rPr>
          <w:lang w:val="en-NZ"/>
        </w:rPr>
      </w:pPr>
      <w:r w:rsidRPr="00A76D46">
        <w:rPr>
          <w:rStyle w:val="FootnoteReference"/>
        </w:rPr>
        <w:footnoteRef/>
      </w:r>
      <w:r w:rsidRPr="00A76D46">
        <w:t xml:space="preserve"> The ethnicity of participants became known to the researchers during recruitment (via communication with their counsellors) or during the interview when discussing culture-related harms. As ethnicity was not self-identified in all cases, the </w:t>
      </w:r>
      <w:r>
        <w:t>numbers</w:t>
      </w:r>
      <w:r w:rsidRPr="00A76D46">
        <w:t xml:space="preserve"> reported here are to be treated as estimates only.</w:t>
      </w:r>
    </w:p>
  </w:footnote>
  <w:footnote w:id="10">
    <w:p w14:paraId="0D757065" w14:textId="77777777" w:rsidR="00FD75E7" w:rsidRPr="0086543B" w:rsidRDefault="00FD75E7" w:rsidP="00AA6E77">
      <w:pPr>
        <w:pStyle w:val="FootnoteText"/>
        <w:rPr>
          <w:lang w:val="en-NZ"/>
        </w:rPr>
      </w:pPr>
      <w:r w:rsidRPr="00CA67DD">
        <w:rPr>
          <w:rStyle w:val="FootnoteReference"/>
        </w:rPr>
        <w:footnoteRef/>
      </w:r>
      <w:r w:rsidRPr="00CA67DD">
        <w:t xml:space="preserve"> </w:t>
      </w:r>
      <w:r w:rsidRPr="00CA67DD">
        <w:rPr>
          <w:lang w:val="en-NZ"/>
        </w:rPr>
        <w:t>Binge gambling refers to intermittent episodes of compulsive gambling behaviours (Nower &amp; Blaszczynski, 2003).</w:t>
      </w:r>
      <w:r>
        <w:rPr>
          <w:lang w:val="en-NZ"/>
        </w:rPr>
        <w:t xml:space="preserve"> </w:t>
      </w:r>
    </w:p>
  </w:footnote>
  <w:footnote w:id="11">
    <w:p w14:paraId="6D659B98" w14:textId="77777777" w:rsidR="00FD75E7" w:rsidRPr="00940B48" w:rsidRDefault="00FD75E7" w:rsidP="00AA6E77">
      <w:pPr>
        <w:pStyle w:val="FootnoteText"/>
        <w:rPr>
          <w:lang w:val="en-NZ"/>
        </w:rPr>
      </w:pPr>
      <w:r w:rsidRPr="00940B48">
        <w:rPr>
          <w:rStyle w:val="FootnoteReference"/>
        </w:rPr>
        <w:footnoteRef/>
      </w:r>
      <w:r w:rsidRPr="00940B48">
        <w:t xml:space="preserve"> </w:t>
      </w:r>
      <w:r w:rsidRPr="00940B48">
        <w:rPr>
          <w:lang w:val="en-NZ"/>
        </w:rPr>
        <w:t xml:space="preserve">Human capital is typically defined as the skill sets, knowledge, qualifications, and experiences of individuals within a community that enables them to be economically productive (Coleman, 1988; Dinda, 2008, Parts, 2003). </w:t>
      </w:r>
    </w:p>
  </w:footnote>
  <w:footnote w:id="12">
    <w:p w14:paraId="6E0F0C4E" w14:textId="77777777" w:rsidR="00FD75E7" w:rsidRPr="00CB2A88" w:rsidRDefault="00FD75E7" w:rsidP="00AA6E77">
      <w:pPr>
        <w:pStyle w:val="FootnoteText"/>
        <w:rPr>
          <w:lang w:val="en-NZ"/>
        </w:rPr>
      </w:pPr>
      <w:r w:rsidRPr="00940B48">
        <w:rPr>
          <w:rStyle w:val="FootnoteReference"/>
        </w:rPr>
        <w:footnoteRef/>
      </w:r>
      <w:r w:rsidRPr="00940B48">
        <w:t xml:space="preserve"> Although often </w:t>
      </w:r>
      <w:r w:rsidRPr="00940B48">
        <w:rPr>
          <w:lang w:val="en-NZ"/>
        </w:rPr>
        <w:t xml:space="preserve">variably defined, social capital concerns the condition of relationships among individuals within a society and is measured by indicators such as social </w:t>
      </w:r>
      <w:r w:rsidRPr="00940B48">
        <w:t>networks, shared identity, shared values, trustful relationships and social cohesion among others (</w:t>
      </w:r>
      <w:r w:rsidRPr="00940B48">
        <w:rPr>
          <w:lang w:val="en-NZ"/>
        </w:rPr>
        <w:t>Coleman, 1988; Dinda, 2008, Parts, 2003)</w:t>
      </w:r>
      <w:r w:rsidRPr="00940B48">
        <w:t xml:space="preserve">. Greater social capital </w:t>
      </w:r>
      <w:r w:rsidRPr="00940B48">
        <w:rPr>
          <w:lang w:val="en-NZ"/>
        </w:rPr>
        <w:t xml:space="preserve">contributes to greater productivity (e.g. a group of people with trustful relationships will have greater capacity to accomplish something than a group that does not) </w:t>
      </w:r>
      <w:r w:rsidRPr="00314672">
        <w:rPr>
          <w:lang w:val="en-NZ"/>
        </w:rPr>
        <w:t>and enables creation of future human capital (e.g. effects of strong social capital on positive education outcomes in youth) (Coleman, 1988).</w:t>
      </w:r>
      <w:r>
        <w:rPr>
          <w:lang w:val="en-NZ"/>
        </w:rPr>
        <w:t xml:space="preserve"> </w:t>
      </w:r>
    </w:p>
  </w:footnote>
  <w:footnote w:id="13">
    <w:p w14:paraId="5257F05D" w14:textId="77777777" w:rsidR="00FD75E7" w:rsidRPr="00D47101" w:rsidRDefault="00FD75E7" w:rsidP="00AA6E77">
      <w:pPr>
        <w:pStyle w:val="FootnoteText"/>
        <w:rPr>
          <w:lang w:val="en-NZ"/>
        </w:rPr>
      </w:pPr>
      <w:r>
        <w:rPr>
          <w:rStyle w:val="FootnoteReference"/>
        </w:rPr>
        <w:footnoteRef/>
      </w:r>
      <w:r>
        <w:t xml:space="preserve"> </w:t>
      </w:r>
      <w:r w:rsidRPr="00D47101">
        <w:t>Fa’alavelave is a Samoan term for customary gift giving during significant events and occasions such as weddings, funerals or births</w:t>
      </w:r>
      <w:r>
        <w:t>.</w:t>
      </w:r>
    </w:p>
  </w:footnote>
  <w:footnote w:id="14">
    <w:p w14:paraId="12AD0C82" w14:textId="77777777" w:rsidR="00FD75E7" w:rsidRPr="00D311D7" w:rsidRDefault="00FD75E7" w:rsidP="00AA6E77">
      <w:pPr>
        <w:pStyle w:val="FootnoteText"/>
        <w:rPr>
          <w:lang w:val="en-NZ"/>
        </w:rPr>
      </w:pPr>
      <w:r>
        <w:rPr>
          <w:rStyle w:val="FootnoteReference"/>
        </w:rPr>
        <w:footnoteRef/>
      </w:r>
      <w:r>
        <w:t xml:space="preserve"> </w:t>
      </w:r>
      <w:r w:rsidRPr="005673E7">
        <w:t>tāne of the whare</w:t>
      </w:r>
      <w:r>
        <w:t xml:space="preserve"> - man of the house, </w:t>
      </w:r>
      <w:r w:rsidRPr="005673E7">
        <w:t xml:space="preserve">wahine </w:t>
      </w:r>
      <w:r>
        <w:t xml:space="preserve">- wife, </w:t>
      </w:r>
      <w:r w:rsidRPr="005673E7">
        <w:t xml:space="preserve">tamariki </w:t>
      </w:r>
      <w:r>
        <w:t xml:space="preserve">- children, </w:t>
      </w:r>
      <w:r w:rsidRPr="005673E7">
        <w:t>moko</w:t>
      </w:r>
      <w:r>
        <w:t xml:space="preserve"> - short for mokopuna - grandchildren.</w:t>
      </w:r>
    </w:p>
  </w:footnote>
  <w:footnote w:id="15">
    <w:p w14:paraId="13C5A036" w14:textId="77777777" w:rsidR="00FD75E7" w:rsidRPr="00F72296" w:rsidRDefault="00FD75E7" w:rsidP="00AA6E77">
      <w:pPr>
        <w:pStyle w:val="FootnoteText"/>
        <w:rPr>
          <w:lang w:val="en-NZ"/>
        </w:rPr>
      </w:pPr>
      <w:r>
        <w:rPr>
          <w:rStyle w:val="FootnoteReference"/>
        </w:rPr>
        <w:footnoteRef/>
      </w:r>
      <w:r>
        <w:t xml:space="preserve"> </w:t>
      </w:r>
      <w:r w:rsidRPr="00F72296">
        <w:t xml:space="preserve">Tinnie or tinny house </w:t>
      </w:r>
      <w:r>
        <w:t>-</w:t>
      </w:r>
      <w:r w:rsidRPr="00F72296">
        <w:t xml:space="preserve"> Slang term in New Zealand referring to a house or building where cannabis (and sometimes other drugs) </w:t>
      </w:r>
      <w:r>
        <w:t>are</w:t>
      </w:r>
      <w:r w:rsidRPr="00F72296">
        <w:t xml:space="preserve"> sold, in small amounts, wrapped in tin foil.</w:t>
      </w:r>
    </w:p>
  </w:footnote>
  <w:footnote w:id="16">
    <w:p w14:paraId="59AE5752" w14:textId="77B489E4" w:rsidR="00FD75E7" w:rsidRDefault="00FD75E7">
      <w:pPr>
        <w:pStyle w:val="FootnoteText"/>
      </w:pPr>
      <w:r>
        <w:rPr>
          <w:rStyle w:val="FootnoteReference"/>
        </w:rPr>
        <w:footnoteRef/>
      </w:r>
      <w:r>
        <w:t xml:space="preserve"> Due to the social desirability bias of criminal activity this domain was grouped into ‘other harms’ along with cultural transgressions. Lifecourse and intergenerational harms from the taxonomy were not included in the current national survey due to temporal issues in measurement. </w:t>
      </w:r>
    </w:p>
  </w:footnote>
  <w:footnote w:id="17">
    <w:p w14:paraId="5AC87B06" w14:textId="73A59E54" w:rsidR="00FD75E7" w:rsidRPr="00B34D11" w:rsidRDefault="00FD75E7" w:rsidP="00AA6E77">
      <w:pPr>
        <w:pStyle w:val="FootnoteText"/>
        <w:rPr>
          <w:lang w:val="en-NZ"/>
        </w:rPr>
      </w:pPr>
      <w:r>
        <w:rPr>
          <w:rStyle w:val="FootnoteReference"/>
        </w:rPr>
        <w:footnoteRef/>
      </w:r>
      <w:r>
        <w:t xml:space="preserve"> </w:t>
      </w:r>
      <w:r>
        <w:rPr>
          <w:lang w:val="en-NZ"/>
        </w:rPr>
        <w:t>Where participants identified with more than one ethnicity, they were categorised into a single ethnic group using the following hierarchical order: Māori, Pacific, Asian, European/Other (e.g. if someone identified as being both of Māori and European ethnicity, they were categorised as Māori).</w:t>
      </w:r>
    </w:p>
  </w:footnote>
  <w:footnote w:id="18">
    <w:p w14:paraId="15CFEDA4" w14:textId="7F0A7474" w:rsidR="00FD75E7" w:rsidRDefault="00FD75E7" w:rsidP="00AA6E77">
      <w:pPr>
        <w:pStyle w:val="FootnoteText"/>
      </w:pPr>
      <w:r>
        <w:rPr>
          <w:rStyle w:val="FootnoteReference"/>
        </w:rPr>
        <w:footnoteRef/>
      </w:r>
      <w:r>
        <w:t xml:space="preserve"> Analysis conducted with the multiple response ethnicity data as the proportion answering ‘yes’ to identifying for each ethnicity: </w:t>
      </w:r>
      <w:r>
        <w:rPr>
          <w:lang w:val="en-NZ"/>
        </w:rPr>
        <w:t>Māori, Pacific, Asian, European/Other.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0BD06" w14:textId="77777777" w:rsidR="00FD75E7" w:rsidRDefault="00FD75E7"/>
  <w:p w14:paraId="427AA9AD" w14:textId="77777777" w:rsidR="00FD75E7" w:rsidRDefault="00FD75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0EDCE" w14:textId="210D7A22" w:rsidR="00FD75E7" w:rsidRDefault="00FD75E7" w:rsidP="00E52F88">
    <w:pPr>
      <w:pStyle w:val="Header"/>
      <w:tabs>
        <w:tab w:val="clear" w:pos="4153"/>
        <w:tab w:val="clear" w:pos="8306"/>
        <w:tab w:val="left" w:pos="130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42ECA6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336F25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54104"/>
    <w:multiLevelType w:val="hybridMultilevel"/>
    <w:tmpl w:val="FBA809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BD7108"/>
    <w:multiLevelType w:val="hybridMultilevel"/>
    <w:tmpl w:val="2438EA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AA7FA1"/>
    <w:multiLevelType w:val="hybridMultilevel"/>
    <w:tmpl w:val="AFC8F6F8"/>
    <w:lvl w:ilvl="0" w:tplc="0C090001">
      <w:start w:val="1"/>
      <w:numFmt w:val="bullet"/>
      <w:lvlText w:val=""/>
      <w:lvlJc w:val="left"/>
      <w:pPr>
        <w:ind w:left="1080" w:hanging="360"/>
      </w:pPr>
      <w:rPr>
        <w:rFonts w:ascii="Symbol" w:hAnsi="Symbol" w:hint="default"/>
        <w:sz w:val="24"/>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10F2478B"/>
    <w:multiLevelType w:val="hybridMultilevel"/>
    <w:tmpl w:val="C0DC5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14383A"/>
    <w:multiLevelType w:val="hybridMultilevel"/>
    <w:tmpl w:val="50BEF3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72D4C83"/>
    <w:multiLevelType w:val="hybridMultilevel"/>
    <w:tmpl w:val="1A7C4A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B431BB5"/>
    <w:multiLevelType w:val="hybridMultilevel"/>
    <w:tmpl w:val="2D64A9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CD8319F"/>
    <w:multiLevelType w:val="hybridMultilevel"/>
    <w:tmpl w:val="5F0243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FC22D3"/>
    <w:multiLevelType w:val="hybridMultilevel"/>
    <w:tmpl w:val="6178C2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0B62A3"/>
    <w:multiLevelType w:val="hybridMultilevel"/>
    <w:tmpl w:val="9FCA7A42"/>
    <w:lvl w:ilvl="0" w:tplc="2F96EDA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CE795B"/>
    <w:multiLevelType w:val="hybridMultilevel"/>
    <w:tmpl w:val="E9C2354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CA02F5A"/>
    <w:multiLevelType w:val="hybridMultilevel"/>
    <w:tmpl w:val="B406E8A8"/>
    <w:lvl w:ilvl="0" w:tplc="510461C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0A326E"/>
    <w:multiLevelType w:val="hybridMultilevel"/>
    <w:tmpl w:val="274A9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550272"/>
    <w:multiLevelType w:val="hybridMultilevel"/>
    <w:tmpl w:val="05E6C2D6"/>
    <w:lvl w:ilvl="0" w:tplc="2F96EDA2">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22A74"/>
    <w:multiLevelType w:val="hybridMultilevel"/>
    <w:tmpl w:val="098CA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D26DA4"/>
    <w:multiLevelType w:val="hybridMultilevel"/>
    <w:tmpl w:val="0464C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641EC6"/>
    <w:multiLevelType w:val="hybridMultilevel"/>
    <w:tmpl w:val="03B47A4C"/>
    <w:lvl w:ilvl="0" w:tplc="2A5C7E9E">
      <w:start w:val="3"/>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B9101F"/>
    <w:multiLevelType w:val="hybridMultilevel"/>
    <w:tmpl w:val="2D7A19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3473515"/>
    <w:multiLevelType w:val="hybridMultilevel"/>
    <w:tmpl w:val="3B5A73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38B6C60"/>
    <w:multiLevelType w:val="hybridMultilevel"/>
    <w:tmpl w:val="FF1EBCF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2" w15:restartNumberingAfterBreak="0">
    <w:nsid w:val="448738E4"/>
    <w:multiLevelType w:val="hybridMultilevel"/>
    <w:tmpl w:val="696CB20A"/>
    <w:lvl w:ilvl="0" w:tplc="5E12593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AD596C"/>
    <w:multiLevelType w:val="hybridMultilevel"/>
    <w:tmpl w:val="A824D638"/>
    <w:lvl w:ilvl="0" w:tplc="B5A617C0">
      <w:start w:val="1"/>
      <w:numFmt w:val="bullet"/>
      <w:lvlText w:val="•"/>
      <w:lvlJc w:val="left"/>
      <w:pPr>
        <w:tabs>
          <w:tab w:val="num" w:pos="720"/>
        </w:tabs>
        <w:ind w:left="720" w:hanging="360"/>
      </w:pPr>
      <w:rPr>
        <w:rFonts w:ascii="Times New Roman" w:hAnsi="Times New Roman" w:hint="default"/>
      </w:rPr>
    </w:lvl>
    <w:lvl w:ilvl="1" w:tplc="9D24DC80" w:tentative="1">
      <w:start w:val="1"/>
      <w:numFmt w:val="bullet"/>
      <w:lvlText w:val="•"/>
      <w:lvlJc w:val="left"/>
      <w:pPr>
        <w:tabs>
          <w:tab w:val="num" w:pos="1440"/>
        </w:tabs>
        <w:ind w:left="1440" w:hanging="360"/>
      </w:pPr>
      <w:rPr>
        <w:rFonts w:ascii="Times New Roman" w:hAnsi="Times New Roman" w:hint="default"/>
      </w:rPr>
    </w:lvl>
    <w:lvl w:ilvl="2" w:tplc="ABF6ADC6" w:tentative="1">
      <w:start w:val="1"/>
      <w:numFmt w:val="bullet"/>
      <w:lvlText w:val="•"/>
      <w:lvlJc w:val="left"/>
      <w:pPr>
        <w:tabs>
          <w:tab w:val="num" w:pos="2160"/>
        </w:tabs>
        <w:ind w:left="2160" w:hanging="360"/>
      </w:pPr>
      <w:rPr>
        <w:rFonts w:ascii="Times New Roman" w:hAnsi="Times New Roman" w:hint="default"/>
      </w:rPr>
    </w:lvl>
    <w:lvl w:ilvl="3" w:tplc="2856B60C" w:tentative="1">
      <w:start w:val="1"/>
      <w:numFmt w:val="bullet"/>
      <w:lvlText w:val="•"/>
      <w:lvlJc w:val="left"/>
      <w:pPr>
        <w:tabs>
          <w:tab w:val="num" w:pos="2880"/>
        </w:tabs>
        <w:ind w:left="2880" w:hanging="360"/>
      </w:pPr>
      <w:rPr>
        <w:rFonts w:ascii="Times New Roman" w:hAnsi="Times New Roman" w:hint="default"/>
      </w:rPr>
    </w:lvl>
    <w:lvl w:ilvl="4" w:tplc="6354E7BE" w:tentative="1">
      <w:start w:val="1"/>
      <w:numFmt w:val="bullet"/>
      <w:lvlText w:val="•"/>
      <w:lvlJc w:val="left"/>
      <w:pPr>
        <w:tabs>
          <w:tab w:val="num" w:pos="3600"/>
        </w:tabs>
        <w:ind w:left="3600" w:hanging="360"/>
      </w:pPr>
      <w:rPr>
        <w:rFonts w:ascii="Times New Roman" w:hAnsi="Times New Roman" w:hint="default"/>
      </w:rPr>
    </w:lvl>
    <w:lvl w:ilvl="5" w:tplc="2A72A96E" w:tentative="1">
      <w:start w:val="1"/>
      <w:numFmt w:val="bullet"/>
      <w:lvlText w:val="•"/>
      <w:lvlJc w:val="left"/>
      <w:pPr>
        <w:tabs>
          <w:tab w:val="num" w:pos="4320"/>
        </w:tabs>
        <w:ind w:left="4320" w:hanging="360"/>
      </w:pPr>
      <w:rPr>
        <w:rFonts w:ascii="Times New Roman" w:hAnsi="Times New Roman" w:hint="default"/>
      </w:rPr>
    </w:lvl>
    <w:lvl w:ilvl="6" w:tplc="7AB6127E" w:tentative="1">
      <w:start w:val="1"/>
      <w:numFmt w:val="bullet"/>
      <w:lvlText w:val="•"/>
      <w:lvlJc w:val="left"/>
      <w:pPr>
        <w:tabs>
          <w:tab w:val="num" w:pos="5040"/>
        </w:tabs>
        <w:ind w:left="5040" w:hanging="360"/>
      </w:pPr>
      <w:rPr>
        <w:rFonts w:ascii="Times New Roman" w:hAnsi="Times New Roman" w:hint="default"/>
      </w:rPr>
    </w:lvl>
    <w:lvl w:ilvl="7" w:tplc="ABFA251A" w:tentative="1">
      <w:start w:val="1"/>
      <w:numFmt w:val="bullet"/>
      <w:lvlText w:val="•"/>
      <w:lvlJc w:val="left"/>
      <w:pPr>
        <w:tabs>
          <w:tab w:val="num" w:pos="5760"/>
        </w:tabs>
        <w:ind w:left="5760" w:hanging="360"/>
      </w:pPr>
      <w:rPr>
        <w:rFonts w:ascii="Times New Roman" w:hAnsi="Times New Roman" w:hint="default"/>
      </w:rPr>
    </w:lvl>
    <w:lvl w:ilvl="8" w:tplc="C79898B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89F2EAC"/>
    <w:multiLevelType w:val="hybridMultilevel"/>
    <w:tmpl w:val="C0DC5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4E61B7"/>
    <w:multiLevelType w:val="hybridMultilevel"/>
    <w:tmpl w:val="C5EA52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4E1E2A14"/>
    <w:multiLevelType w:val="hybridMultilevel"/>
    <w:tmpl w:val="D410EE68"/>
    <w:lvl w:ilvl="0" w:tplc="5CB4E3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816B73"/>
    <w:multiLevelType w:val="hybridMultilevel"/>
    <w:tmpl w:val="E35861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C457FF2"/>
    <w:multiLevelType w:val="hybridMultilevel"/>
    <w:tmpl w:val="7C1CDA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5F5EB0"/>
    <w:multiLevelType w:val="hybridMultilevel"/>
    <w:tmpl w:val="87FA289E"/>
    <w:lvl w:ilvl="0" w:tplc="5CEC2FF2">
      <w:start w:val="1"/>
      <w:numFmt w:val="decimal"/>
      <w:pStyle w:val="VRGF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0DD392D"/>
    <w:multiLevelType w:val="hybridMultilevel"/>
    <w:tmpl w:val="52BC8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1333A54"/>
    <w:multiLevelType w:val="hybridMultilevel"/>
    <w:tmpl w:val="BDDC3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267367"/>
    <w:multiLevelType w:val="hybridMultilevel"/>
    <w:tmpl w:val="299CC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38C2D50"/>
    <w:multiLevelType w:val="hybridMultilevel"/>
    <w:tmpl w:val="F57C39F0"/>
    <w:lvl w:ilvl="0" w:tplc="A8C29D10">
      <w:start w:val="3"/>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5E2BE5"/>
    <w:multiLevelType w:val="hybridMultilevel"/>
    <w:tmpl w:val="315E6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99A03C5"/>
    <w:multiLevelType w:val="hybridMultilevel"/>
    <w:tmpl w:val="B47219A0"/>
    <w:lvl w:ilvl="0" w:tplc="0F8273DA">
      <w:start w:val="1"/>
      <w:numFmt w:val="decimal"/>
      <w:lvlText w:val="%1)"/>
      <w:lvlJc w:val="left"/>
      <w:pPr>
        <w:ind w:left="990" w:hanging="99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A62761D"/>
    <w:multiLevelType w:val="hybridMultilevel"/>
    <w:tmpl w:val="46E05F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518DA3C">
      <w:start w:val="3"/>
      <w:numFmt w:val="bullet"/>
      <w:lvlText w:val="-"/>
      <w:lvlJc w:val="left"/>
      <w:pPr>
        <w:ind w:left="2160" w:hanging="360"/>
      </w:pPr>
      <w:rPr>
        <w:rFonts w:ascii="Arial" w:eastAsia="MS Mincho"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0F256C"/>
    <w:multiLevelType w:val="hybridMultilevel"/>
    <w:tmpl w:val="E90270DC"/>
    <w:lvl w:ilvl="0" w:tplc="0B66906C">
      <w:start w:val="1"/>
      <w:numFmt w:val="bullet"/>
      <w:pStyle w:val="VRGFBulletedlis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02E584C"/>
    <w:multiLevelType w:val="hybridMultilevel"/>
    <w:tmpl w:val="1D78EAF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117420E"/>
    <w:multiLevelType w:val="hybridMultilevel"/>
    <w:tmpl w:val="BAE6B3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0" w15:restartNumberingAfterBreak="0">
    <w:nsid w:val="71A91EBF"/>
    <w:multiLevelType w:val="hybridMultilevel"/>
    <w:tmpl w:val="720E0AA6"/>
    <w:lvl w:ilvl="0" w:tplc="B27CE77A">
      <w:start w:val="1"/>
      <w:numFmt w:val="bullet"/>
      <w:lvlText w:val=""/>
      <w:lvlJc w:val="left"/>
      <w:pPr>
        <w:ind w:left="720" w:hanging="360"/>
      </w:pPr>
      <w:rPr>
        <w:rFonts w:ascii="Symbol" w:hAnsi="Symbol" w:hint="default"/>
        <w:spacing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29D5075"/>
    <w:multiLevelType w:val="hybridMultilevel"/>
    <w:tmpl w:val="D1AAFD22"/>
    <w:lvl w:ilvl="0" w:tplc="8A149F62">
      <w:start w:val="1"/>
      <w:numFmt w:val="decimal"/>
      <w:pStyle w:val="Numberedlist"/>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7A916430"/>
    <w:multiLevelType w:val="hybridMultilevel"/>
    <w:tmpl w:val="E9C2354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7C121755"/>
    <w:multiLevelType w:val="hybridMultilevel"/>
    <w:tmpl w:val="FB78EB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7"/>
  </w:num>
  <w:num w:numId="2">
    <w:abstractNumId w:val="41"/>
  </w:num>
  <w:num w:numId="3">
    <w:abstractNumId w:val="1"/>
  </w:num>
  <w:num w:numId="4">
    <w:abstractNumId w:val="0"/>
  </w:num>
  <w:num w:numId="5">
    <w:abstractNumId w:val="29"/>
  </w:num>
  <w:num w:numId="6">
    <w:abstractNumId w:val="29"/>
    <w:lvlOverride w:ilvl="0">
      <w:startOverride w:val="1"/>
    </w:lvlOverride>
  </w:num>
  <w:num w:numId="7">
    <w:abstractNumId w:val="7"/>
  </w:num>
  <w:num w:numId="8">
    <w:abstractNumId w:val="6"/>
  </w:num>
  <w:num w:numId="9">
    <w:abstractNumId w:val="43"/>
  </w:num>
  <w:num w:numId="10">
    <w:abstractNumId w:val="10"/>
  </w:num>
  <w:num w:numId="11">
    <w:abstractNumId w:val="21"/>
  </w:num>
  <w:num w:numId="12">
    <w:abstractNumId w:val="5"/>
  </w:num>
  <w:num w:numId="13">
    <w:abstractNumId w:val="9"/>
  </w:num>
  <w:num w:numId="14">
    <w:abstractNumId w:val="25"/>
  </w:num>
  <w:num w:numId="15">
    <w:abstractNumId w:val="36"/>
  </w:num>
  <w:num w:numId="16">
    <w:abstractNumId w:val="28"/>
  </w:num>
  <w:num w:numId="17">
    <w:abstractNumId w:val="16"/>
  </w:num>
  <w:num w:numId="18">
    <w:abstractNumId w:val="23"/>
  </w:num>
  <w:num w:numId="19">
    <w:abstractNumId w:val="24"/>
  </w:num>
  <w:num w:numId="20">
    <w:abstractNumId w:val="40"/>
  </w:num>
  <w:num w:numId="21">
    <w:abstractNumId w:val="20"/>
  </w:num>
  <w:num w:numId="22">
    <w:abstractNumId w:val="2"/>
  </w:num>
  <w:num w:numId="23">
    <w:abstractNumId w:val="8"/>
  </w:num>
  <w:num w:numId="24">
    <w:abstractNumId w:val="3"/>
  </w:num>
  <w:num w:numId="25">
    <w:abstractNumId w:val="27"/>
  </w:num>
  <w:num w:numId="26">
    <w:abstractNumId w:val="19"/>
  </w:num>
  <w:num w:numId="27">
    <w:abstractNumId w:val="38"/>
  </w:num>
  <w:num w:numId="28">
    <w:abstractNumId w:val="12"/>
  </w:num>
  <w:num w:numId="29">
    <w:abstractNumId w:val="4"/>
  </w:num>
  <w:num w:numId="30">
    <w:abstractNumId w:val="42"/>
  </w:num>
  <w:num w:numId="31">
    <w:abstractNumId w:val="39"/>
  </w:num>
  <w:num w:numId="32">
    <w:abstractNumId w:val="30"/>
  </w:num>
  <w:num w:numId="33">
    <w:abstractNumId w:val="29"/>
    <w:lvlOverride w:ilvl="0">
      <w:startOverride w:val="1"/>
    </w:lvlOverride>
  </w:num>
  <w:num w:numId="34">
    <w:abstractNumId w:val="29"/>
    <w:lvlOverride w:ilvl="0">
      <w:startOverride w:val="1"/>
    </w:lvlOverride>
  </w:num>
  <w:num w:numId="35">
    <w:abstractNumId w:val="29"/>
    <w:lvlOverride w:ilvl="0">
      <w:startOverride w:val="1"/>
    </w:lvlOverride>
  </w:num>
  <w:num w:numId="36">
    <w:abstractNumId w:val="31"/>
  </w:num>
  <w:num w:numId="37">
    <w:abstractNumId w:val="17"/>
  </w:num>
  <w:num w:numId="38">
    <w:abstractNumId w:val="32"/>
  </w:num>
  <w:num w:numId="39">
    <w:abstractNumId w:val="34"/>
  </w:num>
  <w:num w:numId="40">
    <w:abstractNumId w:val="14"/>
  </w:num>
  <w:num w:numId="41">
    <w:abstractNumId w:val="29"/>
    <w:lvlOverride w:ilvl="0">
      <w:startOverride w:val="1"/>
    </w:lvlOverride>
  </w:num>
  <w:num w:numId="42">
    <w:abstractNumId w:val="35"/>
  </w:num>
  <w:num w:numId="43">
    <w:abstractNumId w:val="26"/>
  </w:num>
  <w:num w:numId="44">
    <w:abstractNumId w:val="13"/>
  </w:num>
  <w:num w:numId="45">
    <w:abstractNumId w:val="22"/>
  </w:num>
  <w:num w:numId="46">
    <w:abstractNumId w:val="15"/>
  </w:num>
  <w:num w:numId="47">
    <w:abstractNumId w:val="11"/>
  </w:num>
  <w:num w:numId="48">
    <w:abstractNumId w:val="33"/>
  </w:num>
  <w:num w:numId="4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49"/>
    <w:rsid w:val="00000428"/>
    <w:rsid w:val="00001AA8"/>
    <w:rsid w:val="00001F4E"/>
    <w:rsid w:val="000027AA"/>
    <w:rsid w:val="00003AA0"/>
    <w:rsid w:val="00003FCC"/>
    <w:rsid w:val="0000575E"/>
    <w:rsid w:val="00005810"/>
    <w:rsid w:val="00005877"/>
    <w:rsid w:val="00005891"/>
    <w:rsid w:val="00005EEE"/>
    <w:rsid w:val="000061FE"/>
    <w:rsid w:val="00006392"/>
    <w:rsid w:val="000063F5"/>
    <w:rsid w:val="0000647C"/>
    <w:rsid w:val="00006599"/>
    <w:rsid w:val="000068DE"/>
    <w:rsid w:val="00006D53"/>
    <w:rsid w:val="00007761"/>
    <w:rsid w:val="00007EB2"/>
    <w:rsid w:val="00010445"/>
    <w:rsid w:val="00010944"/>
    <w:rsid w:val="00010EFA"/>
    <w:rsid w:val="000116D0"/>
    <w:rsid w:val="0001200B"/>
    <w:rsid w:val="00014715"/>
    <w:rsid w:val="0001487F"/>
    <w:rsid w:val="00014C23"/>
    <w:rsid w:val="000153FB"/>
    <w:rsid w:val="0001605E"/>
    <w:rsid w:val="0001636D"/>
    <w:rsid w:val="0001643D"/>
    <w:rsid w:val="00017198"/>
    <w:rsid w:val="00020611"/>
    <w:rsid w:val="000216B6"/>
    <w:rsid w:val="00022AD8"/>
    <w:rsid w:val="00022F29"/>
    <w:rsid w:val="00023453"/>
    <w:rsid w:val="00024C41"/>
    <w:rsid w:val="00024DD7"/>
    <w:rsid w:val="00025345"/>
    <w:rsid w:val="00025B8A"/>
    <w:rsid w:val="00025DAA"/>
    <w:rsid w:val="00026B75"/>
    <w:rsid w:val="000279B9"/>
    <w:rsid w:val="00027A56"/>
    <w:rsid w:val="00027D60"/>
    <w:rsid w:val="000300D4"/>
    <w:rsid w:val="000301D8"/>
    <w:rsid w:val="00031630"/>
    <w:rsid w:val="00031C88"/>
    <w:rsid w:val="00031D12"/>
    <w:rsid w:val="00032045"/>
    <w:rsid w:val="00032461"/>
    <w:rsid w:val="00033924"/>
    <w:rsid w:val="00033983"/>
    <w:rsid w:val="00034285"/>
    <w:rsid w:val="00034495"/>
    <w:rsid w:val="0003495A"/>
    <w:rsid w:val="000350DB"/>
    <w:rsid w:val="0003653F"/>
    <w:rsid w:val="00036E57"/>
    <w:rsid w:val="000370EE"/>
    <w:rsid w:val="000400B9"/>
    <w:rsid w:val="00040722"/>
    <w:rsid w:val="00041285"/>
    <w:rsid w:val="000416CA"/>
    <w:rsid w:val="00041A1E"/>
    <w:rsid w:val="00041BF4"/>
    <w:rsid w:val="000421FF"/>
    <w:rsid w:val="00042990"/>
    <w:rsid w:val="000446D1"/>
    <w:rsid w:val="000447DA"/>
    <w:rsid w:val="00044A20"/>
    <w:rsid w:val="000453F5"/>
    <w:rsid w:val="000464F6"/>
    <w:rsid w:val="00046A31"/>
    <w:rsid w:val="00047A2D"/>
    <w:rsid w:val="00047FBD"/>
    <w:rsid w:val="000508E9"/>
    <w:rsid w:val="0005104A"/>
    <w:rsid w:val="00051EF8"/>
    <w:rsid w:val="000525B8"/>
    <w:rsid w:val="0005340A"/>
    <w:rsid w:val="00053645"/>
    <w:rsid w:val="000536C3"/>
    <w:rsid w:val="00053992"/>
    <w:rsid w:val="00053E17"/>
    <w:rsid w:val="00053FF5"/>
    <w:rsid w:val="00054BC9"/>
    <w:rsid w:val="0005505C"/>
    <w:rsid w:val="00055343"/>
    <w:rsid w:val="00055A49"/>
    <w:rsid w:val="00055D4D"/>
    <w:rsid w:val="00055F7F"/>
    <w:rsid w:val="000562BE"/>
    <w:rsid w:val="00056374"/>
    <w:rsid w:val="00056BDC"/>
    <w:rsid w:val="000574CD"/>
    <w:rsid w:val="0005788A"/>
    <w:rsid w:val="00057FC9"/>
    <w:rsid w:val="000604E9"/>
    <w:rsid w:val="00060554"/>
    <w:rsid w:val="00061ACD"/>
    <w:rsid w:val="000632C1"/>
    <w:rsid w:val="000633CF"/>
    <w:rsid w:val="0006379C"/>
    <w:rsid w:val="00063FD0"/>
    <w:rsid w:val="000645D9"/>
    <w:rsid w:val="0006479A"/>
    <w:rsid w:val="00066313"/>
    <w:rsid w:val="000667A2"/>
    <w:rsid w:val="00070E91"/>
    <w:rsid w:val="00071452"/>
    <w:rsid w:val="000716E9"/>
    <w:rsid w:val="000718FD"/>
    <w:rsid w:val="000726FE"/>
    <w:rsid w:val="00072984"/>
    <w:rsid w:val="00074292"/>
    <w:rsid w:val="0007579C"/>
    <w:rsid w:val="00076349"/>
    <w:rsid w:val="00076D6B"/>
    <w:rsid w:val="00077978"/>
    <w:rsid w:val="00077A26"/>
    <w:rsid w:val="00077ADC"/>
    <w:rsid w:val="00077E3E"/>
    <w:rsid w:val="00080197"/>
    <w:rsid w:val="000804D5"/>
    <w:rsid w:val="0008145C"/>
    <w:rsid w:val="0008165F"/>
    <w:rsid w:val="00081D95"/>
    <w:rsid w:val="0008274B"/>
    <w:rsid w:val="00083558"/>
    <w:rsid w:val="0008537D"/>
    <w:rsid w:val="00085734"/>
    <w:rsid w:val="000857B2"/>
    <w:rsid w:val="00085CF6"/>
    <w:rsid w:val="00086DF2"/>
    <w:rsid w:val="00087EC9"/>
    <w:rsid w:val="000910A8"/>
    <w:rsid w:val="00091AEA"/>
    <w:rsid w:val="00091DC2"/>
    <w:rsid w:val="0009257D"/>
    <w:rsid w:val="000933C3"/>
    <w:rsid w:val="000937A5"/>
    <w:rsid w:val="000943A9"/>
    <w:rsid w:val="0009573A"/>
    <w:rsid w:val="00095E78"/>
    <w:rsid w:val="00095F10"/>
    <w:rsid w:val="0009630D"/>
    <w:rsid w:val="000A069C"/>
    <w:rsid w:val="000A076B"/>
    <w:rsid w:val="000A096E"/>
    <w:rsid w:val="000A0C88"/>
    <w:rsid w:val="000A1B0D"/>
    <w:rsid w:val="000A22AB"/>
    <w:rsid w:val="000A346C"/>
    <w:rsid w:val="000A3C4D"/>
    <w:rsid w:val="000A41B1"/>
    <w:rsid w:val="000A4355"/>
    <w:rsid w:val="000A4FB7"/>
    <w:rsid w:val="000A5CD8"/>
    <w:rsid w:val="000A6656"/>
    <w:rsid w:val="000B0BF4"/>
    <w:rsid w:val="000B0FAB"/>
    <w:rsid w:val="000B10E3"/>
    <w:rsid w:val="000B1C4C"/>
    <w:rsid w:val="000B22ED"/>
    <w:rsid w:val="000B2FFA"/>
    <w:rsid w:val="000B30F7"/>
    <w:rsid w:val="000B362B"/>
    <w:rsid w:val="000B428D"/>
    <w:rsid w:val="000B4435"/>
    <w:rsid w:val="000B56C3"/>
    <w:rsid w:val="000B5D87"/>
    <w:rsid w:val="000B7B76"/>
    <w:rsid w:val="000B7BC6"/>
    <w:rsid w:val="000C0141"/>
    <w:rsid w:val="000C03A7"/>
    <w:rsid w:val="000C0777"/>
    <w:rsid w:val="000C20A3"/>
    <w:rsid w:val="000C36F5"/>
    <w:rsid w:val="000C381B"/>
    <w:rsid w:val="000C39F9"/>
    <w:rsid w:val="000C4439"/>
    <w:rsid w:val="000C45BF"/>
    <w:rsid w:val="000C57BD"/>
    <w:rsid w:val="000C592A"/>
    <w:rsid w:val="000C5EAE"/>
    <w:rsid w:val="000C61A7"/>
    <w:rsid w:val="000C6489"/>
    <w:rsid w:val="000C70FE"/>
    <w:rsid w:val="000C710A"/>
    <w:rsid w:val="000C74B1"/>
    <w:rsid w:val="000C7CA9"/>
    <w:rsid w:val="000C7FBD"/>
    <w:rsid w:val="000D048C"/>
    <w:rsid w:val="000D0A19"/>
    <w:rsid w:val="000D0E9E"/>
    <w:rsid w:val="000D129E"/>
    <w:rsid w:val="000D1E3E"/>
    <w:rsid w:val="000D2FDE"/>
    <w:rsid w:val="000D418D"/>
    <w:rsid w:val="000D561C"/>
    <w:rsid w:val="000D5E40"/>
    <w:rsid w:val="000D5E69"/>
    <w:rsid w:val="000D6180"/>
    <w:rsid w:val="000D7650"/>
    <w:rsid w:val="000E01C4"/>
    <w:rsid w:val="000E055E"/>
    <w:rsid w:val="000E0658"/>
    <w:rsid w:val="000E165E"/>
    <w:rsid w:val="000E2254"/>
    <w:rsid w:val="000E3C5E"/>
    <w:rsid w:val="000E3CC8"/>
    <w:rsid w:val="000E4AFF"/>
    <w:rsid w:val="000E772D"/>
    <w:rsid w:val="000E7B0F"/>
    <w:rsid w:val="000E7BF0"/>
    <w:rsid w:val="000E7C36"/>
    <w:rsid w:val="000E7CEE"/>
    <w:rsid w:val="000F0462"/>
    <w:rsid w:val="000F14B0"/>
    <w:rsid w:val="000F1754"/>
    <w:rsid w:val="000F17CC"/>
    <w:rsid w:val="000F181B"/>
    <w:rsid w:val="000F19C2"/>
    <w:rsid w:val="000F1A60"/>
    <w:rsid w:val="000F1DB4"/>
    <w:rsid w:val="000F1F90"/>
    <w:rsid w:val="000F2AF6"/>
    <w:rsid w:val="000F3042"/>
    <w:rsid w:val="000F6726"/>
    <w:rsid w:val="000F7319"/>
    <w:rsid w:val="001003FE"/>
    <w:rsid w:val="0010059B"/>
    <w:rsid w:val="001018C3"/>
    <w:rsid w:val="001038E8"/>
    <w:rsid w:val="0010414D"/>
    <w:rsid w:val="00104801"/>
    <w:rsid w:val="00105867"/>
    <w:rsid w:val="00105D04"/>
    <w:rsid w:val="00105D30"/>
    <w:rsid w:val="00105DA9"/>
    <w:rsid w:val="0010610E"/>
    <w:rsid w:val="00106ACA"/>
    <w:rsid w:val="001076CB"/>
    <w:rsid w:val="00110287"/>
    <w:rsid w:val="001110D5"/>
    <w:rsid w:val="0011210A"/>
    <w:rsid w:val="00112E81"/>
    <w:rsid w:val="00113811"/>
    <w:rsid w:val="00113A03"/>
    <w:rsid w:val="00113EDF"/>
    <w:rsid w:val="00114A95"/>
    <w:rsid w:val="00114CED"/>
    <w:rsid w:val="00114E96"/>
    <w:rsid w:val="00115D65"/>
    <w:rsid w:val="00116A1B"/>
    <w:rsid w:val="00117A6F"/>
    <w:rsid w:val="00117CCB"/>
    <w:rsid w:val="00120343"/>
    <w:rsid w:val="00120623"/>
    <w:rsid w:val="0012241A"/>
    <w:rsid w:val="0012396C"/>
    <w:rsid w:val="00123D79"/>
    <w:rsid w:val="0012425C"/>
    <w:rsid w:val="001244D0"/>
    <w:rsid w:val="00124C1C"/>
    <w:rsid w:val="00124E16"/>
    <w:rsid w:val="00125C1D"/>
    <w:rsid w:val="00126A10"/>
    <w:rsid w:val="0012726B"/>
    <w:rsid w:val="0012784F"/>
    <w:rsid w:val="00127944"/>
    <w:rsid w:val="00127B0A"/>
    <w:rsid w:val="0013036C"/>
    <w:rsid w:val="00130A3E"/>
    <w:rsid w:val="00132D5E"/>
    <w:rsid w:val="0013351D"/>
    <w:rsid w:val="00134256"/>
    <w:rsid w:val="00134577"/>
    <w:rsid w:val="00136EF1"/>
    <w:rsid w:val="001373BA"/>
    <w:rsid w:val="00137ED6"/>
    <w:rsid w:val="001402E7"/>
    <w:rsid w:val="001408B2"/>
    <w:rsid w:val="001408CC"/>
    <w:rsid w:val="00142622"/>
    <w:rsid w:val="00142B63"/>
    <w:rsid w:val="00143120"/>
    <w:rsid w:val="0014318F"/>
    <w:rsid w:val="0014354A"/>
    <w:rsid w:val="0014386A"/>
    <w:rsid w:val="00143B8F"/>
    <w:rsid w:val="00143D24"/>
    <w:rsid w:val="00143F6A"/>
    <w:rsid w:val="001440AD"/>
    <w:rsid w:val="00145453"/>
    <w:rsid w:val="0014594C"/>
    <w:rsid w:val="00145AA7"/>
    <w:rsid w:val="001460D5"/>
    <w:rsid w:val="00146A9A"/>
    <w:rsid w:val="0015191D"/>
    <w:rsid w:val="0015228F"/>
    <w:rsid w:val="00152424"/>
    <w:rsid w:val="00152477"/>
    <w:rsid w:val="00152DB7"/>
    <w:rsid w:val="001533EC"/>
    <w:rsid w:val="001536E6"/>
    <w:rsid w:val="00153E12"/>
    <w:rsid w:val="0015443A"/>
    <w:rsid w:val="001546A4"/>
    <w:rsid w:val="001552A9"/>
    <w:rsid w:val="00156F18"/>
    <w:rsid w:val="001576F5"/>
    <w:rsid w:val="00157C44"/>
    <w:rsid w:val="00157FDD"/>
    <w:rsid w:val="001601DD"/>
    <w:rsid w:val="0016236E"/>
    <w:rsid w:val="00162988"/>
    <w:rsid w:val="00164060"/>
    <w:rsid w:val="00164AA6"/>
    <w:rsid w:val="00164C84"/>
    <w:rsid w:val="00164E60"/>
    <w:rsid w:val="00165053"/>
    <w:rsid w:val="00165D06"/>
    <w:rsid w:val="00167015"/>
    <w:rsid w:val="001670CC"/>
    <w:rsid w:val="00167A8F"/>
    <w:rsid w:val="00167C61"/>
    <w:rsid w:val="00170054"/>
    <w:rsid w:val="00171750"/>
    <w:rsid w:val="00171823"/>
    <w:rsid w:val="00172087"/>
    <w:rsid w:val="001728A5"/>
    <w:rsid w:val="00173C01"/>
    <w:rsid w:val="001747F6"/>
    <w:rsid w:val="001756EA"/>
    <w:rsid w:val="001756EF"/>
    <w:rsid w:val="00176029"/>
    <w:rsid w:val="0017686A"/>
    <w:rsid w:val="00176D35"/>
    <w:rsid w:val="00177224"/>
    <w:rsid w:val="00181176"/>
    <w:rsid w:val="001826B1"/>
    <w:rsid w:val="00182FBC"/>
    <w:rsid w:val="0018322C"/>
    <w:rsid w:val="00183574"/>
    <w:rsid w:val="0018391B"/>
    <w:rsid w:val="001849AE"/>
    <w:rsid w:val="00184F72"/>
    <w:rsid w:val="0018584B"/>
    <w:rsid w:val="00186190"/>
    <w:rsid w:val="00186FA4"/>
    <w:rsid w:val="001870F0"/>
    <w:rsid w:val="001878C3"/>
    <w:rsid w:val="00190984"/>
    <w:rsid w:val="00191089"/>
    <w:rsid w:val="001917DF"/>
    <w:rsid w:val="00191866"/>
    <w:rsid w:val="001935F5"/>
    <w:rsid w:val="001936E2"/>
    <w:rsid w:val="00194462"/>
    <w:rsid w:val="001944F2"/>
    <w:rsid w:val="001945A7"/>
    <w:rsid w:val="00194665"/>
    <w:rsid w:val="0019488D"/>
    <w:rsid w:val="00194A11"/>
    <w:rsid w:val="00194C8F"/>
    <w:rsid w:val="001957F0"/>
    <w:rsid w:val="00195B2F"/>
    <w:rsid w:val="00196EE8"/>
    <w:rsid w:val="00196F9E"/>
    <w:rsid w:val="001A0489"/>
    <w:rsid w:val="001A1331"/>
    <w:rsid w:val="001A1799"/>
    <w:rsid w:val="001A214D"/>
    <w:rsid w:val="001A3F32"/>
    <w:rsid w:val="001A3F83"/>
    <w:rsid w:val="001A44DB"/>
    <w:rsid w:val="001A4A2E"/>
    <w:rsid w:val="001A5157"/>
    <w:rsid w:val="001A5B57"/>
    <w:rsid w:val="001A6AAD"/>
    <w:rsid w:val="001A7903"/>
    <w:rsid w:val="001A7BFD"/>
    <w:rsid w:val="001A7E4B"/>
    <w:rsid w:val="001B148A"/>
    <w:rsid w:val="001B163D"/>
    <w:rsid w:val="001B164F"/>
    <w:rsid w:val="001B1869"/>
    <w:rsid w:val="001B20B8"/>
    <w:rsid w:val="001B2940"/>
    <w:rsid w:val="001B2FF3"/>
    <w:rsid w:val="001B3063"/>
    <w:rsid w:val="001B454C"/>
    <w:rsid w:val="001B4695"/>
    <w:rsid w:val="001B4D75"/>
    <w:rsid w:val="001B4F23"/>
    <w:rsid w:val="001B62C6"/>
    <w:rsid w:val="001B6420"/>
    <w:rsid w:val="001B6B16"/>
    <w:rsid w:val="001B6E48"/>
    <w:rsid w:val="001B7C7D"/>
    <w:rsid w:val="001C090B"/>
    <w:rsid w:val="001C0A52"/>
    <w:rsid w:val="001C11B3"/>
    <w:rsid w:val="001C1406"/>
    <w:rsid w:val="001C23EB"/>
    <w:rsid w:val="001C29E6"/>
    <w:rsid w:val="001C3456"/>
    <w:rsid w:val="001C363E"/>
    <w:rsid w:val="001C3B71"/>
    <w:rsid w:val="001C4971"/>
    <w:rsid w:val="001C4A1F"/>
    <w:rsid w:val="001C4FEC"/>
    <w:rsid w:val="001C5CCF"/>
    <w:rsid w:val="001C63C6"/>
    <w:rsid w:val="001C70AB"/>
    <w:rsid w:val="001C7242"/>
    <w:rsid w:val="001C74C8"/>
    <w:rsid w:val="001D0078"/>
    <w:rsid w:val="001D0510"/>
    <w:rsid w:val="001D1A45"/>
    <w:rsid w:val="001D21A1"/>
    <w:rsid w:val="001D2316"/>
    <w:rsid w:val="001D2F23"/>
    <w:rsid w:val="001D3BA6"/>
    <w:rsid w:val="001D4B09"/>
    <w:rsid w:val="001D524A"/>
    <w:rsid w:val="001D56C9"/>
    <w:rsid w:val="001D578B"/>
    <w:rsid w:val="001D5A33"/>
    <w:rsid w:val="001D74F3"/>
    <w:rsid w:val="001D7D88"/>
    <w:rsid w:val="001E17C5"/>
    <w:rsid w:val="001E1891"/>
    <w:rsid w:val="001E1CC4"/>
    <w:rsid w:val="001E1FEA"/>
    <w:rsid w:val="001E3D78"/>
    <w:rsid w:val="001E3F0C"/>
    <w:rsid w:val="001E51FF"/>
    <w:rsid w:val="001E5DF0"/>
    <w:rsid w:val="001E624F"/>
    <w:rsid w:val="001E6345"/>
    <w:rsid w:val="001E676C"/>
    <w:rsid w:val="001E7BF3"/>
    <w:rsid w:val="001F2097"/>
    <w:rsid w:val="001F3EDB"/>
    <w:rsid w:val="001F46B5"/>
    <w:rsid w:val="001F560C"/>
    <w:rsid w:val="001F5E0E"/>
    <w:rsid w:val="001F5EAC"/>
    <w:rsid w:val="001F665D"/>
    <w:rsid w:val="002000C4"/>
    <w:rsid w:val="00200760"/>
    <w:rsid w:val="00201759"/>
    <w:rsid w:val="00203A2A"/>
    <w:rsid w:val="00203FEE"/>
    <w:rsid w:val="00205452"/>
    <w:rsid w:val="00205EA3"/>
    <w:rsid w:val="0020615F"/>
    <w:rsid w:val="002068D5"/>
    <w:rsid w:val="002073A3"/>
    <w:rsid w:val="00207B9F"/>
    <w:rsid w:val="00210759"/>
    <w:rsid w:val="00211282"/>
    <w:rsid w:val="002112EB"/>
    <w:rsid w:val="00212521"/>
    <w:rsid w:val="00212D52"/>
    <w:rsid w:val="00212D8B"/>
    <w:rsid w:val="0021326A"/>
    <w:rsid w:val="00213D95"/>
    <w:rsid w:val="0021451B"/>
    <w:rsid w:val="00214970"/>
    <w:rsid w:val="00216A7B"/>
    <w:rsid w:val="00216C65"/>
    <w:rsid w:val="002178F5"/>
    <w:rsid w:val="00217D59"/>
    <w:rsid w:val="0022041E"/>
    <w:rsid w:val="00221462"/>
    <w:rsid w:val="00221B0F"/>
    <w:rsid w:val="002225F4"/>
    <w:rsid w:val="002245DA"/>
    <w:rsid w:val="0022484B"/>
    <w:rsid w:val="002249DE"/>
    <w:rsid w:val="00224BF8"/>
    <w:rsid w:val="00224CBF"/>
    <w:rsid w:val="002252B2"/>
    <w:rsid w:val="0022680D"/>
    <w:rsid w:val="00226F5A"/>
    <w:rsid w:val="0022724E"/>
    <w:rsid w:val="00227356"/>
    <w:rsid w:val="002273E9"/>
    <w:rsid w:val="00227723"/>
    <w:rsid w:val="00230A2E"/>
    <w:rsid w:val="002312BC"/>
    <w:rsid w:val="00231B33"/>
    <w:rsid w:val="002324E4"/>
    <w:rsid w:val="002326C9"/>
    <w:rsid w:val="00233167"/>
    <w:rsid w:val="00233833"/>
    <w:rsid w:val="00233AB2"/>
    <w:rsid w:val="00233DDD"/>
    <w:rsid w:val="0023426A"/>
    <w:rsid w:val="00234412"/>
    <w:rsid w:val="002346D5"/>
    <w:rsid w:val="00234FB9"/>
    <w:rsid w:val="00235A0F"/>
    <w:rsid w:val="00236213"/>
    <w:rsid w:val="002362B8"/>
    <w:rsid w:val="002363A5"/>
    <w:rsid w:val="002363CB"/>
    <w:rsid w:val="002370E9"/>
    <w:rsid w:val="00237248"/>
    <w:rsid w:val="002404BD"/>
    <w:rsid w:val="0024083A"/>
    <w:rsid w:val="00243762"/>
    <w:rsid w:val="00244833"/>
    <w:rsid w:val="00244FEA"/>
    <w:rsid w:val="00246C4E"/>
    <w:rsid w:val="00246DC9"/>
    <w:rsid w:val="00246EE4"/>
    <w:rsid w:val="00246FDB"/>
    <w:rsid w:val="00247A7D"/>
    <w:rsid w:val="0025042D"/>
    <w:rsid w:val="002516C7"/>
    <w:rsid w:val="0025214C"/>
    <w:rsid w:val="00252BC4"/>
    <w:rsid w:val="00252DC5"/>
    <w:rsid w:val="002532FC"/>
    <w:rsid w:val="002546E8"/>
    <w:rsid w:val="002552FC"/>
    <w:rsid w:val="00255684"/>
    <w:rsid w:val="0025778F"/>
    <w:rsid w:val="0025793F"/>
    <w:rsid w:val="00257D3D"/>
    <w:rsid w:val="002610EA"/>
    <w:rsid w:val="0026116A"/>
    <w:rsid w:val="00261D8E"/>
    <w:rsid w:val="002621B9"/>
    <w:rsid w:val="002621C4"/>
    <w:rsid w:val="00262765"/>
    <w:rsid w:val="00262C37"/>
    <w:rsid w:val="00262CD8"/>
    <w:rsid w:val="00262ED1"/>
    <w:rsid w:val="00263368"/>
    <w:rsid w:val="0026369F"/>
    <w:rsid w:val="0026487A"/>
    <w:rsid w:val="00264A7E"/>
    <w:rsid w:val="00264D11"/>
    <w:rsid w:val="00265A70"/>
    <w:rsid w:val="00267050"/>
    <w:rsid w:val="00267BF2"/>
    <w:rsid w:val="002704F5"/>
    <w:rsid w:val="002708BC"/>
    <w:rsid w:val="002709CD"/>
    <w:rsid w:val="00271A3B"/>
    <w:rsid w:val="00272288"/>
    <w:rsid w:val="0027274E"/>
    <w:rsid w:val="00274C5E"/>
    <w:rsid w:val="00275D10"/>
    <w:rsid w:val="00276042"/>
    <w:rsid w:val="0027609F"/>
    <w:rsid w:val="00277480"/>
    <w:rsid w:val="00280262"/>
    <w:rsid w:val="002815FE"/>
    <w:rsid w:val="002827F5"/>
    <w:rsid w:val="00282D27"/>
    <w:rsid w:val="00283E28"/>
    <w:rsid w:val="002849AD"/>
    <w:rsid w:val="00284B64"/>
    <w:rsid w:val="00284E89"/>
    <w:rsid w:val="002862CD"/>
    <w:rsid w:val="00286F9C"/>
    <w:rsid w:val="00287A9C"/>
    <w:rsid w:val="002901C9"/>
    <w:rsid w:val="00290945"/>
    <w:rsid w:val="00290DC5"/>
    <w:rsid w:val="00290F43"/>
    <w:rsid w:val="002910C6"/>
    <w:rsid w:val="002916CF"/>
    <w:rsid w:val="002918EE"/>
    <w:rsid w:val="002918FA"/>
    <w:rsid w:val="00292142"/>
    <w:rsid w:val="00292BC2"/>
    <w:rsid w:val="00293534"/>
    <w:rsid w:val="00294242"/>
    <w:rsid w:val="00294345"/>
    <w:rsid w:val="0029510F"/>
    <w:rsid w:val="00295F7F"/>
    <w:rsid w:val="00296280"/>
    <w:rsid w:val="002964F0"/>
    <w:rsid w:val="00296541"/>
    <w:rsid w:val="0029739D"/>
    <w:rsid w:val="002A0967"/>
    <w:rsid w:val="002A0EBA"/>
    <w:rsid w:val="002A12DE"/>
    <w:rsid w:val="002A1889"/>
    <w:rsid w:val="002A1BE1"/>
    <w:rsid w:val="002A2410"/>
    <w:rsid w:val="002A2602"/>
    <w:rsid w:val="002A2FC7"/>
    <w:rsid w:val="002A3197"/>
    <w:rsid w:val="002A32CF"/>
    <w:rsid w:val="002A4428"/>
    <w:rsid w:val="002A5191"/>
    <w:rsid w:val="002A58E4"/>
    <w:rsid w:val="002A5B78"/>
    <w:rsid w:val="002A6767"/>
    <w:rsid w:val="002A6CC4"/>
    <w:rsid w:val="002A745F"/>
    <w:rsid w:val="002A7AA4"/>
    <w:rsid w:val="002A7AC2"/>
    <w:rsid w:val="002A7B5E"/>
    <w:rsid w:val="002A7DC3"/>
    <w:rsid w:val="002A7F5C"/>
    <w:rsid w:val="002B0045"/>
    <w:rsid w:val="002B014F"/>
    <w:rsid w:val="002B0BA1"/>
    <w:rsid w:val="002B1B0A"/>
    <w:rsid w:val="002B2546"/>
    <w:rsid w:val="002B25C3"/>
    <w:rsid w:val="002B333A"/>
    <w:rsid w:val="002B3A9F"/>
    <w:rsid w:val="002B45EB"/>
    <w:rsid w:val="002B5B96"/>
    <w:rsid w:val="002B70BF"/>
    <w:rsid w:val="002B7389"/>
    <w:rsid w:val="002B7980"/>
    <w:rsid w:val="002B7B7D"/>
    <w:rsid w:val="002C0907"/>
    <w:rsid w:val="002C18D8"/>
    <w:rsid w:val="002C1F76"/>
    <w:rsid w:val="002C21FE"/>
    <w:rsid w:val="002C3466"/>
    <w:rsid w:val="002C3800"/>
    <w:rsid w:val="002C3D92"/>
    <w:rsid w:val="002C44CE"/>
    <w:rsid w:val="002C5967"/>
    <w:rsid w:val="002C6277"/>
    <w:rsid w:val="002C6770"/>
    <w:rsid w:val="002C75B9"/>
    <w:rsid w:val="002C7EC3"/>
    <w:rsid w:val="002D07E6"/>
    <w:rsid w:val="002D13E9"/>
    <w:rsid w:val="002D1EC4"/>
    <w:rsid w:val="002D225F"/>
    <w:rsid w:val="002D26C4"/>
    <w:rsid w:val="002D29C5"/>
    <w:rsid w:val="002D385F"/>
    <w:rsid w:val="002D4331"/>
    <w:rsid w:val="002D5DD4"/>
    <w:rsid w:val="002D5FAD"/>
    <w:rsid w:val="002D6AC7"/>
    <w:rsid w:val="002D729F"/>
    <w:rsid w:val="002D7A0D"/>
    <w:rsid w:val="002D7EE9"/>
    <w:rsid w:val="002E005E"/>
    <w:rsid w:val="002E0445"/>
    <w:rsid w:val="002E05E5"/>
    <w:rsid w:val="002E06AB"/>
    <w:rsid w:val="002E0A56"/>
    <w:rsid w:val="002E164D"/>
    <w:rsid w:val="002E1A4B"/>
    <w:rsid w:val="002E3097"/>
    <w:rsid w:val="002E35B4"/>
    <w:rsid w:val="002E378F"/>
    <w:rsid w:val="002E3E96"/>
    <w:rsid w:val="002E4E5D"/>
    <w:rsid w:val="002E52CC"/>
    <w:rsid w:val="002E5910"/>
    <w:rsid w:val="002E596C"/>
    <w:rsid w:val="002E6C09"/>
    <w:rsid w:val="002E71C8"/>
    <w:rsid w:val="002F0AAB"/>
    <w:rsid w:val="002F112B"/>
    <w:rsid w:val="002F1471"/>
    <w:rsid w:val="002F199E"/>
    <w:rsid w:val="002F20CD"/>
    <w:rsid w:val="002F216E"/>
    <w:rsid w:val="002F2881"/>
    <w:rsid w:val="002F3889"/>
    <w:rsid w:val="002F6E08"/>
    <w:rsid w:val="002F7F90"/>
    <w:rsid w:val="00300553"/>
    <w:rsid w:val="0030076B"/>
    <w:rsid w:val="00301C55"/>
    <w:rsid w:val="00302276"/>
    <w:rsid w:val="00302348"/>
    <w:rsid w:val="003025FF"/>
    <w:rsid w:val="00302E8C"/>
    <w:rsid w:val="00303487"/>
    <w:rsid w:val="003070DD"/>
    <w:rsid w:val="003078CC"/>
    <w:rsid w:val="0031055D"/>
    <w:rsid w:val="00310BA2"/>
    <w:rsid w:val="003111A9"/>
    <w:rsid w:val="0031157D"/>
    <w:rsid w:val="0031197E"/>
    <w:rsid w:val="0031220B"/>
    <w:rsid w:val="00313C7A"/>
    <w:rsid w:val="003144FD"/>
    <w:rsid w:val="003146D9"/>
    <w:rsid w:val="003148A9"/>
    <w:rsid w:val="00314958"/>
    <w:rsid w:val="00314A2A"/>
    <w:rsid w:val="0031502C"/>
    <w:rsid w:val="003152EF"/>
    <w:rsid w:val="00316549"/>
    <w:rsid w:val="003168E4"/>
    <w:rsid w:val="00317957"/>
    <w:rsid w:val="003200D6"/>
    <w:rsid w:val="003208DA"/>
    <w:rsid w:val="00320CF9"/>
    <w:rsid w:val="00320D9A"/>
    <w:rsid w:val="0032141A"/>
    <w:rsid w:val="00321943"/>
    <w:rsid w:val="00321EDE"/>
    <w:rsid w:val="00322DC5"/>
    <w:rsid w:val="00322E15"/>
    <w:rsid w:val="00323AA6"/>
    <w:rsid w:val="00323E66"/>
    <w:rsid w:val="00327A6D"/>
    <w:rsid w:val="003301B9"/>
    <w:rsid w:val="003308FA"/>
    <w:rsid w:val="003319A3"/>
    <w:rsid w:val="00331A39"/>
    <w:rsid w:val="00331A45"/>
    <w:rsid w:val="003324F3"/>
    <w:rsid w:val="00333B14"/>
    <w:rsid w:val="00334526"/>
    <w:rsid w:val="003347F6"/>
    <w:rsid w:val="00334E7A"/>
    <w:rsid w:val="00335CB9"/>
    <w:rsid w:val="00336064"/>
    <w:rsid w:val="003366FB"/>
    <w:rsid w:val="00336895"/>
    <w:rsid w:val="00336D32"/>
    <w:rsid w:val="00337454"/>
    <w:rsid w:val="00337AAC"/>
    <w:rsid w:val="003408C9"/>
    <w:rsid w:val="003421A7"/>
    <w:rsid w:val="00343A3E"/>
    <w:rsid w:val="00343E43"/>
    <w:rsid w:val="00343F29"/>
    <w:rsid w:val="0034423A"/>
    <w:rsid w:val="0034431C"/>
    <w:rsid w:val="003458BF"/>
    <w:rsid w:val="00345C97"/>
    <w:rsid w:val="00345CD3"/>
    <w:rsid w:val="003462AE"/>
    <w:rsid w:val="00346DE3"/>
    <w:rsid w:val="00347845"/>
    <w:rsid w:val="00347BCA"/>
    <w:rsid w:val="00347EC3"/>
    <w:rsid w:val="00350BD6"/>
    <w:rsid w:val="003517AC"/>
    <w:rsid w:val="00351EA8"/>
    <w:rsid w:val="003523FA"/>
    <w:rsid w:val="00352497"/>
    <w:rsid w:val="003531D3"/>
    <w:rsid w:val="00353BF9"/>
    <w:rsid w:val="00355856"/>
    <w:rsid w:val="00355E3A"/>
    <w:rsid w:val="00356FC4"/>
    <w:rsid w:val="00357648"/>
    <w:rsid w:val="0035766B"/>
    <w:rsid w:val="00357F77"/>
    <w:rsid w:val="00357FAE"/>
    <w:rsid w:val="0036018B"/>
    <w:rsid w:val="00360625"/>
    <w:rsid w:val="00360B24"/>
    <w:rsid w:val="003610D4"/>
    <w:rsid w:val="003619ED"/>
    <w:rsid w:val="00361F5F"/>
    <w:rsid w:val="003620FD"/>
    <w:rsid w:val="00362F28"/>
    <w:rsid w:val="00364560"/>
    <w:rsid w:val="003648FD"/>
    <w:rsid w:val="00364990"/>
    <w:rsid w:val="00364C8D"/>
    <w:rsid w:val="00364D83"/>
    <w:rsid w:val="00365705"/>
    <w:rsid w:val="00365D95"/>
    <w:rsid w:val="00365FF7"/>
    <w:rsid w:val="00366169"/>
    <w:rsid w:val="00366530"/>
    <w:rsid w:val="00366767"/>
    <w:rsid w:val="00367C4B"/>
    <w:rsid w:val="00367CC7"/>
    <w:rsid w:val="003703BC"/>
    <w:rsid w:val="0037090D"/>
    <w:rsid w:val="0037092D"/>
    <w:rsid w:val="00370B28"/>
    <w:rsid w:val="00370D70"/>
    <w:rsid w:val="00371312"/>
    <w:rsid w:val="0037133E"/>
    <w:rsid w:val="00372B24"/>
    <w:rsid w:val="00372BB4"/>
    <w:rsid w:val="00372C27"/>
    <w:rsid w:val="00373794"/>
    <w:rsid w:val="00373A25"/>
    <w:rsid w:val="00374282"/>
    <w:rsid w:val="0037487A"/>
    <w:rsid w:val="00374958"/>
    <w:rsid w:val="0037527C"/>
    <w:rsid w:val="00377008"/>
    <w:rsid w:val="003808FB"/>
    <w:rsid w:val="00380F46"/>
    <w:rsid w:val="003810AF"/>
    <w:rsid w:val="00381839"/>
    <w:rsid w:val="00381CB2"/>
    <w:rsid w:val="00382C58"/>
    <w:rsid w:val="00383748"/>
    <w:rsid w:val="00383977"/>
    <w:rsid w:val="00383CF8"/>
    <w:rsid w:val="00383D2F"/>
    <w:rsid w:val="0038703B"/>
    <w:rsid w:val="003872EB"/>
    <w:rsid w:val="00387378"/>
    <w:rsid w:val="003874AF"/>
    <w:rsid w:val="00387768"/>
    <w:rsid w:val="003900B2"/>
    <w:rsid w:val="00391223"/>
    <w:rsid w:val="00392421"/>
    <w:rsid w:val="003926F4"/>
    <w:rsid w:val="0039347F"/>
    <w:rsid w:val="003938CB"/>
    <w:rsid w:val="0039415C"/>
    <w:rsid w:val="0039439B"/>
    <w:rsid w:val="00394B18"/>
    <w:rsid w:val="00395117"/>
    <w:rsid w:val="00396E0B"/>
    <w:rsid w:val="003976B1"/>
    <w:rsid w:val="003A04FD"/>
    <w:rsid w:val="003A0A24"/>
    <w:rsid w:val="003A1101"/>
    <w:rsid w:val="003A149D"/>
    <w:rsid w:val="003A193F"/>
    <w:rsid w:val="003A1EA9"/>
    <w:rsid w:val="003A2A21"/>
    <w:rsid w:val="003A2FE5"/>
    <w:rsid w:val="003A323C"/>
    <w:rsid w:val="003A3D15"/>
    <w:rsid w:val="003A48FC"/>
    <w:rsid w:val="003A4FC8"/>
    <w:rsid w:val="003A53A0"/>
    <w:rsid w:val="003A5807"/>
    <w:rsid w:val="003A58C4"/>
    <w:rsid w:val="003A6430"/>
    <w:rsid w:val="003A6B25"/>
    <w:rsid w:val="003A6DA7"/>
    <w:rsid w:val="003A7E30"/>
    <w:rsid w:val="003A7ED0"/>
    <w:rsid w:val="003B0770"/>
    <w:rsid w:val="003B12A3"/>
    <w:rsid w:val="003B1DB6"/>
    <w:rsid w:val="003B27F8"/>
    <w:rsid w:val="003B2EDA"/>
    <w:rsid w:val="003B302F"/>
    <w:rsid w:val="003B4785"/>
    <w:rsid w:val="003B4E46"/>
    <w:rsid w:val="003B6050"/>
    <w:rsid w:val="003B65FD"/>
    <w:rsid w:val="003B6AB5"/>
    <w:rsid w:val="003B70DB"/>
    <w:rsid w:val="003B719D"/>
    <w:rsid w:val="003C0D2F"/>
    <w:rsid w:val="003C212C"/>
    <w:rsid w:val="003C2FDE"/>
    <w:rsid w:val="003C3032"/>
    <w:rsid w:val="003C3402"/>
    <w:rsid w:val="003C3ADC"/>
    <w:rsid w:val="003C432A"/>
    <w:rsid w:val="003C4C10"/>
    <w:rsid w:val="003C58B3"/>
    <w:rsid w:val="003C6D1B"/>
    <w:rsid w:val="003C7D61"/>
    <w:rsid w:val="003D1314"/>
    <w:rsid w:val="003D13AA"/>
    <w:rsid w:val="003D1C09"/>
    <w:rsid w:val="003D24CD"/>
    <w:rsid w:val="003D2F3D"/>
    <w:rsid w:val="003D3355"/>
    <w:rsid w:val="003D4672"/>
    <w:rsid w:val="003D4892"/>
    <w:rsid w:val="003D4A81"/>
    <w:rsid w:val="003D4FF5"/>
    <w:rsid w:val="003D5100"/>
    <w:rsid w:val="003D5C08"/>
    <w:rsid w:val="003D77E6"/>
    <w:rsid w:val="003D7839"/>
    <w:rsid w:val="003E1C43"/>
    <w:rsid w:val="003E4B5D"/>
    <w:rsid w:val="003E4BB5"/>
    <w:rsid w:val="003E5722"/>
    <w:rsid w:val="003E58A6"/>
    <w:rsid w:val="003E6648"/>
    <w:rsid w:val="003E6D6E"/>
    <w:rsid w:val="003E7081"/>
    <w:rsid w:val="003E7699"/>
    <w:rsid w:val="003E7A08"/>
    <w:rsid w:val="003F102E"/>
    <w:rsid w:val="003F16EB"/>
    <w:rsid w:val="003F1CBC"/>
    <w:rsid w:val="003F2DAD"/>
    <w:rsid w:val="003F3CE7"/>
    <w:rsid w:val="003F4C2D"/>
    <w:rsid w:val="003F4CB1"/>
    <w:rsid w:val="003F5061"/>
    <w:rsid w:val="003F530E"/>
    <w:rsid w:val="003F713E"/>
    <w:rsid w:val="003F734C"/>
    <w:rsid w:val="003F740F"/>
    <w:rsid w:val="003F7486"/>
    <w:rsid w:val="00400455"/>
    <w:rsid w:val="00401461"/>
    <w:rsid w:val="00401DCB"/>
    <w:rsid w:val="00402152"/>
    <w:rsid w:val="0040245E"/>
    <w:rsid w:val="00402FDE"/>
    <w:rsid w:val="00403084"/>
    <w:rsid w:val="00404571"/>
    <w:rsid w:val="00404ABE"/>
    <w:rsid w:val="0040560D"/>
    <w:rsid w:val="00405E2B"/>
    <w:rsid w:val="00405F28"/>
    <w:rsid w:val="00405FD7"/>
    <w:rsid w:val="004060A5"/>
    <w:rsid w:val="004066F1"/>
    <w:rsid w:val="00406FB4"/>
    <w:rsid w:val="00407312"/>
    <w:rsid w:val="004074F1"/>
    <w:rsid w:val="00407536"/>
    <w:rsid w:val="0040753B"/>
    <w:rsid w:val="00407683"/>
    <w:rsid w:val="0040769F"/>
    <w:rsid w:val="00410B4A"/>
    <w:rsid w:val="00411218"/>
    <w:rsid w:val="0041152B"/>
    <w:rsid w:val="004118EA"/>
    <w:rsid w:val="00411F45"/>
    <w:rsid w:val="0041267F"/>
    <w:rsid w:val="004127F5"/>
    <w:rsid w:val="00412900"/>
    <w:rsid w:val="00413189"/>
    <w:rsid w:val="004135D7"/>
    <w:rsid w:val="00413607"/>
    <w:rsid w:val="00414381"/>
    <w:rsid w:val="004145DB"/>
    <w:rsid w:val="0041463E"/>
    <w:rsid w:val="004159CB"/>
    <w:rsid w:val="004170F5"/>
    <w:rsid w:val="004172D4"/>
    <w:rsid w:val="00417CBA"/>
    <w:rsid w:val="00420166"/>
    <w:rsid w:val="00420856"/>
    <w:rsid w:val="004208B5"/>
    <w:rsid w:val="00421267"/>
    <w:rsid w:val="004214D3"/>
    <w:rsid w:val="00422434"/>
    <w:rsid w:val="00422C00"/>
    <w:rsid w:val="0042324B"/>
    <w:rsid w:val="00423415"/>
    <w:rsid w:val="004236A9"/>
    <w:rsid w:val="00423E2F"/>
    <w:rsid w:val="004249EE"/>
    <w:rsid w:val="00424A15"/>
    <w:rsid w:val="00424A53"/>
    <w:rsid w:val="00425BA4"/>
    <w:rsid w:val="00425BF3"/>
    <w:rsid w:val="00426FF1"/>
    <w:rsid w:val="0042720A"/>
    <w:rsid w:val="00427328"/>
    <w:rsid w:val="004278DA"/>
    <w:rsid w:val="00430920"/>
    <w:rsid w:val="00430BDA"/>
    <w:rsid w:val="004311D8"/>
    <w:rsid w:val="00431A2A"/>
    <w:rsid w:val="00431F7A"/>
    <w:rsid w:val="004320D4"/>
    <w:rsid w:val="004322F3"/>
    <w:rsid w:val="0043252D"/>
    <w:rsid w:val="004325C7"/>
    <w:rsid w:val="004333BE"/>
    <w:rsid w:val="0043356F"/>
    <w:rsid w:val="004336B4"/>
    <w:rsid w:val="00433DE7"/>
    <w:rsid w:val="0043466E"/>
    <w:rsid w:val="00434C16"/>
    <w:rsid w:val="00434DB7"/>
    <w:rsid w:val="0043631A"/>
    <w:rsid w:val="00437A4E"/>
    <w:rsid w:val="00437A92"/>
    <w:rsid w:val="00437EC8"/>
    <w:rsid w:val="00437EDC"/>
    <w:rsid w:val="00440159"/>
    <w:rsid w:val="00440B23"/>
    <w:rsid w:val="00441263"/>
    <w:rsid w:val="00441595"/>
    <w:rsid w:val="00441BEC"/>
    <w:rsid w:val="004428D7"/>
    <w:rsid w:val="00442D31"/>
    <w:rsid w:val="00443D58"/>
    <w:rsid w:val="0044405D"/>
    <w:rsid w:val="0044407E"/>
    <w:rsid w:val="0044419D"/>
    <w:rsid w:val="00444883"/>
    <w:rsid w:val="00444AFE"/>
    <w:rsid w:val="0044527F"/>
    <w:rsid w:val="00445600"/>
    <w:rsid w:val="00445A58"/>
    <w:rsid w:val="00445E69"/>
    <w:rsid w:val="00445F92"/>
    <w:rsid w:val="00446188"/>
    <w:rsid w:val="00446417"/>
    <w:rsid w:val="0044690A"/>
    <w:rsid w:val="00446C44"/>
    <w:rsid w:val="0044788A"/>
    <w:rsid w:val="00447D9A"/>
    <w:rsid w:val="00451461"/>
    <w:rsid w:val="00451889"/>
    <w:rsid w:val="00452469"/>
    <w:rsid w:val="0045301C"/>
    <w:rsid w:val="00453915"/>
    <w:rsid w:val="004546CD"/>
    <w:rsid w:val="00455B54"/>
    <w:rsid w:val="00455FAC"/>
    <w:rsid w:val="00456A34"/>
    <w:rsid w:val="00456A7C"/>
    <w:rsid w:val="00456C72"/>
    <w:rsid w:val="004573EA"/>
    <w:rsid w:val="004579D2"/>
    <w:rsid w:val="00457DCB"/>
    <w:rsid w:val="00457EF5"/>
    <w:rsid w:val="00461642"/>
    <w:rsid w:val="004617EF"/>
    <w:rsid w:val="00461ED9"/>
    <w:rsid w:val="0046340B"/>
    <w:rsid w:val="00464829"/>
    <w:rsid w:val="00464FF9"/>
    <w:rsid w:val="00466F16"/>
    <w:rsid w:val="004671B1"/>
    <w:rsid w:val="004677FC"/>
    <w:rsid w:val="00467C48"/>
    <w:rsid w:val="00467E30"/>
    <w:rsid w:val="004702E7"/>
    <w:rsid w:val="00472DED"/>
    <w:rsid w:val="004749FD"/>
    <w:rsid w:val="00475C31"/>
    <w:rsid w:val="0047669E"/>
    <w:rsid w:val="00476E4E"/>
    <w:rsid w:val="0047712D"/>
    <w:rsid w:val="0047736C"/>
    <w:rsid w:val="004814B6"/>
    <w:rsid w:val="00481A5D"/>
    <w:rsid w:val="00482380"/>
    <w:rsid w:val="004825FD"/>
    <w:rsid w:val="0048277B"/>
    <w:rsid w:val="00482D2B"/>
    <w:rsid w:val="00483D60"/>
    <w:rsid w:val="00484038"/>
    <w:rsid w:val="00484F7A"/>
    <w:rsid w:val="00485122"/>
    <w:rsid w:val="00485C2E"/>
    <w:rsid w:val="00486408"/>
    <w:rsid w:val="00486716"/>
    <w:rsid w:val="00486AF4"/>
    <w:rsid w:val="00486E52"/>
    <w:rsid w:val="00487D75"/>
    <w:rsid w:val="004900B6"/>
    <w:rsid w:val="00490924"/>
    <w:rsid w:val="0049113A"/>
    <w:rsid w:val="004918FC"/>
    <w:rsid w:val="00491CC1"/>
    <w:rsid w:val="00492A00"/>
    <w:rsid w:val="0049403D"/>
    <w:rsid w:val="00494602"/>
    <w:rsid w:val="00495346"/>
    <w:rsid w:val="0049540A"/>
    <w:rsid w:val="004956D4"/>
    <w:rsid w:val="0049598E"/>
    <w:rsid w:val="00495C47"/>
    <w:rsid w:val="00495EC3"/>
    <w:rsid w:val="004976DD"/>
    <w:rsid w:val="00497D17"/>
    <w:rsid w:val="004A02D4"/>
    <w:rsid w:val="004A0340"/>
    <w:rsid w:val="004A04B6"/>
    <w:rsid w:val="004A070D"/>
    <w:rsid w:val="004A0714"/>
    <w:rsid w:val="004A15D5"/>
    <w:rsid w:val="004A1878"/>
    <w:rsid w:val="004A2866"/>
    <w:rsid w:val="004A30E1"/>
    <w:rsid w:val="004A33D6"/>
    <w:rsid w:val="004A3E14"/>
    <w:rsid w:val="004A40BC"/>
    <w:rsid w:val="004A4637"/>
    <w:rsid w:val="004A4818"/>
    <w:rsid w:val="004A5946"/>
    <w:rsid w:val="004A5F9C"/>
    <w:rsid w:val="004A60E9"/>
    <w:rsid w:val="004A6FD5"/>
    <w:rsid w:val="004A7A6D"/>
    <w:rsid w:val="004A7A95"/>
    <w:rsid w:val="004B0625"/>
    <w:rsid w:val="004B107B"/>
    <w:rsid w:val="004B1181"/>
    <w:rsid w:val="004B2244"/>
    <w:rsid w:val="004B2482"/>
    <w:rsid w:val="004B2BA3"/>
    <w:rsid w:val="004B3758"/>
    <w:rsid w:val="004B389B"/>
    <w:rsid w:val="004B3B1B"/>
    <w:rsid w:val="004B4387"/>
    <w:rsid w:val="004B45AC"/>
    <w:rsid w:val="004B4CCD"/>
    <w:rsid w:val="004B5A6B"/>
    <w:rsid w:val="004B5E35"/>
    <w:rsid w:val="004B65F8"/>
    <w:rsid w:val="004B6713"/>
    <w:rsid w:val="004B6B2F"/>
    <w:rsid w:val="004B7526"/>
    <w:rsid w:val="004C15D2"/>
    <w:rsid w:val="004C2C8E"/>
    <w:rsid w:val="004C3613"/>
    <w:rsid w:val="004C36FA"/>
    <w:rsid w:val="004C4296"/>
    <w:rsid w:val="004C484D"/>
    <w:rsid w:val="004C4E44"/>
    <w:rsid w:val="004C5FA5"/>
    <w:rsid w:val="004C689D"/>
    <w:rsid w:val="004D066D"/>
    <w:rsid w:val="004D0F84"/>
    <w:rsid w:val="004D12C1"/>
    <w:rsid w:val="004D1A40"/>
    <w:rsid w:val="004D2182"/>
    <w:rsid w:val="004D24D8"/>
    <w:rsid w:val="004D2A63"/>
    <w:rsid w:val="004D32C0"/>
    <w:rsid w:val="004D3419"/>
    <w:rsid w:val="004D4CA7"/>
    <w:rsid w:val="004D5A03"/>
    <w:rsid w:val="004D5DD8"/>
    <w:rsid w:val="004D63E9"/>
    <w:rsid w:val="004D6EC0"/>
    <w:rsid w:val="004E1526"/>
    <w:rsid w:val="004E1710"/>
    <w:rsid w:val="004E1EFF"/>
    <w:rsid w:val="004E2FD7"/>
    <w:rsid w:val="004E3D8B"/>
    <w:rsid w:val="004E431A"/>
    <w:rsid w:val="004E449F"/>
    <w:rsid w:val="004E4709"/>
    <w:rsid w:val="004E5AA2"/>
    <w:rsid w:val="004E6574"/>
    <w:rsid w:val="004E7035"/>
    <w:rsid w:val="004F000F"/>
    <w:rsid w:val="004F0305"/>
    <w:rsid w:val="004F050B"/>
    <w:rsid w:val="004F122D"/>
    <w:rsid w:val="004F29CC"/>
    <w:rsid w:val="004F2AFC"/>
    <w:rsid w:val="004F2BFC"/>
    <w:rsid w:val="004F2CDF"/>
    <w:rsid w:val="004F3F7D"/>
    <w:rsid w:val="004F3F96"/>
    <w:rsid w:val="004F4304"/>
    <w:rsid w:val="004F55D1"/>
    <w:rsid w:val="004F5954"/>
    <w:rsid w:val="004F74FD"/>
    <w:rsid w:val="004F7789"/>
    <w:rsid w:val="00500889"/>
    <w:rsid w:val="005010CE"/>
    <w:rsid w:val="00501C2E"/>
    <w:rsid w:val="005020DE"/>
    <w:rsid w:val="00502319"/>
    <w:rsid w:val="00502619"/>
    <w:rsid w:val="00502776"/>
    <w:rsid w:val="00503412"/>
    <w:rsid w:val="005038C7"/>
    <w:rsid w:val="00503B8C"/>
    <w:rsid w:val="0050453A"/>
    <w:rsid w:val="005047E7"/>
    <w:rsid w:val="00505348"/>
    <w:rsid w:val="00505C7D"/>
    <w:rsid w:val="00505E30"/>
    <w:rsid w:val="00507033"/>
    <w:rsid w:val="005079B6"/>
    <w:rsid w:val="00507A94"/>
    <w:rsid w:val="00507BF0"/>
    <w:rsid w:val="00507C72"/>
    <w:rsid w:val="00511A4B"/>
    <w:rsid w:val="0051225E"/>
    <w:rsid w:val="00512DB6"/>
    <w:rsid w:val="005137FE"/>
    <w:rsid w:val="00513F4E"/>
    <w:rsid w:val="0051439C"/>
    <w:rsid w:val="00516CB9"/>
    <w:rsid w:val="005175C7"/>
    <w:rsid w:val="00517FDC"/>
    <w:rsid w:val="005201B0"/>
    <w:rsid w:val="00520C28"/>
    <w:rsid w:val="00521A57"/>
    <w:rsid w:val="00522424"/>
    <w:rsid w:val="0052260E"/>
    <w:rsid w:val="00524A90"/>
    <w:rsid w:val="00525838"/>
    <w:rsid w:val="00525AA2"/>
    <w:rsid w:val="005266B3"/>
    <w:rsid w:val="00526CD1"/>
    <w:rsid w:val="00527ADC"/>
    <w:rsid w:val="00527E9E"/>
    <w:rsid w:val="00530C32"/>
    <w:rsid w:val="00531045"/>
    <w:rsid w:val="00531DA2"/>
    <w:rsid w:val="005329B2"/>
    <w:rsid w:val="005332F9"/>
    <w:rsid w:val="00533686"/>
    <w:rsid w:val="005338C9"/>
    <w:rsid w:val="00534EE5"/>
    <w:rsid w:val="00535930"/>
    <w:rsid w:val="00536283"/>
    <w:rsid w:val="005364D9"/>
    <w:rsid w:val="0053650F"/>
    <w:rsid w:val="00536ED0"/>
    <w:rsid w:val="00537FFD"/>
    <w:rsid w:val="00541B30"/>
    <w:rsid w:val="00541C1C"/>
    <w:rsid w:val="00542208"/>
    <w:rsid w:val="00545BB8"/>
    <w:rsid w:val="0054619E"/>
    <w:rsid w:val="005461BE"/>
    <w:rsid w:val="005462E7"/>
    <w:rsid w:val="005468A0"/>
    <w:rsid w:val="00546F0B"/>
    <w:rsid w:val="005473D8"/>
    <w:rsid w:val="0055204C"/>
    <w:rsid w:val="00553098"/>
    <w:rsid w:val="00554906"/>
    <w:rsid w:val="00555164"/>
    <w:rsid w:val="00556F76"/>
    <w:rsid w:val="005570EC"/>
    <w:rsid w:val="00557D59"/>
    <w:rsid w:val="00560574"/>
    <w:rsid w:val="005606CA"/>
    <w:rsid w:val="00561063"/>
    <w:rsid w:val="00562B86"/>
    <w:rsid w:val="0056309E"/>
    <w:rsid w:val="00563938"/>
    <w:rsid w:val="00565D1D"/>
    <w:rsid w:val="00566393"/>
    <w:rsid w:val="0056659A"/>
    <w:rsid w:val="00567223"/>
    <w:rsid w:val="00570376"/>
    <w:rsid w:val="00570584"/>
    <w:rsid w:val="005712A0"/>
    <w:rsid w:val="0057186D"/>
    <w:rsid w:val="0057226B"/>
    <w:rsid w:val="005734E1"/>
    <w:rsid w:val="00573F98"/>
    <w:rsid w:val="005744E6"/>
    <w:rsid w:val="00574D4F"/>
    <w:rsid w:val="00574E85"/>
    <w:rsid w:val="005752F6"/>
    <w:rsid w:val="00575FA2"/>
    <w:rsid w:val="00577004"/>
    <w:rsid w:val="00577AC5"/>
    <w:rsid w:val="00580E36"/>
    <w:rsid w:val="00580F37"/>
    <w:rsid w:val="005818FF"/>
    <w:rsid w:val="005825F7"/>
    <w:rsid w:val="00582E99"/>
    <w:rsid w:val="005831F7"/>
    <w:rsid w:val="0058398A"/>
    <w:rsid w:val="00583A0F"/>
    <w:rsid w:val="00583E4E"/>
    <w:rsid w:val="005843D0"/>
    <w:rsid w:val="00584A6F"/>
    <w:rsid w:val="00585226"/>
    <w:rsid w:val="00585EC1"/>
    <w:rsid w:val="00585FD1"/>
    <w:rsid w:val="00586120"/>
    <w:rsid w:val="0058630F"/>
    <w:rsid w:val="00586462"/>
    <w:rsid w:val="00586558"/>
    <w:rsid w:val="005876A4"/>
    <w:rsid w:val="0059032D"/>
    <w:rsid w:val="00590336"/>
    <w:rsid w:val="00590DAF"/>
    <w:rsid w:val="00591B8F"/>
    <w:rsid w:val="00592DA1"/>
    <w:rsid w:val="00594058"/>
    <w:rsid w:val="0059473E"/>
    <w:rsid w:val="00594F37"/>
    <w:rsid w:val="00595C95"/>
    <w:rsid w:val="00595F27"/>
    <w:rsid w:val="00596FBF"/>
    <w:rsid w:val="005970E4"/>
    <w:rsid w:val="0059783B"/>
    <w:rsid w:val="00597BCF"/>
    <w:rsid w:val="005A1D3C"/>
    <w:rsid w:val="005A20CB"/>
    <w:rsid w:val="005A2750"/>
    <w:rsid w:val="005A3AD6"/>
    <w:rsid w:val="005A45F4"/>
    <w:rsid w:val="005A4A97"/>
    <w:rsid w:val="005A67D7"/>
    <w:rsid w:val="005A7BA7"/>
    <w:rsid w:val="005B0C8A"/>
    <w:rsid w:val="005B3971"/>
    <w:rsid w:val="005B4A9A"/>
    <w:rsid w:val="005B4FC2"/>
    <w:rsid w:val="005B604B"/>
    <w:rsid w:val="005B632C"/>
    <w:rsid w:val="005B6FB7"/>
    <w:rsid w:val="005B7226"/>
    <w:rsid w:val="005B7A59"/>
    <w:rsid w:val="005B7ACF"/>
    <w:rsid w:val="005C04A6"/>
    <w:rsid w:val="005C103A"/>
    <w:rsid w:val="005C1A4A"/>
    <w:rsid w:val="005C1C01"/>
    <w:rsid w:val="005C1C28"/>
    <w:rsid w:val="005C1D96"/>
    <w:rsid w:val="005C251E"/>
    <w:rsid w:val="005C38EF"/>
    <w:rsid w:val="005C4E7B"/>
    <w:rsid w:val="005C6429"/>
    <w:rsid w:val="005C685F"/>
    <w:rsid w:val="005C6E72"/>
    <w:rsid w:val="005C708B"/>
    <w:rsid w:val="005C7BE8"/>
    <w:rsid w:val="005D06A2"/>
    <w:rsid w:val="005D090C"/>
    <w:rsid w:val="005D1A47"/>
    <w:rsid w:val="005D1CB1"/>
    <w:rsid w:val="005D1EA4"/>
    <w:rsid w:val="005D239B"/>
    <w:rsid w:val="005D2940"/>
    <w:rsid w:val="005D2E71"/>
    <w:rsid w:val="005D2F4E"/>
    <w:rsid w:val="005D4489"/>
    <w:rsid w:val="005D53C6"/>
    <w:rsid w:val="005D5832"/>
    <w:rsid w:val="005D5BC3"/>
    <w:rsid w:val="005D613B"/>
    <w:rsid w:val="005D6516"/>
    <w:rsid w:val="005D732F"/>
    <w:rsid w:val="005D7D4F"/>
    <w:rsid w:val="005E0885"/>
    <w:rsid w:val="005E1D0F"/>
    <w:rsid w:val="005E2305"/>
    <w:rsid w:val="005E2A19"/>
    <w:rsid w:val="005E2C61"/>
    <w:rsid w:val="005E3825"/>
    <w:rsid w:val="005E39E4"/>
    <w:rsid w:val="005E3DBE"/>
    <w:rsid w:val="005E4518"/>
    <w:rsid w:val="005E49D3"/>
    <w:rsid w:val="005E4C42"/>
    <w:rsid w:val="005E5151"/>
    <w:rsid w:val="005E5AFB"/>
    <w:rsid w:val="005E6014"/>
    <w:rsid w:val="005E61A2"/>
    <w:rsid w:val="005E6BE7"/>
    <w:rsid w:val="005E6F76"/>
    <w:rsid w:val="005E75F3"/>
    <w:rsid w:val="005E7B75"/>
    <w:rsid w:val="005E7C37"/>
    <w:rsid w:val="005E7E12"/>
    <w:rsid w:val="005F0238"/>
    <w:rsid w:val="005F27F9"/>
    <w:rsid w:val="005F3438"/>
    <w:rsid w:val="005F4A77"/>
    <w:rsid w:val="005F4B33"/>
    <w:rsid w:val="005F5263"/>
    <w:rsid w:val="005F5594"/>
    <w:rsid w:val="005F5981"/>
    <w:rsid w:val="005F5E63"/>
    <w:rsid w:val="005F5F7E"/>
    <w:rsid w:val="005F7637"/>
    <w:rsid w:val="005F7991"/>
    <w:rsid w:val="005F7D26"/>
    <w:rsid w:val="005F7EDB"/>
    <w:rsid w:val="006008A6"/>
    <w:rsid w:val="00600DAA"/>
    <w:rsid w:val="00600F68"/>
    <w:rsid w:val="00602144"/>
    <w:rsid w:val="006031F5"/>
    <w:rsid w:val="00603EE2"/>
    <w:rsid w:val="0060404F"/>
    <w:rsid w:val="006041F8"/>
    <w:rsid w:val="0060558D"/>
    <w:rsid w:val="00606077"/>
    <w:rsid w:val="00606A88"/>
    <w:rsid w:val="00607292"/>
    <w:rsid w:val="00607D34"/>
    <w:rsid w:val="00607EC5"/>
    <w:rsid w:val="00610171"/>
    <w:rsid w:val="00610AEE"/>
    <w:rsid w:val="00613894"/>
    <w:rsid w:val="0061443E"/>
    <w:rsid w:val="00614631"/>
    <w:rsid w:val="00614D10"/>
    <w:rsid w:val="00615276"/>
    <w:rsid w:val="00615C58"/>
    <w:rsid w:val="00615EA5"/>
    <w:rsid w:val="00616DFD"/>
    <w:rsid w:val="006170DE"/>
    <w:rsid w:val="0061777D"/>
    <w:rsid w:val="00620952"/>
    <w:rsid w:val="00620BCA"/>
    <w:rsid w:val="00620FDA"/>
    <w:rsid w:val="00624B1F"/>
    <w:rsid w:val="00625774"/>
    <w:rsid w:val="0062610B"/>
    <w:rsid w:val="0062647C"/>
    <w:rsid w:val="006264F1"/>
    <w:rsid w:val="00626D18"/>
    <w:rsid w:val="006302C5"/>
    <w:rsid w:val="00631142"/>
    <w:rsid w:val="00632E52"/>
    <w:rsid w:val="00634CAE"/>
    <w:rsid w:val="00636144"/>
    <w:rsid w:val="006361ED"/>
    <w:rsid w:val="00636BE1"/>
    <w:rsid w:val="00636DE7"/>
    <w:rsid w:val="006370E8"/>
    <w:rsid w:val="00637AC2"/>
    <w:rsid w:val="00637CFC"/>
    <w:rsid w:val="00637E73"/>
    <w:rsid w:val="00640EF7"/>
    <w:rsid w:val="006410C4"/>
    <w:rsid w:val="00641606"/>
    <w:rsid w:val="00643B52"/>
    <w:rsid w:val="0064413C"/>
    <w:rsid w:val="006444F4"/>
    <w:rsid w:val="0064453E"/>
    <w:rsid w:val="00644DA2"/>
    <w:rsid w:val="00647EB5"/>
    <w:rsid w:val="00650263"/>
    <w:rsid w:val="00651171"/>
    <w:rsid w:val="0065259E"/>
    <w:rsid w:val="006527D6"/>
    <w:rsid w:val="00652B37"/>
    <w:rsid w:val="00653017"/>
    <w:rsid w:val="006547DA"/>
    <w:rsid w:val="00656540"/>
    <w:rsid w:val="00657871"/>
    <w:rsid w:val="00657DB7"/>
    <w:rsid w:val="0066052A"/>
    <w:rsid w:val="0066091A"/>
    <w:rsid w:val="006615DE"/>
    <w:rsid w:val="00661825"/>
    <w:rsid w:val="0066191B"/>
    <w:rsid w:val="00662449"/>
    <w:rsid w:val="006626A5"/>
    <w:rsid w:val="00662D13"/>
    <w:rsid w:val="00662F32"/>
    <w:rsid w:val="00664ED0"/>
    <w:rsid w:val="00665BB6"/>
    <w:rsid w:val="00666096"/>
    <w:rsid w:val="00667D79"/>
    <w:rsid w:val="006708D9"/>
    <w:rsid w:val="0067104B"/>
    <w:rsid w:val="006733D4"/>
    <w:rsid w:val="0067484A"/>
    <w:rsid w:val="00674BA9"/>
    <w:rsid w:val="00674CF3"/>
    <w:rsid w:val="00676552"/>
    <w:rsid w:val="006766D8"/>
    <w:rsid w:val="00676A23"/>
    <w:rsid w:val="006777B8"/>
    <w:rsid w:val="006802F5"/>
    <w:rsid w:val="0068136A"/>
    <w:rsid w:val="00682D89"/>
    <w:rsid w:val="00683F58"/>
    <w:rsid w:val="006844B2"/>
    <w:rsid w:val="0068451A"/>
    <w:rsid w:val="00684C75"/>
    <w:rsid w:val="00686E66"/>
    <w:rsid w:val="00687B99"/>
    <w:rsid w:val="00687FA4"/>
    <w:rsid w:val="006902FC"/>
    <w:rsid w:val="0069046E"/>
    <w:rsid w:val="00692993"/>
    <w:rsid w:val="00693D10"/>
    <w:rsid w:val="00694126"/>
    <w:rsid w:val="00694236"/>
    <w:rsid w:val="006946F7"/>
    <w:rsid w:val="00695351"/>
    <w:rsid w:val="00695FE1"/>
    <w:rsid w:val="00696CB8"/>
    <w:rsid w:val="00696CE5"/>
    <w:rsid w:val="006975D1"/>
    <w:rsid w:val="00697797"/>
    <w:rsid w:val="006977C2"/>
    <w:rsid w:val="006A04E8"/>
    <w:rsid w:val="006A052B"/>
    <w:rsid w:val="006A0A09"/>
    <w:rsid w:val="006A0C80"/>
    <w:rsid w:val="006A1A9B"/>
    <w:rsid w:val="006A203C"/>
    <w:rsid w:val="006A2937"/>
    <w:rsid w:val="006A2C25"/>
    <w:rsid w:val="006A2EDD"/>
    <w:rsid w:val="006A3C1A"/>
    <w:rsid w:val="006A4B9B"/>
    <w:rsid w:val="006A4D7B"/>
    <w:rsid w:val="006A66ED"/>
    <w:rsid w:val="006A73B0"/>
    <w:rsid w:val="006B05E3"/>
    <w:rsid w:val="006B0B0C"/>
    <w:rsid w:val="006B1562"/>
    <w:rsid w:val="006B2133"/>
    <w:rsid w:val="006B308F"/>
    <w:rsid w:val="006B3BFC"/>
    <w:rsid w:val="006B3E4E"/>
    <w:rsid w:val="006B52F8"/>
    <w:rsid w:val="006B6550"/>
    <w:rsid w:val="006B743E"/>
    <w:rsid w:val="006B7937"/>
    <w:rsid w:val="006C00D0"/>
    <w:rsid w:val="006C0FC1"/>
    <w:rsid w:val="006C180E"/>
    <w:rsid w:val="006C1D0E"/>
    <w:rsid w:val="006C2B7C"/>
    <w:rsid w:val="006C4983"/>
    <w:rsid w:val="006C4C2F"/>
    <w:rsid w:val="006C53B3"/>
    <w:rsid w:val="006C6822"/>
    <w:rsid w:val="006C69A9"/>
    <w:rsid w:val="006C6F58"/>
    <w:rsid w:val="006C7043"/>
    <w:rsid w:val="006C7ACE"/>
    <w:rsid w:val="006C7AE8"/>
    <w:rsid w:val="006C7F31"/>
    <w:rsid w:val="006D0E1C"/>
    <w:rsid w:val="006D1342"/>
    <w:rsid w:val="006D2ABE"/>
    <w:rsid w:val="006D2EC1"/>
    <w:rsid w:val="006D2ED2"/>
    <w:rsid w:val="006D3506"/>
    <w:rsid w:val="006D3533"/>
    <w:rsid w:val="006D370D"/>
    <w:rsid w:val="006D437F"/>
    <w:rsid w:val="006D5511"/>
    <w:rsid w:val="006D5738"/>
    <w:rsid w:val="006D75ED"/>
    <w:rsid w:val="006E19B0"/>
    <w:rsid w:val="006E1CA1"/>
    <w:rsid w:val="006E26D7"/>
    <w:rsid w:val="006E3146"/>
    <w:rsid w:val="006E3623"/>
    <w:rsid w:val="006E4AAA"/>
    <w:rsid w:val="006E4DC7"/>
    <w:rsid w:val="006E5286"/>
    <w:rsid w:val="006E5B3A"/>
    <w:rsid w:val="006E5ECF"/>
    <w:rsid w:val="006E72C5"/>
    <w:rsid w:val="006E7EFD"/>
    <w:rsid w:val="006F0AAD"/>
    <w:rsid w:val="006F1948"/>
    <w:rsid w:val="006F311E"/>
    <w:rsid w:val="006F397E"/>
    <w:rsid w:val="006F3B0A"/>
    <w:rsid w:val="006F3FFF"/>
    <w:rsid w:val="006F4071"/>
    <w:rsid w:val="006F435A"/>
    <w:rsid w:val="006F46E0"/>
    <w:rsid w:val="006F47AB"/>
    <w:rsid w:val="006F4FB1"/>
    <w:rsid w:val="006F55C1"/>
    <w:rsid w:val="006F577B"/>
    <w:rsid w:val="006F5D1D"/>
    <w:rsid w:val="006F634C"/>
    <w:rsid w:val="006F6929"/>
    <w:rsid w:val="006F6B22"/>
    <w:rsid w:val="006F7A15"/>
    <w:rsid w:val="006F7DE5"/>
    <w:rsid w:val="007015AE"/>
    <w:rsid w:val="007029A2"/>
    <w:rsid w:val="007045FF"/>
    <w:rsid w:val="007049D3"/>
    <w:rsid w:val="007050E7"/>
    <w:rsid w:val="0070511E"/>
    <w:rsid w:val="007058BA"/>
    <w:rsid w:val="00705A83"/>
    <w:rsid w:val="00707813"/>
    <w:rsid w:val="0070796B"/>
    <w:rsid w:val="0070799B"/>
    <w:rsid w:val="007108D6"/>
    <w:rsid w:val="00711855"/>
    <w:rsid w:val="0071293B"/>
    <w:rsid w:val="00713280"/>
    <w:rsid w:val="00713B37"/>
    <w:rsid w:val="00713BF7"/>
    <w:rsid w:val="00714B57"/>
    <w:rsid w:val="00715041"/>
    <w:rsid w:val="0071569D"/>
    <w:rsid w:val="00715FDD"/>
    <w:rsid w:val="00716EC4"/>
    <w:rsid w:val="00717D83"/>
    <w:rsid w:val="0072034B"/>
    <w:rsid w:val="0072089C"/>
    <w:rsid w:val="00720CA7"/>
    <w:rsid w:val="00720F3F"/>
    <w:rsid w:val="00721099"/>
    <w:rsid w:val="00721DEC"/>
    <w:rsid w:val="00722BCA"/>
    <w:rsid w:val="007234D3"/>
    <w:rsid w:val="00723D8C"/>
    <w:rsid w:val="00724888"/>
    <w:rsid w:val="00724F79"/>
    <w:rsid w:val="00725CBF"/>
    <w:rsid w:val="0072758C"/>
    <w:rsid w:val="00727CBD"/>
    <w:rsid w:val="00727FB1"/>
    <w:rsid w:val="007301AF"/>
    <w:rsid w:val="00731088"/>
    <w:rsid w:val="00731B68"/>
    <w:rsid w:val="00731B72"/>
    <w:rsid w:val="00731EF0"/>
    <w:rsid w:val="0073285A"/>
    <w:rsid w:val="0073381F"/>
    <w:rsid w:val="00734012"/>
    <w:rsid w:val="007357E2"/>
    <w:rsid w:val="0073597C"/>
    <w:rsid w:val="00735E42"/>
    <w:rsid w:val="00737447"/>
    <w:rsid w:val="007406E2"/>
    <w:rsid w:val="007406FC"/>
    <w:rsid w:val="00741E1F"/>
    <w:rsid w:val="00741E6B"/>
    <w:rsid w:val="00742494"/>
    <w:rsid w:val="00743129"/>
    <w:rsid w:val="007433EF"/>
    <w:rsid w:val="00743528"/>
    <w:rsid w:val="0074352A"/>
    <w:rsid w:val="0074359C"/>
    <w:rsid w:val="007435D6"/>
    <w:rsid w:val="00744094"/>
    <w:rsid w:val="0074431D"/>
    <w:rsid w:val="00745201"/>
    <w:rsid w:val="007471BA"/>
    <w:rsid w:val="00747B91"/>
    <w:rsid w:val="00747D55"/>
    <w:rsid w:val="0075079A"/>
    <w:rsid w:val="00750E5C"/>
    <w:rsid w:val="00752074"/>
    <w:rsid w:val="0075319F"/>
    <w:rsid w:val="0075351E"/>
    <w:rsid w:val="00754585"/>
    <w:rsid w:val="00754B84"/>
    <w:rsid w:val="007552C4"/>
    <w:rsid w:val="007559E9"/>
    <w:rsid w:val="00755C3D"/>
    <w:rsid w:val="007564DB"/>
    <w:rsid w:val="00756D1D"/>
    <w:rsid w:val="00757934"/>
    <w:rsid w:val="00757E5B"/>
    <w:rsid w:val="00761084"/>
    <w:rsid w:val="007613DB"/>
    <w:rsid w:val="00761721"/>
    <w:rsid w:val="00762B45"/>
    <w:rsid w:val="00763095"/>
    <w:rsid w:val="0076315D"/>
    <w:rsid w:val="0076379C"/>
    <w:rsid w:val="007638B6"/>
    <w:rsid w:val="00763E5B"/>
    <w:rsid w:val="0076432C"/>
    <w:rsid w:val="00764331"/>
    <w:rsid w:val="0076587C"/>
    <w:rsid w:val="00765D03"/>
    <w:rsid w:val="007675BE"/>
    <w:rsid w:val="00767EAD"/>
    <w:rsid w:val="00771316"/>
    <w:rsid w:val="00771432"/>
    <w:rsid w:val="007718F4"/>
    <w:rsid w:val="00771FDB"/>
    <w:rsid w:val="00772F7A"/>
    <w:rsid w:val="007732F6"/>
    <w:rsid w:val="0077412E"/>
    <w:rsid w:val="0077491D"/>
    <w:rsid w:val="00776031"/>
    <w:rsid w:val="00776078"/>
    <w:rsid w:val="007772A7"/>
    <w:rsid w:val="00777336"/>
    <w:rsid w:val="00777B22"/>
    <w:rsid w:val="007803C3"/>
    <w:rsid w:val="0078076B"/>
    <w:rsid w:val="00780D46"/>
    <w:rsid w:val="00781B8A"/>
    <w:rsid w:val="00781E8A"/>
    <w:rsid w:val="00782806"/>
    <w:rsid w:val="00782CCD"/>
    <w:rsid w:val="00782FA2"/>
    <w:rsid w:val="00783172"/>
    <w:rsid w:val="00783179"/>
    <w:rsid w:val="007838D2"/>
    <w:rsid w:val="0078475C"/>
    <w:rsid w:val="0078486B"/>
    <w:rsid w:val="00784F6E"/>
    <w:rsid w:val="007863F2"/>
    <w:rsid w:val="00786699"/>
    <w:rsid w:val="00786E0A"/>
    <w:rsid w:val="0078725A"/>
    <w:rsid w:val="00787EF8"/>
    <w:rsid w:val="00790426"/>
    <w:rsid w:val="00790C45"/>
    <w:rsid w:val="0079138F"/>
    <w:rsid w:val="0079284F"/>
    <w:rsid w:val="00793C0B"/>
    <w:rsid w:val="00793CCF"/>
    <w:rsid w:val="00793EFB"/>
    <w:rsid w:val="00794101"/>
    <w:rsid w:val="007946A4"/>
    <w:rsid w:val="007948B5"/>
    <w:rsid w:val="007954B2"/>
    <w:rsid w:val="00795AF0"/>
    <w:rsid w:val="00795AF1"/>
    <w:rsid w:val="00795CB8"/>
    <w:rsid w:val="0079703F"/>
    <w:rsid w:val="007A13A3"/>
    <w:rsid w:val="007A144D"/>
    <w:rsid w:val="007A1996"/>
    <w:rsid w:val="007A2653"/>
    <w:rsid w:val="007A4577"/>
    <w:rsid w:val="007A5483"/>
    <w:rsid w:val="007A6061"/>
    <w:rsid w:val="007A635A"/>
    <w:rsid w:val="007A7791"/>
    <w:rsid w:val="007B09C6"/>
    <w:rsid w:val="007B139D"/>
    <w:rsid w:val="007B2EF3"/>
    <w:rsid w:val="007B3275"/>
    <w:rsid w:val="007B370F"/>
    <w:rsid w:val="007B5B43"/>
    <w:rsid w:val="007B5DEB"/>
    <w:rsid w:val="007B7CBE"/>
    <w:rsid w:val="007C0641"/>
    <w:rsid w:val="007C08ED"/>
    <w:rsid w:val="007C0B13"/>
    <w:rsid w:val="007C18CB"/>
    <w:rsid w:val="007C19FB"/>
    <w:rsid w:val="007C1BD4"/>
    <w:rsid w:val="007C45ED"/>
    <w:rsid w:val="007C49CE"/>
    <w:rsid w:val="007C4DFA"/>
    <w:rsid w:val="007C4E0A"/>
    <w:rsid w:val="007C5334"/>
    <w:rsid w:val="007C6D03"/>
    <w:rsid w:val="007D023D"/>
    <w:rsid w:val="007D0A28"/>
    <w:rsid w:val="007D0A52"/>
    <w:rsid w:val="007D17FE"/>
    <w:rsid w:val="007D1CBC"/>
    <w:rsid w:val="007D1F25"/>
    <w:rsid w:val="007D230C"/>
    <w:rsid w:val="007D4718"/>
    <w:rsid w:val="007D55F0"/>
    <w:rsid w:val="007D76F6"/>
    <w:rsid w:val="007D7701"/>
    <w:rsid w:val="007E0080"/>
    <w:rsid w:val="007E06AE"/>
    <w:rsid w:val="007E0B1E"/>
    <w:rsid w:val="007E0C13"/>
    <w:rsid w:val="007E0ED1"/>
    <w:rsid w:val="007E1221"/>
    <w:rsid w:val="007E1C7F"/>
    <w:rsid w:val="007E3C29"/>
    <w:rsid w:val="007E550D"/>
    <w:rsid w:val="007E614C"/>
    <w:rsid w:val="007E639C"/>
    <w:rsid w:val="007E6CF8"/>
    <w:rsid w:val="007E730C"/>
    <w:rsid w:val="007E75BA"/>
    <w:rsid w:val="007E7EA6"/>
    <w:rsid w:val="007F1CD6"/>
    <w:rsid w:val="007F23CE"/>
    <w:rsid w:val="007F23D6"/>
    <w:rsid w:val="007F308A"/>
    <w:rsid w:val="007F35F6"/>
    <w:rsid w:val="007F412F"/>
    <w:rsid w:val="007F4178"/>
    <w:rsid w:val="007F432C"/>
    <w:rsid w:val="007F46B7"/>
    <w:rsid w:val="007F47FB"/>
    <w:rsid w:val="007F5FCC"/>
    <w:rsid w:val="007F64E3"/>
    <w:rsid w:val="0080095A"/>
    <w:rsid w:val="00800C6A"/>
    <w:rsid w:val="00800EDB"/>
    <w:rsid w:val="00801AB0"/>
    <w:rsid w:val="00803C22"/>
    <w:rsid w:val="008046E5"/>
    <w:rsid w:val="00804ECA"/>
    <w:rsid w:val="008067BD"/>
    <w:rsid w:val="00806932"/>
    <w:rsid w:val="00807FEF"/>
    <w:rsid w:val="00810AAC"/>
    <w:rsid w:val="008125C7"/>
    <w:rsid w:val="00814697"/>
    <w:rsid w:val="00815ABC"/>
    <w:rsid w:val="008162F8"/>
    <w:rsid w:val="00816C05"/>
    <w:rsid w:val="00820181"/>
    <w:rsid w:val="00820983"/>
    <w:rsid w:val="00820BE3"/>
    <w:rsid w:val="008223CF"/>
    <w:rsid w:val="00822E6F"/>
    <w:rsid w:val="00822F96"/>
    <w:rsid w:val="008231A6"/>
    <w:rsid w:val="00823D74"/>
    <w:rsid w:val="0082528F"/>
    <w:rsid w:val="008258D0"/>
    <w:rsid w:val="00825B59"/>
    <w:rsid w:val="008260B8"/>
    <w:rsid w:val="0082638C"/>
    <w:rsid w:val="008267E7"/>
    <w:rsid w:val="00827079"/>
    <w:rsid w:val="00827B7E"/>
    <w:rsid w:val="00830B1D"/>
    <w:rsid w:val="00831C6E"/>
    <w:rsid w:val="00832D4F"/>
    <w:rsid w:val="00832E1A"/>
    <w:rsid w:val="00833C39"/>
    <w:rsid w:val="0083406E"/>
    <w:rsid w:val="00834173"/>
    <w:rsid w:val="008363B1"/>
    <w:rsid w:val="00837174"/>
    <w:rsid w:val="0084067A"/>
    <w:rsid w:val="00840750"/>
    <w:rsid w:val="00840B5D"/>
    <w:rsid w:val="0084154D"/>
    <w:rsid w:val="00841C38"/>
    <w:rsid w:val="00843794"/>
    <w:rsid w:val="0084478C"/>
    <w:rsid w:val="008452B4"/>
    <w:rsid w:val="00845551"/>
    <w:rsid w:val="0084590D"/>
    <w:rsid w:val="00846128"/>
    <w:rsid w:val="008466A6"/>
    <w:rsid w:val="00846A68"/>
    <w:rsid w:val="0084719C"/>
    <w:rsid w:val="0084732D"/>
    <w:rsid w:val="00847988"/>
    <w:rsid w:val="00847CC1"/>
    <w:rsid w:val="00847D11"/>
    <w:rsid w:val="008504A4"/>
    <w:rsid w:val="00850AD6"/>
    <w:rsid w:val="00851BFE"/>
    <w:rsid w:val="00853311"/>
    <w:rsid w:val="008539D0"/>
    <w:rsid w:val="00853A51"/>
    <w:rsid w:val="00853D0B"/>
    <w:rsid w:val="00854DF3"/>
    <w:rsid w:val="00854F83"/>
    <w:rsid w:val="00855003"/>
    <w:rsid w:val="00855048"/>
    <w:rsid w:val="00856031"/>
    <w:rsid w:val="008563CF"/>
    <w:rsid w:val="0085643B"/>
    <w:rsid w:val="0085657A"/>
    <w:rsid w:val="00856C78"/>
    <w:rsid w:val="00856EF0"/>
    <w:rsid w:val="008576B6"/>
    <w:rsid w:val="00857D75"/>
    <w:rsid w:val="008606AE"/>
    <w:rsid w:val="008610D3"/>
    <w:rsid w:val="008624AF"/>
    <w:rsid w:val="0086333E"/>
    <w:rsid w:val="0086372D"/>
    <w:rsid w:val="0086449D"/>
    <w:rsid w:val="008655E2"/>
    <w:rsid w:val="0086691A"/>
    <w:rsid w:val="0086698D"/>
    <w:rsid w:val="00866AD2"/>
    <w:rsid w:val="00866CCA"/>
    <w:rsid w:val="008670FE"/>
    <w:rsid w:val="00870B9D"/>
    <w:rsid w:val="00870BE1"/>
    <w:rsid w:val="008711BC"/>
    <w:rsid w:val="00871D11"/>
    <w:rsid w:val="00871FA4"/>
    <w:rsid w:val="00872040"/>
    <w:rsid w:val="008721E2"/>
    <w:rsid w:val="0087294A"/>
    <w:rsid w:val="008729D7"/>
    <w:rsid w:val="00872BF9"/>
    <w:rsid w:val="00873B3B"/>
    <w:rsid w:val="00873C15"/>
    <w:rsid w:val="008753A6"/>
    <w:rsid w:val="00875981"/>
    <w:rsid w:val="00875983"/>
    <w:rsid w:val="00876E2B"/>
    <w:rsid w:val="00877186"/>
    <w:rsid w:val="008775E5"/>
    <w:rsid w:val="00877636"/>
    <w:rsid w:val="00877B4B"/>
    <w:rsid w:val="00877E13"/>
    <w:rsid w:val="00880716"/>
    <w:rsid w:val="00880909"/>
    <w:rsid w:val="00882146"/>
    <w:rsid w:val="008828FF"/>
    <w:rsid w:val="0088291A"/>
    <w:rsid w:val="00882B25"/>
    <w:rsid w:val="00882F36"/>
    <w:rsid w:val="00884266"/>
    <w:rsid w:val="00884608"/>
    <w:rsid w:val="008852A7"/>
    <w:rsid w:val="00885BFB"/>
    <w:rsid w:val="00885DE1"/>
    <w:rsid w:val="008860AA"/>
    <w:rsid w:val="008861C1"/>
    <w:rsid w:val="00886249"/>
    <w:rsid w:val="008865C2"/>
    <w:rsid w:val="00886A93"/>
    <w:rsid w:val="0088731D"/>
    <w:rsid w:val="00887EF0"/>
    <w:rsid w:val="00891E2A"/>
    <w:rsid w:val="0089249D"/>
    <w:rsid w:val="008937ED"/>
    <w:rsid w:val="0089392B"/>
    <w:rsid w:val="0089487C"/>
    <w:rsid w:val="00894FDC"/>
    <w:rsid w:val="0089572D"/>
    <w:rsid w:val="00895877"/>
    <w:rsid w:val="0089635E"/>
    <w:rsid w:val="008969A4"/>
    <w:rsid w:val="00897204"/>
    <w:rsid w:val="00897591"/>
    <w:rsid w:val="00897592"/>
    <w:rsid w:val="008A06B7"/>
    <w:rsid w:val="008A1275"/>
    <w:rsid w:val="008A2198"/>
    <w:rsid w:val="008A2692"/>
    <w:rsid w:val="008A3AE0"/>
    <w:rsid w:val="008A4AE3"/>
    <w:rsid w:val="008A4E21"/>
    <w:rsid w:val="008A5205"/>
    <w:rsid w:val="008A5E92"/>
    <w:rsid w:val="008A6B0A"/>
    <w:rsid w:val="008A7046"/>
    <w:rsid w:val="008A7251"/>
    <w:rsid w:val="008B0162"/>
    <w:rsid w:val="008B554B"/>
    <w:rsid w:val="008B59C7"/>
    <w:rsid w:val="008B6F6B"/>
    <w:rsid w:val="008B7095"/>
    <w:rsid w:val="008B735D"/>
    <w:rsid w:val="008B73DE"/>
    <w:rsid w:val="008B783F"/>
    <w:rsid w:val="008B79F2"/>
    <w:rsid w:val="008B7D52"/>
    <w:rsid w:val="008B7EC4"/>
    <w:rsid w:val="008C0BFF"/>
    <w:rsid w:val="008C10D1"/>
    <w:rsid w:val="008C1714"/>
    <w:rsid w:val="008C175E"/>
    <w:rsid w:val="008C1F0D"/>
    <w:rsid w:val="008C23AF"/>
    <w:rsid w:val="008C25A6"/>
    <w:rsid w:val="008C2BE3"/>
    <w:rsid w:val="008C444C"/>
    <w:rsid w:val="008C47BB"/>
    <w:rsid w:val="008C486A"/>
    <w:rsid w:val="008C4AD1"/>
    <w:rsid w:val="008C6CBB"/>
    <w:rsid w:val="008C7935"/>
    <w:rsid w:val="008D0FC8"/>
    <w:rsid w:val="008D1325"/>
    <w:rsid w:val="008D2EA9"/>
    <w:rsid w:val="008D3458"/>
    <w:rsid w:val="008D365C"/>
    <w:rsid w:val="008D469B"/>
    <w:rsid w:val="008D4971"/>
    <w:rsid w:val="008D5247"/>
    <w:rsid w:val="008D5F7C"/>
    <w:rsid w:val="008D69D9"/>
    <w:rsid w:val="008E0167"/>
    <w:rsid w:val="008E0A34"/>
    <w:rsid w:val="008E0DFF"/>
    <w:rsid w:val="008E1788"/>
    <w:rsid w:val="008E1D7E"/>
    <w:rsid w:val="008E2767"/>
    <w:rsid w:val="008E3295"/>
    <w:rsid w:val="008E345A"/>
    <w:rsid w:val="008E4319"/>
    <w:rsid w:val="008E4F2A"/>
    <w:rsid w:val="008E51F7"/>
    <w:rsid w:val="008E55C2"/>
    <w:rsid w:val="008E5DBD"/>
    <w:rsid w:val="008E5EAD"/>
    <w:rsid w:val="008E6366"/>
    <w:rsid w:val="008E6972"/>
    <w:rsid w:val="008E7A0A"/>
    <w:rsid w:val="008E7D60"/>
    <w:rsid w:val="008F0B87"/>
    <w:rsid w:val="008F1809"/>
    <w:rsid w:val="008F18E2"/>
    <w:rsid w:val="008F273E"/>
    <w:rsid w:val="008F3330"/>
    <w:rsid w:val="008F4F9D"/>
    <w:rsid w:val="008F5758"/>
    <w:rsid w:val="008F5C4E"/>
    <w:rsid w:val="008F5D25"/>
    <w:rsid w:val="008F6A33"/>
    <w:rsid w:val="008F78D8"/>
    <w:rsid w:val="008F7F1B"/>
    <w:rsid w:val="009001C8"/>
    <w:rsid w:val="009006F8"/>
    <w:rsid w:val="009007B8"/>
    <w:rsid w:val="00900971"/>
    <w:rsid w:val="0090115E"/>
    <w:rsid w:val="009013DB"/>
    <w:rsid w:val="00901940"/>
    <w:rsid w:val="00901954"/>
    <w:rsid w:val="00902014"/>
    <w:rsid w:val="009036E8"/>
    <w:rsid w:val="0090371F"/>
    <w:rsid w:val="00903AEB"/>
    <w:rsid w:val="00903C32"/>
    <w:rsid w:val="00903E8B"/>
    <w:rsid w:val="009047BD"/>
    <w:rsid w:val="009052C7"/>
    <w:rsid w:val="009059F7"/>
    <w:rsid w:val="009061E6"/>
    <w:rsid w:val="00906C52"/>
    <w:rsid w:val="00910452"/>
    <w:rsid w:val="009116A8"/>
    <w:rsid w:val="0091182F"/>
    <w:rsid w:val="00912460"/>
    <w:rsid w:val="00912720"/>
    <w:rsid w:val="00912AD6"/>
    <w:rsid w:val="00912DF8"/>
    <w:rsid w:val="0091317D"/>
    <w:rsid w:val="00913D9A"/>
    <w:rsid w:val="00914191"/>
    <w:rsid w:val="00914506"/>
    <w:rsid w:val="009146FE"/>
    <w:rsid w:val="00914D04"/>
    <w:rsid w:val="009151B8"/>
    <w:rsid w:val="009152CE"/>
    <w:rsid w:val="00915505"/>
    <w:rsid w:val="00915513"/>
    <w:rsid w:val="00915B59"/>
    <w:rsid w:val="00915E19"/>
    <w:rsid w:val="00917925"/>
    <w:rsid w:val="009200E7"/>
    <w:rsid w:val="00921375"/>
    <w:rsid w:val="009227D6"/>
    <w:rsid w:val="00922C4D"/>
    <w:rsid w:val="00922DA5"/>
    <w:rsid w:val="00922F79"/>
    <w:rsid w:val="00923010"/>
    <w:rsid w:val="009234AA"/>
    <w:rsid w:val="0092416D"/>
    <w:rsid w:val="009245B2"/>
    <w:rsid w:val="00924F06"/>
    <w:rsid w:val="0092504F"/>
    <w:rsid w:val="0092642F"/>
    <w:rsid w:val="00926C58"/>
    <w:rsid w:val="009270E2"/>
    <w:rsid w:val="00927149"/>
    <w:rsid w:val="00931020"/>
    <w:rsid w:val="0093119C"/>
    <w:rsid w:val="00931472"/>
    <w:rsid w:val="009315F4"/>
    <w:rsid w:val="00931682"/>
    <w:rsid w:val="009317C5"/>
    <w:rsid w:val="00931C71"/>
    <w:rsid w:val="00931D16"/>
    <w:rsid w:val="00932DA2"/>
    <w:rsid w:val="00933E13"/>
    <w:rsid w:val="009346C0"/>
    <w:rsid w:val="00935297"/>
    <w:rsid w:val="0093551B"/>
    <w:rsid w:val="00935E20"/>
    <w:rsid w:val="009361A5"/>
    <w:rsid w:val="0093666D"/>
    <w:rsid w:val="009366DF"/>
    <w:rsid w:val="009367E5"/>
    <w:rsid w:val="00936B2B"/>
    <w:rsid w:val="00936BDF"/>
    <w:rsid w:val="00937755"/>
    <w:rsid w:val="00937C46"/>
    <w:rsid w:val="00937FBB"/>
    <w:rsid w:val="00940691"/>
    <w:rsid w:val="00940790"/>
    <w:rsid w:val="009409A4"/>
    <w:rsid w:val="00940F7B"/>
    <w:rsid w:val="00940F8D"/>
    <w:rsid w:val="00941B6F"/>
    <w:rsid w:val="009421DE"/>
    <w:rsid w:val="00943053"/>
    <w:rsid w:val="009430AF"/>
    <w:rsid w:val="00944D68"/>
    <w:rsid w:val="00944E75"/>
    <w:rsid w:val="00944F17"/>
    <w:rsid w:val="00945E11"/>
    <w:rsid w:val="009464E7"/>
    <w:rsid w:val="0094708C"/>
    <w:rsid w:val="0094716C"/>
    <w:rsid w:val="00950116"/>
    <w:rsid w:val="0095012B"/>
    <w:rsid w:val="00950E3E"/>
    <w:rsid w:val="00950FFA"/>
    <w:rsid w:val="00951FF3"/>
    <w:rsid w:val="00952DA5"/>
    <w:rsid w:val="00952FC8"/>
    <w:rsid w:val="009539EC"/>
    <w:rsid w:val="009540A8"/>
    <w:rsid w:val="00954FCB"/>
    <w:rsid w:val="009554BD"/>
    <w:rsid w:val="0095569A"/>
    <w:rsid w:val="00956097"/>
    <w:rsid w:val="00956F85"/>
    <w:rsid w:val="009570BB"/>
    <w:rsid w:val="009575D1"/>
    <w:rsid w:val="009576F4"/>
    <w:rsid w:val="009619AB"/>
    <w:rsid w:val="00961BCE"/>
    <w:rsid w:val="00962E02"/>
    <w:rsid w:val="00963016"/>
    <w:rsid w:val="0096352D"/>
    <w:rsid w:val="00963831"/>
    <w:rsid w:val="00963F90"/>
    <w:rsid w:val="00964053"/>
    <w:rsid w:val="00964D49"/>
    <w:rsid w:val="00965149"/>
    <w:rsid w:val="00965A41"/>
    <w:rsid w:val="00965EDA"/>
    <w:rsid w:val="00965F33"/>
    <w:rsid w:val="00965FB7"/>
    <w:rsid w:val="00966186"/>
    <w:rsid w:val="00966C5A"/>
    <w:rsid w:val="00967105"/>
    <w:rsid w:val="009704B7"/>
    <w:rsid w:val="00970AD3"/>
    <w:rsid w:val="00972032"/>
    <w:rsid w:val="009720A6"/>
    <w:rsid w:val="009720D1"/>
    <w:rsid w:val="0097479C"/>
    <w:rsid w:val="00975655"/>
    <w:rsid w:val="00975922"/>
    <w:rsid w:val="00976038"/>
    <w:rsid w:val="00977A21"/>
    <w:rsid w:val="009817B5"/>
    <w:rsid w:val="009817DE"/>
    <w:rsid w:val="00982216"/>
    <w:rsid w:val="009822C7"/>
    <w:rsid w:val="00982D91"/>
    <w:rsid w:val="00982E22"/>
    <w:rsid w:val="00983AF0"/>
    <w:rsid w:val="00985C20"/>
    <w:rsid w:val="00985C4A"/>
    <w:rsid w:val="0098635C"/>
    <w:rsid w:val="00986FE5"/>
    <w:rsid w:val="009874CB"/>
    <w:rsid w:val="00990AE5"/>
    <w:rsid w:val="009926BE"/>
    <w:rsid w:val="00992B1B"/>
    <w:rsid w:val="009930D1"/>
    <w:rsid w:val="00994A79"/>
    <w:rsid w:val="00995380"/>
    <w:rsid w:val="00995449"/>
    <w:rsid w:val="00995548"/>
    <w:rsid w:val="0099561D"/>
    <w:rsid w:val="00995865"/>
    <w:rsid w:val="00995D54"/>
    <w:rsid w:val="0099621A"/>
    <w:rsid w:val="009973FB"/>
    <w:rsid w:val="009975BA"/>
    <w:rsid w:val="00997AFF"/>
    <w:rsid w:val="00997E12"/>
    <w:rsid w:val="00997ED4"/>
    <w:rsid w:val="009A1232"/>
    <w:rsid w:val="009A179D"/>
    <w:rsid w:val="009A17DE"/>
    <w:rsid w:val="009A24A8"/>
    <w:rsid w:val="009A266C"/>
    <w:rsid w:val="009A26E4"/>
    <w:rsid w:val="009A345F"/>
    <w:rsid w:val="009A3B2A"/>
    <w:rsid w:val="009A441F"/>
    <w:rsid w:val="009A4ED3"/>
    <w:rsid w:val="009A5372"/>
    <w:rsid w:val="009A5C04"/>
    <w:rsid w:val="009A5CD2"/>
    <w:rsid w:val="009A5D29"/>
    <w:rsid w:val="009A5D36"/>
    <w:rsid w:val="009A65C5"/>
    <w:rsid w:val="009A70DC"/>
    <w:rsid w:val="009A716D"/>
    <w:rsid w:val="009B0044"/>
    <w:rsid w:val="009B0DBD"/>
    <w:rsid w:val="009B190F"/>
    <w:rsid w:val="009B1D08"/>
    <w:rsid w:val="009B2BAD"/>
    <w:rsid w:val="009B2C2F"/>
    <w:rsid w:val="009B3941"/>
    <w:rsid w:val="009B41BE"/>
    <w:rsid w:val="009B4F4D"/>
    <w:rsid w:val="009B4F5E"/>
    <w:rsid w:val="009B5543"/>
    <w:rsid w:val="009B6346"/>
    <w:rsid w:val="009B6449"/>
    <w:rsid w:val="009B66D9"/>
    <w:rsid w:val="009B6A0C"/>
    <w:rsid w:val="009B7D17"/>
    <w:rsid w:val="009C02BC"/>
    <w:rsid w:val="009C058D"/>
    <w:rsid w:val="009C1341"/>
    <w:rsid w:val="009C1423"/>
    <w:rsid w:val="009C14A2"/>
    <w:rsid w:val="009C15E7"/>
    <w:rsid w:val="009C20B8"/>
    <w:rsid w:val="009C2474"/>
    <w:rsid w:val="009C28A9"/>
    <w:rsid w:val="009C2A26"/>
    <w:rsid w:val="009C2D18"/>
    <w:rsid w:val="009C332B"/>
    <w:rsid w:val="009C35A4"/>
    <w:rsid w:val="009C3912"/>
    <w:rsid w:val="009C3B53"/>
    <w:rsid w:val="009C3FAD"/>
    <w:rsid w:val="009C3FE4"/>
    <w:rsid w:val="009C499B"/>
    <w:rsid w:val="009C5114"/>
    <w:rsid w:val="009C5E5B"/>
    <w:rsid w:val="009C622F"/>
    <w:rsid w:val="009C6266"/>
    <w:rsid w:val="009C637F"/>
    <w:rsid w:val="009C653B"/>
    <w:rsid w:val="009C6575"/>
    <w:rsid w:val="009C6834"/>
    <w:rsid w:val="009C68ED"/>
    <w:rsid w:val="009C6EC4"/>
    <w:rsid w:val="009C728C"/>
    <w:rsid w:val="009D0367"/>
    <w:rsid w:val="009D053D"/>
    <w:rsid w:val="009D1549"/>
    <w:rsid w:val="009D23C6"/>
    <w:rsid w:val="009D3307"/>
    <w:rsid w:val="009D4434"/>
    <w:rsid w:val="009D48E0"/>
    <w:rsid w:val="009D4E46"/>
    <w:rsid w:val="009D736B"/>
    <w:rsid w:val="009D7A25"/>
    <w:rsid w:val="009E0127"/>
    <w:rsid w:val="009E14FB"/>
    <w:rsid w:val="009E1D88"/>
    <w:rsid w:val="009E26E8"/>
    <w:rsid w:val="009E2CEC"/>
    <w:rsid w:val="009E31C3"/>
    <w:rsid w:val="009E3E41"/>
    <w:rsid w:val="009E4D5D"/>
    <w:rsid w:val="009E5103"/>
    <w:rsid w:val="009E54FE"/>
    <w:rsid w:val="009E5810"/>
    <w:rsid w:val="009E5981"/>
    <w:rsid w:val="009E656B"/>
    <w:rsid w:val="009E65E4"/>
    <w:rsid w:val="009E6AE2"/>
    <w:rsid w:val="009E7222"/>
    <w:rsid w:val="009E7465"/>
    <w:rsid w:val="009F028C"/>
    <w:rsid w:val="009F0AC3"/>
    <w:rsid w:val="009F0F76"/>
    <w:rsid w:val="009F0FAD"/>
    <w:rsid w:val="009F2F6A"/>
    <w:rsid w:val="009F3501"/>
    <w:rsid w:val="009F4426"/>
    <w:rsid w:val="009F61C7"/>
    <w:rsid w:val="009F6DCD"/>
    <w:rsid w:val="00A00809"/>
    <w:rsid w:val="00A008A5"/>
    <w:rsid w:val="00A00DE5"/>
    <w:rsid w:val="00A01197"/>
    <w:rsid w:val="00A01CE6"/>
    <w:rsid w:val="00A02CA9"/>
    <w:rsid w:val="00A02E10"/>
    <w:rsid w:val="00A044D6"/>
    <w:rsid w:val="00A04CAA"/>
    <w:rsid w:val="00A050C0"/>
    <w:rsid w:val="00A05B7D"/>
    <w:rsid w:val="00A05FC6"/>
    <w:rsid w:val="00A07258"/>
    <w:rsid w:val="00A0750A"/>
    <w:rsid w:val="00A10E88"/>
    <w:rsid w:val="00A110B5"/>
    <w:rsid w:val="00A11591"/>
    <w:rsid w:val="00A11EE7"/>
    <w:rsid w:val="00A12850"/>
    <w:rsid w:val="00A12A4C"/>
    <w:rsid w:val="00A12D73"/>
    <w:rsid w:val="00A142D0"/>
    <w:rsid w:val="00A145D3"/>
    <w:rsid w:val="00A150BF"/>
    <w:rsid w:val="00A151A8"/>
    <w:rsid w:val="00A162E4"/>
    <w:rsid w:val="00A16B3F"/>
    <w:rsid w:val="00A17406"/>
    <w:rsid w:val="00A174CE"/>
    <w:rsid w:val="00A17765"/>
    <w:rsid w:val="00A179D2"/>
    <w:rsid w:val="00A17B7E"/>
    <w:rsid w:val="00A20272"/>
    <w:rsid w:val="00A20EFF"/>
    <w:rsid w:val="00A2106F"/>
    <w:rsid w:val="00A21B91"/>
    <w:rsid w:val="00A21C7B"/>
    <w:rsid w:val="00A21EB5"/>
    <w:rsid w:val="00A223E3"/>
    <w:rsid w:val="00A229D5"/>
    <w:rsid w:val="00A23617"/>
    <w:rsid w:val="00A23899"/>
    <w:rsid w:val="00A241F7"/>
    <w:rsid w:val="00A24E2B"/>
    <w:rsid w:val="00A25049"/>
    <w:rsid w:val="00A25824"/>
    <w:rsid w:val="00A259BB"/>
    <w:rsid w:val="00A25B8D"/>
    <w:rsid w:val="00A30A29"/>
    <w:rsid w:val="00A30F18"/>
    <w:rsid w:val="00A31625"/>
    <w:rsid w:val="00A32063"/>
    <w:rsid w:val="00A32C67"/>
    <w:rsid w:val="00A32DAB"/>
    <w:rsid w:val="00A32E23"/>
    <w:rsid w:val="00A33045"/>
    <w:rsid w:val="00A347B9"/>
    <w:rsid w:val="00A34905"/>
    <w:rsid w:val="00A3533E"/>
    <w:rsid w:val="00A354FE"/>
    <w:rsid w:val="00A36E0A"/>
    <w:rsid w:val="00A374DA"/>
    <w:rsid w:val="00A3767A"/>
    <w:rsid w:val="00A3796B"/>
    <w:rsid w:val="00A37EC8"/>
    <w:rsid w:val="00A400F9"/>
    <w:rsid w:val="00A404A5"/>
    <w:rsid w:val="00A406C7"/>
    <w:rsid w:val="00A4092F"/>
    <w:rsid w:val="00A40DF2"/>
    <w:rsid w:val="00A413C7"/>
    <w:rsid w:val="00A414DF"/>
    <w:rsid w:val="00A41B14"/>
    <w:rsid w:val="00A41FD2"/>
    <w:rsid w:val="00A4247B"/>
    <w:rsid w:val="00A43BFD"/>
    <w:rsid w:val="00A450D7"/>
    <w:rsid w:val="00A453F6"/>
    <w:rsid w:val="00A46A18"/>
    <w:rsid w:val="00A46B22"/>
    <w:rsid w:val="00A46FE4"/>
    <w:rsid w:val="00A47F0A"/>
    <w:rsid w:val="00A50561"/>
    <w:rsid w:val="00A505FE"/>
    <w:rsid w:val="00A509E1"/>
    <w:rsid w:val="00A512B2"/>
    <w:rsid w:val="00A51EB6"/>
    <w:rsid w:val="00A5241D"/>
    <w:rsid w:val="00A52679"/>
    <w:rsid w:val="00A52CB8"/>
    <w:rsid w:val="00A52CE5"/>
    <w:rsid w:val="00A53124"/>
    <w:rsid w:val="00A53C95"/>
    <w:rsid w:val="00A53F19"/>
    <w:rsid w:val="00A54254"/>
    <w:rsid w:val="00A54409"/>
    <w:rsid w:val="00A54BD3"/>
    <w:rsid w:val="00A54E08"/>
    <w:rsid w:val="00A54F64"/>
    <w:rsid w:val="00A5588E"/>
    <w:rsid w:val="00A55BDF"/>
    <w:rsid w:val="00A55D68"/>
    <w:rsid w:val="00A56AC8"/>
    <w:rsid w:val="00A56E59"/>
    <w:rsid w:val="00A57BA1"/>
    <w:rsid w:val="00A57DCB"/>
    <w:rsid w:val="00A57EC4"/>
    <w:rsid w:val="00A60006"/>
    <w:rsid w:val="00A60CF4"/>
    <w:rsid w:val="00A60F8B"/>
    <w:rsid w:val="00A61398"/>
    <w:rsid w:val="00A63278"/>
    <w:rsid w:val="00A6335A"/>
    <w:rsid w:val="00A63D36"/>
    <w:rsid w:val="00A644BC"/>
    <w:rsid w:val="00A64A33"/>
    <w:rsid w:val="00A65074"/>
    <w:rsid w:val="00A66615"/>
    <w:rsid w:val="00A675B0"/>
    <w:rsid w:val="00A704BA"/>
    <w:rsid w:val="00A70F39"/>
    <w:rsid w:val="00A71515"/>
    <w:rsid w:val="00A74241"/>
    <w:rsid w:val="00A752B0"/>
    <w:rsid w:val="00A754FB"/>
    <w:rsid w:val="00A759FC"/>
    <w:rsid w:val="00A7643F"/>
    <w:rsid w:val="00A77160"/>
    <w:rsid w:val="00A80A0D"/>
    <w:rsid w:val="00A80DC9"/>
    <w:rsid w:val="00A80DEC"/>
    <w:rsid w:val="00A81E3B"/>
    <w:rsid w:val="00A82B0C"/>
    <w:rsid w:val="00A8440A"/>
    <w:rsid w:val="00A84C64"/>
    <w:rsid w:val="00A84E03"/>
    <w:rsid w:val="00A86FFD"/>
    <w:rsid w:val="00A90F05"/>
    <w:rsid w:val="00A9104C"/>
    <w:rsid w:val="00A91BC1"/>
    <w:rsid w:val="00A92270"/>
    <w:rsid w:val="00A93152"/>
    <w:rsid w:val="00A93653"/>
    <w:rsid w:val="00A93757"/>
    <w:rsid w:val="00A95105"/>
    <w:rsid w:val="00A9565F"/>
    <w:rsid w:val="00A965BB"/>
    <w:rsid w:val="00A97105"/>
    <w:rsid w:val="00A971EA"/>
    <w:rsid w:val="00A97EFF"/>
    <w:rsid w:val="00AA0146"/>
    <w:rsid w:val="00AA09A5"/>
    <w:rsid w:val="00AA14C6"/>
    <w:rsid w:val="00AA1EAC"/>
    <w:rsid w:val="00AA1F7A"/>
    <w:rsid w:val="00AA2D22"/>
    <w:rsid w:val="00AA2E23"/>
    <w:rsid w:val="00AA4075"/>
    <w:rsid w:val="00AA4C3A"/>
    <w:rsid w:val="00AA4D8A"/>
    <w:rsid w:val="00AA4D99"/>
    <w:rsid w:val="00AA5B19"/>
    <w:rsid w:val="00AA685C"/>
    <w:rsid w:val="00AA6A31"/>
    <w:rsid w:val="00AA6DA7"/>
    <w:rsid w:val="00AA6E77"/>
    <w:rsid w:val="00AA7274"/>
    <w:rsid w:val="00AA74A3"/>
    <w:rsid w:val="00AA7E1F"/>
    <w:rsid w:val="00AB00B2"/>
    <w:rsid w:val="00AB0443"/>
    <w:rsid w:val="00AB0DED"/>
    <w:rsid w:val="00AB1A09"/>
    <w:rsid w:val="00AB3397"/>
    <w:rsid w:val="00AB3539"/>
    <w:rsid w:val="00AB3BF6"/>
    <w:rsid w:val="00AB61B0"/>
    <w:rsid w:val="00AB67D3"/>
    <w:rsid w:val="00AB7040"/>
    <w:rsid w:val="00AB7DF8"/>
    <w:rsid w:val="00AC06CD"/>
    <w:rsid w:val="00AC0C4B"/>
    <w:rsid w:val="00AC104F"/>
    <w:rsid w:val="00AC220B"/>
    <w:rsid w:val="00AC30D1"/>
    <w:rsid w:val="00AC46F0"/>
    <w:rsid w:val="00AC4816"/>
    <w:rsid w:val="00AC4C9E"/>
    <w:rsid w:val="00AC58C3"/>
    <w:rsid w:val="00AC5DD7"/>
    <w:rsid w:val="00AC6936"/>
    <w:rsid w:val="00AC7347"/>
    <w:rsid w:val="00AC736A"/>
    <w:rsid w:val="00AC7ECA"/>
    <w:rsid w:val="00AD085D"/>
    <w:rsid w:val="00AD09C0"/>
    <w:rsid w:val="00AD1049"/>
    <w:rsid w:val="00AD180E"/>
    <w:rsid w:val="00AD1AEF"/>
    <w:rsid w:val="00AD27D2"/>
    <w:rsid w:val="00AD27FC"/>
    <w:rsid w:val="00AD2B73"/>
    <w:rsid w:val="00AD320A"/>
    <w:rsid w:val="00AD3496"/>
    <w:rsid w:val="00AD41C1"/>
    <w:rsid w:val="00AD5F6F"/>
    <w:rsid w:val="00AD6149"/>
    <w:rsid w:val="00AD63B7"/>
    <w:rsid w:val="00AD64B1"/>
    <w:rsid w:val="00AD6AFC"/>
    <w:rsid w:val="00AE13C6"/>
    <w:rsid w:val="00AE22AA"/>
    <w:rsid w:val="00AE22C6"/>
    <w:rsid w:val="00AE2E32"/>
    <w:rsid w:val="00AE3051"/>
    <w:rsid w:val="00AE3263"/>
    <w:rsid w:val="00AE38BC"/>
    <w:rsid w:val="00AE4B6A"/>
    <w:rsid w:val="00AE4C47"/>
    <w:rsid w:val="00AE4FEB"/>
    <w:rsid w:val="00AE50D2"/>
    <w:rsid w:val="00AE56E0"/>
    <w:rsid w:val="00AE56FA"/>
    <w:rsid w:val="00AE6C31"/>
    <w:rsid w:val="00AE6C33"/>
    <w:rsid w:val="00AE762A"/>
    <w:rsid w:val="00AE7CFE"/>
    <w:rsid w:val="00AF023C"/>
    <w:rsid w:val="00AF06C0"/>
    <w:rsid w:val="00AF19E5"/>
    <w:rsid w:val="00AF1B33"/>
    <w:rsid w:val="00AF2240"/>
    <w:rsid w:val="00AF2815"/>
    <w:rsid w:val="00AF4CBF"/>
    <w:rsid w:val="00AF4D4E"/>
    <w:rsid w:val="00AF4DD0"/>
    <w:rsid w:val="00AF5FF0"/>
    <w:rsid w:val="00AF621D"/>
    <w:rsid w:val="00AF7297"/>
    <w:rsid w:val="00AF74C9"/>
    <w:rsid w:val="00AF7CFD"/>
    <w:rsid w:val="00B0079F"/>
    <w:rsid w:val="00B007CF"/>
    <w:rsid w:val="00B0081A"/>
    <w:rsid w:val="00B00959"/>
    <w:rsid w:val="00B019C3"/>
    <w:rsid w:val="00B01B3E"/>
    <w:rsid w:val="00B01CD2"/>
    <w:rsid w:val="00B044E6"/>
    <w:rsid w:val="00B044F4"/>
    <w:rsid w:val="00B046E8"/>
    <w:rsid w:val="00B04ECE"/>
    <w:rsid w:val="00B0534E"/>
    <w:rsid w:val="00B05A8E"/>
    <w:rsid w:val="00B06721"/>
    <w:rsid w:val="00B0740B"/>
    <w:rsid w:val="00B075BB"/>
    <w:rsid w:val="00B07BDE"/>
    <w:rsid w:val="00B10152"/>
    <w:rsid w:val="00B102F3"/>
    <w:rsid w:val="00B1074E"/>
    <w:rsid w:val="00B109E5"/>
    <w:rsid w:val="00B10C9A"/>
    <w:rsid w:val="00B10FF8"/>
    <w:rsid w:val="00B112E6"/>
    <w:rsid w:val="00B11875"/>
    <w:rsid w:val="00B1244B"/>
    <w:rsid w:val="00B12978"/>
    <w:rsid w:val="00B12980"/>
    <w:rsid w:val="00B12BDA"/>
    <w:rsid w:val="00B12EEB"/>
    <w:rsid w:val="00B130FD"/>
    <w:rsid w:val="00B1379E"/>
    <w:rsid w:val="00B139E1"/>
    <w:rsid w:val="00B149C0"/>
    <w:rsid w:val="00B152EE"/>
    <w:rsid w:val="00B15C5B"/>
    <w:rsid w:val="00B1662A"/>
    <w:rsid w:val="00B172D1"/>
    <w:rsid w:val="00B202E2"/>
    <w:rsid w:val="00B2059B"/>
    <w:rsid w:val="00B20DA3"/>
    <w:rsid w:val="00B22BCB"/>
    <w:rsid w:val="00B22C07"/>
    <w:rsid w:val="00B24B09"/>
    <w:rsid w:val="00B26483"/>
    <w:rsid w:val="00B2663F"/>
    <w:rsid w:val="00B26A4C"/>
    <w:rsid w:val="00B26AFE"/>
    <w:rsid w:val="00B26D2F"/>
    <w:rsid w:val="00B26EC4"/>
    <w:rsid w:val="00B27F23"/>
    <w:rsid w:val="00B30363"/>
    <w:rsid w:val="00B31249"/>
    <w:rsid w:val="00B3214D"/>
    <w:rsid w:val="00B32E65"/>
    <w:rsid w:val="00B33209"/>
    <w:rsid w:val="00B33617"/>
    <w:rsid w:val="00B33E29"/>
    <w:rsid w:val="00B3430E"/>
    <w:rsid w:val="00B34D11"/>
    <w:rsid w:val="00B34EC4"/>
    <w:rsid w:val="00B3538B"/>
    <w:rsid w:val="00B359A0"/>
    <w:rsid w:val="00B35B78"/>
    <w:rsid w:val="00B362E2"/>
    <w:rsid w:val="00B364B4"/>
    <w:rsid w:val="00B36653"/>
    <w:rsid w:val="00B36BAC"/>
    <w:rsid w:val="00B36CBD"/>
    <w:rsid w:val="00B375D2"/>
    <w:rsid w:val="00B377C7"/>
    <w:rsid w:val="00B40FF8"/>
    <w:rsid w:val="00B410A1"/>
    <w:rsid w:val="00B42251"/>
    <w:rsid w:val="00B43A94"/>
    <w:rsid w:val="00B43F2E"/>
    <w:rsid w:val="00B44497"/>
    <w:rsid w:val="00B44928"/>
    <w:rsid w:val="00B4558B"/>
    <w:rsid w:val="00B46517"/>
    <w:rsid w:val="00B503F8"/>
    <w:rsid w:val="00B521A8"/>
    <w:rsid w:val="00B5392A"/>
    <w:rsid w:val="00B54511"/>
    <w:rsid w:val="00B55A9E"/>
    <w:rsid w:val="00B55DAF"/>
    <w:rsid w:val="00B5754B"/>
    <w:rsid w:val="00B57D32"/>
    <w:rsid w:val="00B60EFF"/>
    <w:rsid w:val="00B6110E"/>
    <w:rsid w:val="00B61D51"/>
    <w:rsid w:val="00B633F5"/>
    <w:rsid w:val="00B637B1"/>
    <w:rsid w:val="00B66762"/>
    <w:rsid w:val="00B66A7C"/>
    <w:rsid w:val="00B66D02"/>
    <w:rsid w:val="00B67FA1"/>
    <w:rsid w:val="00B702AE"/>
    <w:rsid w:val="00B703DB"/>
    <w:rsid w:val="00B70B56"/>
    <w:rsid w:val="00B70DC3"/>
    <w:rsid w:val="00B7169D"/>
    <w:rsid w:val="00B740BB"/>
    <w:rsid w:val="00B7520C"/>
    <w:rsid w:val="00B75770"/>
    <w:rsid w:val="00B76514"/>
    <w:rsid w:val="00B7682F"/>
    <w:rsid w:val="00B76D66"/>
    <w:rsid w:val="00B77887"/>
    <w:rsid w:val="00B80399"/>
    <w:rsid w:val="00B80A00"/>
    <w:rsid w:val="00B80C23"/>
    <w:rsid w:val="00B825DC"/>
    <w:rsid w:val="00B82ABF"/>
    <w:rsid w:val="00B82CBA"/>
    <w:rsid w:val="00B836A3"/>
    <w:rsid w:val="00B8434C"/>
    <w:rsid w:val="00B843B0"/>
    <w:rsid w:val="00B846F7"/>
    <w:rsid w:val="00B8677C"/>
    <w:rsid w:val="00B86A71"/>
    <w:rsid w:val="00B900EA"/>
    <w:rsid w:val="00B913F6"/>
    <w:rsid w:val="00B915FC"/>
    <w:rsid w:val="00B917B9"/>
    <w:rsid w:val="00B921DE"/>
    <w:rsid w:val="00B921F3"/>
    <w:rsid w:val="00B9258B"/>
    <w:rsid w:val="00B931EA"/>
    <w:rsid w:val="00B946EA"/>
    <w:rsid w:val="00B94C3C"/>
    <w:rsid w:val="00B9606C"/>
    <w:rsid w:val="00B96C75"/>
    <w:rsid w:val="00B97117"/>
    <w:rsid w:val="00B97738"/>
    <w:rsid w:val="00B97748"/>
    <w:rsid w:val="00B97789"/>
    <w:rsid w:val="00B97BDC"/>
    <w:rsid w:val="00BA015E"/>
    <w:rsid w:val="00BA1A4A"/>
    <w:rsid w:val="00BA211F"/>
    <w:rsid w:val="00BA346F"/>
    <w:rsid w:val="00BA38AF"/>
    <w:rsid w:val="00BA42FA"/>
    <w:rsid w:val="00BA49F6"/>
    <w:rsid w:val="00BA4E03"/>
    <w:rsid w:val="00BA5195"/>
    <w:rsid w:val="00BA5383"/>
    <w:rsid w:val="00BA566C"/>
    <w:rsid w:val="00BA58C9"/>
    <w:rsid w:val="00BA5C47"/>
    <w:rsid w:val="00BA66A0"/>
    <w:rsid w:val="00BA709F"/>
    <w:rsid w:val="00BA756C"/>
    <w:rsid w:val="00BA79BF"/>
    <w:rsid w:val="00BB01DA"/>
    <w:rsid w:val="00BB057F"/>
    <w:rsid w:val="00BB099A"/>
    <w:rsid w:val="00BB1B3C"/>
    <w:rsid w:val="00BB23C5"/>
    <w:rsid w:val="00BB3C47"/>
    <w:rsid w:val="00BB4FCA"/>
    <w:rsid w:val="00BB56E5"/>
    <w:rsid w:val="00BB64BD"/>
    <w:rsid w:val="00BB6B53"/>
    <w:rsid w:val="00BB6B8F"/>
    <w:rsid w:val="00BC0DAF"/>
    <w:rsid w:val="00BC0EA4"/>
    <w:rsid w:val="00BC171C"/>
    <w:rsid w:val="00BC19E1"/>
    <w:rsid w:val="00BC2288"/>
    <w:rsid w:val="00BC245E"/>
    <w:rsid w:val="00BC2A11"/>
    <w:rsid w:val="00BC3014"/>
    <w:rsid w:val="00BC3582"/>
    <w:rsid w:val="00BC4866"/>
    <w:rsid w:val="00BC49D8"/>
    <w:rsid w:val="00BC4C77"/>
    <w:rsid w:val="00BC4E03"/>
    <w:rsid w:val="00BC50B3"/>
    <w:rsid w:val="00BC5316"/>
    <w:rsid w:val="00BC6361"/>
    <w:rsid w:val="00BC6556"/>
    <w:rsid w:val="00BC676D"/>
    <w:rsid w:val="00BC7958"/>
    <w:rsid w:val="00BD1046"/>
    <w:rsid w:val="00BD11CD"/>
    <w:rsid w:val="00BD1298"/>
    <w:rsid w:val="00BD1347"/>
    <w:rsid w:val="00BD1967"/>
    <w:rsid w:val="00BD21D6"/>
    <w:rsid w:val="00BD26AD"/>
    <w:rsid w:val="00BD26F3"/>
    <w:rsid w:val="00BD2A3F"/>
    <w:rsid w:val="00BD2B32"/>
    <w:rsid w:val="00BD3087"/>
    <w:rsid w:val="00BD3517"/>
    <w:rsid w:val="00BD3808"/>
    <w:rsid w:val="00BD3C51"/>
    <w:rsid w:val="00BD4592"/>
    <w:rsid w:val="00BD47C2"/>
    <w:rsid w:val="00BD4910"/>
    <w:rsid w:val="00BD4C3B"/>
    <w:rsid w:val="00BD4CE3"/>
    <w:rsid w:val="00BD5011"/>
    <w:rsid w:val="00BD664C"/>
    <w:rsid w:val="00BD6BF4"/>
    <w:rsid w:val="00BD7001"/>
    <w:rsid w:val="00BD7BE0"/>
    <w:rsid w:val="00BD7E6E"/>
    <w:rsid w:val="00BE0795"/>
    <w:rsid w:val="00BE270A"/>
    <w:rsid w:val="00BE3320"/>
    <w:rsid w:val="00BE3642"/>
    <w:rsid w:val="00BE38BD"/>
    <w:rsid w:val="00BE4818"/>
    <w:rsid w:val="00BE5411"/>
    <w:rsid w:val="00BE59DE"/>
    <w:rsid w:val="00BE5C6B"/>
    <w:rsid w:val="00BE6C94"/>
    <w:rsid w:val="00BE74D1"/>
    <w:rsid w:val="00BE7DAA"/>
    <w:rsid w:val="00BF0218"/>
    <w:rsid w:val="00BF0D49"/>
    <w:rsid w:val="00BF12E2"/>
    <w:rsid w:val="00BF1ED7"/>
    <w:rsid w:val="00BF352D"/>
    <w:rsid w:val="00BF3BC3"/>
    <w:rsid w:val="00BF3D16"/>
    <w:rsid w:val="00BF4DF6"/>
    <w:rsid w:val="00BF5D03"/>
    <w:rsid w:val="00BF606C"/>
    <w:rsid w:val="00BF7D7A"/>
    <w:rsid w:val="00C006FE"/>
    <w:rsid w:val="00C00760"/>
    <w:rsid w:val="00C00874"/>
    <w:rsid w:val="00C01610"/>
    <w:rsid w:val="00C02A9E"/>
    <w:rsid w:val="00C0304C"/>
    <w:rsid w:val="00C0318C"/>
    <w:rsid w:val="00C03D76"/>
    <w:rsid w:val="00C042A6"/>
    <w:rsid w:val="00C0435A"/>
    <w:rsid w:val="00C04880"/>
    <w:rsid w:val="00C05BA0"/>
    <w:rsid w:val="00C063B7"/>
    <w:rsid w:val="00C0709E"/>
    <w:rsid w:val="00C07C00"/>
    <w:rsid w:val="00C07EB8"/>
    <w:rsid w:val="00C10050"/>
    <w:rsid w:val="00C10335"/>
    <w:rsid w:val="00C1049C"/>
    <w:rsid w:val="00C106EC"/>
    <w:rsid w:val="00C10EC6"/>
    <w:rsid w:val="00C11771"/>
    <w:rsid w:val="00C11D47"/>
    <w:rsid w:val="00C12D9A"/>
    <w:rsid w:val="00C13028"/>
    <w:rsid w:val="00C13321"/>
    <w:rsid w:val="00C13868"/>
    <w:rsid w:val="00C13FB5"/>
    <w:rsid w:val="00C15184"/>
    <w:rsid w:val="00C152BF"/>
    <w:rsid w:val="00C154F6"/>
    <w:rsid w:val="00C156D1"/>
    <w:rsid w:val="00C15A18"/>
    <w:rsid w:val="00C16495"/>
    <w:rsid w:val="00C16CB6"/>
    <w:rsid w:val="00C16FC3"/>
    <w:rsid w:val="00C170A4"/>
    <w:rsid w:val="00C17502"/>
    <w:rsid w:val="00C2096D"/>
    <w:rsid w:val="00C21665"/>
    <w:rsid w:val="00C21910"/>
    <w:rsid w:val="00C21AC9"/>
    <w:rsid w:val="00C228C3"/>
    <w:rsid w:val="00C228DE"/>
    <w:rsid w:val="00C22A1F"/>
    <w:rsid w:val="00C2496C"/>
    <w:rsid w:val="00C260D8"/>
    <w:rsid w:val="00C26151"/>
    <w:rsid w:val="00C26413"/>
    <w:rsid w:val="00C26C1C"/>
    <w:rsid w:val="00C27CB8"/>
    <w:rsid w:val="00C27DBC"/>
    <w:rsid w:val="00C30250"/>
    <w:rsid w:val="00C30A7C"/>
    <w:rsid w:val="00C30D7B"/>
    <w:rsid w:val="00C30EA7"/>
    <w:rsid w:val="00C33453"/>
    <w:rsid w:val="00C3376A"/>
    <w:rsid w:val="00C33967"/>
    <w:rsid w:val="00C34186"/>
    <w:rsid w:val="00C34AD4"/>
    <w:rsid w:val="00C3507E"/>
    <w:rsid w:val="00C3540E"/>
    <w:rsid w:val="00C35950"/>
    <w:rsid w:val="00C3643F"/>
    <w:rsid w:val="00C3675E"/>
    <w:rsid w:val="00C37B77"/>
    <w:rsid w:val="00C40BA0"/>
    <w:rsid w:val="00C4129B"/>
    <w:rsid w:val="00C412B4"/>
    <w:rsid w:val="00C41955"/>
    <w:rsid w:val="00C41AAB"/>
    <w:rsid w:val="00C4250B"/>
    <w:rsid w:val="00C42805"/>
    <w:rsid w:val="00C43128"/>
    <w:rsid w:val="00C438DD"/>
    <w:rsid w:val="00C44087"/>
    <w:rsid w:val="00C44CED"/>
    <w:rsid w:val="00C45904"/>
    <w:rsid w:val="00C460BC"/>
    <w:rsid w:val="00C46696"/>
    <w:rsid w:val="00C47F83"/>
    <w:rsid w:val="00C5018A"/>
    <w:rsid w:val="00C5026B"/>
    <w:rsid w:val="00C50FD7"/>
    <w:rsid w:val="00C519AF"/>
    <w:rsid w:val="00C51C3D"/>
    <w:rsid w:val="00C52B3D"/>
    <w:rsid w:val="00C53076"/>
    <w:rsid w:val="00C53993"/>
    <w:rsid w:val="00C55215"/>
    <w:rsid w:val="00C56B7F"/>
    <w:rsid w:val="00C56CA8"/>
    <w:rsid w:val="00C56CCA"/>
    <w:rsid w:val="00C56F51"/>
    <w:rsid w:val="00C56F60"/>
    <w:rsid w:val="00C605EF"/>
    <w:rsid w:val="00C6100B"/>
    <w:rsid w:val="00C620ED"/>
    <w:rsid w:val="00C62700"/>
    <w:rsid w:val="00C62CF7"/>
    <w:rsid w:val="00C63161"/>
    <w:rsid w:val="00C632A1"/>
    <w:rsid w:val="00C63D0C"/>
    <w:rsid w:val="00C64954"/>
    <w:rsid w:val="00C64FD3"/>
    <w:rsid w:val="00C65DAD"/>
    <w:rsid w:val="00C6651A"/>
    <w:rsid w:val="00C66A44"/>
    <w:rsid w:val="00C67037"/>
    <w:rsid w:val="00C67245"/>
    <w:rsid w:val="00C6761A"/>
    <w:rsid w:val="00C67AA3"/>
    <w:rsid w:val="00C67DC8"/>
    <w:rsid w:val="00C700D1"/>
    <w:rsid w:val="00C700FE"/>
    <w:rsid w:val="00C705EF"/>
    <w:rsid w:val="00C71328"/>
    <w:rsid w:val="00C72B21"/>
    <w:rsid w:val="00C72F2C"/>
    <w:rsid w:val="00C73276"/>
    <w:rsid w:val="00C73873"/>
    <w:rsid w:val="00C74E62"/>
    <w:rsid w:val="00C74E8A"/>
    <w:rsid w:val="00C767A9"/>
    <w:rsid w:val="00C76F96"/>
    <w:rsid w:val="00C77E76"/>
    <w:rsid w:val="00C77F39"/>
    <w:rsid w:val="00C80925"/>
    <w:rsid w:val="00C809AF"/>
    <w:rsid w:val="00C82713"/>
    <w:rsid w:val="00C82A76"/>
    <w:rsid w:val="00C8302C"/>
    <w:rsid w:val="00C83335"/>
    <w:rsid w:val="00C83622"/>
    <w:rsid w:val="00C84ACA"/>
    <w:rsid w:val="00C852E5"/>
    <w:rsid w:val="00C856CA"/>
    <w:rsid w:val="00C8688D"/>
    <w:rsid w:val="00C86901"/>
    <w:rsid w:val="00C879B6"/>
    <w:rsid w:val="00C90AA9"/>
    <w:rsid w:val="00C90B3F"/>
    <w:rsid w:val="00C90E42"/>
    <w:rsid w:val="00C915C5"/>
    <w:rsid w:val="00C918B2"/>
    <w:rsid w:val="00C9321C"/>
    <w:rsid w:val="00C94781"/>
    <w:rsid w:val="00C949A0"/>
    <w:rsid w:val="00C94D02"/>
    <w:rsid w:val="00C952A1"/>
    <w:rsid w:val="00C952B4"/>
    <w:rsid w:val="00C9536E"/>
    <w:rsid w:val="00C95832"/>
    <w:rsid w:val="00C965ED"/>
    <w:rsid w:val="00C974E7"/>
    <w:rsid w:val="00C97CA4"/>
    <w:rsid w:val="00C97D5D"/>
    <w:rsid w:val="00CA0059"/>
    <w:rsid w:val="00CA12F6"/>
    <w:rsid w:val="00CA1FA8"/>
    <w:rsid w:val="00CA2411"/>
    <w:rsid w:val="00CA2F6A"/>
    <w:rsid w:val="00CA3399"/>
    <w:rsid w:val="00CA6DDE"/>
    <w:rsid w:val="00CA7B13"/>
    <w:rsid w:val="00CB0BF7"/>
    <w:rsid w:val="00CB1D94"/>
    <w:rsid w:val="00CB20A7"/>
    <w:rsid w:val="00CB2E13"/>
    <w:rsid w:val="00CB30BF"/>
    <w:rsid w:val="00CB369B"/>
    <w:rsid w:val="00CB3B19"/>
    <w:rsid w:val="00CB3FD8"/>
    <w:rsid w:val="00CB59A2"/>
    <w:rsid w:val="00CB670F"/>
    <w:rsid w:val="00CB6CAF"/>
    <w:rsid w:val="00CB7B85"/>
    <w:rsid w:val="00CB7F82"/>
    <w:rsid w:val="00CC0368"/>
    <w:rsid w:val="00CC0828"/>
    <w:rsid w:val="00CC0C0D"/>
    <w:rsid w:val="00CC2064"/>
    <w:rsid w:val="00CC2D44"/>
    <w:rsid w:val="00CC331E"/>
    <w:rsid w:val="00CC3375"/>
    <w:rsid w:val="00CC33CB"/>
    <w:rsid w:val="00CC3994"/>
    <w:rsid w:val="00CC3B6A"/>
    <w:rsid w:val="00CC52D4"/>
    <w:rsid w:val="00CC53FD"/>
    <w:rsid w:val="00CC554F"/>
    <w:rsid w:val="00CC6500"/>
    <w:rsid w:val="00CC719B"/>
    <w:rsid w:val="00CC7CB8"/>
    <w:rsid w:val="00CC7E3B"/>
    <w:rsid w:val="00CC7F71"/>
    <w:rsid w:val="00CD039A"/>
    <w:rsid w:val="00CD07D5"/>
    <w:rsid w:val="00CD0972"/>
    <w:rsid w:val="00CD104A"/>
    <w:rsid w:val="00CD2150"/>
    <w:rsid w:val="00CD301F"/>
    <w:rsid w:val="00CD3F18"/>
    <w:rsid w:val="00CD3F55"/>
    <w:rsid w:val="00CD4473"/>
    <w:rsid w:val="00CD45CE"/>
    <w:rsid w:val="00CD4C82"/>
    <w:rsid w:val="00CD512B"/>
    <w:rsid w:val="00CD5744"/>
    <w:rsid w:val="00CD5964"/>
    <w:rsid w:val="00CD6079"/>
    <w:rsid w:val="00CD623C"/>
    <w:rsid w:val="00CD6ABD"/>
    <w:rsid w:val="00CD75FF"/>
    <w:rsid w:val="00CE0561"/>
    <w:rsid w:val="00CE0816"/>
    <w:rsid w:val="00CE1313"/>
    <w:rsid w:val="00CE1357"/>
    <w:rsid w:val="00CE2241"/>
    <w:rsid w:val="00CE2912"/>
    <w:rsid w:val="00CE350E"/>
    <w:rsid w:val="00CE3985"/>
    <w:rsid w:val="00CE4046"/>
    <w:rsid w:val="00CE4647"/>
    <w:rsid w:val="00CE46F2"/>
    <w:rsid w:val="00CE49C4"/>
    <w:rsid w:val="00CE4EDB"/>
    <w:rsid w:val="00CE4FF7"/>
    <w:rsid w:val="00CE5004"/>
    <w:rsid w:val="00CE5C4D"/>
    <w:rsid w:val="00CE5F0A"/>
    <w:rsid w:val="00CE72C7"/>
    <w:rsid w:val="00CE7B29"/>
    <w:rsid w:val="00CE7DF5"/>
    <w:rsid w:val="00CF187E"/>
    <w:rsid w:val="00CF1B25"/>
    <w:rsid w:val="00CF29F1"/>
    <w:rsid w:val="00CF2CB6"/>
    <w:rsid w:val="00CF316D"/>
    <w:rsid w:val="00CF4012"/>
    <w:rsid w:val="00CF43E1"/>
    <w:rsid w:val="00CF43FC"/>
    <w:rsid w:val="00CF46D5"/>
    <w:rsid w:val="00CF4CC2"/>
    <w:rsid w:val="00CF4D3D"/>
    <w:rsid w:val="00CF5026"/>
    <w:rsid w:val="00CF697A"/>
    <w:rsid w:val="00CF7442"/>
    <w:rsid w:val="00D0239D"/>
    <w:rsid w:val="00D027A1"/>
    <w:rsid w:val="00D05134"/>
    <w:rsid w:val="00D053D9"/>
    <w:rsid w:val="00D055C3"/>
    <w:rsid w:val="00D05875"/>
    <w:rsid w:val="00D059C3"/>
    <w:rsid w:val="00D06245"/>
    <w:rsid w:val="00D062D8"/>
    <w:rsid w:val="00D0667D"/>
    <w:rsid w:val="00D06BC9"/>
    <w:rsid w:val="00D071EA"/>
    <w:rsid w:val="00D07427"/>
    <w:rsid w:val="00D07817"/>
    <w:rsid w:val="00D07A6F"/>
    <w:rsid w:val="00D11ABB"/>
    <w:rsid w:val="00D11DD8"/>
    <w:rsid w:val="00D12635"/>
    <w:rsid w:val="00D12CDB"/>
    <w:rsid w:val="00D140B8"/>
    <w:rsid w:val="00D145C5"/>
    <w:rsid w:val="00D14859"/>
    <w:rsid w:val="00D153C8"/>
    <w:rsid w:val="00D154BA"/>
    <w:rsid w:val="00D1580F"/>
    <w:rsid w:val="00D15A16"/>
    <w:rsid w:val="00D15CE6"/>
    <w:rsid w:val="00D16155"/>
    <w:rsid w:val="00D16972"/>
    <w:rsid w:val="00D172ED"/>
    <w:rsid w:val="00D20765"/>
    <w:rsid w:val="00D20F7F"/>
    <w:rsid w:val="00D2145E"/>
    <w:rsid w:val="00D216DB"/>
    <w:rsid w:val="00D2258B"/>
    <w:rsid w:val="00D230ED"/>
    <w:rsid w:val="00D23156"/>
    <w:rsid w:val="00D234DF"/>
    <w:rsid w:val="00D241EA"/>
    <w:rsid w:val="00D24E2D"/>
    <w:rsid w:val="00D26147"/>
    <w:rsid w:val="00D26693"/>
    <w:rsid w:val="00D26DE3"/>
    <w:rsid w:val="00D26EA0"/>
    <w:rsid w:val="00D27A0B"/>
    <w:rsid w:val="00D27F20"/>
    <w:rsid w:val="00D30122"/>
    <w:rsid w:val="00D30413"/>
    <w:rsid w:val="00D3063D"/>
    <w:rsid w:val="00D31285"/>
    <w:rsid w:val="00D315C5"/>
    <w:rsid w:val="00D33A3F"/>
    <w:rsid w:val="00D351D5"/>
    <w:rsid w:val="00D353E6"/>
    <w:rsid w:val="00D35A13"/>
    <w:rsid w:val="00D36728"/>
    <w:rsid w:val="00D368FB"/>
    <w:rsid w:val="00D36B3F"/>
    <w:rsid w:val="00D37111"/>
    <w:rsid w:val="00D3770B"/>
    <w:rsid w:val="00D4091F"/>
    <w:rsid w:val="00D419AB"/>
    <w:rsid w:val="00D42681"/>
    <w:rsid w:val="00D42D0A"/>
    <w:rsid w:val="00D42EC1"/>
    <w:rsid w:val="00D43EE2"/>
    <w:rsid w:val="00D443F3"/>
    <w:rsid w:val="00D44991"/>
    <w:rsid w:val="00D44C1D"/>
    <w:rsid w:val="00D44EBB"/>
    <w:rsid w:val="00D456FF"/>
    <w:rsid w:val="00D45E1B"/>
    <w:rsid w:val="00D466E3"/>
    <w:rsid w:val="00D46F19"/>
    <w:rsid w:val="00D47294"/>
    <w:rsid w:val="00D5000B"/>
    <w:rsid w:val="00D50A5F"/>
    <w:rsid w:val="00D51337"/>
    <w:rsid w:val="00D51AED"/>
    <w:rsid w:val="00D51E07"/>
    <w:rsid w:val="00D51EC2"/>
    <w:rsid w:val="00D5218A"/>
    <w:rsid w:val="00D521ED"/>
    <w:rsid w:val="00D5357B"/>
    <w:rsid w:val="00D53B54"/>
    <w:rsid w:val="00D53FC2"/>
    <w:rsid w:val="00D5445C"/>
    <w:rsid w:val="00D54EEE"/>
    <w:rsid w:val="00D55AC5"/>
    <w:rsid w:val="00D55E14"/>
    <w:rsid w:val="00D56F20"/>
    <w:rsid w:val="00D57471"/>
    <w:rsid w:val="00D57E67"/>
    <w:rsid w:val="00D57EDF"/>
    <w:rsid w:val="00D60960"/>
    <w:rsid w:val="00D60D18"/>
    <w:rsid w:val="00D616F6"/>
    <w:rsid w:val="00D61FE8"/>
    <w:rsid w:val="00D63173"/>
    <w:rsid w:val="00D63AF0"/>
    <w:rsid w:val="00D63DC3"/>
    <w:rsid w:val="00D63E06"/>
    <w:rsid w:val="00D649F2"/>
    <w:rsid w:val="00D6575B"/>
    <w:rsid w:val="00D65BAA"/>
    <w:rsid w:val="00D65DF6"/>
    <w:rsid w:val="00D66544"/>
    <w:rsid w:val="00D6657B"/>
    <w:rsid w:val="00D66C33"/>
    <w:rsid w:val="00D66CDB"/>
    <w:rsid w:val="00D6749F"/>
    <w:rsid w:val="00D67BAE"/>
    <w:rsid w:val="00D7074C"/>
    <w:rsid w:val="00D70781"/>
    <w:rsid w:val="00D70B25"/>
    <w:rsid w:val="00D70D82"/>
    <w:rsid w:val="00D713E5"/>
    <w:rsid w:val="00D72D70"/>
    <w:rsid w:val="00D73CA8"/>
    <w:rsid w:val="00D73D2C"/>
    <w:rsid w:val="00D74093"/>
    <w:rsid w:val="00D740A9"/>
    <w:rsid w:val="00D747B8"/>
    <w:rsid w:val="00D7490F"/>
    <w:rsid w:val="00D74FD2"/>
    <w:rsid w:val="00D753DC"/>
    <w:rsid w:val="00D75B72"/>
    <w:rsid w:val="00D76159"/>
    <w:rsid w:val="00D7618C"/>
    <w:rsid w:val="00D76476"/>
    <w:rsid w:val="00D7659A"/>
    <w:rsid w:val="00D76BBE"/>
    <w:rsid w:val="00D77268"/>
    <w:rsid w:val="00D77C0C"/>
    <w:rsid w:val="00D81B83"/>
    <w:rsid w:val="00D8234F"/>
    <w:rsid w:val="00D82AC4"/>
    <w:rsid w:val="00D8331B"/>
    <w:rsid w:val="00D84536"/>
    <w:rsid w:val="00D845B7"/>
    <w:rsid w:val="00D84EC0"/>
    <w:rsid w:val="00D856BC"/>
    <w:rsid w:val="00D85855"/>
    <w:rsid w:val="00D87F47"/>
    <w:rsid w:val="00D90216"/>
    <w:rsid w:val="00D90232"/>
    <w:rsid w:val="00D9042F"/>
    <w:rsid w:val="00D90E74"/>
    <w:rsid w:val="00D910E7"/>
    <w:rsid w:val="00D91B61"/>
    <w:rsid w:val="00D93539"/>
    <w:rsid w:val="00D939AD"/>
    <w:rsid w:val="00D9419A"/>
    <w:rsid w:val="00D94494"/>
    <w:rsid w:val="00D945CC"/>
    <w:rsid w:val="00D945E1"/>
    <w:rsid w:val="00D95395"/>
    <w:rsid w:val="00D95F3C"/>
    <w:rsid w:val="00D961FD"/>
    <w:rsid w:val="00D9676A"/>
    <w:rsid w:val="00D96AD5"/>
    <w:rsid w:val="00DA157D"/>
    <w:rsid w:val="00DA22FE"/>
    <w:rsid w:val="00DA342C"/>
    <w:rsid w:val="00DA3452"/>
    <w:rsid w:val="00DA355B"/>
    <w:rsid w:val="00DA3817"/>
    <w:rsid w:val="00DA385F"/>
    <w:rsid w:val="00DA38DC"/>
    <w:rsid w:val="00DA39A1"/>
    <w:rsid w:val="00DA4551"/>
    <w:rsid w:val="00DA687C"/>
    <w:rsid w:val="00DA77D1"/>
    <w:rsid w:val="00DA7A64"/>
    <w:rsid w:val="00DB1245"/>
    <w:rsid w:val="00DB1EAC"/>
    <w:rsid w:val="00DB222E"/>
    <w:rsid w:val="00DB25C8"/>
    <w:rsid w:val="00DB346D"/>
    <w:rsid w:val="00DB517A"/>
    <w:rsid w:val="00DB5C39"/>
    <w:rsid w:val="00DB5CEF"/>
    <w:rsid w:val="00DB5F2F"/>
    <w:rsid w:val="00DB5FC1"/>
    <w:rsid w:val="00DB6947"/>
    <w:rsid w:val="00DB69EC"/>
    <w:rsid w:val="00DB7412"/>
    <w:rsid w:val="00DC0D90"/>
    <w:rsid w:val="00DC0E07"/>
    <w:rsid w:val="00DC0EAE"/>
    <w:rsid w:val="00DC1B51"/>
    <w:rsid w:val="00DC248F"/>
    <w:rsid w:val="00DC2DED"/>
    <w:rsid w:val="00DC2F0B"/>
    <w:rsid w:val="00DC31F0"/>
    <w:rsid w:val="00DC3521"/>
    <w:rsid w:val="00DC3BBE"/>
    <w:rsid w:val="00DC4169"/>
    <w:rsid w:val="00DC48ED"/>
    <w:rsid w:val="00DC55CC"/>
    <w:rsid w:val="00DC5918"/>
    <w:rsid w:val="00DC6055"/>
    <w:rsid w:val="00DC614A"/>
    <w:rsid w:val="00DC6602"/>
    <w:rsid w:val="00DD0B5E"/>
    <w:rsid w:val="00DD0FFF"/>
    <w:rsid w:val="00DD1914"/>
    <w:rsid w:val="00DD2169"/>
    <w:rsid w:val="00DD2EA8"/>
    <w:rsid w:val="00DD3752"/>
    <w:rsid w:val="00DD464D"/>
    <w:rsid w:val="00DD4E68"/>
    <w:rsid w:val="00DD57CA"/>
    <w:rsid w:val="00DD5A9C"/>
    <w:rsid w:val="00DD66A1"/>
    <w:rsid w:val="00DD6FC0"/>
    <w:rsid w:val="00DD7192"/>
    <w:rsid w:val="00DD72DE"/>
    <w:rsid w:val="00DD7E00"/>
    <w:rsid w:val="00DE0E7D"/>
    <w:rsid w:val="00DE120A"/>
    <w:rsid w:val="00DE1357"/>
    <w:rsid w:val="00DE1462"/>
    <w:rsid w:val="00DE16EE"/>
    <w:rsid w:val="00DE1C69"/>
    <w:rsid w:val="00DE2A0E"/>
    <w:rsid w:val="00DE300C"/>
    <w:rsid w:val="00DE4438"/>
    <w:rsid w:val="00DE4EEF"/>
    <w:rsid w:val="00DE509D"/>
    <w:rsid w:val="00DE5708"/>
    <w:rsid w:val="00DE62AD"/>
    <w:rsid w:val="00DE6707"/>
    <w:rsid w:val="00DE6A64"/>
    <w:rsid w:val="00DE78C4"/>
    <w:rsid w:val="00DF080D"/>
    <w:rsid w:val="00DF0893"/>
    <w:rsid w:val="00DF0B93"/>
    <w:rsid w:val="00DF2435"/>
    <w:rsid w:val="00DF2E87"/>
    <w:rsid w:val="00DF331A"/>
    <w:rsid w:val="00DF33B1"/>
    <w:rsid w:val="00DF37DC"/>
    <w:rsid w:val="00DF3915"/>
    <w:rsid w:val="00DF465C"/>
    <w:rsid w:val="00DF4EF2"/>
    <w:rsid w:val="00DF5858"/>
    <w:rsid w:val="00E008E1"/>
    <w:rsid w:val="00E01244"/>
    <w:rsid w:val="00E0161E"/>
    <w:rsid w:val="00E025E7"/>
    <w:rsid w:val="00E027B0"/>
    <w:rsid w:val="00E028FD"/>
    <w:rsid w:val="00E02A08"/>
    <w:rsid w:val="00E030F2"/>
    <w:rsid w:val="00E031D7"/>
    <w:rsid w:val="00E03200"/>
    <w:rsid w:val="00E0328C"/>
    <w:rsid w:val="00E03CA8"/>
    <w:rsid w:val="00E03DE0"/>
    <w:rsid w:val="00E04541"/>
    <w:rsid w:val="00E04922"/>
    <w:rsid w:val="00E049D3"/>
    <w:rsid w:val="00E063AA"/>
    <w:rsid w:val="00E069CA"/>
    <w:rsid w:val="00E06B9E"/>
    <w:rsid w:val="00E10164"/>
    <w:rsid w:val="00E1111B"/>
    <w:rsid w:val="00E12171"/>
    <w:rsid w:val="00E12F1B"/>
    <w:rsid w:val="00E13162"/>
    <w:rsid w:val="00E133F6"/>
    <w:rsid w:val="00E155EC"/>
    <w:rsid w:val="00E156A2"/>
    <w:rsid w:val="00E162C2"/>
    <w:rsid w:val="00E168A9"/>
    <w:rsid w:val="00E17200"/>
    <w:rsid w:val="00E17421"/>
    <w:rsid w:val="00E17A82"/>
    <w:rsid w:val="00E20A68"/>
    <w:rsid w:val="00E218E0"/>
    <w:rsid w:val="00E2200D"/>
    <w:rsid w:val="00E23040"/>
    <w:rsid w:val="00E2351E"/>
    <w:rsid w:val="00E23BF7"/>
    <w:rsid w:val="00E24279"/>
    <w:rsid w:val="00E2499D"/>
    <w:rsid w:val="00E24BDF"/>
    <w:rsid w:val="00E24D5F"/>
    <w:rsid w:val="00E24FA4"/>
    <w:rsid w:val="00E25AC9"/>
    <w:rsid w:val="00E26071"/>
    <w:rsid w:val="00E26723"/>
    <w:rsid w:val="00E26BB4"/>
    <w:rsid w:val="00E2703F"/>
    <w:rsid w:val="00E27160"/>
    <w:rsid w:val="00E2770F"/>
    <w:rsid w:val="00E27A36"/>
    <w:rsid w:val="00E3060C"/>
    <w:rsid w:val="00E30BD0"/>
    <w:rsid w:val="00E31871"/>
    <w:rsid w:val="00E32380"/>
    <w:rsid w:val="00E32FC2"/>
    <w:rsid w:val="00E332E3"/>
    <w:rsid w:val="00E33E5F"/>
    <w:rsid w:val="00E352E6"/>
    <w:rsid w:val="00E35AD6"/>
    <w:rsid w:val="00E35B90"/>
    <w:rsid w:val="00E35C67"/>
    <w:rsid w:val="00E35D61"/>
    <w:rsid w:val="00E365BE"/>
    <w:rsid w:val="00E3664B"/>
    <w:rsid w:val="00E36EC4"/>
    <w:rsid w:val="00E37B73"/>
    <w:rsid w:val="00E40392"/>
    <w:rsid w:val="00E40B78"/>
    <w:rsid w:val="00E40D90"/>
    <w:rsid w:val="00E41F0B"/>
    <w:rsid w:val="00E41FC3"/>
    <w:rsid w:val="00E4299E"/>
    <w:rsid w:val="00E42D94"/>
    <w:rsid w:val="00E43659"/>
    <w:rsid w:val="00E43745"/>
    <w:rsid w:val="00E43B7F"/>
    <w:rsid w:val="00E460C2"/>
    <w:rsid w:val="00E46750"/>
    <w:rsid w:val="00E47214"/>
    <w:rsid w:val="00E47430"/>
    <w:rsid w:val="00E47C92"/>
    <w:rsid w:val="00E50364"/>
    <w:rsid w:val="00E50E03"/>
    <w:rsid w:val="00E5145A"/>
    <w:rsid w:val="00E52212"/>
    <w:rsid w:val="00E5281D"/>
    <w:rsid w:val="00E52B65"/>
    <w:rsid w:val="00E52F88"/>
    <w:rsid w:val="00E53370"/>
    <w:rsid w:val="00E533B7"/>
    <w:rsid w:val="00E551EE"/>
    <w:rsid w:val="00E555ED"/>
    <w:rsid w:val="00E5597C"/>
    <w:rsid w:val="00E55D00"/>
    <w:rsid w:val="00E55F48"/>
    <w:rsid w:val="00E56A0A"/>
    <w:rsid w:val="00E57503"/>
    <w:rsid w:val="00E601BA"/>
    <w:rsid w:val="00E60434"/>
    <w:rsid w:val="00E606F0"/>
    <w:rsid w:val="00E60809"/>
    <w:rsid w:val="00E61414"/>
    <w:rsid w:val="00E61D68"/>
    <w:rsid w:val="00E62168"/>
    <w:rsid w:val="00E6278B"/>
    <w:rsid w:val="00E62A79"/>
    <w:rsid w:val="00E6376E"/>
    <w:rsid w:val="00E6482D"/>
    <w:rsid w:val="00E65744"/>
    <w:rsid w:val="00E664B4"/>
    <w:rsid w:val="00E669C6"/>
    <w:rsid w:val="00E70CDA"/>
    <w:rsid w:val="00E70F94"/>
    <w:rsid w:val="00E71F24"/>
    <w:rsid w:val="00E732F4"/>
    <w:rsid w:val="00E7344A"/>
    <w:rsid w:val="00E74014"/>
    <w:rsid w:val="00E7448F"/>
    <w:rsid w:val="00E74588"/>
    <w:rsid w:val="00E74871"/>
    <w:rsid w:val="00E74FE1"/>
    <w:rsid w:val="00E74FEB"/>
    <w:rsid w:val="00E759C8"/>
    <w:rsid w:val="00E773E7"/>
    <w:rsid w:val="00E77A42"/>
    <w:rsid w:val="00E81BC6"/>
    <w:rsid w:val="00E8273F"/>
    <w:rsid w:val="00E83122"/>
    <w:rsid w:val="00E832B0"/>
    <w:rsid w:val="00E83AF1"/>
    <w:rsid w:val="00E83DF7"/>
    <w:rsid w:val="00E85B6F"/>
    <w:rsid w:val="00E85BEC"/>
    <w:rsid w:val="00E8607C"/>
    <w:rsid w:val="00E86784"/>
    <w:rsid w:val="00E86B68"/>
    <w:rsid w:val="00E86BE1"/>
    <w:rsid w:val="00E879CA"/>
    <w:rsid w:val="00E87A03"/>
    <w:rsid w:val="00E9153F"/>
    <w:rsid w:val="00E9190D"/>
    <w:rsid w:val="00E927C8"/>
    <w:rsid w:val="00E93199"/>
    <w:rsid w:val="00E932B4"/>
    <w:rsid w:val="00E933A9"/>
    <w:rsid w:val="00E9345E"/>
    <w:rsid w:val="00E93744"/>
    <w:rsid w:val="00E93F78"/>
    <w:rsid w:val="00E942C8"/>
    <w:rsid w:val="00E9452B"/>
    <w:rsid w:val="00E952BE"/>
    <w:rsid w:val="00E959AA"/>
    <w:rsid w:val="00E96788"/>
    <w:rsid w:val="00E9790C"/>
    <w:rsid w:val="00E97EB9"/>
    <w:rsid w:val="00EA027B"/>
    <w:rsid w:val="00EA11B3"/>
    <w:rsid w:val="00EA2239"/>
    <w:rsid w:val="00EA234C"/>
    <w:rsid w:val="00EA2874"/>
    <w:rsid w:val="00EA2B49"/>
    <w:rsid w:val="00EA2F11"/>
    <w:rsid w:val="00EA35BA"/>
    <w:rsid w:val="00EA38FD"/>
    <w:rsid w:val="00EA446D"/>
    <w:rsid w:val="00EA4642"/>
    <w:rsid w:val="00EA5EA6"/>
    <w:rsid w:val="00EA6BC4"/>
    <w:rsid w:val="00EA706B"/>
    <w:rsid w:val="00EA721D"/>
    <w:rsid w:val="00EA72CE"/>
    <w:rsid w:val="00EA74D3"/>
    <w:rsid w:val="00EA7F1F"/>
    <w:rsid w:val="00EB00BF"/>
    <w:rsid w:val="00EB0499"/>
    <w:rsid w:val="00EB05A8"/>
    <w:rsid w:val="00EB05C5"/>
    <w:rsid w:val="00EB07AD"/>
    <w:rsid w:val="00EB0F43"/>
    <w:rsid w:val="00EB2432"/>
    <w:rsid w:val="00EB2E14"/>
    <w:rsid w:val="00EB32F8"/>
    <w:rsid w:val="00EB4675"/>
    <w:rsid w:val="00EB46DB"/>
    <w:rsid w:val="00EB49BA"/>
    <w:rsid w:val="00EB4E8F"/>
    <w:rsid w:val="00EB546D"/>
    <w:rsid w:val="00EB54C3"/>
    <w:rsid w:val="00EC04B6"/>
    <w:rsid w:val="00EC2209"/>
    <w:rsid w:val="00EC29B6"/>
    <w:rsid w:val="00EC3DB8"/>
    <w:rsid w:val="00EC483A"/>
    <w:rsid w:val="00EC6205"/>
    <w:rsid w:val="00EC7A2F"/>
    <w:rsid w:val="00ED0DC1"/>
    <w:rsid w:val="00ED17A1"/>
    <w:rsid w:val="00ED1F6F"/>
    <w:rsid w:val="00ED2619"/>
    <w:rsid w:val="00ED3557"/>
    <w:rsid w:val="00ED3E35"/>
    <w:rsid w:val="00ED40EE"/>
    <w:rsid w:val="00ED4127"/>
    <w:rsid w:val="00ED41B9"/>
    <w:rsid w:val="00ED42BB"/>
    <w:rsid w:val="00ED469F"/>
    <w:rsid w:val="00ED537A"/>
    <w:rsid w:val="00ED5C9F"/>
    <w:rsid w:val="00ED6380"/>
    <w:rsid w:val="00ED681B"/>
    <w:rsid w:val="00ED6A3A"/>
    <w:rsid w:val="00ED7BC7"/>
    <w:rsid w:val="00EE0601"/>
    <w:rsid w:val="00EE1279"/>
    <w:rsid w:val="00EE21EF"/>
    <w:rsid w:val="00EE23B9"/>
    <w:rsid w:val="00EE2A4D"/>
    <w:rsid w:val="00EE2B2D"/>
    <w:rsid w:val="00EE3367"/>
    <w:rsid w:val="00EE347E"/>
    <w:rsid w:val="00EE403D"/>
    <w:rsid w:val="00EE4E15"/>
    <w:rsid w:val="00EE50F6"/>
    <w:rsid w:val="00EE54B0"/>
    <w:rsid w:val="00EE5C91"/>
    <w:rsid w:val="00EE5D36"/>
    <w:rsid w:val="00EE6542"/>
    <w:rsid w:val="00EE7692"/>
    <w:rsid w:val="00EF14CE"/>
    <w:rsid w:val="00EF1656"/>
    <w:rsid w:val="00EF1F01"/>
    <w:rsid w:val="00EF215B"/>
    <w:rsid w:val="00EF264C"/>
    <w:rsid w:val="00EF36DD"/>
    <w:rsid w:val="00EF4459"/>
    <w:rsid w:val="00EF56F5"/>
    <w:rsid w:val="00EF7BDC"/>
    <w:rsid w:val="00EF7C66"/>
    <w:rsid w:val="00EF7FA8"/>
    <w:rsid w:val="00F005B9"/>
    <w:rsid w:val="00F006E7"/>
    <w:rsid w:val="00F00D24"/>
    <w:rsid w:val="00F01A65"/>
    <w:rsid w:val="00F01D03"/>
    <w:rsid w:val="00F04471"/>
    <w:rsid w:val="00F066CE"/>
    <w:rsid w:val="00F06D04"/>
    <w:rsid w:val="00F06E46"/>
    <w:rsid w:val="00F06E8E"/>
    <w:rsid w:val="00F071D3"/>
    <w:rsid w:val="00F077DF"/>
    <w:rsid w:val="00F108AF"/>
    <w:rsid w:val="00F11878"/>
    <w:rsid w:val="00F11FE5"/>
    <w:rsid w:val="00F13E93"/>
    <w:rsid w:val="00F13F02"/>
    <w:rsid w:val="00F146D0"/>
    <w:rsid w:val="00F14701"/>
    <w:rsid w:val="00F14F11"/>
    <w:rsid w:val="00F152C7"/>
    <w:rsid w:val="00F163C3"/>
    <w:rsid w:val="00F16716"/>
    <w:rsid w:val="00F168F2"/>
    <w:rsid w:val="00F16E95"/>
    <w:rsid w:val="00F1761A"/>
    <w:rsid w:val="00F178C7"/>
    <w:rsid w:val="00F17D65"/>
    <w:rsid w:val="00F17DA5"/>
    <w:rsid w:val="00F2102A"/>
    <w:rsid w:val="00F2129F"/>
    <w:rsid w:val="00F21E5D"/>
    <w:rsid w:val="00F228AC"/>
    <w:rsid w:val="00F22AC4"/>
    <w:rsid w:val="00F22C66"/>
    <w:rsid w:val="00F241FF"/>
    <w:rsid w:val="00F267C8"/>
    <w:rsid w:val="00F26916"/>
    <w:rsid w:val="00F26E3B"/>
    <w:rsid w:val="00F26F29"/>
    <w:rsid w:val="00F277CA"/>
    <w:rsid w:val="00F27C77"/>
    <w:rsid w:val="00F27E98"/>
    <w:rsid w:val="00F27F2F"/>
    <w:rsid w:val="00F31617"/>
    <w:rsid w:val="00F31B02"/>
    <w:rsid w:val="00F35D0B"/>
    <w:rsid w:val="00F35D67"/>
    <w:rsid w:val="00F36EA9"/>
    <w:rsid w:val="00F37558"/>
    <w:rsid w:val="00F414C3"/>
    <w:rsid w:val="00F41DC3"/>
    <w:rsid w:val="00F41EFD"/>
    <w:rsid w:val="00F42CE8"/>
    <w:rsid w:val="00F4497A"/>
    <w:rsid w:val="00F4514E"/>
    <w:rsid w:val="00F453BB"/>
    <w:rsid w:val="00F455C0"/>
    <w:rsid w:val="00F46D01"/>
    <w:rsid w:val="00F5033C"/>
    <w:rsid w:val="00F51070"/>
    <w:rsid w:val="00F51DE5"/>
    <w:rsid w:val="00F52EBF"/>
    <w:rsid w:val="00F53879"/>
    <w:rsid w:val="00F53A40"/>
    <w:rsid w:val="00F53A83"/>
    <w:rsid w:val="00F53E12"/>
    <w:rsid w:val="00F542F3"/>
    <w:rsid w:val="00F54719"/>
    <w:rsid w:val="00F54C1C"/>
    <w:rsid w:val="00F54FBA"/>
    <w:rsid w:val="00F575A6"/>
    <w:rsid w:val="00F57B79"/>
    <w:rsid w:val="00F57D7E"/>
    <w:rsid w:val="00F60D4F"/>
    <w:rsid w:val="00F61694"/>
    <w:rsid w:val="00F61793"/>
    <w:rsid w:val="00F61D78"/>
    <w:rsid w:val="00F61F02"/>
    <w:rsid w:val="00F626E9"/>
    <w:rsid w:val="00F62D6C"/>
    <w:rsid w:val="00F62D9C"/>
    <w:rsid w:val="00F62E7B"/>
    <w:rsid w:val="00F63126"/>
    <w:rsid w:val="00F63A0F"/>
    <w:rsid w:val="00F6495A"/>
    <w:rsid w:val="00F6617C"/>
    <w:rsid w:val="00F66B5E"/>
    <w:rsid w:val="00F66DFC"/>
    <w:rsid w:val="00F70BEF"/>
    <w:rsid w:val="00F713C0"/>
    <w:rsid w:val="00F715D9"/>
    <w:rsid w:val="00F71A40"/>
    <w:rsid w:val="00F71C43"/>
    <w:rsid w:val="00F726A6"/>
    <w:rsid w:val="00F7289D"/>
    <w:rsid w:val="00F73631"/>
    <w:rsid w:val="00F73A56"/>
    <w:rsid w:val="00F73ACD"/>
    <w:rsid w:val="00F750AE"/>
    <w:rsid w:val="00F7544B"/>
    <w:rsid w:val="00F7739E"/>
    <w:rsid w:val="00F776DF"/>
    <w:rsid w:val="00F77D86"/>
    <w:rsid w:val="00F81016"/>
    <w:rsid w:val="00F812A7"/>
    <w:rsid w:val="00F81C44"/>
    <w:rsid w:val="00F81ECA"/>
    <w:rsid w:val="00F826F5"/>
    <w:rsid w:val="00F82F66"/>
    <w:rsid w:val="00F837D2"/>
    <w:rsid w:val="00F8420B"/>
    <w:rsid w:val="00F84317"/>
    <w:rsid w:val="00F84353"/>
    <w:rsid w:val="00F84FCA"/>
    <w:rsid w:val="00F85021"/>
    <w:rsid w:val="00F85C18"/>
    <w:rsid w:val="00F877CB"/>
    <w:rsid w:val="00F903A7"/>
    <w:rsid w:val="00F917FA"/>
    <w:rsid w:val="00F9211F"/>
    <w:rsid w:val="00F923FD"/>
    <w:rsid w:val="00F925EA"/>
    <w:rsid w:val="00F93868"/>
    <w:rsid w:val="00F93C25"/>
    <w:rsid w:val="00F93D92"/>
    <w:rsid w:val="00F94032"/>
    <w:rsid w:val="00F942B9"/>
    <w:rsid w:val="00F948D3"/>
    <w:rsid w:val="00F95618"/>
    <w:rsid w:val="00F9577E"/>
    <w:rsid w:val="00F96186"/>
    <w:rsid w:val="00F963E7"/>
    <w:rsid w:val="00F96839"/>
    <w:rsid w:val="00F9729A"/>
    <w:rsid w:val="00F97C3A"/>
    <w:rsid w:val="00F97FC4"/>
    <w:rsid w:val="00FA09DD"/>
    <w:rsid w:val="00FA0CBA"/>
    <w:rsid w:val="00FA0EF3"/>
    <w:rsid w:val="00FA1E13"/>
    <w:rsid w:val="00FA258E"/>
    <w:rsid w:val="00FA2622"/>
    <w:rsid w:val="00FA2C64"/>
    <w:rsid w:val="00FA3242"/>
    <w:rsid w:val="00FA3B80"/>
    <w:rsid w:val="00FA3FEF"/>
    <w:rsid w:val="00FA46BC"/>
    <w:rsid w:val="00FA49BE"/>
    <w:rsid w:val="00FA61DB"/>
    <w:rsid w:val="00FA7881"/>
    <w:rsid w:val="00FB02E5"/>
    <w:rsid w:val="00FB080A"/>
    <w:rsid w:val="00FB0A0C"/>
    <w:rsid w:val="00FB0BBC"/>
    <w:rsid w:val="00FB202A"/>
    <w:rsid w:val="00FB27A1"/>
    <w:rsid w:val="00FB351A"/>
    <w:rsid w:val="00FB39C3"/>
    <w:rsid w:val="00FB4E10"/>
    <w:rsid w:val="00FB5109"/>
    <w:rsid w:val="00FB52C1"/>
    <w:rsid w:val="00FB60CA"/>
    <w:rsid w:val="00FB6301"/>
    <w:rsid w:val="00FB660E"/>
    <w:rsid w:val="00FB6DFE"/>
    <w:rsid w:val="00FB7504"/>
    <w:rsid w:val="00FB7FAE"/>
    <w:rsid w:val="00FC0120"/>
    <w:rsid w:val="00FC1BA4"/>
    <w:rsid w:val="00FC2663"/>
    <w:rsid w:val="00FC2918"/>
    <w:rsid w:val="00FC313B"/>
    <w:rsid w:val="00FC36C3"/>
    <w:rsid w:val="00FC383F"/>
    <w:rsid w:val="00FC39C9"/>
    <w:rsid w:val="00FC3C45"/>
    <w:rsid w:val="00FC4486"/>
    <w:rsid w:val="00FC51EC"/>
    <w:rsid w:val="00FC75BB"/>
    <w:rsid w:val="00FD055E"/>
    <w:rsid w:val="00FD0F49"/>
    <w:rsid w:val="00FD10AB"/>
    <w:rsid w:val="00FD11AA"/>
    <w:rsid w:val="00FD227A"/>
    <w:rsid w:val="00FD29C1"/>
    <w:rsid w:val="00FD39F8"/>
    <w:rsid w:val="00FD4302"/>
    <w:rsid w:val="00FD6FBF"/>
    <w:rsid w:val="00FD75E7"/>
    <w:rsid w:val="00FE0770"/>
    <w:rsid w:val="00FE0834"/>
    <w:rsid w:val="00FE0DBA"/>
    <w:rsid w:val="00FE1A82"/>
    <w:rsid w:val="00FE2802"/>
    <w:rsid w:val="00FE3193"/>
    <w:rsid w:val="00FE372B"/>
    <w:rsid w:val="00FE4529"/>
    <w:rsid w:val="00FE6647"/>
    <w:rsid w:val="00FE7138"/>
    <w:rsid w:val="00FE7329"/>
    <w:rsid w:val="00FE778D"/>
    <w:rsid w:val="00FE7F63"/>
    <w:rsid w:val="00FF0106"/>
    <w:rsid w:val="00FF0D65"/>
    <w:rsid w:val="00FF2386"/>
    <w:rsid w:val="00FF2BEA"/>
    <w:rsid w:val="00FF39C5"/>
    <w:rsid w:val="00FF3E96"/>
    <w:rsid w:val="00FF4703"/>
    <w:rsid w:val="00FF59E0"/>
    <w:rsid w:val="00FF5DDA"/>
    <w:rsid w:val="00FF5FB0"/>
    <w:rsid w:val="00FF7189"/>
    <w:rsid w:val="00FF7A0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D4F50C5"/>
  <w15:docId w15:val="{326FDB0C-4433-4A1D-B5F6-95F753D1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AU" w:eastAsia="en-AU"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iPriority="99"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Emphasis"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iPriority="99"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VRGF body content"/>
    <w:rsid w:val="00884266"/>
    <w:pPr>
      <w:tabs>
        <w:tab w:val="left" w:pos="426"/>
      </w:tabs>
      <w:spacing w:before="120" w:after="240" w:line="288" w:lineRule="auto"/>
      <w:ind w:left="720" w:right="272"/>
    </w:pPr>
    <w:rPr>
      <w:rFonts w:ascii="Arial" w:eastAsia="Times New Roman" w:hAnsi="Arial"/>
      <w:szCs w:val="18"/>
      <w:lang w:eastAsia="en-US"/>
    </w:rPr>
  </w:style>
  <w:style w:type="paragraph" w:styleId="Heading1">
    <w:name w:val="heading 1"/>
    <w:basedOn w:val="Normal"/>
    <w:next w:val="Normal"/>
    <w:link w:val="Heading1Char"/>
    <w:uiPriority w:val="9"/>
    <w:qFormat/>
    <w:rsid w:val="007A6061"/>
    <w:pPr>
      <w:keepNext/>
      <w:keepLines/>
      <w:pBdr>
        <w:bottom w:val="single" w:sz="6" w:space="1" w:color="auto"/>
      </w:pBdr>
      <w:tabs>
        <w:tab w:val="clear" w:pos="426"/>
      </w:tabs>
      <w:spacing w:before="0"/>
      <w:ind w:left="284"/>
      <w:outlineLvl w:val="0"/>
    </w:pPr>
    <w:rPr>
      <w:color w:val="4E84C4"/>
      <w:sz w:val="40"/>
      <w:szCs w:val="44"/>
    </w:rPr>
  </w:style>
  <w:style w:type="paragraph" w:styleId="Heading2">
    <w:name w:val="heading 2"/>
    <w:aliases w:val="VRGF heading 2"/>
    <w:basedOn w:val="Normal"/>
    <w:next w:val="Normal"/>
    <w:link w:val="Heading2Char1"/>
    <w:uiPriority w:val="9"/>
    <w:qFormat/>
    <w:rsid w:val="00A01CE6"/>
    <w:pPr>
      <w:keepNext/>
      <w:keepLines/>
      <w:tabs>
        <w:tab w:val="clear" w:pos="426"/>
      </w:tabs>
      <w:spacing w:before="0"/>
      <w:ind w:left="284"/>
      <w:outlineLvl w:val="1"/>
    </w:pPr>
    <w:rPr>
      <w:sz w:val="36"/>
      <w:szCs w:val="44"/>
    </w:rPr>
  </w:style>
  <w:style w:type="paragraph" w:styleId="Heading3">
    <w:name w:val="heading 3"/>
    <w:basedOn w:val="Normal"/>
    <w:next w:val="Normal"/>
    <w:link w:val="Heading3Char"/>
    <w:uiPriority w:val="9"/>
    <w:qFormat/>
    <w:rsid w:val="00A01CE6"/>
    <w:pPr>
      <w:tabs>
        <w:tab w:val="clear" w:pos="426"/>
      </w:tabs>
      <w:spacing w:before="180" w:after="60"/>
      <w:ind w:left="284"/>
      <w:outlineLvl w:val="2"/>
    </w:pPr>
    <w:rPr>
      <w:color w:val="808080"/>
      <w:sz w:val="32"/>
      <w:szCs w:val="36"/>
    </w:rPr>
  </w:style>
  <w:style w:type="paragraph" w:styleId="Heading4">
    <w:name w:val="heading 4"/>
    <w:basedOn w:val="Normal"/>
    <w:next w:val="Normal"/>
    <w:link w:val="Heading4Char"/>
    <w:uiPriority w:val="9"/>
    <w:qFormat/>
    <w:rsid w:val="00A01CE6"/>
    <w:pPr>
      <w:keepNext/>
      <w:keepLines/>
      <w:tabs>
        <w:tab w:val="clear" w:pos="426"/>
      </w:tabs>
      <w:spacing w:before="0" w:after="0"/>
      <w:ind w:left="284"/>
      <w:outlineLvl w:val="3"/>
    </w:pPr>
    <w:rPr>
      <w:rFonts w:eastAsia="Calibri"/>
      <w:bCs/>
      <w:iCs/>
      <w:sz w:val="28"/>
    </w:rPr>
  </w:style>
  <w:style w:type="paragraph" w:styleId="Heading5">
    <w:name w:val="heading 5"/>
    <w:basedOn w:val="Normal"/>
    <w:next w:val="Normal"/>
    <w:link w:val="Heading5Char"/>
    <w:uiPriority w:val="9"/>
    <w:qFormat/>
    <w:rsid w:val="00AB3397"/>
    <w:pPr>
      <w:keepNext/>
      <w:keepLines/>
      <w:tabs>
        <w:tab w:val="clear" w:pos="426"/>
      </w:tabs>
      <w:spacing w:before="200" w:after="0"/>
      <w:ind w:left="284"/>
      <w:outlineLvl w:val="4"/>
    </w:pPr>
    <w:rPr>
      <w:rFonts w:eastAsia="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A6061"/>
    <w:rPr>
      <w:rFonts w:ascii="Arial" w:hAnsi="Arial" w:cs="Times New Roman"/>
      <w:color w:val="4E84C4"/>
      <w:sz w:val="44"/>
      <w:szCs w:val="44"/>
      <w:lang w:val="en-AU" w:eastAsia="en-US" w:bidi="ar-SA"/>
    </w:rPr>
  </w:style>
  <w:style w:type="character" w:customStyle="1" w:styleId="Heading2Char1">
    <w:name w:val="Heading 2 Char1"/>
    <w:aliases w:val="VRGF heading 2 Char1"/>
    <w:link w:val="Heading2"/>
    <w:locked/>
    <w:rsid w:val="00A01CE6"/>
    <w:rPr>
      <w:rFonts w:ascii="Arial" w:hAnsi="Arial" w:cs="Times New Roman"/>
      <w:sz w:val="44"/>
      <w:szCs w:val="44"/>
      <w:lang w:val="en-AU" w:eastAsia="en-US" w:bidi="ar-SA"/>
    </w:rPr>
  </w:style>
  <w:style w:type="character" w:customStyle="1" w:styleId="Heading3Char">
    <w:name w:val="Heading 3 Char"/>
    <w:link w:val="Heading3"/>
    <w:uiPriority w:val="9"/>
    <w:locked/>
    <w:rsid w:val="00A01CE6"/>
    <w:rPr>
      <w:rFonts w:ascii="Arial" w:hAnsi="Arial" w:cs="Times New Roman"/>
      <w:color w:val="808080"/>
      <w:sz w:val="36"/>
      <w:szCs w:val="36"/>
      <w:lang w:val="en-AU" w:eastAsia="en-US" w:bidi="ar-SA"/>
    </w:rPr>
  </w:style>
  <w:style w:type="character" w:customStyle="1" w:styleId="Heading4Char">
    <w:name w:val="Heading 4 Char"/>
    <w:link w:val="Heading4"/>
    <w:uiPriority w:val="9"/>
    <w:locked/>
    <w:rsid w:val="00A01CE6"/>
    <w:rPr>
      <w:rFonts w:ascii="Arial" w:hAnsi="Arial" w:cs="Times New Roman"/>
      <w:bCs/>
      <w:iCs/>
      <w:sz w:val="18"/>
      <w:szCs w:val="18"/>
      <w:lang w:val="en-AU" w:eastAsia="en-US" w:bidi="ar-SA"/>
    </w:rPr>
  </w:style>
  <w:style w:type="character" w:customStyle="1" w:styleId="Heading5Char">
    <w:name w:val="Heading 5 Char"/>
    <w:link w:val="Heading5"/>
    <w:uiPriority w:val="9"/>
    <w:locked/>
    <w:rsid w:val="00AB3397"/>
    <w:rPr>
      <w:rFonts w:ascii="Arial" w:hAnsi="Arial" w:cs="Times New Roman"/>
      <w:sz w:val="18"/>
      <w:szCs w:val="18"/>
      <w:lang w:val="en-AU" w:eastAsia="en-US" w:bidi="ar-SA"/>
    </w:rPr>
  </w:style>
  <w:style w:type="character" w:customStyle="1" w:styleId="Heading2Char">
    <w:name w:val="Heading 2 Char"/>
    <w:aliases w:val="VRGF heading 2 Char"/>
    <w:uiPriority w:val="9"/>
    <w:locked/>
    <w:rsid w:val="00445F92"/>
    <w:rPr>
      <w:rFonts w:ascii="Cambria" w:hAnsi="Cambria" w:cs="Times New Roman"/>
      <w:b/>
      <w:bCs/>
      <w:i/>
      <w:iCs/>
      <w:sz w:val="28"/>
      <w:szCs w:val="28"/>
      <w:lang w:eastAsia="en-US"/>
    </w:rPr>
  </w:style>
  <w:style w:type="paragraph" w:styleId="BalloonText">
    <w:name w:val="Balloon Text"/>
    <w:basedOn w:val="Normal"/>
    <w:link w:val="BalloonTextChar"/>
    <w:uiPriority w:val="99"/>
    <w:semiHidden/>
    <w:rsid w:val="001408CC"/>
    <w:pPr>
      <w:tabs>
        <w:tab w:val="clear" w:pos="426"/>
      </w:tabs>
      <w:spacing w:before="0" w:after="0"/>
      <w:ind w:left="284"/>
    </w:pPr>
    <w:rPr>
      <w:rFonts w:ascii="Tahoma" w:hAnsi="Tahoma" w:cs="Tahoma"/>
      <w:sz w:val="16"/>
      <w:szCs w:val="16"/>
    </w:rPr>
  </w:style>
  <w:style w:type="character" w:customStyle="1" w:styleId="BalloonTextChar">
    <w:name w:val="Balloon Text Char"/>
    <w:link w:val="BalloonText"/>
    <w:uiPriority w:val="99"/>
    <w:semiHidden/>
    <w:locked/>
    <w:rsid w:val="001408CC"/>
    <w:rPr>
      <w:rFonts w:ascii="Tahoma" w:hAnsi="Tahoma" w:cs="Tahoma"/>
      <w:sz w:val="16"/>
      <w:szCs w:val="16"/>
    </w:rPr>
  </w:style>
  <w:style w:type="character" w:styleId="Hyperlink">
    <w:name w:val="Hyperlink"/>
    <w:uiPriority w:val="99"/>
    <w:rsid w:val="0030076B"/>
    <w:rPr>
      <w:rFonts w:cs="Times New Roman"/>
      <w:color w:val="0000FF"/>
      <w:u w:val="single"/>
    </w:rPr>
  </w:style>
  <w:style w:type="paragraph" w:styleId="TOC1">
    <w:name w:val="toc 1"/>
    <w:basedOn w:val="Normal"/>
    <w:next w:val="Normal"/>
    <w:autoRedefine/>
    <w:uiPriority w:val="39"/>
    <w:rsid w:val="00370D70"/>
    <w:pPr>
      <w:tabs>
        <w:tab w:val="clear" w:pos="426"/>
        <w:tab w:val="right" w:leader="dot" w:pos="8754"/>
      </w:tabs>
      <w:spacing w:before="360" w:after="0"/>
      <w:ind w:left="0"/>
      <w:jc w:val="both"/>
    </w:pPr>
    <w:rPr>
      <w:b/>
      <w:bCs/>
      <w:noProof/>
      <w:color w:val="FF9E44"/>
      <w:sz w:val="24"/>
      <w:szCs w:val="24"/>
    </w:rPr>
  </w:style>
  <w:style w:type="paragraph" w:styleId="TOC2">
    <w:name w:val="toc 2"/>
    <w:basedOn w:val="Normal"/>
    <w:next w:val="Normal"/>
    <w:autoRedefine/>
    <w:uiPriority w:val="39"/>
    <w:rsid w:val="00F84317"/>
    <w:pPr>
      <w:tabs>
        <w:tab w:val="clear" w:pos="426"/>
        <w:tab w:val="right" w:leader="dot" w:pos="8754"/>
        <w:tab w:val="right" w:leader="dot" w:pos="10043"/>
      </w:tabs>
      <w:spacing w:before="240" w:after="0"/>
      <w:ind w:left="0"/>
      <w:jc w:val="both"/>
    </w:pPr>
    <w:rPr>
      <w:b/>
      <w:bCs/>
      <w:color w:val="FF9E44"/>
      <w:szCs w:val="20"/>
    </w:rPr>
  </w:style>
  <w:style w:type="table" w:styleId="TableGrid">
    <w:name w:val="Table Grid"/>
    <w:basedOn w:val="TableNormal"/>
    <w:uiPriority w:val="39"/>
    <w:rsid w:val="003872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
    <w:rsid w:val="00060554"/>
    <w:pPr>
      <w:tabs>
        <w:tab w:val="clear" w:pos="426"/>
      </w:tabs>
      <w:spacing w:before="0" w:after="0" w:line="280" w:lineRule="atLeast"/>
      <w:ind w:left="284"/>
    </w:pPr>
    <w:rPr>
      <w:szCs w:val="20"/>
      <w:lang w:val="en-US" w:eastAsia="en-AU"/>
    </w:rPr>
  </w:style>
  <w:style w:type="character" w:customStyle="1" w:styleId="BodytextChar">
    <w:name w:val="Body text Char"/>
    <w:link w:val="BodyText1"/>
    <w:locked/>
    <w:rsid w:val="00060554"/>
    <w:rPr>
      <w:rFonts w:ascii="Arial" w:hAnsi="Arial"/>
      <w:sz w:val="20"/>
      <w:lang w:val="en-US" w:eastAsia="en-AU"/>
    </w:rPr>
  </w:style>
  <w:style w:type="character" w:styleId="FollowedHyperlink">
    <w:name w:val="FollowedHyperlink"/>
    <w:semiHidden/>
    <w:rsid w:val="0031502C"/>
    <w:rPr>
      <w:rFonts w:cs="Times New Roman"/>
      <w:color w:val="800080"/>
      <w:u w:val="single"/>
    </w:rPr>
  </w:style>
  <w:style w:type="paragraph" w:styleId="NormalWeb">
    <w:name w:val="Normal (Web)"/>
    <w:basedOn w:val="Normal"/>
    <w:uiPriority w:val="99"/>
    <w:semiHidden/>
    <w:rsid w:val="00682D89"/>
    <w:pPr>
      <w:tabs>
        <w:tab w:val="clear" w:pos="426"/>
      </w:tabs>
      <w:spacing w:before="100" w:beforeAutospacing="1" w:after="100" w:afterAutospacing="1"/>
      <w:ind w:left="284"/>
    </w:pPr>
    <w:rPr>
      <w:rFonts w:ascii="Times New Roman" w:eastAsia="Calibri" w:hAnsi="Times New Roman"/>
      <w:sz w:val="24"/>
      <w:szCs w:val="24"/>
      <w:lang w:eastAsia="en-AU"/>
    </w:rPr>
  </w:style>
  <w:style w:type="paragraph" w:customStyle="1" w:styleId="Tabletext">
    <w:name w:val="Table text"/>
    <w:basedOn w:val="Normal"/>
    <w:link w:val="TabletextChar"/>
    <w:rsid w:val="00262C37"/>
    <w:pPr>
      <w:tabs>
        <w:tab w:val="clear" w:pos="426"/>
      </w:tabs>
      <w:spacing w:before="0" w:after="0"/>
      <w:ind w:left="34"/>
    </w:pPr>
    <w:rPr>
      <w:rFonts w:cs="Arial"/>
      <w:sz w:val="18"/>
    </w:rPr>
  </w:style>
  <w:style w:type="character" w:customStyle="1" w:styleId="TabletextChar">
    <w:name w:val="Table text Char"/>
    <w:link w:val="Tabletext"/>
    <w:locked/>
    <w:rsid w:val="00262C37"/>
    <w:rPr>
      <w:rFonts w:ascii="Arial" w:hAnsi="Arial" w:cs="Arial"/>
      <w:sz w:val="18"/>
      <w:szCs w:val="18"/>
    </w:rPr>
  </w:style>
  <w:style w:type="paragraph" w:styleId="TOC3">
    <w:name w:val="toc 3"/>
    <w:basedOn w:val="Normal"/>
    <w:next w:val="Normal"/>
    <w:autoRedefine/>
    <w:uiPriority w:val="39"/>
    <w:rsid w:val="00FF0D65"/>
    <w:pPr>
      <w:tabs>
        <w:tab w:val="clear" w:pos="426"/>
        <w:tab w:val="right" w:leader="dot" w:pos="8754"/>
        <w:tab w:val="right" w:leader="dot" w:pos="10043"/>
      </w:tabs>
      <w:spacing w:before="0" w:after="0"/>
      <w:ind w:left="426"/>
      <w:jc w:val="both"/>
    </w:pPr>
    <w:rPr>
      <w:szCs w:val="20"/>
    </w:rPr>
  </w:style>
  <w:style w:type="paragraph" w:styleId="TOC4">
    <w:name w:val="toc 4"/>
    <w:basedOn w:val="Normal"/>
    <w:next w:val="Normal"/>
    <w:autoRedefine/>
    <w:uiPriority w:val="39"/>
    <w:rsid w:val="00476E4E"/>
    <w:pPr>
      <w:tabs>
        <w:tab w:val="clear" w:pos="426"/>
      </w:tabs>
      <w:spacing w:before="0" w:after="0"/>
      <w:ind w:left="380"/>
    </w:pPr>
    <w:rPr>
      <w:szCs w:val="20"/>
    </w:rPr>
  </w:style>
  <w:style w:type="paragraph" w:styleId="TOC5">
    <w:name w:val="toc 5"/>
    <w:basedOn w:val="Normal"/>
    <w:next w:val="Normal"/>
    <w:autoRedefine/>
    <w:uiPriority w:val="39"/>
    <w:rsid w:val="00476E4E"/>
    <w:pPr>
      <w:tabs>
        <w:tab w:val="clear" w:pos="426"/>
      </w:tabs>
      <w:spacing w:before="0" w:after="0"/>
      <w:ind w:left="570"/>
    </w:pPr>
    <w:rPr>
      <w:szCs w:val="20"/>
    </w:rPr>
  </w:style>
  <w:style w:type="paragraph" w:styleId="TOC6">
    <w:name w:val="toc 6"/>
    <w:basedOn w:val="Normal"/>
    <w:next w:val="Normal"/>
    <w:autoRedefine/>
    <w:uiPriority w:val="39"/>
    <w:rsid w:val="00ED6A3A"/>
    <w:pPr>
      <w:tabs>
        <w:tab w:val="clear" w:pos="426"/>
      </w:tabs>
      <w:spacing w:before="0" w:after="0"/>
      <w:ind w:left="760"/>
    </w:pPr>
    <w:rPr>
      <w:rFonts w:ascii="Calibri" w:hAnsi="Calibri"/>
      <w:szCs w:val="20"/>
    </w:rPr>
  </w:style>
  <w:style w:type="paragraph" w:styleId="TOC7">
    <w:name w:val="toc 7"/>
    <w:basedOn w:val="Normal"/>
    <w:next w:val="Normal"/>
    <w:autoRedefine/>
    <w:uiPriority w:val="39"/>
    <w:rsid w:val="00ED6A3A"/>
    <w:pPr>
      <w:tabs>
        <w:tab w:val="clear" w:pos="426"/>
      </w:tabs>
      <w:spacing w:before="0" w:after="0"/>
      <w:ind w:left="950"/>
    </w:pPr>
    <w:rPr>
      <w:rFonts w:ascii="Calibri" w:hAnsi="Calibri"/>
      <w:szCs w:val="20"/>
    </w:rPr>
  </w:style>
  <w:style w:type="paragraph" w:styleId="TOC8">
    <w:name w:val="toc 8"/>
    <w:basedOn w:val="Normal"/>
    <w:next w:val="Normal"/>
    <w:autoRedefine/>
    <w:uiPriority w:val="39"/>
    <w:rsid w:val="00ED6A3A"/>
    <w:pPr>
      <w:tabs>
        <w:tab w:val="clear" w:pos="426"/>
      </w:tabs>
      <w:spacing w:before="0" w:after="0"/>
      <w:ind w:left="1140"/>
    </w:pPr>
    <w:rPr>
      <w:rFonts w:ascii="Calibri" w:hAnsi="Calibri"/>
      <w:szCs w:val="20"/>
    </w:rPr>
  </w:style>
  <w:style w:type="paragraph" w:styleId="TOC9">
    <w:name w:val="toc 9"/>
    <w:basedOn w:val="Normal"/>
    <w:next w:val="Normal"/>
    <w:autoRedefine/>
    <w:uiPriority w:val="39"/>
    <w:rsid w:val="00ED6A3A"/>
    <w:pPr>
      <w:tabs>
        <w:tab w:val="clear" w:pos="426"/>
      </w:tabs>
      <w:spacing w:before="0" w:after="0"/>
      <w:ind w:left="1330"/>
    </w:pPr>
    <w:rPr>
      <w:rFonts w:ascii="Calibri" w:hAnsi="Calibri"/>
      <w:szCs w:val="20"/>
    </w:rPr>
  </w:style>
  <w:style w:type="paragraph" w:customStyle="1" w:styleId="VRGFTabletitle">
    <w:name w:val="VRGF Table title"/>
    <w:basedOn w:val="Normal"/>
    <w:qFormat/>
    <w:rsid w:val="00E60809"/>
    <w:pPr>
      <w:spacing w:before="0" w:after="120"/>
    </w:pPr>
    <w:rPr>
      <w:b/>
      <w:color w:val="4E84C4"/>
      <w:szCs w:val="19"/>
    </w:rPr>
  </w:style>
  <w:style w:type="paragraph" w:customStyle="1" w:styleId="VRGFHead2">
    <w:name w:val="VRGF Head 2"/>
    <w:basedOn w:val="Heading2"/>
    <w:next w:val="VRGFBodycontent"/>
    <w:qFormat/>
    <w:rsid w:val="000F3042"/>
    <w:pPr>
      <w:spacing w:before="240" w:after="200"/>
      <w:ind w:left="0"/>
    </w:pPr>
    <w:rPr>
      <w:b/>
      <w:color w:val="1F3864" w:themeColor="accent5" w:themeShade="80"/>
    </w:rPr>
  </w:style>
  <w:style w:type="paragraph" w:customStyle="1" w:styleId="VRGFHead1">
    <w:name w:val="VRGF Head 1"/>
    <w:basedOn w:val="Heading1"/>
    <w:next w:val="VRGFBodycontent"/>
    <w:qFormat/>
    <w:rsid w:val="0087294A"/>
    <w:pPr>
      <w:pageBreakBefore/>
      <w:ind w:left="0"/>
    </w:pPr>
    <w:rPr>
      <w:b/>
      <w:color w:val="FF9E44"/>
    </w:rPr>
  </w:style>
  <w:style w:type="paragraph" w:customStyle="1" w:styleId="VRGFHead3">
    <w:name w:val="VRGF Head 3"/>
    <w:basedOn w:val="Heading3"/>
    <w:next w:val="VRGFBodycontent"/>
    <w:qFormat/>
    <w:rsid w:val="000F3042"/>
    <w:rPr>
      <w:b/>
      <w:color w:val="1F3864" w:themeColor="accent5" w:themeShade="80"/>
      <w:sz w:val="28"/>
    </w:rPr>
  </w:style>
  <w:style w:type="paragraph" w:customStyle="1" w:styleId="VRGFHead5">
    <w:name w:val="VRGF Head 5"/>
    <w:basedOn w:val="Heading5"/>
    <w:next w:val="VRGFBodycontent"/>
    <w:qFormat/>
    <w:rsid w:val="000F3042"/>
    <w:rPr>
      <w:b/>
      <w:color w:val="1F3864" w:themeColor="accent5" w:themeShade="80"/>
      <w:sz w:val="20"/>
    </w:rPr>
  </w:style>
  <w:style w:type="paragraph" w:customStyle="1" w:styleId="VRGFTablebody">
    <w:name w:val="VRGF Table body"/>
    <w:basedOn w:val="Tabletext"/>
    <w:qFormat/>
    <w:rsid w:val="00AB3397"/>
    <w:rPr>
      <w:szCs w:val="17"/>
    </w:rPr>
  </w:style>
  <w:style w:type="paragraph" w:customStyle="1" w:styleId="Figuretitle">
    <w:name w:val="Figure title"/>
    <w:basedOn w:val="VRGFTabletitle"/>
    <w:rsid w:val="0059783B"/>
    <w:rPr>
      <w:b w:val="0"/>
      <w:i/>
      <w:sz w:val="17"/>
    </w:rPr>
  </w:style>
  <w:style w:type="paragraph" w:customStyle="1" w:styleId="VRGFHead4">
    <w:name w:val="VRGF Head 4"/>
    <w:basedOn w:val="Heading4"/>
    <w:next w:val="VRGFBodycontent"/>
    <w:qFormat/>
    <w:rsid w:val="000F3042"/>
    <w:rPr>
      <w:b/>
      <w:color w:val="002060"/>
      <w:sz w:val="24"/>
    </w:rPr>
  </w:style>
  <w:style w:type="paragraph" w:styleId="CommentSubject">
    <w:name w:val="annotation subject"/>
    <w:basedOn w:val="Normal"/>
    <w:link w:val="CommentSubjectChar"/>
    <w:uiPriority w:val="99"/>
    <w:semiHidden/>
    <w:locked/>
    <w:rsid w:val="00017198"/>
    <w:rPr>
      <w:b/>
      <w:bCs/>
      <w:szCs w:val="20"/>
    </w:rPr>
  </w:style>
  <w:style w:type="paragraph" w:customStyle="1" w:styleId="Tableofcontentsheading">
    <w:name w:val="Table of contents heading"/>
    <w:basedOn w:val="Normal"/>
    <w:rsid w:val="00200760"/>
    <w:rPr>
      <w:b/>
      <w:sz w:val="40"/>
      <w:szCs w:val="44"/>
    </w:rPr>
  </w:style>
  <w:style w:type="paragraph" w:customStyle="1" w:styleId="VRGFBodycontent">
    <w:name w:val="VRGF Body content"/>
    <w:basedOn w:val="Normal"/>
    <w:link w:val="VRGFBodycontentChar"/>
    <w:qFormat/>
    <w:rsid w:val="004814B6"/>
    <w:pPr>
      <w:ind w:left="0"/>
      <w:jc w:val="both"/>
    </w:pPr>
  </w:style>
  <w:style w:type="paragraph" w:customStyle="1" w:styleId="VRGFTableheading">
    <w:name w:val="VRGF Table heading"/>
    <w:basedOn w:val="VRGFTablebody"/>
    <w:qFormat/>
    <w:rsid w:val="0037090D"/>
    <w:rPr>
      <w:b/>
    </w:rPr>
  </w:style>
  <w:style w:type="paragraph" w:styleId="DocumentMap">
    <w:name w:val="Document Map"/>
    <w:basedOn w:val="Normal"/>
    <w:link w:val="DocumentMapChar"/>
    <w:semiHidden/>
    <w:locked/>
    <w:rsid w:val="0032141A"/>
    <w:pPr>
      <w:shd w:val="clear" w:color="auto" w:fill="000080"/>
    </w:pPr>
    <w:rPr>
      <w:rFonts w:ascii="Tahoma" w:hAnsi="Tahoma" w:cs="Tahoma"/>
      <w:szCs w:val="20"/>
    </w:rPr>
  </w:style>
  <w:style w:type="paragraph" w:styleId="Header">
    <w:name w:val="header"/>
    <w:basedOn w:val="Normal"/>
    <w:link w:val="HeaderChar"/>
    <w:uiPriority w:val="99"/>
    <w:locked/>
    <w:rsid w:val="00BB3C47"/>
    <w:pPr>
      <w:tabs>
        <w:tab w:val="clear" w:pos="426"/>
        <w:tab w:val="center" w:pos="4153"/>
        <w:tab w:val="right" w:pos="8306"/>
      </w:tabs>
    </w:pPr>
  </w:style>
  <w:style w:type="paragraph" w:styleId="Footer">
    <w:name w:val="footer"/>
    <w:basedOn w:val="Normal"/>
    <w:link w:val="FooterChar"/>
    <w:uiPriority w:val="99"/>
    <w:locked/>
    <w:rsid w:val="00BB3C47"/>
    <w:pPr>
      <w:tabs>
        <w:tab w:val="clear" w:pos="426"/>
        <w:tab w:val="center" w:pos="4153"/>
        <w:tab w:val="right" w:pos="8306"/>
      </w:tabs>
    </w:pPr>
  </w:style>
  <w:style w:type="paragraph" w:customStyle="1" w:styleId="VRGFReportTitle">
    <w:name w:val="VRGF Report Title"/>
    <w:basedOn w:val="Normal"/>
    <w:qFormat/>
    <w:rsid w:val="001D7D88"/>
    <w:pPr>
      <w:tabs>
        <w:tab w:val="clear" w:pos="426"/>
      </w:tabs>
      <w:spacing w:before="0" w:after="0"/>
    </w:pPr>
    <w:rPr>
      <w:sz w:val="60"/>
      <w:szCs w:val="60"/>
    </w:rPr>
  </w:style>
  <w:style w:type="paragraph" w:customStyle="1" w:styleId="VRGFBulletedlist">
    <w:name w:val="VRGF Bulleted list"/>
    <w:basedOn w:val="VRGFBodycontent"/>
    <w:qFormat/>
    <w:rsid w:val="00935E20"/>
    <w:pPr>
      <w:numPr>
        <w:numId w:val="1"/>
      </w:numPr>
      <w:ind w:left="1080"/>
    </w:pPr>
  </w:style>
  <w:style w:type="paragraph" w:customStyle="1" w:styleId="Numberedlist">
    <w:name w:val="Numbered list"/>
    <w:basedOn w:val="VRGFBodycontent"/>
    <w:rsid w:val="006A3C1A"/>
    <w:pPr>
      <w:numPr>
        <w:numId w:val="2"/>
      </w:numPr>
    </w:pPr>
  </w:style>
  <w:style w:type="paragraph" w:customStyle="1" w:styleId="VRGFHeaderandFooter">
    <w:name w:val="VRGF Header and Footer"/>
    <w:basedOn w:val="Normal"/>
    <w:qFormat/>
    <w:rsid w:val="00D35A13"/>
    <w:pPr>
      <w:tabs>
        <w:tab w:val="right" w:pos="10080"/>
      </w:tabs>
      <w:ind w:left="360" w:right="-27"/>
    </w:pPr>
    <w:rPr>
      <w:rFonts w:cs="Arial"/>
      <w:noProof/>
      <w:color w:val="4E84C4"/>
      <w:sz w:val="16"/>
      <w:szCs w:val="16"/>
    </w:rPr>
  </w:style>
  <w:style w:type="paragraph" w:styleId="FootnoteText">
    <w:name w:val="footnote text"/>
    <w:basedOn w:val="Normal"/>
    <w:link w:val="FootnoteTextChar"/>
    <w:locked/>
    <w:rsid w:val="00AA6E77"/>
    <w:pPr>
      <w:spacing w:before="0" w:after="0" w:line="240" w:lineRule="auto"/>
      <w:ind w:left="0"/>
    </w:pPr>
    <w:rPr>
      <w:szCs w:val="20"/>
    </w:rPr>
  </w:style>
  <w:style w:type="character" w:customStyle="1" w:styleId="FootnoteTextChar">
    <w:name w:val="Footnote Text Char"/>
    <w:basedOn w:val="DefaultParagraphFont"/>
    <w:link w:val="FootnoteText"/>
    <w:rsid w:val="00AA6E77"/>
    <w:rPr>
      <w:rFonts w:ascii="Arial" w:eastAsia="Times New Roman" w:hAnsi="Arial"/>
      <w:lang w:eastAsia="en-US"/>
    </w:rPr>
  </w:style>
  <w:style w:type="character" w:styleId="FootnoteReference">
    <w:name w:val="footnote reference"/>
    <w:basedOn w:val="DefaultParagraphFont"/>
    <w:locked/>
    <w:rsid w:val="003874AF"/>
    <w:rPr>
      <w:vertAlign w:val="superscript"/>
    </w:rPr>
  </w:style>
  <w:style w:type="paragraph" w:customStyle="1" w:styleId="VRGFFootnote">
    <w:name w:val="VRGF Footnote"/>
    <w:basedOn w:val="FootnoteText"/>
    <w:rsid w:val="003874AF"/>
    <w:rPr>
      <w:sz w:val="18"/>
      <w:szCs w:val="18"/>
    </w:rPr>
  </w:style>
  <w:style w:type="character" w:styleId="CommentReference">
    <w:name w:val="annotation reference"/>
    <w:basedOn w:val="DefaultParagraphFont"/>
    <w:uiPriority w:val="99"/>
    <w:locked/>
    <w:rsid w:val="005D4489"/>
    <w:rPr>
      <w:sz w:val="16"/>
      <w:szCs w:val="16"/>
    </w:rPr>
  </w:style>
  <w:style w:type="paragraph" w:styleId="CommentText">
    <w:name w:val="annotation text"/>
    <w:basedOn w:val="Normal"/>
    <w:link w:val="CommentTextChar"/>
    <w:uiPriority w:val="99"/>
    <w:locked/>
    <w:rsid w:val="005D4489"/>
    <w:pPr>
      <w:spacing w:line="240" w:lineRule="auto"/>
    </w:pPr>
    <w:rPr>
      <w:szCs w:val="20"/>
    </w:rPr>
  </w:style>
  <w:style w:type="character" w:customStyle="1" w:styleId="CommentTextChar">
    <w:name w:val="Comment Text Char"/>
    <w:basedOn w:val="DefaultParagraphFont"/>
    <w:link w:val="CommentText"/>
    <w:uiPriority w:val="99"/>
    <w:rsid w:val="005D4489"/>
    <w:rPr>
      <w:rFonts w:ascii="Arial" w:eastAsia="Times New Roman" w:hAnsi="Arial"/>
      <w:lang w:eastAsia="en-US"/>
    </w:rPr>
  </w:style>
  <w:style w:type="paragraph" w:customStyle="1" w:styleId="Atabletitle">
    <w:name w:val="A.table title"/>
    <w:basedOn w:val="Normal"/>
    <w:rsid w:val="005D4489"/>
    <w:pPr>
      <w:spacing w:before="0" w:after="120"/>
      <w:ind w:left="426"/>
    </w:pPr>
    <w:rPr>
      <w:b/>
      <w:color w:val="4E84C4"/>
      <w:sz w:val="24"/>
      <w:szCs w:val="19"/>
    </w:rPr>
  </w:style>
  <w:style w:type="paragraph" w:customStyle="1" w:styleId="Ahead2">
    <w:name w:val="A. head 2"/>
    <w:basedOn w:val="Heading2"/>
    <w:rsid w:val="005D4489"/>
    <w:pPr>
      <w:spacing w:before="240" w:after="200"/>
    </w:pPr>
    <w:rPr>
      <w:b/>
    </w:rPr>
  </w:style>
  <w:style w:type="paragraph" w:customStyle="1" w:styleId="Ahead1">
    <w:name w:val="A. head 1"/>
    <w:basedOn w:val="Heading1"/>
    <w:rsid w:val="005D4489"/>
    <w:pPr>
      <w:pageBreakBefore/>
    </w:pPr>
    <w:rPr>
      <w:b/>
    </w:rPr>
  </w:style>
  <w:style w:type="paragraph" w:customStyle="1" w:styleId="Ahead3">
    <w:name w:val="A. head 3"/>
    <w:basedOn w:val="Heading3"/>
    <w:rsid w:val="005D4489"/>
    <w:rPr>
      <w:b/>
      <w:color w:val="auto"/>
      <w:sz w:val="28"/>
    </w:rPr>
  </w:style>
  <w:style w:type="paragraph" w:customStyle="1" w:styleId="Ahead5">
    <w:name w:val="A. head 5"/>
    <w:basedOn w:val="Heading5"/>
    <w:rsid w:val="005D4489"/>
    <w:rPr>
      <w:b/>
      <w:sz w:val="20"/>
    </w:rPr>
  </w:style>
  <w:style w:type="paragraph" w:customStyle="1" w:styleId="Atablebody">
    <w:name w:val="A. table body"/>
    <w:basedOn w:val="Tabletext"/>
    <w:rsid w:val="005D4489"/>
    <w:rPr>
      <w:szCs w:val="17"/>
    </w:rPr>
  </w:style>
  <w:style w:type="paragraph" w:customStyle="1" w:styleId="Afiguretitle">
    <w:name w:val="A. figure title"/>
    <w:basedOn w:val="Atabletitle"/>
    <w:rsid w:val="00BD4C3B"/>
    <w:pPr>
      <w:ind w:left="720"/>
    </w:pPr>
    <w:rPr>
      <w:b w:val="0"/>
      <w:i/>
      <w:sz w:val="17"/>
    </w:rPr>
  </w:style>
  <w:style w:type="paragraph" w:customStyle="1" w:styleId="Ahead4">
    <w:name w:val="A. head 4"/>
    <w:basedOn w:val="Heading4"/>
    <w:qFormat/>
    <w:rsid w:val="005D4489"/>
    <w:rPr>
      <w:b/>
      <w:sz w:val="24"/>
    </w:rPr>
  </w:style>
  <w:style w:type="paragraph" w:customStyle="1" w:styleId="Abodycontent">
    <w:name w:val="A. body content"/>
    <w:basedOn w:val="Normal"/>
    <w:rsid w:val="005D4489"/>
    <w:pPr>
      <w:ind w:left="426"/>
    </w:pPr>
    <w:rPr>
      <w:sz w:val="24"/>
    </w:rPr>
  </w:style>
  <w:style w:type="paragraph" w:customStyle="1" w:styleId="Atableheading">
    <w:name w:val="A. table heading"/>
    <w:basedOn w:val="Atablebody"/>
    <w:rsid w:val="005D4489"/>
    <w:rPr>
      <w:b/>
    </w:rPr>
  </w:style>
  <w:style w:type="character" w:customStyle="1" w:styleId="CommentSubjectChar">
    <w:name w:val="Comment Subject Char"/>
    <w:link w:val="CommentSubject"/>
    <w:uiPriority w:val="99"/>
    <w:semiHidden/>
    <w:rsid w:val="005D4489"/>
    <w:rPr>
      <w:rFonts w:ascii="Arial" w:eastAsia="Times New Roman" w:hAnsi="Arial"/>
      <w:b/>
      <w:bCs/>
      <w:lang w:eastAsia="en-US"/>
    </w:rPr>
  </w:style>
  <w:style w:type="paragraph" w:styleId="ListParagraph">
    <w:name w:val="List Paragraph"/>
    <w:basedOn w:val="Normal"/>
    <w:uiPriority w:val="34"/>
    <w:qFormat/>
    <w:rsid w:val="005D4489"/>
    <w:pPr>
      <w:tabs>
        <w:tab w:val="clear" w:pos="426"/>
      </w:tabs>
      <w:spacing w:before="0" w:after="200" w:line="276" w:lineRule="auto"/>
      <w:ind w:left="426" w:right="0"/>
      <w:contextualSpacing/>
    </w:pPr>
    <w:rPr>
      <w:rFonts w:ascii="Calibri" w:eastAsia="Calibri" w:hAnsi="Calibri"/>
      <w:sz w:val="22"/>
      <w:szCs w:val="22"/>
    </w:rPr>
  </w:style>
  <w:style w:type="paragraph" w:styleId="PlainText">
    <w:name w:val="Plain Text"/>
    <w:basedOn w:val="Normal"/>
    <w:link w:val="PlainTextChar"/>
    <w:uiPriority w:val="99"/>
    <w:unhideWhenUsed/>
    <w:locked/>
    <w:rsid w:val="005D4489"/>
    <w:pPr>
      <w:tabs>
        <w:tab w:val="clear" w:pos="426"/>
      </w:tabs>
      <w:spacing w:before="0" w:after="0" w:line="240" w:lineRule="auto"/>
      <w:ind w:left="0" w:right="0"/>
    </w:pPr>
    <w:rPr>
      <w:rFonts w:ascii="Calibri" w:eastAsia="SimSun" w:hAnsi="Calibri"/>
      <w:sz w:val="22"/>
      <w:szCs w:val="21"/>
      <w:lang w:eastAsia="zh-CN"/>
    </w:rPr>
  </w:style>
  <w:style w:type="character" w:customStyle="1" w:styleId="PlainTextChar">
    <w:name w:val="Plain Text Char"/>
    <w:basedOn w:val="DefaultParagraphFont"/>
    <w:link w:val="PlainText"/>
    <w:uiPriority w:val="99"/>
    <w:rsid w:val="005D4489"/>
    <w:rPr>
      <w:rFonts w:eastAsia="SimSun"/>
      <w:sz w:val="22"/>
      <w:szCs w:val="21"/>
      <w:lang w:eastAsia="zh-CN"/>
    </w:rPr>
  </w:style>
  <w:style w:type="paragraph" w:styleId="Title">
    <w:name w:val="Title"/>
    <w:basedOn w:val="Normal"/>
    <w:next w:val="Normal"/>
    <w:link w:val="TitleChar"/>
    <w:uiPriority w:val="10"/>
    <w:qFormat/>
    <w:rsid w:val="005D4489"/>
    <w:pPr>
      <w:pBdr>
        <w:bottom w:val="single" w:sz="8" w:space="4" w:color="4F81BD"/>
      </w:pBdr>
      <w:tabs>
        <w:tab w:val="clear" w:pos="426"/>
      </w:tabs>
      <w:spacing w:before="0" w:after="300" w:line="240" w:lineRule="auto"/>
      <w:ind w:left="0" w:right="0"/>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sid w:val="005D4489"/>
    <w:rPr>
      <w:rFonts w:ascii="Cambria" w:eastAsia="SimSun" w:hAnsi="Cambria"/>
      <w:color w:val="17365D"/>
      <w:spacing w:val="5"/>
      <w:kern w:val="28"/>
      <w:sz w:val="52"/>
      <w:szCs w:val="52"/>
      <w:lang w:eastAsia="en-US"/>
    </w:rPr>
  </w:style>
  <w:style w:type="table" w:customStyle="1" w:styleId="LightList1">
    <w:name w:val="Light List1"/>
    <w:basedOn w:val="TableNormal"/>
    <w:uiPriority w:val="61"/>
    <w:rsid w:val="005D4489"/>
    <w:rPr>
      <w:rFonts w:ascii="Cambria" w:eastAsia="MS Mincho" w:hAnsi="Cambria"/>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
    <w:name w:val="Light List13"/>
    <w:basedOn w:val="TableNormal"/>
    <w:next w:val="LightList1"/>
    <w:uiPriority w:val="61"/>
    <w:rsid w:val="005D4489"/>
    <w:rPr>
      <w:rFonts w:ascii="Cambria" w:eastAsia="MS Mincho" w:hAnsi="Cambria"/>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ibliography">
    <w:name w:val="Bibliography"/>
    <w:basedOn w:val="Normal"/>
    <w:next w:val="Normal"/>
    <w:uiPriority w:val="37"/>
    <w:semiHidden/>
    <w:unhideWhenUsed/>
    <w:rsid w:val="005D4489"/>
    <w:pPr>
      <w:ind w:left="426"/>
    </w:pPr>
    <w:rPr>
      <w:sz w:val="24"/>
    </w:rPr>
  </w:style>
  <w:style w:type="character" w:styleId="PageNumber">
    <w:name w:val="page number"/>
    <w:uiPriority w:val="99"/>
    <w:unhideWhenUsed/>
    <w:locked/>
    <w:rsid w:val="005D4489"/>
  </w:style>
  <w:style w:type="character" w:customStyle="1" w:styleId="apple-converted-space">
    <w:name w:val="apple-converted-space"/>
    <w:basedOn w:val="DefaultParagraphFont"/>
    <w:rsid w:val="005D4489"/>
  </w:style>
  <w:style w:type="paragraph" w:styleId="Caption">
    <w:name w:val="caption"/>
    <w:basedOn w:val="Normal"/>
    <w:next w:val="Normal"/>
    <w:unhideWhenUsed/>
    <w:qFormat/>
    <w:rsid w:val="002E05E5"/>
    <w:pPr>
      <w:spacing w:before="0" w:after="120" w:line="240" w:lineRule="auto"/>
      <w:ind w:left="0"/>
    </w:pPr>
    <w:rPr>
      <w:b/>
      <w:iCs/>
      <w:color w:val="1F3864" w:themeColor="accent5" w:themeShade="80"/>
      <w:sz w:val="18"/>
    </w:rPr>
  </w:style>
  <w:style w:type="table" w:customStyle="1" w:styleId="TableGrid1">
    <w:name w:val="Table Grid1"/>
    <w:basedOn w:val="TableNormal"/>
    <w:next w:val="TableGrid"/>
    <w:uiPriority w:val="39"/>
    <w:rsid w:val="00283E2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B62C6"/>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B62C6"/>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B62C6"/>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locked/>
    <w:rsid w:val="00370D70"/>
    <w:pPr>
      <w:tabs>
        <w:tab w:val="clear" w:pos="426"/>
      </w:tabs>
      <w:spacing w:after="0"/>
      <w:ind w:left="0"/>
      <w:jc w:val="both"/>
    </w:pPr>
  </w:style>
  <w:style w:type="table" w:customStyle="1" w:styleId="TableGrid5">
    <w:name w:val="Table Grid5"/>
    <w:basedOn w:val="TableNormal"/>
    <w:next w:val="TableGrid"/>
    <w:uiPriority w:val="39"/>
    <w:rsid w:val="0067484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93EFB"/>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93EFB"/>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ocked/>
    <w:rsid w:val="007C6D03"/>
    <w:pPr>
      <w:numPr>
        <w:numId w:val="4"/>
      </w:numPr>
      <w:spacing w:before="240" w:line="240" w:lineRule="auto"/>
      <w:ind w:left="1077" w:hanging="357"/>
      <w:contextualSpacing/>
    </w:pPr>
  </w:style>
  <w:style w:type="paragraph" w:styleId="ListContinue5">
    <w:name w:val="List Continue 5"/>
    <w:basedOn w:val="Normal"/>
    <w:locked/>
    <w:rsid w:val="007C6D03"/>
    <w:pPr>
      <w:spacing w:after="120"/>
      <w:ind w:left="1415"/>
      <w:contextualSpacing/>
    </w:pPr>
  </w:style>
  <w:style w:type="paragraph" w:styleId="ListBullet">
    <w:name w:val="List Bullet"/>
    <w:basedOn w:val="Normal"/>
    <w:locked/>
    <w:rsid w:val="007C6D03"/>
    <w:pPr>
      <w:numPr>
        <w:numId w:val="3"/>
      </w:numPr>
      <w:contextualSpacing/>
    </w:pPr>
  </w:style>
  <w:style w:type="paragraph" w:customStyle="1" w:styleId="VRGFNumberedlist">
    <w:name w:val="VRGF Numbered list"/>
    <w:basedOn w:val="VRGFBulletedlist"/>
    <w:rsid w:val="00511A4B"/>
    <w:pPr>
      <w:numPr>
        <w:numId w:val="5"/>
      </w:numPr>
      <w:ind w:left="1077" w:hanging="357"/>
    </w:pPr>
  </w:style>
  <w:style w:type="paragraph" w:customStyle="1" w:styleId="EndNoteBibliography">
    <w:name w:val="EndNote Bibliography"/>
    <w:basedOn w:val="Normal"/>
    <w:link w:val="EndNoteBibliographyChar"/>
    <w:rsid w:val="00714B57"/>
    <w:pPr>
      <w:tabs>
        <w:tab w:val="clear" w:pos="426"/>
      </w:tabs>
      <w:spacing w:before="0" w:after="160" w:line="240" w:lineRule="auto"/>
      <w:ind w:left="0" w:right="0"/>
    </w:pPr>
    <w:rPr>
      <w:rFonts w:ascii="Calibri" w:eastAsiaTheme="minorEastAsia" w:hAnsi="Calibri" w:cstheme="minorBidi"/>
      <w:noProof/>
      <w:sz w:val="22"/>
      <w:szCs w:val="22"/>
      <w:lang w:eastAsia="ja-JP"/>
    </w:rPr>
  </w:style>
  <w:style w:type="character" w:customStyle="1" w:styleId="EndNoteBibliographyChar">
    <w:name w:val="EndNote Bibliography Char"/>
    <w:basedOn w:val="DefaultParagraphFont"/>
    <w:link w:val="EndNoteBibliography"/>
    <w:rsid w:val="00714B57"/>
    <w:rPr>
      <w:rFonts w:eastAsiaTheme="minorEastAsia" w:cstheme="minorBidi"/>
      <w:noProof/>
      <w:sz w:val="22"/>
      <w:szCs w:val="22"/>
      <w:lang w:eastAsia="ja-JP"/>
    </w:rPr>
  </w:style>
  <w:style w:type="paragraph" w:styleId="Quote">
    <w:name w:val="Quote"/>
    <w:basedOn w:val="Normal"/>
    <w:next w:val="Normal"/>
    <w:link w:val="QuoteChar"/>
    <w:uiPriority w:val="29"/>
    <w:qFormat/>
    <w:rsid w:val="005D2F4E"/>
    <w:pPr>
      <w:spacing w:before="200" w:after="200"/>
      <w:ind w:left="862" w:right="862"/>
      <w:jc w:val="both"/>
    </w:pPr>
    <w:rPr>
      <w:i/>
      <w:iCs/>
      <w:color w:val="000000" w:themeColor="text1"/>
    </w:rPr>
  </w:style>
  <w:style w:type="character" w:customStyle="1" w:styleId="QuoteChar">
    <w:name w:val="Quote Char"/>
    <w:basedOn w:val="DefaultParagraphFont"/>
    <w:link w:val="Quote"/>
    <w:uiPriority w:val="29"/>
    <w:rsid w:val="005D2F4E"/>
    <w:rPr>
      <w:rFonts w:ascii="Arial" w:eastAsia="Times New Roman" w:hAnsi="Arial"/>
      <w:i/>
      <w:iCs/>
      <w:color w:val="000000" w:themeColor="text1"/>
      <w:szCs w:val="18"/>
      <w:lang w:eastAsia="en-US"/>
    </w:rPr>
  </w:style>
  <w:style w:type="paragraph" w:styleId="IntenseQuote">
    <w:name w:val="Intense Quote"/>
    <w:basedOn w:val="Normal"/>
    <w:next w:val="Normal"/>
    <w:link w:val="IntenseQuoteChar"/>
    <w:uiPriority w:val="30"/>
    <w:rsid w:val="00BC655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C6556"/>
    <w:rPr>
      <w:rFonts w:ascii="Arial" w:eastAsia="Times New Roman" w:hAnsi="Arial"/>
      <w:i/>
      <w:iCs/>
      <w:color w:val="5B9BD5" w:themeColor="accent1"/>
      <w:szCs w:val="18"/>
      <w:lang w:eastAsia="en-US"/>
    </w:rPr>
  </w:style>
  <w:style w:type="character" w:styleId="IntenseEmphasis">
    <w:name w:val="Intense Emphasis"/>
    <w:basedOn w:val="DefaultParagraphFont"/>
    <w:uiPriority w:val="21"/>
    <w:rsid w:val="00BC6556"/>
    <w:rPr>
      <w:i/>
      <w:iCs/>
      <w:color w:val="5B9BD5" w:themeColor="accent1"/>
    </w:rPr>
  </w:style>
  <w:style w:type="table" w:customStyle="1" w:styleId="TableGrid8">
    <w:name w:val="Table Grid8"/>
    <w:basedOn w:val="TableNormal"/>
    <w:next w:val="TableGrid"/>
    <w:uiPriority w:val="39"/>
    <w:rsid w:val="001F5EAC"/>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F5EAC"/>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F5EAC"/>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F5EAC"/>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F5EAC"/>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F5EAC"/>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84EC0"/>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 indent"/>
    <w:basedOn w:val="Normal"/>
    <w:uiPriority w:val="1"/>
    <w:qFormat/>
    <w:rsid w:val="00422434"/>
    <w:pPr>
      <w:tabs>
        <w:tab w:val="clear" w:pos="426"/>
      </w:tabs>
      <w:spacing w:before="0" w:after="0" w:line="480" w:lineRule="auto"/>
      <w:ind w:left="0" w:right="0"/>
    </w:pPr>
    <w:rPr>
      <w:rFonts w:ascii="Calibri" w:eastAsiaTheme="minorEastAsia" w:hAnsi="Calibri"/>
      <w:sz w:val="24"/>
      <w:szCs w:val="24"/>
    </w:rPr>
  </w:style>
  <w:style w:type="table" w:customStyle="1" w:styleId="TableGrid15">
    <w:name w:val="Table Grid15"/>
    <w:basedOn w:val="TableNormal"/>
    <w:next w:val="TableGrid"/>
    <w:uiPriority w:val="39"/>
    <w:rsid w:val="00512DB6"/>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12DB6"/>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VRGFBodycontent"/>
    <w:next w:val="Normal"/>
    <w:link w:val="MTDisplayEquationChar"/>
    <w:rsid w:val="00194A11"/>
    <w:pPr>
      <w:tabs>
        <w:tab w:val="clear" w:pos="426"/>
        <w:tab w:val="center" w:pos="5400"/>
        <w:tab w:val="right" w:pos="10060"/>
      </w:tabs>
    </w:pPr>
  </w:style>
  <w:style w:type="character" w:customStyle="1" w:styleId="VRGFBodycontentChar">
    <w:name w:val="VRGF Body content Char"/>
    <w:basedOn w:val="DefaultParagraphFont"/>
    <w:link w:val="VRGFBodycontent"/>
    <w:rsid w:val="004814B6"/>
    <w:rPr>
      <w:rFonts w:ascii="Arial" w:eastAsia="Times New Roman" w:hAnsi="Arial"/>
      <w:szCs w:val="18"/>
      <w:lang w:eastAsia="en-US"/>
    </w:rPr>
  </w:style>
  <w:style w:type="character" w:customStyle="1" w:styleId="MTDisplayEquationChar">
    <w:name w:val="MTDisplayEquation Char"/>
    <w:basedOn w:val="VRGFBodycontentChar"/>
    <w:link w:val="MTDisplayEquation"/>
    <w:rsid w:val="00194A11"/>
    <w:rPr>
      <w:rFonts w:ascii="Arial" w:eastAsia="Times New Roman" w:hAnsi="Arial"/>
      <w:szCs w:val="18"/>
      <w:lang w:eastAsia="en-US"/>
    </w:rPr>
  </w:style>
  <w:style w:type="table" w:customStyle="1" w:styleId="TableGrid17">
    <w:name w:val="Table Grid17"/>
    <w:basedOn w:val="TableNormal"/>
    <w:next w:val="TableGrid"/>
    <w:rsid w:val="00145453"/>
    <w:rPr>
      <w:rFonts w:ascii="Cambria" w:eastAsia="MS Mincho" w:hAnsi="Cambr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96AD5"/>
  </w:style>
  <w:style w:type="table" w:customStyle="1" w:styleId="TableGrid18">
    <w:name w:val="Table Grid18"/>
    <w:basedOn w:val="TableNormal"/>
    <w:next w:val="TableGrid"/>
    <w:rsid w:val="00D96AD5"/>
    <w:rPr>
      <w:rFonts w:ascii="Cambria" w:eastAsia="MS Mincho" w:hAnsi="Cambr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D96AD5"/>
  </w:style>
  <w:style w:type="numbering" w:customStyle="1" w:styleId="NoList2">
    <w:name w:val="No List2"/>
    <w:next w:val="NoList"/>
    <w:uiPriority w:val="99"/>
    <w:semiHidden/>
    <w:unhideWhenUsed/>
    <w:rsid w:val="00D82AC4"/>
  </w:style>
  <w:style w:type="table" w:customStyle="1" w:styleId="TableGrid19">
    <w:name w:val="Table Grid19"/>
    <w:basedOn w:val="TableNormal"/>
    <w:next w:val="TableGrid"/>
    <w:rsid w:val="00D82AC4"/>
    <w:rPr>
      <w:rFonts w:ascii="Cambria" w:eastAsia="MS Mincho" w:hAnsi="Cambr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locked/>
    <w:rsid w:val="000F14B0"/>
    <w:rPr>
      <w:rFonts w:asciiTheme="majorHAnsi" w:eastAsiaTheme="majorEastAsia" w:hAnsiTheme="majorHAnsi" w:cstheme="majorBidi"/>
      <w:b/>
      <w:bCs/>
      <w:sz w:val="24"/>
      <w:szCs w:val="24"/>
    </w:rPr>
  </w:style>
  <w:style w:type="numbering" w:customStyle="1" w:styleId="NoList3">
    <w:name w:val="No List3"/>
    <w:next w:val="NoList"/>
    <w:uiPriority w:val="99"/>
    <w:semiHidden/>
    <w:unhideWhenUsed/>
    <w:rsid w:val="00A61398"/>
  </w:style>
  <w:style w:type="table" w:customStyle="1" w:styleId="TableGrid20">
    <w:name w:val="Table Grid20"/>
    <w:basedOn w:val="TableNormal"/>
    <w:next w:val="TableGrid"/>
    <w:rsid w:val="00A6139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1"/>
    <w:uiPriority w:val="61"/>
    <w:rsid w:val="00A61398"/>
    <w:rPr>
      <w:rFonts w:ascii="Cambria" w:eastAsia="MS Mincho" w:hAnsi="Cambria"/>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next w:val="LightList1"/>
    <w:uiPriority w:val="61"/>
    <w:rsid w:val="00A61398"/>
    <w:rPr>
      <w:rFonts w:ascii="Cambria" w:eastAsia="MS Mincho" w:hAnsi="Cambria"/>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0">
    <w:name w:val="Table Grid110"/>
    <w:basedOn w:val="TableNormal"/>
    <w:next w:val="TableGrid"/>
    <w:uiPriority w:val="39"/>
    <w:rsid w:val="00A6139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6139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6139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6139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A61398"/>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A61398"/>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A61398"/>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1398"/>
    <w:rPr>
      <w:rFonts w:ascii="Arial" w:eastAsia="Times New Roman" w:hAnsi="Arial"/>
      <w:szCs w:val="18"/>
      <w:lang w:eastAsia="en-US"/>
    </w:rPr>
  </w:style>
  <w:style w:type="numbering" w:customStyle="1" w:styleId="NoList4">
    <w:name w:val="No List4"/>
    <w:next w:val="NoList"/>
    <w:uiPriority w:val="99"/>
    <w:semiHidden/>
    <w:unhideWhenUsed/>
    <w:rsid w:val="0062610B"/>
  </w:style>
  <w:style w:type="table" w:customStyle="1" w:styleId="TableGrid22">
    <w:name w:val="Table Grid22"/>
    <w:basedOn w:val="TableNormal"/>
    <w:next w:val="TableGrid"/>
    <w:rsid w:val="0062610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
    <w:name w:val="Light List3"/>
    <w:basedOn w:val="TableNormal"/>
    <w:next w:val="LightList1"/>
    <w:uiPriority w:val="61"/>
    <w:rsid w:val="0062610B"/>
    <w:rPr>
      <w:rFonts w:ascii="Cambria" w:eastAsia="MS Mincho" w:hAnsi="Cambria"/>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
    <w:name w:val="Light List12"/>
    <w:basedOn w:val="TableNormal"/>
    <w:next w:val="LightList1"/>
    <w:uiPriority w:val="61"/>
    <w:rsid w:val="0062610B"/>
    <w:rPr>
      <w:rFonts w:ascii="Cambria" w:eastAsia="MS Mincho" w:hAnsi="Cambria"/>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
    <w:name w:val="Table Grid111"/>
    <w:basedOn w:val="TableNormal"/>
    <w:next w:val="TableGrid"/>
    <w:uiPriority w:val="39"/>
    <w:rsid w:val="0062610B"/>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2610B"/>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2610B"/>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62610B"/>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62610B"/>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62610B"/>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62610B"/>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930D1"/>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114A95"/>
    <w:rPr>
      <w:rFonts w:ascii="Tahoma" w:eastAsia="Cambria"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114A95"/>
    <w:rPr>
      <w:rFonts w:ascii="Tahoma" w:eastAsia="Cambria"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114A95"/>
    <w:rPr>
      <w:rFonts w:ascii="Tahoma" w:eastAsia="Cambria"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650263"/>
    <w:rPr>
      <w:rFonts w:ascii="Tahoma" w:eastAsia="Cambria"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650263"/>
    <w:rPr>
      <w:rFonts w:ascii="Tahoma" w:eastAsia="Cambria"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650263"/>
    <w:rPr>
      <w:rFonts w:ascii="Tahoma" w:eastAsia="Cambria"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650263"/>
    <w:rPr>
      <w:rFonts w:ascii="Tahoma" w:eastAsia="Cambria"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650263"/>
    <w:rPr>
      <w:rFonts w:ascii="Tahoma" w:eastAsia="Cambria"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650263"/>
    <w:rPr>
      <w:rFonts w:ascii="Tahoma" w:eastAsia="Cambria"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5B604B"/>
    <w:rPr>
      <w:rFonts w:ascii="Tahoma" w:eastAsiaTheme="minorHAnsi" w:hAnsi="Tahoma"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E39E4"/>
    <w:rPr>
      <w:rFonts w:ascii="Arial" w:eastAsia="Times New Roman" w:hAnsi="Arial"/>
      <w:szCs w:val="18"/>
      <w:lang w:eastAsia="en-US"/>
    </w:rPr>
  </w:style>
  <w:style w:type="character" w:customStyle="1" w:styleId="FooterChar">
    <w:name w:val="Footer Char"/>
    <w:basedOn w:val="DefaultParagraphFont"/>
    <w:link w:val="Footer"/>
    <w:uiPriority w:val="99"/>
    <w:rsid w:val="005E39E4"/>
    <w:rPr>
      <w:rFonts w:ascii="Arial" w:eastAsia="Times New Roman" w:hAnsi="Arial"/>
      <w:szCs w:val="18"/>
      <w:lang w:eastAsia="en-US"/>
    </w:rPr>
  </w:style>
  <w:style w:type="character" w:styleId="Emphasis">
    <w:name w:val="Emphasis"/>
    <w:basedOn w:val="DefaultParagraphFont"/>
    <w:uiPriority w:val="20"/>
    <w:qFormat/>
    <w:rsid w:val="005E39E4"/>
    <w:rPr>
      <w:i/>
      <w:iCs/>
    </w:rPr>
  </w:style>
  <w:style w:type="character" w:styleId="HTMLCite">
    <w:name w:val="HTML Cite"/>
    <w:basedOn w:val="DefaultParagraphFont"/>
    <w:uiPriority w:val="99"/>
    <w:semiHidden/>
    <w:unhideWhenUsed/>
    <w:locked/>
    <w:rsid w:val="005E39E4"/>
    <w:rPr>
      <w:i/>
      <w:iCs/>
    </w:rPr>
  </w:style>
  <w:style w:type="character" w:customStyle="1" w:styleId="cit-name-surname">
    <w:name w:val="cit-name-surname"/>
    <w:basedOn w:val="DefaultParagraphFont"/>
    <w:rsid w:val="005E39E4"/>
  </w:style>
  <w:style w:type="character" w:customStyle="1" w:styleId="cit-pub-date">
    <w:name w:val="cit-pub-date"/>
    <w:basedOn w:val="DefaultParagraphFont"/>
    <w:rsid w:val="005E39E4"/>
  </w:style>
  <w:style w:type="character" w:customStyle="1" w:styleId="cit-source">
    <w:name w:val="cit-source"/>
    <w:basedOn w:val="DefaultParagraphFont"/>
    <w:rsid w:val="005E39E4"/>
  </w:style>
  <w:style w:type="character" w:customStyle="1" w:styleId="cit-publ-loc">
    <w:name w:val="cit-publ-loc"/>
    <w:basedOn w:val="DefaultParagraphFont"/>
    <w:rsid w:val="005E39E4"/>
  </w:style>
  <w:style w:type="character" w:customStyle="1" w:styleId="cit-publ-name">
    <w:name w:val="cit-publ-name"/>
    <w:basedOn w:val="DefaultParagraphFont"/>
    <w:rsid w:val="005E39E4"/>
  </w:style>
  <w:style w:type="character" w:customStyle="1" w:styleId="DocumentMapChar">
    <w:name w:val="Document Map Char"/>
    <w:basedOn w:val="DefaultParagraphFont"/>
    <w:link w:val="DocumentMap"/>
    <w:uiPriority w:val="99"/>
    <w:semiHidden/>
    <w:rsid w:val="005E39E4"/>
    <w:rPr>
      <w:rFonts w:ascii="Tahoma" w:eastAsia="Times New Roman" w:hAnsi="Tahoma" w:cs="Tahoma"/>
      <w:shd w:val="clear" w:color="auto" w:fill="000080"/>
      <w:lang w:eastAsia="en-US"/>
    </w:rPr>
  </w:style>
  <w:style w:type="character" w:styleId="EndnoteReference">
    <w:name w:val="endnote reference"/>
    <w:basedOn w:val="DefaultParagraphFont"/>
    <w:uiPriority w:val="99"/>
    <w:semiHidden/>
    <w:unhideWhenUsed/>
    <w:locked/>
    <w:rsid w:val="00343A3E"/>
    <w:rPr>
      <w:vertAlign w:val="superscript"/>
    </w:rPr>
  </w:style>
  <w:style w:type="paragraph" w:styleId="EndnoteText">
    <w:name w:val="endnote text"/>
    <w:basedOn w:val="Normal"/>
    <w:link w:val="EndnoteTextChar"/>
    <w:uiPriority w:val="99"/>
    <w:semiHidden/>
    <w:unhideWhenUsed/>
    <w:locked/>
    <w:rsid w:val="00343A3E"/>
    <w:pPr>
      <w:tabs>
        <w:tab w:val="clear" w:pos="426"/>
      </w:tabs>
      <w:spacing w:before="0" w:after="0" w:line="240" w:lineRule="auto"/>
      <w:ind w:left="0" w:right="0"/>
    </w:pPr>
    <w:rPr>
      <w:rFonts w:asciiTheme="minorHAnsi" w:eastAsiaTheme="minorEastAsia" w:hAnsiTheme="minorHAnsi" w:cstheme="minorBidi"/>
      <w:szCs w:val="20"/>
      <w:lang w:eastAsia="zh-CN"/>
    </w:rPr>
  </w:style>
  <w:style w:type="character" w:customStyle="1" w:styleId="EndnoteTextChar">
    <w:name w:val="Endnote Text Char"/>
    <w:basedOn w:val="DefaultParagraphFont"/>
    <w:link w:val="EndnoteText"/>
    <w:uiPriority w:val="99"/>
    <w:semiHidden/>
    <w:rsid w:val="00343A3E"/>
    <w:rPr>
      <w:rFonts w:asciiTheme="minorHAnsi" w:eastAsiaTheme="minorEastAsia" w:hAnsiTheme="minorHAnsi" w:cstheme="minorBidi"/>
      <w:lang w:eastAsia="zh-CN"/>
    </w:rPr>
  </w:style>
  <w:style w:type="paragraph" w:customStyle="1" w:styleId="EndNoteBibliographyTitle">
    <w:name w:val="EndNote Bibliography Title"/>
    <w:basedOn w:val="Normal"/>
    <w:link w:val="EndNoteBibliographyTitleChar"/>
    <w:rsid w:val="00F61793"/>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F61793"/>
    <w:rPr>
      <w:rFonts w:ascii="Arial" w:eastAsia="Times New Roman" w:hAnsi="Arial" w:cs="Arial"/>
      <w:noProof/>
      <w:szCs w:val="18"/>
      <w:lang w:val="en-US" w:eastAsia="en-US"/>
    </w:rPr>
  </w:style>
  <w:style w:type="paragraph" w:styleId="TOCHeading">
    <w:name w:val="TOC Heading"/>
    <w:basedOn w:val="Heading1"/>
    <w:next w:val="Normal"/>
    <w:uiPriority w:val="39"/>
    <w:unhideWhenUsed/>
    <w:qFormat/>
    <w:rsid w:val="00FF2BEA"/>
    <w:pPr>
      <w:pBdr>
        <w:bottom w:val="none" w:sz="0" w:space="0" w:color="auto"/>
      </w:pBdr>
      <w:spacing w:before="240" w:after="0" w:line="259" w:lineRule="auto"/>
      <w:ind w:left="0" w:right="0"/>
      <w:outlineLvl w:val="9"/>
    </w:pPr>
    <w:rPr>
      <w:rFonts w:asciiTheme="majorHAnsi" w:eastAsiaTheme="majorEastAsia" w:hAnsiTheme="majorHAnsi" w:cstheme="majorBidi"/>
      <w:color w:val="2E74B5" w:themeColor="accent1" w:themeShade="BF"/>
      <w:sz w:val="32"/>
      <w:szCs w:val="32"/>
      <w:lang w:val="en-US"/>
    </w:rPr>
  </w:style>
  <w:style w:type="character" w:customStyle="1" w:styleId="tgc">
    <w:name w:val="_tgc"/>
    <w:basedOn w:val="DefaultParagraphFont"/>
    <w:rsid w:val="000E0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100"/>
              <w:marBottom w:val="10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15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225"/>
                              <w:marBottom w:val="150"/>
                              <w:divBdr>
                                <w:top w:val="single" w:sz="6" w:space="0" w:color="CCCCCC"/>
                                <w:left w:val="single" w:sz="6" w:space="0" w:color="CCCCCC"/>
                                <w:bottom w:val="single" w:sz="6" w:space="0" w:color="CCCCCC"/>
                                <w:right w:val="single" w:sz="6" w:space="0" w:color="CCCCCC"/>
                              </w:divBdr>
                              <w:divsChild>
                                <w:div w:id="4">
                                  <w:marLeft w:val="225"/>
                                  <w:marRight w:val="225"/>
                                  <w:marTop w:val="225"/>
                                  <w:marBottom w:val="22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15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225"/>
                              <w:marBottom w:val="150"/>
                              <w:divBdr>
                                <w:top w:val="single" w:sz="6" w:space="0" w:color="CCCCCC"/>
                                <w:left w:val="single" w:sz="6" w:space="0" w:color="CCCCCC"/>
                                <w:bottom w:val="single" w:sz="6" w:space="0" w:color="CCCCCC"/>
                                <w:right w:val="single" w:sz="6" w:space="0" w:color="CCCCCC"/>
                              </w:divBdr>
                              <w:divsChild>
                                <w:div w:id="16">
                                  <w:marLeft w:val="225"/>
                                  <w:marRight w:val="225"/>
                                  <w:marTop w:val="225"/>
                                  <w:marBottom w:val="225"/>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1095"/>
                      <w:divBdr>
                        <w:top w:val="none" w:sz="0" w:space="0" w:color="auto"/>
                        <w:left w:val="none" w:sz="0" w:space="0" w:color="auto"/>
                        <w:bottom w:val="none" w:sz="0" w:space="0" w:color="auto"/>
                        <w:right w:val="none" w:sz="0" w:space="0" w:color="auto"/>
                      </w:divBdr>
                    </w:div>
                  </w:divsChild>
                </w:div>
              </w:divsChild>
            </w:div>
          </w:divsChild>
        </w:div>
      </w:divsChild>
    </w:div>
    <w:div w:id="134572587">
      <w:bodyDiv w:val="1"/>
      <w:marLeft w:val="0"/>
      <w:marRight w:val="0"/>
      <w:marTop w:val="0"/>
      <w:marBottom w:val="0"/>
      <w:divBdr>
        <w:top w:val="none" w:sz="0" w:space="0" w:color="auto"/>
        <w:left w:val="none" w:sz="0" w:space="0" w:color="auto"/>
        <w:bottom w:val="none" w:sz="0" w:space="0" w:color="auto"/>
        <w:right w:val="none" w:sz="0" w:space="0" w:color="auto"/>
      </w:divBdr>
    </w:div>
    <w:div w:id="238557681">
      <w:bodyDiv w:val="1"/>
      <w:marLeft w:val="0"/>
      <w:marRight w:val="0"/>
      <w:marTop w:val="0"/>
      <w:marBottom w:val="0"/>
      <w:divBdr>
        <w:top w:val="none" w:sz="0" w:space="0" w:color="auto"/>
        <w:left w:val="none" w:sz="0" w:space="0" w:color="auto"/>
        <w:bottom w:val="none" w:sz="0" w:space="0" w:color="auto"/>
        <w:right w:val="none" w:sz="0" w:space="0" w:color="auto"/>
      </w:divBdr>
    </w:div>
    <w:div w:id="696542625">
      <w:bodyDiv w:val="1"/>
      <w:marLeft w:val="0"/>
      <w:marRight w:val="0"/>
      <w:marTop w:val="0"/>
      <w:marBottom w:val="0"/>
      <w:divBdr>
        <w:top w:val="none" w:sz="0" w:space="0" w:color="auto"/>
        <w:left w:val="none" w:sz="0" w:space="0" w:color="auto"/>
        <w:bottom w:val="none" w:sz="0" w:space="0" w:color="auto"/>
        <w:right w:val="none" w:sz="0" w:space="0" w:color="auto"/>
      </w:divBdr>
    </w:div>
    <w:div w:id="824082325">
      <w:bodyDiv w:val="1"/>
      <w:marLeft w:val="0"/>
      <w:marRight w:val="0"/>
      <w:marTop w:val="0"/>
      <w:marBottom w:val="0"/>
      <w:divBdr>
        <w:top w:val="none" w:sz="0" w:space="0" w:color="auto"/>
        <w:left w:val="none" w:sz="0" w:space="0" w:color="auto"/>
        <w:bottom w:val="none" w:sz="0" w:space="0" w:color="auto"/>
        <w:right w:val="none" w:sz="0" w:space="0" w:color="auto"/>
      </w:divBdr>
    </w:div>
    <w:div w:id="848250971">
      <w:bodyDiv w:val="1"/>
      <w:marLeft w:val="0"/>
      <w:marRight w:val="0"/>
      <w:marTop w:val="0"/>
      <w:marBottom w:val="0"/>
      <w:divBdr>
        <w:top w:val="none" w:sz="0" w:space="0" w:color="auto"/>
        <w:left w:val="none" w:sz="0" w:space="0" w:color="auto"/>
        <w:bottom w:val="none" w:sz="0" w:space="0" w:color="auto"/>
        <w:right w:val="none" w:sz="0" w:space="0" w:color="auto"/>
      </w:divBdr>
    </w:div>
    <w:div w:id="1027023882">
      <w:bodyDiv w:val="1"/>
      <w:marLeft w:val="0"/>
      <w:marRight w:val="0"/>
      <w:marTop w:val="0"/>
      <w:marBottom w:val="0"/>
      <w:divBdr>
        <w:top w:val="none" w:sz="0" w:space="0" w:color="auto"/>
        <w:left w:val="none" w:sz="0" w:space="0" w:color="auto"/>
        <w:bottom w:val="none" w:sz="0" w:space="0" w:color="auto"/>
        <w:right w:val="none" w:sz="0" w:space="0" w:color="auto"/>
      </w:divBdr>
    </w:div>
    <w:div w:id="1347320351">
      <w:bodyDiv w:val="1"/>
      <w:marLeft w:val="0"/>
      <w:marRight w:val="0"/>
      <w:marTop w:val="0"/>
      <w:marBottom w:val="0"/>
      <w:divBdr>
        <w:top w:val="none" w:sz="0" w:space="0" w:color="auto"/>
        <w:left w:val="none" w:sz="0" w:space="0" w:color="auto"/>
        <w:bottom w:val="none" w:sz="0" w:space="0" w:color="auto"/>
        <w:right w:val="none" w:sz="0" w:space="0" w:color="auto"/>
      </w:divBdr>
    </w:div>
    <w:div w:id="1651323251">
      <w:bodyDiv w:val="1"/>
      <w:marLeft w:val="0"/>
      <w:marRight w:val="0"/>
      <w:marTop w:val="0"/>
      <w:marBottom w:val="0"/>
      <w:divBdr>
        <w:top w:val="none" w:sz="0" w:space="0" w:color="auto"/>
        <w:left w:val="none" w:sz="0" w:space="0" w:color="auto"/>
        <w:bottom w:val="none" w:sz="0" w:space="0" w:color="auto"/>
        <w:right w:val="none" w:sz="0" w:space="0" w:color="auto"/>
      </w:divBdr>
    </w:div>
    <w:div w:id="203171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E02FE0-FF97-440B-B8CA-54421A1A3A5B}"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F394286A-827F-471F-B856-11721D0C01DB}">
      <dgm:prSet phldrT="[Text]" custT="1"/>
      <dgm:spPr>
        <a:solidFill>
          <a:srgbClr val="FFBC64"/>
        </a:solidFill>
      </dgm:spPr>
      <dgm:t>
        <a:bodyPr/>
        <a:lstStyle/>
        <a:p>
          <a:r>
            <a:rPr lang="en-AU" sz="900">
              <a:solidFill>
                <a:srgbClr val="1C3158"/>
              </a:solidFill>
              <a:latin typeface="Arial" panose="020B0604020202020204" pitchFamily="34" charset="0"/>
              <a:cs typeface="Arial" panose="020B0604020202020204" pitchFamily="34" charset="0"/>
            </a:rPr>
            <a:t>Loss of surplus financial resources or discretionary income</a:t>
          </a:r>
        </a:p>
      </dgm:t>
    </dgm:pt>
    <dgm:pt modelId="{C11A9F8B-5993-4BB4-B0D1-BBB9F0D26A34}" type="parTrans" cxnId="{C23564C8-A323-4057-A5ED-82598F0DD704}">
      <dgm:prSet/>
      <dgm:spPr/>
      <dgm:t>
        <a:bodyPr/>
        <a:lstStyle/>
        <a:p>
          <a:endParaRPr lang="en-AU"/>
        </a:p>
      </dgm:t>
    </dgm:pt>
    <dgm:pt modelId="{53ECD863-4CD8-43CA-A5A1-5E6A25064B0F}" type="sibTrans" cxnId="{C23564C8-A323-4057-A5ED-82598F0DD704}">
      <dgm:prSet/>
      <dgm:spPr>
        <a:solidFill>
          <a:srgbClr val="1C3158"/>
        </a:solidFill>
      </dgm:spPr>
      <dgm:t>
        <a:bodyPr/>
        <a:lstStyle/>
        <a:p>
          <a:endParaRPr lang="en-AU"/>
        </a:p>
      </dgm:t>
    </dgm:pt>
    <dgm:pt modelId="{7FE950A8-0D7B-44AB-BE19-8DF0C2A6A519}">
      <dgm:prSet phldrT="[Text]" custT="1"/>
      <dgm:spPr>
        <a:solidFill>
          <a:srgbClr val="FFBC64"/>
        </a:solidFill>
      </dgm:spPr>
      <dgm:t>
        <a:bodyPr/>
        <a:lstStyle/>
        <a:p>
          <a:r>
            <a:rPr lang="en-AU" sz="900">
              <a:solidFill>
                <a:srgbClr val="1C3158"/>
              </a:solidFill>
              <a:latin typeface="Arial" panose="020B0604020202020204" pitchFamily="34" charset="0"/>
              <a:cs typeface="Arial" panose="020B0604020202020204" pitchFamily="34" charset="0"/>
            </a:rPr>
            <a:t>Activities to manage short term cash flow: funds generation or debt generation</a:t>
          </a:r>
        </a:p>
      </dgm:t>
    </dgm:pt>
    <dgm:pt modelId="{AAAADD54-BB9E-40B8-97DA-8351A735E6A4}" type="parTrans" cxnId="{3D7B69CD-5537-4C39-8E97-050BF816DCF9}">
      <dgm:prSet/>
      <dgm:spPr/>
      <dgm:t>
        <a:bodyPr/>
        <a:lstStyle/>
        <a:p>
          <a:endParaRPr lang="en-AU"/>
        </a:p>
      </dgm:t>
    </dgm:pt>
    <dgm:pt modelId="{C01C708A-66A8-4148-B719-9EDA03CB05C3}" type="sibTrans" cxnId="{3D7B69CD-5537-4C39-8E97-050BF816DCF9}">
      <dgm:prSet/>
      <dgm:spPr>
        <a:solidFill>
          <a:srgbClr val="1C3158"/>
        </a:solidFill>
      </dgm:spPr>
      <dgm:t>
        <a:bodyPr/>
        <a:lstStyle/>
        <a:p>
          <a:endParaRPr lang="en-AU"/>
        </a:p>
      </dgm:t>
    </dgm:pt>
    <dgm:pt modelId="{6256CB55-79D2-40DC-9E2F-F6C700531304}">
      <dgm:prSet phldrT="[Text]" custT="1"/>
      <dgm:spPr>
        <a:solidFill>
          <a:srgbClr val="FFBC64"/>
        </a:solidFill>
      </dgm:spPr>
      <dgm:t>
        <a:bodyPr/>
        <a:lstStyle/>
        <a:p>
          <a:r>
            <a:rPr lang="en-AU" sz="900">
              <a:solidFill>
                <a:srgbClr val="1C3158"/>
              </a:solidFill>
              <a:latin typeface="Arial" panose="020B0604020202020204" pitchFamily="34" charset="0"/>
              <a:cs typeface="Arial" panose="020B0604020202020204" pitchFamily="34" charset="0"/>
            </a:rPr>
            <a:t>Loss of ability to meet expenditure of non-immediate consequence</a:t>
          </a:r>
        </a:p>
      </dgm:t>
    </dgm:pt>
    <dgm:pt modelId="{0E30F0C3-018A-4AA3-8303-59767546B0F8}" type="parTrans" cxnId="{B448CA94-A75F-460C-873C-16FCE3A8221A}">
      <dgm:prSet/>
      <dgm:spPr/>
      <dgm:t>
        <a:bodyPr/>
        <a:lstStyle/>
        <a:p>
          <a:endParaRPr lang="en-AU"/>
        </a:p>
      </dgm:t>
    </dgm:pt>
    <dgm:pt modelId="{D5609887-6EAA-4FB3-9319-87DD6DB1585E}" type="sibTrans" cxnId="{B448CA94-A75F-460C-873C-16FCE3A8221A}">
      <dgm:prSet/>
      <dgm:spPr>
        <a:solidFill>
          <a:srgbClr val="1C3158"/>
        </a:solidFill>
      </dgm:spPr>
      <dgm:t>
        <a:bodyPr/>
        <a:lstStyle/>
        <a:p>
          <a:endParaRPr lang="en-AU"/>
        </a:p>
      </dgm:t>
    </dgm:pt>
    <dgm:pt modelId="{BFFC7281-3844-4CD0-96C4-7A392DB6115C}">
      <dgm:prSet custT="1"/>
      <dgm:spPr>
        <a:solidFill>
          <a:srgbClr val="FFBC64"/>
        </a:solidFill>
      </dgm:spPr>
      <dgm:t>
        <a:bodyPr/>
        <a:lstStyle/>
        <a:p>
          <a:r>
            <a:rPr lang="en-AU" sz="900">
              <a:solidFill>
                <a:srgbClr val="1C3158"/>
              </a:solidFill>
              <a:latin typeface="Arial" panose="020B0604020202020204" pitchFamily="34" charset="0"/>
              <a:cs typeface="Arial" panose="020B0604020202020204" pitchFamily="34" charset="0"/>
            </a:rPr>
            <a:t>Loss of ability to meet expenditure that has immediate consequences</a:t>
          </a:r>
        </a:p>
      </dgm:t>
    </dgm:pt>
    <dgm:pt modelId="{02BB3F09-FFF1-497E-8D49-93486A92D3BA}" type="parTrans" cxnId="{BC7AF19D-97EB-457D-B7D8-FE09F42F062C}">
      <dgm:prSet/>
      <dgm:spPr/>
      <dgm:t>
        <a:bodyPr/>
        <a:lstStyle/>
        <a:p>
          <a:endParaRPr lang="en-AU"/>
        </a:p>
      </dgm:t>
    </dgm:pt>
    <dgm:pt modelId="{698428BE-C2ED-4520-BD54-334BBE56E8C5}" type="sibTrans" cxnId="{BC7AF19D-97EB-457D-B7D8-FE09F42F062C}">
      <dgm:prSet/>
      <dgm:spPr/>
      <dgm:t>
        <a:bodyPr/>
        <a:lstStyle/>
        <a:p>
          <a:endParaRPr lang="en-AU"/>
        </a:p>
      </dgm:t>
    </dgm:pt>
    <dgm:pt modelId="{FFF35020-BDC7-4DFA-AEA6-43085DD56397}" type="pres">
      <dgm:prSet presAssocID="{DBE02FE0-FF97-440B-B8CA-54421A1A3A5B}" presName="linearFlow" presStyleCnt="0">
        <dgm:presLayoutVars>
          <dgm:resizeHandles val="exact"/>
        </dgm:presLayoutVars>
      </dgm:prSet>
      <dgm:spPr/>
      <dgm:t>
        <a:bodyPr/>
        <a:lstStyle/>
        <a:p>
          <a:endParaRPr lang="en-AU"/>
        </a:p>
      </dgm:t>
    </dgm:pt>
    <dgm:pt modelId="{FAC324C8-F7A1-4608-A53F-CA077AF87D88}" type="pres">
      <dgm:prSet presAssocID="{F394286A-827F-471F-B856-11721D0C01DB}" presName="node" presStyleLbl="node1" presStyleIdx="0" presStyleCnt="4" custScaleX="161051" custScaleY="161051">
        <dgm:presLayoutVars>
          <dgm:bulletEnabled val="1"/>
        </dgm:presLayoutVars>
      </dgm:prSet>
      <dgm:spPr/>
      <dgm:t>
        <a:bodyPr/>
        <a:lstStyle/>
        <a:p>
          <a:endParaRPr lang="en-AU"/>
        </a:p>
      </dgm:t>
    </dgm:pt>
    <dgm:pt modelId="{8C03FBE1-AC6D-4106-8EB0-D50B752B1436}" type="pres">
      <dgm:prSet presAssocID="{53ECD863-4CD8-43CA-A5A1-5E6A25064B0F}" presName="sibTrans" presStyleLbl="sibTrans2D1" presStyleIdx="0" presStyleCnt="3"/>
      <dgm:spPr/>
      <dgm:t>
        <a:bodyPr/>
        <a:lstStyle/>
        <a:p>
          <a:endParaRPr lang="en-AU"/>
        </a:p>
      </dgm:t>
    </dgm:pt>
    <dgm:pt modelId="{2B02BCDC-354F-4A9E-A6A8-5FF01A1D83FF}" type="pres">
      <dgm:prSet presAssocID="{53ECD863-4CD8-43CA-A5A1-5E6A25064B0F}" presName="connectorText" presStyleLbl="sibTrans2D1" presStyleIdx="0" presStyleCnt="3"/>
      <dgm:spPr/>
      <dgm:t>
        <a:bodyPr/>
        <a:lstStyle/>
        <a:p>
          <a:endParaRPr lang="en-AU"/>
        </a:p>
      </dgm:t>
    </dgm:pt>
    <dgm:pt modelId="{3DD4691C-BBA4-4118-8D36-9497DDC81C15}" type="pres">
      <dgm:prSet presAssocID="{7FE950A8-0D7B-44AB-BE19-8DF0C2A6A519}" presName="node" presStyleLbl="node1" presStyleIdx="1" presStyleCnt="4" custScaleX="161051" custScaleY="161051">
        <dgm:presLayoutVars>
          <dgm:bulletEnabled val="1"/>
        </dgm:presLayoutVars>
      </dgm:prSet>
      <dgm:spPr/>
      <dgm:t>
        <a:bodyPr/>
        <a:lstStyle/>
        <a:p>
          <a:endParaRPr lang="en-AU"/>
        </a:p>
      </dgm:t>
    </dgm:pt>
    <dgm:pt modelId="{94074B32-53F3-4F0D-A4DA-7DC432DB698E}" type="pres">
      <dgm:prSet presAssocID="{C01C708A-66A8-4148-B719-9EDA03CB05C3}" presName="sibTrans" presStyleLbl="sibTrans2D1" presStyleIdx="1" presStyleCnt="3"/>
      <dgm:spPr/>
      <dgm:t>
        <a:bodyPr/>
        <a:lstStyle/>
        <a:p>
          <a:endParaRPr lang="en-AU"/>
        </a:p>
      </dgm:t>
    </dgm:pt>
    <dgm:pt modelId="{DC7230DD-82FB-458B-8702-798B1543FE8F}" type="pres">
      <dgm:prSet presAssocID="{C01C708A-66A8-4148-B719-9EDA03CB05C3}" presName="connectorText" presStyleLbl="sibTrans2D1" presStyleIdx="1" presStyleCnt="3"/>
      <dgm:spPr/>
      <dgm:t>
        <a:bodyPr/>
        <a:lstStyle/>
        <a:p>
          <a:endParaRPr lang="en-AU"/>
        </a:p>
      </dgm:t>
    </dgm:pt>
    <dgm:pt modelId="{A87CE10C-D07F-4746-95CF-45C4A1E6A431}" type="pres">
      <dgm:prSet presAssocID="{6256CB55-79D2-40DC-9E2F-F6C700531304}" presName="node" presStyleLbl="node1" presStyleIdx="2" presStyleCnt="4" custScaleX="161051" custScaleY="161051">
        <dgm:presLayoutVars>
          <dgm:bulletEnabled val="1"/>
        </dgm:presLayoutVars>
      </dgm:prSet>
      <dgm:spPr/>
      <dgm:t>
        <a:bodyPr/>
        <a:lstStyle/>
        <a:p>
          <a:endParaRPr lang="en-AU"/>
        </a:p>
      </dgm:t>
    </dgm:pt>
    <dgm:pt modelId="{A727D7A1-D7D8-4B28-87C7-B3670999A03F}" type="pres">
      <dgm:prSet presAssocID="{D5609887-6EAA-4FB3-9319-87DD6DB1585E}" presName="sibTrans" presStyleLbl="sibTrans2D1" presStyleIdx="2" presStyleCnt="3"/>
      <dgm:spPr/>
      <dgm:t>
        <a:bodyPr/>
        <a:lstStyle/>
        <a:p>
          <a:endParaRPr lang="en-AU"/>
        </a:p>
      </dgm:t>
    </dgm:pt>
    <dgm:pt modelId="{CD784BF8-E5F1-4006-A705-AD0637AE463F}" type="pres">
      <dgm:prSet presAssocID="{D5609887-6EAA-4FB3-9319-87DD6DB1585E}" presName="connectorText" presStyleLbl="sibTrans2D1" presStyleIdx="2" presStyleCnt="3"/>
      <dgm:spPr/>
      <dgm:t>
        <a:bodyPr/>
        <a:lstStyle/>
        <a:p>
          <a:endParaRPr lang="en-AU"/>
        </a:p>
      </dgm:t>
    </dgm:pt>
    <dgm:pt modelId="{C429D1C0-9498-4688-ABCC-4108EFC120E4}" type="pres">
      <dgm:prSet presAssocID="{BFFC7281-3844-4CD0-96C4-7A392DB6115C}" presName="node" presStyleLbl="node1" presStyleIdx="3" presStyleCnt="4" custScaleX="161051" custScaleY="161051">
        <dgm:presLayoutVars>
          <dgm:bulletEnabled val="1"/>
        </dgm:presLayoutVars>
      </dgm:prSet>
      <dgm:spPr/>
      <dgm:t>
        <a:bodyPr/>
        <a:lstStyle/>
        <a:p>
          <a:endParaRPr lang="en-AU"/>
        </a:p>
      </dgm:t>
    </dgm:pt>
  </dgm:ptLst>
  <dgm:cxnLst>
    <dgm:cxn modelId="{9BB051E4-6E63-4429-A2D7-AAA89058BDBD}" type="presOf" srcId="{DBE02FE0-FF97-440B-B8CA-54421A1A3A5B}" destId="{FFF35020-BDC7-4DFA-AEA6-43085DD56397}" srcOrd="0" destOrd="0" presId="urn:microsoft.com/office/officeart/2005/8/layout/process2"/>
    <dgm:cxn modelId="{0B885799-8822-42A0-B529-CDA7A5949BDA}" type="presOf" srcId="{7FE950A8-0D7B-44AB-BE19-8DF0C2A6A519}" destId="{3DD4691C-BBA4-4118-8D36-9497DDC81C15}" srcOrd="0" destOrd="0" presId="urn:microsoft.com/office/officeart/2005/8/layout/process2"/>
    <dgm:cxn modelId="{B448CA94-A75F-460C-873C-16FCE3A8221A}" srcId="{DBE02FE0-FF97-440B-B8CA-54421A1A3A5B}" destId="{6256CB55-79D2-40DC-9E2F-F6C700531304}" srcOrd="2" destOrd="0" parTransId="{0E30F0C3-018A-4AA3-8303-59767546B0F8}" sibTransId="{D5609887-6EAA-4FB3-9319-87DD6DB1585E}"/>
    <dgm:cxn modelId="{BF64E910-8211-4D3F-B3D0-EFBB93FCA551}" type="presOf" srcId="{53ECD863-4CD8-43CA-A5A1-5E6A25064B0F}" destId="{8C03FBE1-AC6D-4106-8EB0-D50B752B1436}" srcOrd="0" destOrd="0" presId="urn:microsoft.com/office/officeart/2005/8/layout/process2"/>
    <dgm:cxn modelId="{75B40BFC-5E1D-41A2-A994-0D585C0D6ABA}" type="presOf" srcId="{C01C708A-66A8-4148-B719-9EDA03CB05C3}" destId="{94074B32-53F3-4F0D-A4DA-7DC432DB698E}" srcOrd="0" destOrd="0" presId="urn:microsoft.com/office/officeart/2005/8/layout/process2"/>
    <dgm:cxn modelId="{F889BCC2-EEA6-4F7A-9BF0-9460DFB59EB3}" type="presOf" srcId="{D5609887-6EAA-4FB3-9319-87DD6DB1585E}" destId="{A727D7A1-D7D8-4B28-87C7-B3670999A03F}" srcOrd="0" destOrd="0" presId="urn:microsoft.com/office/officeart/2005/8/layout/process2"/>
    <dgm:cxn modelId="{4183558E-D398-4ED5-906A-3C5A04D8BAC1}" type="presOf" srcId="{F394286A-827F-471F-B856-11721D0C01DB}" destId="{FAC324C8-F7A1-4608-A53F-CA077AF87D88}" srcOrd="0" destOrd="0" presId="urn:microsoft.com/office/officeart/2005/8/layout/process2"/>
    <dgm:cxn modelId="{755CD79D-9012-42C0-97E6-CD47A668247B}" type="presOf" srcId="{53ECD863-4CD8-43CA-A5A1-5E6A25064B0F}" destId="{2B02BCDC-354F-4A9E-A6A8-5FF01A1D83FF}" srcOrd="1" destOrd="0" presId="urn:microsoft.com/office/officeart/2005/8/layout/process2"/>
    <dgm:cxn modelId="{90CF42DA-0FED-4156-8FC2-0D4FE44B3656}" type="presOf" srcId="{6256CB55-79D2-40DC-9E2F-F6C700531304}" destId="{A87CE10C-D07F-4746-95CF-45C4A1E6A431}" srcOrd="0" destOrd="0" presId="urn:microsoft.com/office/officeart/2005/8/layout/process2"/>
    <dgm:cxn modelId="{00908442-EE1D-4153-895A-A1B019852F0C}" type="presOf" srcId="{C01C708A-66A8-4148-B719-9EDA03CB05C3}" destId="{DC7230DD-82FB-458B-8702-798B1543FE8F}" srcOrd="1" destOrd="0" presId="urn:microsoft.com/office/officeart/2005/8/layout/process2"/>
    <dgm:cxn modelId="{BC7AF19D-97EB-457D-B7D8-FE09F42F062C}" srcId="{DBE02FE0-FF97-440B-B8CA-54421A1A3A5B}" destId="{BFFC7281-3844-4CD0-96C4-7A392DB6115C}" srcOrd="3" destOrd="0" parTransId="{02BB3F09-FFF1-497E-8D49-93486A92D3BA}" sibTransId="{698428BE-C2ED-4520-BD54-334BBE56E8C5}"/>
    <dgm:cxn modelId="{C23564C8-A323-4057-A5ED-82598F0DD704}" srcId="{DBE02FE0-FF97-440B-B8CA-54421A1A3A5B}" destId="{F394286A-827F-471F-B856-11721D0C01DB}" srcOrd="0" destOrd="0" parTransId="{C11A9F8B-5993-4BB4-B0D1-BBB9F0D26A34}" sibTransId="{53ECD863-4CD8-43CA-A5A1-5E6A25064B0F}"/>
    <dgm:cxn modelId="{4F2234D2-1700-46EE-8FFE-B27D8F492AC5}" type="presOf" srcId="{BFFC7281-3844-4CD0-96C4-7A392DB6115C}" destId="{C429D1C0-9498-4688-ABCC-4108EFC120E4}" srcOrd="0" destOrd="0" presId="urn:microsoft.com/office/officeart/2005/8/layout/process2"/>
    <dgm:cxn modelId="{3D7B69CD-5537-4C39-8E97-050BF816DCF9}" srcId="{DBE02FE0-FF97-440B-B8CA-54421A1A3A5B}" destId="{7FE950A8-0D7B-44AB-BE19-8DF0C2A6A519}" srcOrd="1" destOrd="0" parTransId="{AAAADD54-BB9E-40B8-97DA-8351A735E6A4}" sibTransId="{C01C708A-66A8-4148-B719-9EDA03CB05C3}"/>
    <dgm:cxn modelId="{D8846FD9-FA73-4B5E-92AE-B66FEC2DD64F}" type="presOf" srcId="{D5609887-6EAA-4FB3-9319-87DD6DB1585E}" destId="{CD784BF8-E5F1-4006-A705-AD0637AE463F}" srcOrd="1" destOrd="0" presId="urn:microsoft.com/office/officeart/2005/8/layout/process2"/>
    <dgm:cxn modelId="{270D9C80-4CC9-4A10-B735-7CAA6337220A}" type="presParOf" srcId="{FFF35020-BDC7-4DFA-AEA6-43085DD56397}" destId="{FAC324C8-F7A1-4608-A53F-CA077AF87D88}" srcOrd="0" destOrd="0" presId="urn:microsoft.com/office/officeart/2005/8/layout/process2"/>
    <dgm:cxn modelId="{BDFBBD69-D4E1-4867-9EE5-A10926087B19}" type="presParOf" srcId="{FFF35020-BDC7-4DFA-AEA6-43085DD56397}" destId="{8C03FBE1-AC6D-4106-8EB0-D50B752B1436}" srcOrd="1" destOrd="0" presId="urn:microsoft.com/office/officeart/2005/8/layout/process2"/>
    <dgm:cxn modelId="{005209ED-96B9-4367-A5C6-718840AE5C63}" type="presParOf" srcId="{8C03FBE1-AC6D-4106-8EB0-D50B752B1436}" destId="{2B02BCDC-354F-4A9E-A6A8-5FF01A1D83FF}" srcOrd="0" destOrd="0" presId="urn:microsoft.com/office/officeart/2005/8/layout/process2"/>
    <dgm:cxn modelId="{B587E6C5-72E4-49AD-85A9-B9B24270627F}" type="presParOf" srcId="{FFF35020-BDC7-4DFA-AEA6-43085DD56397}" destId="{3DD4691C-BBA4-4118-8D36-9497DDC81C15}" srcOrd="2" destOrd="0" presId="urn:microsoft.com/office/officeart/2005/8/layout/process2"/>
    <dgm:cxn modelId="{262C7019-FC6F-44DD-A3E4-EFD5E51C06FD}" type="presParOf" srcId="{FFF35020-BDC7-4DFA-AEA6-43085DD56397}" destId="{94074B32-53F3-4F0D-A4DA-7DC432DB698E}" srcOrd="3" destOrd="0" presId="urn:microsoft.com/office/officeart/2005/8/layout/process2"/>
    <dgm:cxn modelId="{EA91F6BB-AECC-43FA-96C7-800086409DF2}" type="presParOf" srcId="{94074B32-53F3-4F0D-A4DA-7DC432DB698E}" destId="{DC7230DD-82FB-458B-8702-798B1543FE8F}" srcOrd="0" destOrd="0" presId="urn:microsoft.com/office/officeart/2005/8/layout/process2"/>
    <dgm:cxn modelId="{7F4EDC57-25EF-4495-BE78-376A209F20F6}" type="presParOf" srcId="{FFF35020-BDC7-4DFA-AEA6-43085DD56397}" destId="{A87CE10C-D07F-4746-95CF-45C4A1E6A431}" srcOrd="4" destOrd="0" presId="urn:microsoft.com/office/officeart/2005/8/layout/process2"/>
    <dgm:cxn modelId="{BE623184-2F46-4055-9FCF-CA5B338DB7CE}" type="presParOf" srcId="{FFF35020-BDC7-4DFA-AEA6-43085DD56397}" destId="{A727D7A1-D7D8-4B28-87C7-B3670999A03F}" srcOrd="5" destOrd="0" presId="urn:microsoft.com/office/officeart/2005/8/layout/process2"/>
    <dgm:cxn modelId="{107D047C-E514-46E1-AB0A-7F7A20327C2D}" type="presParOf" srcId="{A727D7A1-D7D8-4B28-87C7-B3670999A03F}" destId="{CD784BF8-E5F1-4006-A705-AD0637AE463F}" srcOrd="0" destOrd="0" presId="urn:microsoft.com/office/officeart/2005/8/layout/process2"/>
    <dgm:cxn modelId="{230746B9-D015-48B2-942C-B67D849AC1CC}" type="presParOf" srcId="{FFF35020-BDC7-4DFA-AEA6-43085DD56397}" destId="{C429D1C0-9498-4688-ABCC-4108EFC120E4}" srcOrd="6"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C324C8-F7A1-4608-A53F-CA077AF87D88}">
      <dsp:nvSpPr>
        <dsp:cNvPr id="0" name=""/>
        <dsp:cNvSpPr/>
      </dsp:nvSpPr>
      <dsp:spPr>
        <a:xfrm>
          <a:off x="1459518" y="2666"/>
          <a:ext cx="1795838" cy="448959"/>
        </a:xfrm>
        <a:prstGeom prst="roundRect">
          <a:avLst>
            <a:gd name="adj" fmla="val 10000"/>
          </a:avLst>
        </a:prstGeom>
        <a:solidFill>
          <a:srgbClr val="FFBC6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rgbClr val="1C3158"/>
              </a:solidFill>
              <a:latin typeface="Arial" panose="020B0604020202020204" pitchFamily="34" charset="0"/>
              <a:cs typeface="Arial" panose="020B0604020202020204" pitchFamily="34" charset="0"/>
            </a:rPr>
            <a:t>Loss of surplus financial resources or discretionary income</a:t>
          </a:r>
        </a:p>
      </dsp:txBody>
      <dsp:txXfrm>
        <a:off x="1472668" y="15816"/>
        <a:ext cx="1769538" cy="422659"/>
      </dsp:txXfrm>
    </dsp:sp>
    <dsp:sp modelId="{8C03FBE1-AC6D-4106-8EB0-D50B752B1436}">
      <dsp:nvSpPr>
        <dsp:cNvPr id="0" name=""/>
        <dsp:cNvSpPr/>
      </dsp:nvSpPr>
      <dsp:spPr>
        <a:xfrm rot="5400000">
          <a:off x="2305168" y="458595"/>
          <a:ext cx="104538" cy="125445"/>
        </a:xfrm>
        <a:prstGeom prst="rightArrow">
          <a:avLst>
            <a:gd name="adj1" fmla="val 60000"/>
            <a:gd name="adj2" fmla="val 50000"/>
          </a:avLst>
        </a:prstGeom>
        <a:solidFill>
          <a:srgbClr val="1C3158"/>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AU" sz="500" kern="1200"/>
        </a:p>
      </dsp:txBody>
      <dsp:txXfrm rot="-5400000">
        <a:off x="2319804" y="469049"/>
        <a:ext cx="75267" cy="73177"/>
      </dsp:txXfrm>
    </dsp:sp>
    <dsp:sp modelId="{3DD4691C-BBA4-4118-8D36-9497DDC81C15}">
      <dsp:nvSpPr>
        <dsp:cNvPr id="0" name=""/>
        <dsp:cNvSpPr/>
      </dsp:nvSpPr>
      <dsp:spPr>
        <a:xfrm>
          <a:off x="1459518" y="591010"/>
          <a:ext cx="1795838" cy="448959"/>
        </a:xfrm>
        <a:prstGeom prst="roundRect">
          <a:avLst>
            <a:gd name="adj" fmla="val 10000"/>
          </a:avLst>
        </a:prstGeom>
        <a:solidFill>
          <a:srgbClr val="FFBC6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rgbClr val="1C3158"/>
              </a:solidFill>
              <a:latin typeface="Arial" panose="020B0604020202020204" pitchFamily="34" charset="0"/>
              <a:cs typeface="Arial" panose="020B0604020202020204" pitchFamily="34" charset="0"/>
            </a:rPr>
            <a:t>Activities to manage short term cash flow: funds generation or debt generation</a:t>
          </a:r>
        </a:p>
      </dsp:txBody>
      <dsp:txXfrm>
        <a:off x="1472668" y="604160"/>
        <a:ext cx="1769538" cy="422659"/>
      </dsp:txXfrm>
    </dsp:sp>
    <dsp:sp modelId="{94074B32-53F3-4F0D-A4DA-7DC432DB698E}">
      <dsp:nvSpPr>
        <dsp:cNvPr id="0" name=""/>
        <dsp:cNvSpPr/>
      </dsp:nvSpPr>
      <dsp:spPr>
        <a:xfrm rot="5400000">
          <a:off x="2305168" y="1046939"/>
          <a:ext cx="104538" cy="125445"/>
        </a:xfrm>
        <a:prstGeom prst="rightArrow">
          <a:avLst>
            <a:gd name="adj1" fmla="val 60000"/>
            <a:gd name="adj2" fmla="val 50000"/>
          </a:avLst>
        </a:prstGeom>
        <a:solidFill>
          <a:srgbClr val="1C3158"/>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AU" sz="500" kern="1200"/>
        </a:p>
      </dsp:txBody>
      <dsp:txXfrm rot="-5400000">
        <a:off x="2319804" y="1057393"/>
        <a:ext cx="75267" cy="73177"/>
      </dsp:txXfrm>
    </dsp:sp>
    <dsp:sp modelId="{A87CE10C-D07F-4746-95CF-45C4A1E6A431}">
      <dsp:nvSpPr>
        <dsp:cNvPr id="0" name=""/>
        <dsp:cNvSpPr/>
      </dsp:nvSpPr>
      <dsp:spPr>
        <a:xfrm>
          <a:off x="1459518" y="1179354"/>
          <a:ext cx="1795838" cy="448959"/>
        </a:xfrm>
        <a:prstGeom prst="roundRect">
          <a:avLst>
            <a:gd name="adj" fmla="val 10000"/>
          </a:avLst>
        </a:prstGeom>
        <a:solidFill>
          <a:srgbClr val="FFBC6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rgbClr val="1C3158"/>
              </a:solidFill>
              <a:latin typeface="Arial" panose="020B0604020202020204" pitchFamily="34" charset="0"/>
              <a:cs typeface="Arial" panose="020B0604020202020204" pitchFamily="34" charset="0"/>
            </a:rPr>
            <a:t>Loss of ability to meet expenditure of non-immediate consequence</a:t>
          </a:r>
        </a:p>
      </dsp:txBody>
      <dsp:txXfrm>
        <a:off x="1472668" y="1192504"/>
        <a:ext cx="1769538" cy="422659"/>
      </dsp:txXfrm>
    </dsp:sp>
    <dsp:sp modelId="{A727D7A1-D7D8-4B28-87C7-B3670999A03F}">
      <dsp:nvSpPr>
        <dsp:cNvPr id="0" name=""/>
        <dsp:cNvSpPr/>
      </dsp:nvSpPr>
      <dsp:spPr>
        <a:xfrm rot="5400000">
          <a:off x="2305168" y="1635283"/>
          <a:ext cx="104538" cy="125445"/>
        </a:xfrm>
        <a:prstGeom prst="rightArrow">
          <a:avLst>
            <a:gd name="adj1" fmla="val 60000"/>
            <a:gd name="adj2" fmla="val 50000"/>
          </a:avLst>
        </a:prstGeom>
        <a:solidFill>
          <a:srgbClr val="1C3158"/>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AU" sz="500" kern="1200"/>
        </a:p>
      </dsp:txBody>
      <dsp:txXfrm rot="-5400000">
        <a:off x="2319804" y="1645737"/>
        <a:ext cx="75267" cy="73177"/>
      </dsp:txXfrm>
    </dsp:sp>
    <dsp:sp modelId="{C429D1C0-9498-4688-ABCC-4108EFC120E4}">
      <dsp:nvSpPr>
        <dsp:cNvPr id="0" name=""/>
        <dsp:cNvSpPr/>
      </dsp:nvSpPr>
      <dsp:spPr>
        <a:xfrm>
          <a:off x="1459518" y="1767698"/>
          <a:ext cx="1795838" cy="448959"/>
        </a:xfrm>
        <a:prstGeom prst="roundRect">
          <a:avLst>
            <a:gd name="adj" fmla="val 10000"/>
          </a:avLst>
        </a:prstGeom>
        <a:solidFill>
          <a:srgbClr val="FFBC6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rgbClr val="1C3158"/>
              </a:solidFill>
              <a:latin typeface="Arial" panose="020B0604020202020204" pitchFamily="34" charset="0"/>
              <a:cs typeface="Arial" panose="020B0604020202020204" pitchFamily="34" charset="0"/>
            </a:rPr>
            <a:t>Loss of ability to meet expenditure that has immediate consequences</a:t>
          </a:r>
        </a:p>
      </dsp:txBody>
      <dsp:txXfrm>
        <a:off x="1472668" y="1780848"/>
        <a:ext cx="1769538" cy="4226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E8FD3-4612-4685-9ADA-87A3B51BA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194</Pages>
  <Words>105510</Words>
  <Characters>628115</Characters>
  <Application>Microsoft Office Word</Application>
  <DocSecurity>0</DocSecurity>
  <Lines>5234</Lines>
  <Paragraphs>1464</Paragraphs>
  <ScaleCrop>false</ScaleCrop>
  <HeadingPairs>
    <vt:vector size="2" baseType="variant">
      <vt:variant>
        <vt:lpstr>Title</vt:lpstr>
      </vt:variant>
      <vt:variant>
        <vt:i4>1</vt:i4>
      </vt:variant>
    </vt:vector>
  </HeadingPairs>
  <TitlesOfParts>
    <vt:vector size="1" baseType="lpstr">
      <vt:lpstr>Report title</vt:lpstr>
    </vt:vector>
  </TitlesOfParts>
  <Company>Hewlett-Packard Company</Company>
  <LinksUpToDate>false</LinksUpToDate>
  <CharactersWithSpaces>732161</CharactersWithSpaces>
  <SharedDoc>false</SharedDoc>
  <HLinks>
    <vt:vector size="78" baseType="variant">
      <vt:variant>
        <vt:i4>2031669</vt:i4>
      </vt:variant>
      <vt:variant>
        <vt:i4>74</vt:i4>
      </vt:variant>
      <vt:variant>
        <vt:i4>0</vt:i4>
      </vt:variant>
      <vt:variant>
        <vt:i4>5</vt:i4>
      </vt:variant>
      <vt:variant>
        <vt:lpwstr/>
      </vt:variant>
      <vt:variant>
        <vt:lpwstr>_Toc362344097</vt:lpwstr>
      </vt:variant>
      <vt:variant>
        <vt:i4>2031669</vt:i4>
      </vt:variant>
      <vt:variant>
        <vt:i4>68</vt:i4>
      </vt:variant>
      <vt:variant>
        <vt:i4>0</vt:i4>
      </vt:variant>
      <vt:variant>
        <vt:i4>5</vt:i4>
      </vt:variant>
      <vt:variant>
        <vt:lpwstr/>
      </vt:variant>
      <vt:variant>
        <vt:lpwstr>_Toc362344096</vt:lpwstr>
      </vt:variant>
      <vt:variant>
        <vt:i4>2031669</vt:i4>
      </vt:variant>
      <vt:variant>
        <vt:i4>62</vt:i4>
      </vt:variant>
      <vt:variant>
        <vt:i4>0</vt:i4>
      </vt:variant>
      <vt:variant>
        <vt:i4>5</vt:i4>
      </vt:variant>
      <vt:variant>
        <vt:lpwstr/>
      </vt:variant>
      <vt:variant>
        <vt:lpwstr>_Toc362344095</vt:lpwstr>
      </vt:variant>
      <vt:variant>
        <vt:i4>2031669</vt:i4>
      </vt:variant>
      <vt:variant>
        <vt:i4>56</vt:i4>
      </vt:variant>
      <vt:variant>
        <vt:i4>0</vt:i4>
      </vt:variant>
      <vt:variant>
        <vt:i4>5</vt:i4>
      </vt:variant>
      <vt:variant>
        <vt:lpwstr/>
      </vt:variant>
      <vt:variant>
        <vt:lpwstr>_Toc362344094</vt:lpwstr>
      </vt:variant>
      <vt:variant>
        <vt:i4>2031669</vt:i4>
      </vt:variant>
      <vt:variant>
        <vt:i4>50</vt:i4>
      </vt:variant>
      <vt:variant>
        <vt:i4>0</vt:i4>
      </vt:variant>
      <vt:variant>
        <vt:i4>5</vt:i4>
      </vt:variant>
      <vt:variant>
        <vt:lpwstr/>
      </vt:variant>
      <vt:variant>
        <vt:lpwstr>_Toc362344093</vt:lpwstr>
      </vt:variant>
      <vt:variant>
        <vt:i4>2031669</vt:i4>
      </vt:variant>
      <vt:variant>
        <vt:i4>44</vt:i4>
      </vt:variant>
      <vt:variant>
        <vt:i4>0</vt:i4>
      </vt:variant>
      <vt:variant>
        <vt:i4>5</vt:i4>
      </vt:variant>
      <vt:variant>
        <vt:lpwstr/>
      </vt:variant>
      <vt:variant>
        <vt:lpwstr>_Toc362344092</vt:lpwstr>
      </vt:variant>
      <vt:variant>
        <vt:i4>2031669</vt:i4>
      </vt:variant>
      <vt:variant>
        <vt:i4>38</vt:i4>
      </vt:variant>
      <vt:variant>
        <vt:i4>0</vt:i4>
      </vt:variant>
      <vt:variant>
        <vt:i4>5</vt:i4>
      </vt:variant>
      <vt:variant>
        <vt:lpwstr/>
      </vt:variant>
      <vt:variant>
        <vt:lpwstr>_Toc362344091</vt:lpwstr>
      </vt:variant>
      <vt:variant>
        <vt:i4>2031669</vt:i4>
      </vt:variant>
      <vt:variant>
        <vt:i4>32</vt:i4>
      </vt:variant>
      <vt:variant>
        <vt:i4>0</vt:i4>
      </vt:variant>
      <vt:variant>
        <vt:i4>5</vt:i4>
      </vt:variant>
      <vt:variant>
        <vt:lpwstr/>
      </vt:variant>
      <vt:variant>
        <vt:lpwstr>_Toc362344090</vt:lpwstr>
      </vt:variant>
      <vt:variant>
        <vt:i4>1966133</vt:i4>
      </vt:variant>
      <vt:variant>
        <vt:i4>26</vt:i4>
      </vt:variant>
      <vt:variant>
        <vt:i4>0</vt:i4>
      </vt:variant>
      <vt:variant>
        <vt:i4>5</vt:i4>
      </vt:variant>
      <vt:variant>
        <vt:lpwstr/>
      </vt:variant>
      <vt:variant>
        <vt:lpwstr>_Toc362344089</vt:lpwstr>
      </vt:variant>
      <vt:variant>
        <vt:i4>1966133</vt:i4>
      </vt:variant>
      <vt:variant>
        <vt:i4>20</vt:i4>
      </vt:variant>
      <vt:variant>
        <vt:i4>0</vt:i4>
      </vt:variant>
      <vt:variant>
        <vt:i4>5</vt:i4>
      </vt:variant>
      <vt:variant>
        <vt:lpwstr/>
      </vt:variant>
      <vt:variant>
        <vt:lpwstr>_Toc362344088</vt:lpwstr>
      </vt:variant>
      <vt:variant>
        <vt:i4>1966133</vt:i4>
      </vt:variant>
      <vt:variant>
        <vt:i4>14</vt:i4>
      </vt:variant>
      <vt:variant>
        <vt:i4>0</vt:i4>
      </vt:variant>
      <vt:variant>
        <vt:i4>5</vt:i4>
      </vt:variant>
      <vt:variant>
        <vt:lpwstr/>
      </vt:variant>
      <vt:variant>
        <vt:lpwstr>_Toc362344087</vt:lpwstr>
      </vt:variant>
      <vt:variant>
        <vt:i4>1966133</vt:i4>
      </vt:variant>
      <vt:variant>
        <vt:i4>8</vt:i4>
      </vt:variant>
      <vt:variant>
        <vt:i4>0</vt:i4>
      </vt:variant>
      <vt:variant>
        <vt:i4>5</vt:i4>
      </vt:variant>
      <vt:variant>
        <vt:lpwstr/>
      </vt:variant>
      <vt:variant>
        <vt:lpwstr>_Toc362344086</vt:lpwstr>
      </vt:variant>
      <vt:variant>
        <vt:i4>1966133</vt:i4>
      </vt:variant>
      <vt:variant>
        <vt:i4>2</vt:i4>
      </vt:variant>
      <vt:variant>
        <vt:i4>0</vt:i4>
      </vt:variant>
      <vt:variant>
        <vt:i4>5</vt:i4>
      </vt:variant>
      <vt:variant>
        <vt:lpwstr/>
      </vt:variant>
      <vt:variant>
        <vt:lpwstr>_Toc362344085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Sarah Hemingway</dc:creator>
  <cp:keywords/>
  <dc:description/>
  <cp:lastModifiedBy>Maria Bellringer</cp:lastModifiedBy>
  <cp:revision>4</cp:revision>
  <cp:lastPrinted>2017-05-03T23:43:00Z</cp:lastPrinted>
  <dcterms:created xsi:type="dcterms:W3CDTF">2017-05-03T23:41:00Z</dcterms:created>
  <dcterms:modified xsi:type="dcterms:W3CDTF">2017-05-03T23:43:00Z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CD/13/276579</vt:lpwstr>
  </property>
  <property fmtid="{D5CDD505-2E9C-101B-9397-08002B2CF9AE}" pid="3" name="TRIM_DateDue">
    <vt:lpwstr> </vt:lpwstr>
  </property>
  <property fmtid="{D5CDD505-2E9C-101B-9397-08002B2CF9AE}" pid="4" name="TRIM_Author">
    <vt:lpwstr>SCHLOTTERLEIN, Morgan</vt:lpwstr>
  </property>
  <property fmtid="{D5CDD505-2E9C-101B-9397-08002B2CF9AE}" pid="5" name="TRIM_Container">
    <vt:lpwstr>DG/13/29349</vt:lpwstr>
  </property>
  <property fmtid="{D5CDD505-2E9C-101B-9397-08002B2CF9AE}" pid="6" name="TRIM_Creator">
    <vt:lpwstr>SCHLOTTERLEIN, Morgan</vt:lpwstr>
  </property>
  <property fmtid="{D5CDD505-2E9C-101B-9397-08002B2CF9AE}" pid="7" name="TRIM_DateRegistered">
    <vt:lpwstr>23 July, 2013</vt:lpwstr>
  </property>
  <property fmtid="{D5CDD505-2E9C-101B-9397-08002B2CF9AE}" pid="8" name="TRIM_OwnerLocation">
    <vt:lpwstr>Victorian Responsible Gambling Foundation</vt:lpwstr>
  </property>
  <property fmtid="{D5CDD505-2E9C-101B-9397-08002B2CF9AE}" pid="9" name="TRIM_ResponsibleOfficer">
    <vt:lpwstr> </vt:lpwstr>
  </property>
  <property fmtid="{D5CDD505-2E9C-101B-9397-08002B2CF9AE}" pid="10" name="TRIM_Title">
    <vt:lpwstr>Template - VRGF Research report template</vt:lpwstr>
  </property>
  <property fmtid="{D5CDD505-2E9C-101B-9397-08002B2CF9AE}" pid="11" name="MTWinEqns">
    <vt:bool>true</vt:bool>
  </property>
</Properties>
</file>