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BEB0A" w14:textId="77777777" w:rsidR="00C86248" w:rsidRPr="00D54D50" w:rsidRDefault="00392D35" w:rsidP="00392D35">
      <w:pPr>
        <w:pStyle w:val="Title"/>
      </w:pPr>
      <w:bookmarkStart w:id="0" w:name="_GoBack"/>
      <w:bookmarkEnd w:id="0"/>
      <w:r>
        <w:t xml:space="preserve">Standardised Tobacco </w:t>
      </w:r>
      <w:r w:rsidRPr="00392D35">
        <w:t>Products</w:t>
      </w:r>
      <w:r>
        <w:t xml:space="preserve"> Packaging Draft Regulations</w:t>
      </w:r>
    </w:p>
    <w:p w14:paraId="4B449209" w14:textId="77777777" w:rsidR="00455CC9" w:rsidRPr="00B35DEC" w:rsidRDefault="00455CC9" w:rsidP="00455CC9">
      <w:pPr>
        <w:pStyle w:val="Year"/>
        <w:rPr>
          <w:sz w:val="2"/>
          <w:szCs w:val="2"/>
        </w:rPr>
      </w:pPr>
    </w:p>
    <w:p w14:paraId="20A32DFA" w14:textId="77777777" w:rsidR="00C86248" w:rsidRDefault="00392D35" w:rsidP="00343365">
      <w:pPr>
        <w:pStyle w:val="Subhead"/>
      </w:pPr>
      <w:r>
        <w:t>Summary of Submissions</w:t>
      </w:r>
    </w:p>
    <w:p w14:paraId="2F2786F8" w14:textId="77777777"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14:paraId="1A71A5F2" w14:textId="77777777" w:rsidR="00A80363" w:rsidRPr="00442C1C" w:rsidRDefault="00A80363">
      <w:pPr>
        <w:pStyle w:val="Imprint"/>
      </w:pPr>
      <w:r>
        <w:lastRenderedPageBreak/>
        <w:t xml:space="preserve">Citation: </w:t>
      </w:r>
      <w:r w:rsidR="00442C1C">
        <w:t xml:space="preserve">Ministry of Health. </w:t>
      </w:r>
      <w:r w:rsidR="00392D35">
        <w:t>2017</w:t>
      </w:r>
      <w:r w:rsidR="00442C1C">
        <w:t xml:space="preserve">. </w:t>
      </w:r>
      <w:r w:rsidR="00392D35">
        <w:rPr>
          <w:i/>
        </w:rPr>
        <w:t>Standardised Tobacco Products Packaging Draft Regulations: Summary of submissions</w:t>
      </w:r>
      <w:r w:rsidR="00442C1C">
        <w:t>. Wellington: Ministry of Health.</w:t>
      </w:r>
    </w:p>
    <w:p w14:paraId="14F80431" w14:textId="77777777" w:rsidR="00C86248" w:rsidRDefault="00C86248">
      <w:pPr>
        <w:pStyle w:val="Imprint"/>
      </w:pPr>
      <w:r>
        <w:t xml:space="preserve">Published in </w:t>
      </w:r>
      <w:r w:rsidR="00392D35">
        <w:t>May 2017</w:t>
      </w:r>
      <w:r w:rsidR="005019AE">
        <w:br/>
      </w:r>
      <w:r>
        <w:t>by the</w:t>
      </w:r>
      <w:r w:rsidR="00442C1C">
        <w:t xml:space="preserve"> </w:t>
      </w:r>
      <w:r>
        <w:t>Ministry of Health</w:t>
      </w:r>
      <w:r>
        <w:br/>
        <w:t>PO Box 5013, Wellington</w:t>
      </w:r>
      <w:r w:rsidR="00A80363">
        <w:t xml:space="preserve"> 614</w:t>
      </w:r>
      <w:r w:rsidR="006041F0">
        <w:t>0</w:t>
      </w:r>
      <w:r>
        <w:t>, New Zealand</w:t>
      </w:r>
    </w:p>
    <w:p w14:paraId="09C58606" w14:textId="77777777" w:rsidR="00082CD6" w:rsidRPr="009C0F2D" w:rsidRDefault="00F63781" w:rsidP="00082CD6">
      <w:pPr>
        <w:pStyle w:val="Imprint"/>
      </w:pPr>
      <w:r>
        <w:t xml:space="preserve">ISBN </w:t>
      </w:r>
      <w:r w:rsidR="00B35DEC" w:rsidRPr="00B35DEC">
        <w:rPr>
          <w:lang w:val="en-US"/>
        </w:rPr>
        <w:t>978-1-98-850248-9</w:t>
      </w:r>
      <w:r w:rsidR="00442C1C">
        <w:t xml:space="preserve"> </w:t>
      </w:r>
      <w:r w:rsidR="00D863D0">
        <w:t>(</w:t>
      </w:r>
      <w:r w:rsidR="00442C1C">
        <w:t>online</w:t>
      </w:r>
      <w:r w:rsidR="00D863D0">
        <w:t>)</w:t>
      </w:r>
      <w:r w:rsidR="00082CD6">
        <w:br/>
      </w:r>
      <w:r w:rsidR="00082CD6" w:rsidRPr="009C0F2D">
        <w:t xml:space="preserve">HP </w:t>
      </w:r>
      <w:r w:rsidR="00B35DEC">
        <w:t>6599</w:t>
      </w:r>
    </w:p>
    <w:p w14:paraId="79B34CD3" w14:textId="77777777" w:rsidR="00C86248" w:rsidRDefault="00C86248">
      <w:pPr>
        <w:pStyle w:val="Imprint"/>
      </w:pPr>
      <w:r>
        <w:t xml:space="preserve">This document is available </w:t>
      </w:r>
      <w:r w:rsidR="0071741C">
        <w:t xml:space="preserve">at </w:t>
      </w:r>
      <w:r>
        <w:t>h</w:t>
      </w:r>
      <w:r w:rsidR="00A80363">
        <w:t>ealth</w:t>
      </w:r>
      <w:r>
        <w:t>.govt.nz</w:t>
      </w:r>
    </w:p>
    <w:p w14:paraId="6E9720C7" w14:textId="77777777" w:rsidR="00C86248" w:rsidRDefault="008C64C4">
      <w:pPr>
        <w:jc w:val="center"/>
      </w:pPr>
      <w:r>
        <w:rPr>
          <w:noProof/>
          <w:lang w:eastAsia="en-NZ"/>
        </w:rPr>
        <w:drawing>
          <wp:inline distT="0" distB="0" distL="0" distR="0" wp14:anchorId="6DEB97F6" wp14:editId="0231BBB8">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14:paraId="36D16250" w14:textId="77777777" w:rsidR="007E74F1" w:rsidRPr="001F45A7" w:rsidRDefault="007E74F1" w:rsidP="001F45A7">
      <w:pPr>
        <w:spacing w:before="240"/>
        <w:ind w:right="-851"/>
        <w:rPr>
          <w:sz w:val="18"/>
          <w:szCs w:val="18"/>
        </w:rPr>
      </w:pPr>
      <w:r w:rsidRPr="001F45A7">
        <w:rPr>
          <w:b/>
          <w:noProof/>
          <w:sz w:val="18"/>
          <w:szCs w:val="18"/>
          <w:lang w:eastAsia="en-NZ"/>
        </w:rPr>
        <w:drawing>
          <wp:inline distT="0" distB="0" distL="0" distR="0" wp14:anchorId="48FB455B" wp14:editId="6AA080C9">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1F45A7">
        <w:rPr>
          <w:sz w:val="18"/>
          <w:szCs w:val="18"/>
        </w:rPr>
        <w:t xml:space="preserve"> This work is licensed under the Creative Commons Attribution 4.0 International licence. In essence, </w:t>
      </w:r>
      <w:r w:rsidRPr="001F45A7">
        <w:rPr>
          <w:bCs/>
          <w:sz w:val="18"/>
          <w:szCs w:val="18"/>
        </w:rPr>
        <w:t xml:space="preserve">you are free to: </w:t>
      </w:r>
      <w:r w:rsidRPr="001F45A7">
        <w:rPr>
          <w:sz w:val="18"/>
          <w:szCs w:val="18"/>
        </w:rPr>
        <w:t xml:space="preserve">share ie, copy and redistribute the material in any medium or format; adapt ie, remix, transform and build upon the material. </w:t>
      </w:r>
      <w:r w:rsidRPr="001F45A7">
        <w:rPr>
          <w:bCs/>
          <w:sz w:val="18"/>
          <w:szCs w:val="18"/>
        </w:rPr>
        <w:t>You must give appropriate credit, provide a link to the licence and indicate if changes were made.</w:t>
      </w:r>
    </w:p>
    <w:p w14:paraId="19B55FD2" w14:textId="77777777"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14:paraId="5E29BD13" w14:textId="77777777" w:rsidR="00C86248" w:rsidRDefault="00C86248">
      <w:pPr>
        <w:pStyle w:val="IntroHead"/>
      </w:pPr>
      <w:bookmarkStart w:id="1" w:name="_Toc405792991"/>
      <w:bookmarkStart w:id="2" w:name="_Toc405793224"/>
      <w:r>
        <w:lastRenderedPageBreak/>
        <w:t>Contents</w:t>
      </w:r>
      <w:bookmarkEnd w:id="1"/>
      <w:bookmarkEnd w:id="2"/>
    </w:p>
    <w:p w14:paraId="08DE2542" w14:textId="77777777" w:rsidR="00A238FA"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A238FA">
        <w:rPr>
          <w:noProof/>
        </w:rPr>
        <w:t>Introduction</w:t>
      </w:r>
      <w:r w:rsidR="00A238FA">
        <w:rPr>
          <w:noProof/>
        </w:rPr>
        <w:tab/>
      </w:r>
      <w:r w:rsidR="00A238FA">
        <w:rPr>
          <w:noProof/>
        </w:rPr>
        <w:fldChar w:fldCharType="begin"/>
      </w:r>
      <w:r w:rsidR="00A238FA">
        <w:rPr>
          <w:noProof/>
        </w:rPr>
        <w:instrText xml:space="preserve"> PAGEREF _Toc481746330 \h </w:instrText>
      </w:r>
      <w:r w:rsidR="00A238FA">
        <w:rPr>
          <w:noProof/>
        </w:rPr>
      </w:r>
      <w:r w:rsidR="00A238FA">
        <w:rPr>
          <w:noProof/>
        </w:rPr>
        <w:fldChar w:fldCharType="separate"/>
      </w:r>
      <w:r w:rsidR="0096350E">
        <w:rPr>
          <w:noProof/>
        </w:rPr>
        <w:t>1</w:t>
      </w:r>
      <w:r w:rsidR="00A238FA">
        <w:rPr>
          <w:noProof/>
        </w:rPr>
        <w:fldChar w:fldCharType="end"/>
      </w:r>
    </w:p>
    <w:p w14:paraId="4D47FEA3" w14:textId="77777777" w:rsidR="00A238FA" w:rsidRDefault="00A238FA">
      <w:pPr>
        <w:pStyle w:val="TOC1"/>
        <w:rPr>
          <w:rFonts w:asciiTheme="minorHAnsi" w:eastAsiaTheme="minorEastAsia" w:hAnsiTheme="minorHAnsi" w:cstheme="minorBidi"/>
          <w:b w:val="0"/>
          <w:noProof/>
          <w:szCs w:val="22"/>
          <w:lang w:eastAsia="en-NZ"/>
        </w:rPr>
      </w:pPr>
      <w:r>
        <w:rPr>
          <w:noProof/>
        </w:rPr>
        <w:t>Summary of responses</w:t>
      </w:r>
      <w:r>
        <w:rPr>
          <w:noProof/>
        </w:rPr>
        <w:tab/>
      </w:r>
      <w:r>
        <w:rPr>
          <w:noProof/>
        </w:rPr>
        <w:fldChar w:fldCharType="begin"/>
      </w:r>
      <w:r>
        <w:rPr>
          <w:noProof/>
        </w:rPr>
        <w:instrText xml:space="preserve"> PAGEREF _Toc481746331 \h </w:instrText>
      </w:r>
      <w:r>
        <w:rPr>
          <w:noProof/>
        </w:rPr>
      </w:r>
      <w:r>
        <w:rPr>
          <w:noProof/>
        </w:rPr>
        <w:fldChar w:fldCharType="separate"/>
      </w:r>
      <w:r w:rsidR="0096350E">
        <w:rPr>
          <w:noProof/>
        </w:rPr>
        <w:t>2</w:t>
      </w:r>
      <w:r>
        <w:rPr>
          <w:noProof/>
        </w:rPr>
        <w:fldChar w:fldCharType="end"/>
      </w:r>
    </w:p>
    <w:p w14:paraId="5E008CC1" w14:textId="77777777" w:rsidR="00A238FA" w:rsidRDefault="00A238FA">
      <w:pPr>
        <w:pStyle w:val="TOC1"/>
        <w:rPr>
          <w:rFonts w:asciiTheme="minorHAnsi" w:eastAsiaTheme="minorEastAsia" w:hAnsiTheme="minorHAnsi" w:cstheme="minorBidi"/>
          <w:b w:val="0"/>
          <w:noProof/>
          <w:szCs w:val="22"/>
          <w:lang w:eastAsia="en-NZ"/>
        </w:rPr>
      </w:pPr>
      <w:r>
        <w:rPr>
          <w:noProof/>
        </w:rPr>
        <w:t>Results</w:t>
      </w:r>
      <w:r>
        <w:rPr>
          <w:noProof/>
        </w:rPr>
        <w:tab/>
      </w:r>
      <w:r>
        <w:rPr>
          <w:noProof/>
        </w:rPr>
        <w:fldChar w:fldCharType="begin"/>
      </w:r>
      <w:r>
        <w:rPr>
          <w:noProof/>
        </w:rPr>
        <w:instrText xml:space="preserve"> PAGEREF _Toc481746332 \h </w:instrText>
      </w:r>
      <w:r>
        <w:rPr>
          <w:noProof/>
        </w:rPr>
      </w:r>
      <w:r>
        <w:rPr>
          <w:noProof/>
        </w:rPr>
        <w:fldChar w:fldCharType="separate"/>
      </w:r>
      <w:r w:rsidR="0096350E">
        <w:rPr>
          <w:noProof/>
        </w:rPr>
        <w:t>3</w:t>
      </w:r>
      <w:r>
        <w:rPr>
          <w:noProof/>
        </w:rPr>
        <w:fldChar w:fldCharType="end"/>
      </w:r>
    </w:p>
    <w:p w14:paraId="5624A446" w14:textId="77777777" w:rsidR="00A238FA" w:rsidRDefault="00A238FA">
      <w:pPr>
        <w:pStyle w:val="TOC2"/>
        <w:rPr>
          <w:rFonts w:asciiTheme="minorHAnsi" w:eastAsiaTheme="minorEastAsia" w:hAnsiTheme="minorHAnsi" w:cstheme="minorBidi"/>
          <w:noProof/>
          <w:szCs w:val="22"/>
          <w:lang w:eastAsia="en-NZ"/>
        </w:rPr>
      </w:pPr>
      <w:r>
        <w:rPr>
          <w:noProof/>
        </w:rPr>
        <w:t>Health and community groups</w:t>
      </w:r>
      <w:r>
        <w:rPr>
          <w:noProof/>
        </w:rPr>
        <w:tab/>
      </w:r>
      <w:r>
        <w:rPr>
          <w:noProof/>
        </w:rPr>
        <w:fldChar w:fldCharType="begin"/>
      </w:r>
      <w:r>
        <w:rPr>
          <w:noProof/>
        </w:rPr>
        <w:instrText xml:space="preserve"> PAGEREF _Toc481746333 \h </w:instrText>
      </w:r>
      <w:r>
        <w:rPr>
          <w:noProof/>
        </w:rPr>
      </w:r>
      <w:r>
        <w:rPr>
          <w:noProof/>
        </w:rPr>
        <w:fldChar w:fldCharType="separate"/>
      </w:r>
      <w:r w:rsidR="0096350E">
        <w:rPr>
          <w:noProof/>
        </w:rPr>
        <w:t>3</w:t>
      </w:r>
      <w:r>
        <w:rPr>
          <w:noProof/>
        </w:rPr>
        <w:fldChar w:fldCharType="end"/>
      </w:r>
    </w:p>
    <w:p w14:paraId="56BEFB4D" w14:textId="77777777" w:rsidR="00A238FA" w:rsidRDefault="00A238FA">
      <w:pPr>
        <w:pStyle w:val="TOC2"/>
        <w:rPr>
          <w:rFonts w:asciiTheme="minorHAnsi" w:eastAsiaTheme="minorEastAsia" w:hAnsiTheme="minorHAnsi" w:cstheme="minorBidi"/>
          <w:noProof/>
          <w:szCs w:val="22"/>
          <w:lang w:eastAsia="en-NZ"/>
        </w:rPr>
      </w:pPr>
      <w:r>
        <w:rPr>
          <w:noProof/>
        </w:rPr>
        <w:t>Submissions received from overseas-based NGOs</w:t>
      </w:r>
      <w:r>
        <w:rPr>
          <w:noProof/>
        </w:rPr>
        <w:tab/>
      </w:r>
      <w:r>
        <w:rPr>
          <w:noProof/>
        </w:rPr>
        <w:fldChar w:fldCharType="begin"/>
      </w:r>
      <w:r>
        <w:rPr>
          <w:noProof/>
        </w:rPr>
        <w:instrText xml:space="preserve"> PAGEREF _Toc481746334 \h </w:instrText>
      </w:r>
      <w:r>
        <w:rPr>
          <w:noProof/>
        </w:rPr>
      </w:r>
      <w:r>
        <w:rPr>
          <w:noProof/>
        </w:rPr>
        <w:fldChar w:fldCharType="separate"/>
      </w:r>
      <w:r w:rsidR="0096350E">
        <w:rPr>
          <w:noProof/>
        </w:rPr>
        <w:t>4</w:t>
      </w:r>
      <w:r>
        <w:rPr>
          <w:noProof/>
        </w:rPr>
        <w:fldChar w:fldCharType="end"/>
      </w:r>
    </w:p>
    <w:p w14:paraId="77BBAC0F" w14:textId="77777777" w:rsidR="00A238FA" w:rsidRDefault="00A238FA">
      <w:pPr>
        <w:pStyle w:val="TOC2"/>
        <w:rPr>
          <w:rFonts w:asciiTheme="minorHAnsi" w:eastAsiaTheme="minorEastAsia" w:hAnsiTheme="minorHAnsi" w:cstheme="minorBidi"/>
          <w:noProof/>
          <w:szCs w:val="22"/>
          <w:lang w:eastAsia="en-NZ"/>
        </w:rPr>
      </w:pPr>
      <w:r>
        <w:rPr>
          <w:noProof/>
        </w:rPr>
        <w:t>Retail organisations</w:t>
      </w:r>
      <w:r>
        <w:rPr>
          <w:noProof/>
        </w:rPr>
        <w:tab/>
      </w:r>
      <w:r>
        <w:rPr>
          <w:noProof/>
        </w:rPr>
        <w:fldChar w:fldCharType="begin"/>
      </w:r>
      <w:r>
        <w:rPr>
          <w:noProof/>
        </w:rPr>
        <w:instrText xml:space="preserve"> PAGEREF _Toc481746335 \h </w:instrText>
      </w:r>
      <w:r>
        <w:rPr>
          <w:noProof/>
        </w:rPr>
      </w:r>
      <w:r>
        <w:rPr>
          <w:noProof/>
        </w:rPr>
        <w:fldChar w:fldCharType="separate"/>
      </w:r>
      <w:r w:rsidR="0096350E">
        <w:rPr>
          <w:noProof/>
        </w:rPr>
        <w:t>5</w:t>
      </w:r>
      <w:r>
        <w:rPr>
          <w:noProof/>
        </w:rPr>
        <w:fldChar w:fldCharType="end"/>
      </w:r>
    </w:p>
    <w:p w14:paraId="75C4BBA6" w14:textId="77777777" w:rsidR="00A238FA" w:rsidRDefault="00A238FA">
      <w:pPr>
        <w:pStyle w:val="TOC2"/>
        <w:rPr>
          <w:rFonts w:asciiTheme="minorHAnsi" w:eastAsiaTheme="minorEastAsia" w:hAnsiTheme="minorHAnsi" w:cstheme="minorBidi"/>
          <w:noProof/>
          <w:szCs w:val="22"/>
          <w:lang w:eastAsia="en-NZ"/>
        </w:rPr>
      </w:pPr>
      <w:r>
        <w:rPr>
          <w:noProof/>
        </w:rPr>
        <w:t>Cigar industry</w:t>
      </w:r>
      <w:r>
        <w:rPr>
          <w:noProof/>
        </w:rPr>
        <w:tab/>
      </w:r>
      <w:r>
        <w:rPr>
          <w:noProof/>
        </w:rPr>
        <w:fldChar w:fldCharType="begin"/>
      </w:r>
      <w:r>
        <w:rPr>
          <w:noProof/>
        </w:rPr>
        <w:instrText xml:space="preserve"> PAGEREF _Toc481746336 \h </w:instrText>
      </w:r>
      <w:r>
        <w:rPr>
          <w:noProof/>
        </w:rPr>
      </w:r>
      <w:r>
        <w:rPr>
          <w:noProof/>
        </w:rPr>
        <w:fldChar w:fldCharType="separate"/>
      </w:r>
      <w:r w:rsidR="0096350E">
        <w:rPr>
          <w:noProof/>
        </w:rPr>
        <w:t>5</w:t>
      </w:r>
      <w:r>
        <w:rPr>
          <w:noProof/>
        </w:rPr>
        <w:fldChar w:fldCharType="end"/>
      </w:r>
    </w:p>
    <w:p w14:paraId="175FC76B" w14:textId="77777777" w:rsidR="00A238FA" w:rsidRDefault="00A238FA">
      <w:pPr>
        <w:pStyle w:val="TOC2"/>
        <w:rPr>
          <w:rFonts w:asciiTheme="minorHAnsi" w:eastAsiaTheme="minorEastAsia" w:hAnsiTheme="minorHAnsi" w:cstheme="minorBidi"/>
          <w:noProof/>
          <w:szCs w:val="22"/>
          <w:lang w:eastAsia="en-NZ"/>
        </w:rPr>
      </w:pPr>
      <w:r>
        <w:rPr>
          <w:noProof/>
        </w:rPr>
        <w:t>Tobacco industry</w:t>
      </w:r>
      <w:r>
        <w:rPr>
          <w:noProof/>
        </w:rPr>
        <w:tab/>
      </w:r>
      <w:r>
        <w:rPr>
          <w:noProof/>
        </w:rPr>
        <w:fldChar w:fldCharType="begin"/>
      </w:r>
      <w:r>
        <w:rPr>
          <w:noProof/>
        </w:rPr>
        <w:instrText xml:space="preserve"> PAGEREF _Toc481746337 \h </w:instrText>
      </w:r>
      <w:r>
        <w:rPr>
          <w:noProof/>
        </w:rPr>
      </w:r>
      <w:r>
        <w:rPr>
          <w:noProof/>
        </w:rPr>
        <w:fldChar w:fldCharType="separate"/>
      </w:r>
      <w:r w:rsidR="0096350E">
        <w:rPr>
          <w:noProof/>
        </w:rPr>
        <w:t>6</w:t>
      </w:r>
      <w:r>
        <w:rPr>
          <w:noProof/>
        </w:rPr>
        <w:fldChar w:fldCharType="end"/>
      </w:r>
    </w:p>
    <w:p w14:paraId="50720DF1" w14:textId="77777777" w:rsidR="00A238FA" w:rsidRDefault="00A238FA">
      <w:pPr>
        <w:pStyle w:val="TOC2"/>
        <w:rPr>
          <w:rFonts w:asciiTheme="minorHAnsi" w:eastAsiaTheme="minorEastAsia" w:hAnsiTheme="minorHAnsi" w:cstheme="minorBidi"/>
          <w:noProof/>
          <w:szCs w:val="22"/>
          <w:lang w:eastAsia="en-NZ"/>
        </w:rPr>
      </w:pPr>
      <w:r>
        <w:rPr>
          <w:noProof/>
        </w:rPr>
        <w:t>Other interested parties (tobacco packaging company and international trade organisation)</w:t>
      </w:r>
      <w:r>
        <w:rPr>
          <w:noProof/>
        </w:rPr>
        <w:tab/>
      </w:r>
      <w:r>
        <w:rPr>
          <w:noProof/>
        </w:rPr>
        <w:fldChar w:fldCharType="begin"/>
      </w:r>
      <w:r>
        <w:rPr>
          <w:noProof/>
        </w:rPr>
        <w:instrText xml:space="preserve"> PAGEREF _Toc481746338 \h </w:instrText>
      </w:r>
      <w:r>
        <w:rPr>
          <w:noProof/>
        </w:rPr>
      </w:r>
      <w:r>
        <w:rPr>
          <w:noProof/>
        </w:rPr>
        <w:fldChar w:fldCharType="separate"/>
      </w:r>
      <w:r w:rsidR="0096350E">
        <w:rPr>
          <w:noProof/>
        </w:rPr>
        <w:t>7</w:t>
      </w:r>
      <w:r>
        <w:rPr>
          <w:noProof/>
        </w:rPr>
        <w:fldChar w:fldCharType="end"/>
      </w:r>
    </w:p>
    <w:p w14:paraId="157C2F27" w14:textId="77777777" w:rsidR="00C86248" w:rsidRDefault="00C86248">
      <w:r>
        <w:rPr>
          <w:b/>
        </w:rPr>
        <w:fldChar w:fldCharType="end"/>
      </w:r>
    </w:p>
    <w:p w14:paraId="5829B725" w14:textId="77777777" w:rsidR="00455CC9" w:rsidRDefault="00455CC9" w:rsidP="0086388B"/>
    <w:p w14:paraId="5363E753" w14:textId="77777777" w:rsidR="00C86248" w:rsidRDefault="00C86248">
      <w:pPr>
        <w:sectPr w:rsidR="00C86248"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14:paraId="3AAE2FAC" w14:textId="77777777" w:rsidR="008C2973" w:rsidRDefault="00032C0A" w:rsidP="0086388B">
      <w:pPr>
        <w:pStyle w:val="Heading1"/>
      </w:pPr>
      <w:bookmarkStart w:id="3" w:name="_Toc481746330"/>
      <w:r>
        <w:lastRenderedPageBreak/>
        <w:t>Introduction</w:t>
      </w:r>
      <w:bookmarkEnd w:id="3"/>
    </w:p>
    <w:p w14:paraId="4767AF21" w14:textId="77777777" w:rsidR="00392D35" w:rsidRDefault="00392D35" w:rsidP="00392D35">
      <w:r>
        <w:t>T</w:t>
      </w:r>
      <w:r w:rsidRPr="007F43E2">
        <w:t>his report provide</w:t>
      </w:r>
      <w:r>
        <w:t>s</w:t>
      </w:r>
      <w:r w:rsidRPr="007F43E2">
        <w:t xml:space="preserve"> a summary of the submissions received </w:t>
      </w:r>
      <w:r>
        <w:t>by the Ministry of Health on an ‘exposure draft’ of proposed regulations to standardise tobacco products and packaging</w:t>
      </w:r>
      <w:r w:rsidRPr="007F43E2">
        <w:t>.</w:t>
      </w:r>
    </w:p>
    <w:p w14:paraId="6FB65010" w14:textId="77777777" w:rsidR="00392D35" w:rsidRDefault="00392D35" w:rsidP="00392D35"/>
    <w:p w14:paraId="402A762A" w14:textId="77777777" w:rsidR="00392D35" w:rsidRDefault="00392D35" w:rsidP="00392D35">
      <w:r>
        <w:t xml:space="preserve">On 31 May 2016 the Ministry of Health opened consultation on draft regulations to standardise tobacco products and packaging. This consultation gave interested parties the opportunity to comment </w:t>
      </w:r>
      <w:r w:rsidRPr="001E71ED">
        <w:t xml:space="preserve">and give input on </w:t>
      </w:r>
      <w:r>
        <w:t xml:space="preserve">regulating </w:t>
      </w:r>
      <w:r w:rsidRPr="001E71ED">
        <w:t>the following:</w:t>
      </w:r>
    </w:p>
    <w:p w14:paraId="380408F1" w14:textId="77777777" w:rsidR="00392D35" w:rsidRPr="00B31CB6" w:rsidRDefault="00392D35" w:rsidP="00392D35">
      <w:pPr>
        <w:pStyle w:val="Bullet"/>
      </w:pPr>
      <w:r>
        <w:t xml:space="preserve">general issues such as the colour and smell of tobacco products and packaging, the format for text that can be printed on tobacco products and packaging, and </w:t>
      </w:r>
      <w:r w:rsidRPr="00B31CB6">
        <w:t xml:space="preserve">general issues around </w:t>
      </w:r>
      <w:r>
        <w:t xml:space="preserve">the size and positioning of </w:t>
      </w:r>
      <w:r w:rsidRPr="00B31CB6">
        <w:t>graphic health warnings</w:t>
      </w:r>
    </w:p>
    <w:p w14:paraId="0DD7DDAB" w14:textId="77777777" w:rsidR="00392D35" w:rsidRPr="00B31CB6" w:rsidRDefault="00392D35" w:rsidP="00392D35">
      <w:pPr>
        <w:pStyle w:val="Bullet"/>
      </w:pPr>
      <w:r>
        <w:t xml:space="preserve">restrictions on the size, shape, number and appearance of cigarette sticks and tobacco packaging, </w:t>
      </w:r>
      <w:r w:rsidRPr="00B31CB6">
        <w:t>controls on linings inside cigarette packaging</w:t>
      </w:r>
      <w:r>
        <w:t xml:space="preserve">, and </w:t>
      </w:r>
      <w:r w:rsidRPr="00B31CB6">
        <w:t>restrictions on brand name</w:t>
      </w:r>
      <w:r>
        <w:t>s</w:t>
      </w:r>
      <w:r w:rsidRPr="00B31CB6">
        <w:t xml:space="preserve"> and brand variant names</w:t>
      </w:r>
    </w:p>
    <w:p w14:paraId="2D5FB3FA" w14:textId="77777777" w:rsidR="00392D35" w:rsidRPr="00B31CB6" w:rsidRDefault="00392D35" w:rsidP="00392D35">
      <w:pPr>
        <w:pStyle w:val="Bullet"/>
      </w:pPr>
      <w:r>
        <w:t xml:space="preserve">requirements on selling loose tobacco in plastic pouches of 30 or 50 grams of manufactured tobacco, and </w:t>
      </w:r>
      <w:r w:rsidRPr="00B31CB6">
        <w:t xml:space="preserve">requirements for printing standardised brand names and brand variant </w:t>
      </w:r>
      <w:r>
        <w:t>names on loose tobacco pouches</w:t>
      </w:r>
    </w:p>
    <w:p w14:paraId="4B8842E7" w14:textId="77777777" w:rsidR="00392D35" w:rsidRPr="00B31CB6" w:rsidRDefault="00392D35" w:rsidP="00392D35">
      <w:pPr>
        <w:pStyle w:val="Bullet"/>
      </w:pPr>
      <w:r>
        <w:t>provisions for the number of cigars sold in a pack – single, 5 or 10 packs – as well as requirements around the use of bar codes and brand and brand variant names.</w:t>
      </w:r>
    </w:p>
    <w:p w14:paraId="457B83E4" w14:textId="77777777" w:rsidR="00392D35" w:rsidRDefault="00392D35" w:rsidP="00392D35"/>
    <w:p w14:paraId="2E7F91DA" w14:textId="77777777" w:rsidR="00392D35" w:rsidRDefault="00392D35" w:rsidP="00392D35">
      <w:r>
        <w:t>Submitters could also suggest other features to increase the effectiveness of standardised packaging and make other comments on the content of the draft regulations.</w:t>
      </w:r>
    </w:p>
    <w:p w14:paraId="6F0B31BB" w14:textId="77777777" w:rsidR="00392D35" w:rsidRDefault="00392D35" w:rsidP="00392D35"/>
    <w:p w14:paraId="1B7FD576" w14:textId="77777777" w:rsidR="00392D35" w:rsidRDefault="00392D35" w:rsidP="00392D35">
      <w:r>
        <w:t>The consultation ran from 31 May 2016 to 29 July 2016. The submissions will help inform the development of a regulatory framework for standardising tobacco product packaging.</w:t>
      </w:r>
    </w:p>
    <w:p w14:paraId="122CD388" w14:textId="77777777" w:rsidR="00392D35" w:rsidRDefault="00392D35" w:rsidP="00392D35"/>
    <w:p w14:paraId="5CBBBCB4" w14:textId="77777777" w:rsidR="00392D35" w:rsidRPr="007F43E2" w:rsidRDefault="00392D35" w:rsidP="00392D35">
      <w:pPr>
        <w:pStyle w:val="Heading1"/>
      </w:pPr>
      <w:bookmarkStart w:id="4" w:name="_Toc480535327"/>
      <w:bookmarkStart w:id="5" w:name="_Toc481746331"/>
      <w:r>
        <w:t>Summary of responses</w:t>
      </w:r>
      <w:bookmarkEnd w:id="4"/>
      <w:bookmarkEnd w:id="5"/>
    </w:p>
    <w:p w14:paraId="29433D5A" w14:textId="77777777" w:rsidR="00392D35" w:rsidRDefault="00392D35" w:rsidP="00392D35">
      <w:r w:rsidRPr="007F43E2">
        <w:t>The Ministry received 61 written submissions on the consultation document.</w:t>
      </w:r>
      <w:r>
        <w:t xml:space="preserve"> </w:t>
      </w:r>
      <w:r w:rsidRPr="007F43E2">
        <w:t xml:space="preserve">Overall the </w:t>
      </w:r>
      <w:r>
        <w:t>respondents</w:t>
      </w:r>
      <w:r w:rsidRPr="007F43E2">
        <w:t xml:space="preserve"> can be categorised as</w:t>
      </w:r>
      <w:r>
        <w:t xml:space="preserve"> follows</w:t>
      </w:r>
      <w:r w:rsidRPr="007F43E2">
        <w:t>:</w:t>
      </w:r>
    </w:p>
    <w:p w14:paraId="1395781F" w14:textId="77777777" w:rsidR="00392D35" w:rsidRDefault="00392D35" w:rsidP="00392D35"/>
    <w:tbl>
      <w:tblPr>
        <w:tblStyle w:val="TableGrid"/>
        <w:tblW w:w="0" w:type="auto"/>
        <w:tblInd w:w="57" w:type="dxa"/>
        <w:tblBorders>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230"/>
        <w:gridCol w:w="2127"/>
      </w:tblGrid>
      <w:tr w:rsidR="00392D35" w:rsidRPr="00392D35" w14:paraId="4723BD34" w14:textId="77777777" w:rsidTr="00392D35">
        <w:trPr>
          <w:cantSplit/>
        </w:trPr>
        <w:tc>
          <w:tcPr>
            <w:tcW w:w="7230" w:type="dxa"/>
            <w:tcBorders>
              <w:top w:val="single" w:sz="4" w:space="0" w:color="auto"/>
              <w:bottom w:val="single" w:sz="4" w:space="0" w:color="auto"/>
            </w:tcBorders>
          </w:tcPr>
          <w:p w14:paraId="682DE93E" w14:textId="77777777" w:rsidR="00392D35" w:rsidRPr="00392D35" w:rsidRDefault="00392D35" w:rsidP="00392D35">
            <w:pPr>
              <w:pStyle w:val="TableText"/>
              <w:rPr>
                <w:b/>
              </w:rPr>
            </w:pPr>
            <w:r w:rsidRPr="00392D35">
              <w:rPr>
                <w:b/>
              </w:rPr>
              <w:t>Submission category</w:t>
            </w:r>
          </w:p>
        </w:tc>
        <w:tc>
          <w:tcPr>
            <w:tcW w:w="2127" w:type="dxa"/>
            <w:tcBorders>
              <w:top w:val="single" w:sz="4" w:space="0" w:color="auto"/>
              <w:bottom w:val="single" w:sz="4" w:space="0" w:color="auto"/>
            </w:tcBorders>
          </w:tcPr>
          <w:p w14:paraId="4459E144" w14:textId="77777777" w:rsidR="00392D35" w:rsidRPr="00392D35" w:rsidRDefault="00392D35" w:rsidP="00392D35">
            <w:pPr>
              <w:pStyle w:val="TableText"/>
              <w:jc w:val="center"/>
              <w:rPr>
                <w:b/>
              </w:rPr>
            </w:pPr>
            <w:r w:rsidRPr="00392D35">
              <w:rPr>
                <w:b/>
              </w:rPr>
              <w:t>Number</w:t>
            </w:r>
          </w:p>
        </w:tc>
      </w:tr>
      <w:tr w:rsidR="00392D35" w14:paraId="62327D55" w14:textId="77777777" w:rsidTr="00392D35">
        <w:trPr>
          <w:cantSplit/>
        </w:trPr>
        <w:tc>
          <w:tcPr>
            <w:tcW w:w="7230" w:type="dxa"/>
            <w:tcBorders>
              <w:top w:val="single" w:sz="4" w:space="0" w:color="auto"/>
              <w:bottom w:val="single" w:sz="4" w:space="0" w:color="A6A6A6" w:themeColor="background1" w:themeShade="A6"/>
            </w:tcBorders>
          </w:tcPr>
          <w:p w14:paraId="411E4304" w14:textId="77777777" w:rsidR="00392D35" w:rsidRPr="00AC21DE" w:rsidRDefault="00392D35" w:rsidP="00392D35">
            <w:pPr>
              <w:pStyle w:val="TableText"/>
            </w:pPr>
            <w:r w:rsidRPr="00AC21DE">
              <w:t>Health, community or tobacco control NGOs (including 4 from Australia)</w:t>
            </w:r>
          </w:p>
        </w:tc>
        <w:tc>
          <w:tcPr>
            <w:tcW w:w="2127" w:type="dxa"/>
            <w:tcBorders>
              <w:top w:val="single" w:sz="4" w:space="0" w:color="auto"/>
              <w:bottom w:val="single" w:sz="4" w:space="0" w:color="A6A6A6" w:themeColor="background1" w:themeShade="A6"/>
            </w:tcBorders>
          </w:tcPr>
          <w:p w14:paraId="40FDC319" w14:textId="77777777" w:rsidR="00392D35" w:rsidRPr="00AC21DE" w:rsidRDefault="00392D35" w:rsidP="00392D35">
            <w:pPr>
              <w:pStyle w:val="TableText"/>
              <w:tabs>
                <w:tab w:val="decimal" w:pos="1134"/>
              </w:tabs>
            </w:pPr>
            <w:r w:rsidRPr="00AC21DE">
              <w:t>44</w:t>
            </w:r>
          </w:p>
        </w:tc>
      </w:tr>
      <w:tr w:rsidR="00392D35" w14:paraId="4679DF81" w14:textId="77777777" w:rsidTr="00392D35">
        <w:trPr>
          <w:cantSplit/>
        </w:trPr>
        <w:tc>
          <w:tcPr>
            <w:tcW w:w="7230" w:type="dxa"/>
            <w:tcBorders>
              <w:top w:val="single" w:sz="4" w:space="0" w:color="A6A6A6" w:themeColor="background1" w:themeShade="A6"/>
              <w:bottom w:val="single" w:sz="4" w:space="0" w:color="A6A6A6" w:themeColor="background1" w:themeShade="A6"/>
            </w:tcBorders>
          </w:tcPr>
          <w:p w14:paraId="45FF0B42" w14:textId="77777777" w:rsidR="00392D35" w:rsidRPr="00AC21DE" w:rsidRDefault="00392D35" w:rsidP="00392D35">
            <w:pPr>
              <w:pStyle w:val="TableText"/>
            </w:pPr>
            <w:r w:rsidRPr="00AC21DE">
              <w:t>Academic groups</w:t>
            </w:r>
          </w:p>
        </w:tc>
        <w:tc>
          <w:tcPr>
            <w:tcW w:w="2127" w:type="dxa"/>
            <w:tcBorders>
              <w:top w:val="single" w:sz="4" w:space="0" w:color="A6A6A6" w:themeColor="background1" w:themeShade="A6"/>
              <w:bottom w:val="single" w:sz="4" w:space="0" w:color="A6A6A6" w:themeColor="background1" w:themeShade="A6"/>
            </w:tcBorders>
          </w:tcPr>
          <w:p w14:paraId="645FB399" w14:textId="77777777" w:rsidR="00392D35" w:rsidRPr="00AC21DE" w:rsidRDefault="00392D35" w:rsidP="00392D35">
            <w:pPr>
              <w:pStyle w:val="TableText"/>
              <w:tabs>
                <w:tab w:val="decimal" w:pos="1134"/>
              </w:tabs>
            </w:pPr>
            <w:r w:rsidRPr="00AC21DE">
              <w:t>1</w:t>
            </w:r>
          </w:p>
        </w:tc>
      </w:tr>
      <w:tr w:rsidR="00392D35" w14:paraId="02CE11F2" w14:textId="77777777" w:rsidTr="00392D35">
        <w:trPr>
          <w:cantSplit/>
        </w:trPr>
        <w:tc>
          <w:tcPr>
            <w:tcW w:w="7230" w:type="dxa"/>
            <w:tcBorders>
              <w:top w:val="single" w:sz="4" w:space="0" w:color="A6A6A6" w:themeColor="background1" w:themeShade="A6"/>
              <w:bottom w:val="single" w:sz="4" w:space="0" w:color="A6A6A6" w:themeColor="background1" w:themeShade="A6"/>
            </w:tcBorders>
          </w:tcPr>
          <w:p w14:paraId="4C80396B" w14:textId="77777777" w:rsidR="00392D35" w:rsidRPr="00AC21DE" w:rsidRDefault="00392D35" w:rsidP="00392D35">
            <w:pPr>
              <w:pStyle w:val="TableText"/>
            </w:pPr>
            <w:r w:rsidRPr="00AC21DE">
              <w:t>Tobacco industry</w:t>
            </w:r>
            <w:r>
              <w:t xml:space="preserve"> </w:t>
            </w:r>
            <w:r w:rsidRPr="00AC21DE">
              <w:t>/</w:t>
            </w:r>
            <w:r>
              <w:t xml:space="preserve"> </w:t>
            </w:r>
            <w:r w:rsidRPr="00AC21DE">
              <w:t>manufacturers</w:t>
            </w:r>
          </w:p>
        </w:tc>
        <w:tc>
          <w:tcPr>
            <w:tcW w:w="2127" w:type="dxa"/>
            <w:tcBorders>
              <w:top w:val="single" w:sz="4" w:space="0" w:color="A6A6A6" w:themeColor="background1" w:themeShade="A6"/>
              <w:bottom w:val="single" w:sz="4" w:space="0" w:color="A6A6A6" w:themeColor="background1" w:themeShade="A6"/>
            </w:tcBorders>
          </w:tcPr>
          <w:p w14:paraId="6E27AABD" w14:textId="77777777" w:rsidR="00392D35" w:rsidRPr="00AC21DE" w:rsidRDefault="00392D35" w:rsidP="00392D35">
            <w:pPr>
              <w:pStyle w:val="TableText"/>
              <w:tabs>
                <w:tab w:val="decimal" w:pos="1134"/>
              </w:tabs>
            </w:pPr>
            <w:r w:rsidRPr="00AC21DE">
              <w:t>6</w:t>
            </w:r>
          </w:p>
        </w:tc>
      </w:tr>
      <w:tr w:rsidR="00392D35" w14:paraId="72072B02" w14:textId="77777777" w:rsidTr="00392D35">
        <w:trPr>
          <w:cantSplit/>
        </w:trPr>
        <w:tc>
          <w:tcPr>
            <w:tcW w:w="7230" w:type="dxa"/>
            <w:tcBorders>
              <w:top w:val="single" w:sz="4" w:space="0" w:color="A6A6A6" w:themeColor="background1" w:themeShade="A6"/>
              <w:bottom w:val="single" w:sz="4" w:space="0" w:color="A6A6A6" w:themeColor="background1" w:themeShade="A6"/>
            </w:tcBorders>
          </w:tcPr>
          <w:p w14:paraId="36931900" w14:textId="77777777" w:rsidR="00392D35" w:rsidRPr="00AC21DE" w:rsidRDefault="00392D35" w:rsidP="00392D35">
            <w:pPr>
              <w:pStyle w:val="TableText"/>
            </w:pPr>
            <w:r w:rsidRPr="00AC21DE">
              <w:t>Retailers and retail groups</w:t>
            </w:r>
          </w:p>
        </w:tc>
        <w:tc>
          <w:tcPr>
            <w:tcW w:w="2127" w:type="dxa"/>
            <w:tcBorders>
              <w:top w:val="single" w:sz="4" w:space="0" w:color="A6A6A6" w:themeColor="background1" w:themeShade="A6"/>
              <w:bottom w:val="single" w:sz="4" w:space="0" w:color="A6A6A6" w:themeColor="background1" w:themeShade="A6"/>
            </w:tcBorders>
          </w:tcPr>
          <w:p w14:paraId="4432F5A9" w14:textId="77777777" w:rsidR="00392D35" w:rsidRPr="00AC21DE" w:rsidRDefault="00392D35" w:rsidP="00392D35">
            <w:pPr>
              <w:pStyle w:val="TableText"/>
              <w:tabs>
                <w:tab w:val="decimal" w:pos="1134"/>
              </w:tabs>
            </w:pPr>
            <w:r w:rsidRPr="00AC21DE">
              <w:t>5</w:t>
            </w:r>
          </w:p>
        </w:tc>
      </w:tr>
      <w:tr w:rsidR="00392D35" w14:paraId="0A1569ED" w14:textId="77777777" w:rsidTr="00392D35">
        <w:trPr>
          <w:cantSplit/>
        </w:trPr>
        <w:tc>
          <w:tcPr>
            <w:tcW w:w="7230" w:type="dxa"/>
            <w:tcBorders>
              <w:top w:val="single" w:sz="4" w:space="0" w:color="A6A6A6" w:themeColor="background1" w:themeShade="A6"/>
              <w:bottom w:val="single" w:sz="4" w:space="0" w:color="A6A6A6" w:themeColor="background1" w:themeShade="A6"/>
            </w:tcBorders>
          </w:tcPr>
          <w:p w14:paraId="1809EB08" w14:textId="77777777" w:rsidR="00392D35" w:rsidRPr="00AC21DE" w:rsidRDefault="00392D35" w:rsidP="00392D35">
            <w:pPr>
              <w:pStyle w:val="TableText"/>
            </w:pPr>
            <w:r w:rsidRPr="00AC21DE">
              <w:t>Individuals</w:t>
            </w:r>
          </w:p>
        </w:tc>
        <w:tc>
          <w:tcPr>
            <w:tcW w:w="2127" w:type="dxa"/>
            <w:tcBorders>
              <w:top w:val="single" w:sz="4" w:space="0" w:color="A6A6A6" w:themeColor="background1" w:themeShade="A6"/>
              <w:bottom w:val="single" w:sz="4" w:space="0" w:color="A6A6A6" w:themeColor="background1" w:themeShade="A6"/>
            </w:tcBorders>
          </w:tcPr>
          <w:p w14:paraId="4F8A5CC2" w14:textId="77777777" w:rsidR="00392D35" w:rsidRPr="00AC21DE" w:rsidRDefault="00392D35" w:rsidP="00392D35">
            <w:pPr>
              <w:pStyle w:val="TableText"/>
              <w:tabs>
                <w:tab w:val="decimal" w:pos="1134"/>
              </w:tabs>
            </w:pPr>
            <w:r w:rsidRPr="00AC21DE">
              <w:t>3</w:t>
            </w:r>
          </w:p>
        </w:tc>
      </w:tr>
      <w:tr w:rsidR="00392D35" w14:paraId="5367DCD5" w14:textId="77777777" w:rsidTr="00392D35">
        <w:trPr>
          <w:cantSplit/>
        </w:trPr>
        <w:tc>
          <w:tcPr>
            <w:tcW w:w="7230" w:type="dxa"/>
            <w:tcBorders>
              <w:top w:val="single" w:sz="4" w:space="0" w:color="A6A6A6" w:themeColor="background1" w:themeShade="A6"/>
            </w:tcBorders>
          </w:tcPr>
          <w:p w14:paraId="728D6EB4" w14:textId="77777777" w:rsidR="00392D35" w:rsidRPr="00AC21DE" w:rsidRDefault="00392D35" w:rsidP="00392D35">
            <w:pPr>
              <w:pStyle w:val="TableText"/>
            </w:pPr>
            <w:r w:rsidRPr="00AC21DE">
              <w:t>Other</w:t>
            </w:r>
          </w:p>
        </w:tc>
        <w:tc>
          <w:tcPr>
            <w:tcW w:w="2127" w:type="dxa"/>
            <w:tcBorders>
              <w:top w:val="single" w:sz="4" w:space="0" w:color="A6A6A6" w:themeColor="background1" w:themeShade="A6"/>
            </w:tcBorders>
          </w:tcPr>
          <w:p w14:paraId="36DCE5C7" w14:textId="77777777" w:rsidR="00392D35" w:rsidRPr="00AC21DE" w:rsidRDefault="00392D35" w:rsidP="00392D35">
            <w:pPr>
              <w:pStyle w:val="TableText"/>
              <w:tabs>
                <w:tab w:val="decimal" w:pos="1134"/>
              </w:tabs>
            </w:pPr>
            <w:r w:rsidRPr="00AC21DE">
              <w:t>2</w:t>
            </w:r>
          </w:p>
        </w:tc>
      </w:tr>
    </w:tbl>
    <w:p w14:paraId="528FB38A" w14:textId="77777777" w:rsidR="00392D35" w:rsidRPr="007F43E2" w:rsidRDefault="00392D35" w:rsidP="00392D35"/>
    <w:p w14:paraId="6DE79F01" w14:textId="77777777" w:rsidR="00392D35" w:rsidRDefault="00392D35" w:rsidP="00392D35">
      <w:pPr>
        <w:rPr>
          <w:rFonts w:cs="Helv"/>
        </w:rPr>
      </w:pPr>
      <w:r w:rsidRPr="007F43E2">
        <w:t>A number of the submissions used the standardised questionnaire developed for the consultation exercise. The remaining written submissions were in the form of reports</w:t>
      </w:r>
      <w:r>
        <w:t>,</w:t>
      </w:r>
      <w:r w:rsidRPr="007F43E2">
        <w:t xml:space="preserve"> and some included supporting documentation.</w:t>
      </w:r>
      <w:r>
        <w:t xml:space="preserve"> </w:t>
      </w:r>
      <w:r w:rsidRPr="007F43E2">
        <w:t>Overall, the comments received from submitters focused on the detail</w:t>
      </w:r>
      <w:r>
        <w:t>s</w:t>
      </w:r>
      <w:r w:rsidRPr="007F43E2">
        <w:t xml:space="preserve"> of the regulations. Some submitters also discussed the advan</w:t>
      </w:r>
      <w:r>
        <w:t>tages, disadvantages and impact</w:t>
      </w:r>
      <w:r w:rsidRPr="007F43E2">
        <w:t xml:space="preserve"> of </w:t>
      </w:r>
      <w:r>
        <w:t>standardised</w:t>
      </w:r>
      <w:r w:rsidRPr="007F43E2">
        <w:t xml:space="preserve"> packaging</w:t>
      </w:r>
      <w:r>
        <w:t>,</w:t>
      </w:r>
      <w:r w:rsidRPr="007F43E2">
        <w:t xml:space="preserve"> and commented on intellectual property rights</w:t>
      </w:r>
      <w:r w:rsidRPr="007F43E2">
        <w:rPr>
          <w:rFonts w:cs="Helv"/>
        </w:rPr>
        <w:t>.</w:t>
      </w:r>
    </w:p>
    <w:p w14:paraId="69CBDC73" w14:textId="77777777" w:rsidR="00392D35" w:rsidRDefault="00392D35" w:rsidP="00392D35"/>
    <w:p w14:paraId="4CD527FB" w14:textId="77777777" w:rsidR="00392D35" w:rsidRPr="00E81374" w:rsidRDefault="00392D35" w:rsidP="00392D35">
      <w:r w:rsidRPr="00E81374">
        <w:t xml:space="preserve">Both the contents of the Bill and the earlier policy decision to standardise tobacco products and packaging have been the subject of previous public consultation and are </w:t>
      </w:r>
      <w:r>
        <w:t xml:space="preserve">considered to be </w:t>
      </w:r>
      <w:r w:rsidRPr="00E81374">
        <w:t>outside the scope of this consultation.</w:t>
      </w:r>
    </w:p>
    <w:p w14:paraId="286B99DB" w14:textId="77777777" w:rsidR="00392D35" w:rsidRDefault="00392D35" w:rsidP="00392D35"/>
    <w:p w14:paraId="42FA3FF3" w14:textId="77777777" w:rsidR="00392D35" w:rsidRDefault="00392D35" w:rsidP="00392D35">
      <w:r w:rsidRPr="007F43E2">
        <w:t>The key themes that emerged from the consultation questions are summarised</w:t>
      </w:r>
      <w:r>
        <w:t xml:space="preserve"> by submission category</w:t>
      </w:r>
      <w:r w:rsidRPr="007F43E2">
        <w:t>.</w:t>
      </w:r>
    </w:p>
    <w:p w14:paraId="15741B81" w14:textId="77777777" w:rsidR="00392D35" w:rsidRDefault="00392D35" w:rsidP="00392D35"/>
    <w:p w14:paraId="224FEF9E" w14:textId="77777777" w:rsidR="00392D35" w:rsidRDefault="00392D35" w:rsidP="00392D35">
      <w:pPr>
        <w:pStyle w:val="Heading1"/>
      </w:pPr>
      <w:bookmarkStart w:id="6" w:name="_Toc480535328"/>
      <w:bookmarkStart w:id="7" w:name="_Toc481746332"/>
      <w:r w:rsidRPr="007F43E2">
        <w:t>Results</w:t>
      </w:r>
      <w:bookmarkEnd w:id="6"/>
      <w:bookmarkEnd w:id="7"/>
    </w:p>
    <w:p w14:paraId="6FA84C60" w14:textId="77777777" w:rsidR="00392D35" w:rsidRDefault="00392D35" w:rsidP="00F766C7">
      <w:pPr>
        <w:pStyle w:val="Heading2"/>
      </w:pPr>
      <w:bookmarkStart w:id="8" w:name="_Toc480535329"/>
      <w:bookmarkStart w:id="9" w:name="_Toc481746333"/>
      <w:r w:rsidRPr="007F43E2">
        <w:t>Health and community groups</w:t>
      </w:r>
      <w:bookmarkEnd w:id="8"/>
      <w:bookmarkEnd w:id="9"/>
    </w:p>
    <w:p w14:paraId="2686DFC2" w14:textId="77777777" w:rsidR="00392D35" w:rsidRDefault="00392D35" w:rsidP="00F766C7">
      <w:r w:rsidRPr="00763A54">
        <w:t>Health, community and tobacco</w:t>
      </w:r>
      <w:r>
        <w:t>-</w:t>
      </w:r>
      <w:r w:rsidRPr="00763A54">
        <w:t>control</w:t>
      </w:r>
      <w:r>
        <w:t xml:space="preserve"> non-government</w:t>
      </w:r>
      <w:r w:rsidR="00DB3196">
        <w:t>al</w:t>
      </w:r>
      <w:r>
        <w:t xml:space="preserve"> organisations (NGOs), public h</w:t>
      </w:r>
      <w:r w:rsidRPr="00763A54">
        <w:t xml:space="preserve">ealth </w:t>
      </w:r>
      <w:r>
        <w:t>u</w:t>
      </w:r>
      <w:r w:rsidRPr="00763A54">
        <w:t xml:space="preserve">nits and </w:t>
      </w:r>
      <w:r>
        <w:t xml:space="preserve">district health boards </w:t>
      </w:r>
      <w:r w:rsidRPr="00763A54">
        <w:t>generally supported the regulations and suggested additional measures to further limit the appeal of tobacco products.</w:t>
      </w:r>
    </w:p>
    <w:p w14:paraId="1F42EA13" w14:textId="77777777" w:rsidR="00F766C7" w:rsidRDefault="00F766C7" w:rsidP="00F766C7"/>
    <w:p w14:paraId="651A9126" w14:textId="77777777" w:rsidR="00392D35" w:rsidRDefault="00392D35" w:rsidP="00F766C7">
      <w:r>
        <w:t>The following are t</w:t>
      </w:r>
      <w:r w:rsidRPr="00763A54">
        <w:t xml:space="preserve">he </w:t>
      </w:r>
      <w:r>
        <w:t>key recommendations that emerged from these submissions.</w:t>
      </w:r>
    </w:p>
    <w:p w14:paraId="473F4C20" w14:textId="77777777" w:rsidR="00392D35" w:rsidRPr="00806238" w:rsidRDefault="00F766C7" w:rsidP="00F766C7">
      <w:pPr>
        <w:spacing w:before="120"/>
        <w:ind w:left="567" w:hanging="567"/>
      </w:pPr>
      <w:r>
        <w:t>1.</w:t>
      </w:r>
      <w:r>
        <w:tab/>
      </w:r>
      <w:r w:rsidR="00392D35" w:rsidRPr="00806238">
        <w:t>There should be restrictions on new brand variant names being introduced into the market.</w:t>
      </w:r>
    </w:p>
    <w:p w14:paraId="625841FD" w14:textId="3D842635" w:rsidR="00392D35" w:rsidRPr="00763A54" w:rsidRDefault="00F766C7" w:rsidP="00F766C7">
      <w:pPr>
        <w:spacing w:before="120"/>
        <w:ind w:left="567" w:hanging="567"/>
      </w:pPr>
      <w:r>
        <w:t>2.</w:t>
      </w:r>
      <w:r>
        <w:tab/>
      </w:r>
      <w:r w:rsidR="00392D35" w:rsidRPr="00763A54">
        <w:t xml:space="preserve">All </w:t>
      </w:r>
      <w:r w:rsidR="0071388C">
        <w:t xml:space="preserve">tailor-made </w:t>
      </w:r>
      <w:r w:rsidR="00392D35" w:rsidRPr="00763A54">
        <w:t>cigarette</w:t>
      </w:r>
      <w:r w:rsidR="0071388C">
        <w:t>s</w:t>
      </w:r>
      <w:r w:rsidR="00392D35" w:rsidRPr="00763A54">
        <w:t xml:space="preserve"> </w:t>
      </w:r>
      <w:r w:rsidR="0071388C">
        <w:t xml:space="preserve">(cigarette </w:t>
      </w:r>
      <w:r w:rsidR="00392D35" w:rsidRPr="00763A54">
        <w:t>sticks</w:t>
      </w:r>
      <w:r w:rsidR="0071388C">
        <w:t>)</w:t>
      </w:r>
      <w:r w:rsidR="00392D35" w:rsidRPr="00763A54">
        <w:t xml:space="preserve"> and rolling papers should be coloured Pantone shade 448C.</w:t>
      </w:r>
    </w:p>
    <w:p w14:paraId="6EE862FF" w14:textId="77777777" w:rsidR="00392D35" w:rsidRPr="00763A54" w:rsidRDefault="00F766C7" w:rsidP="00F766C7">
      <w:pPr>
        <w:spacing w:before="120"/>
        <w:ind w:left="567" w:hanging="567"/>
      </w:pPr>
      <w:r>
        <w:t>3.</w:t>
      </w:r>
      <w:r>
        <w:tab/>
      </w:r>
      <w:r w:rsidR="00392D35" w:rsidRPr="00763A54">
        <w:t>There should be a wider range of warning labels, ensuring these have high salience to different priority populations, as well as a more rapid rotation cycle and ongoing development of new warnings.</w:t>
      </w:r>
    </w:p>
    <w:p w14:paraId="642AB38A" w14:textId="77777777" w:rsidR="00392D35" w:rsidRPr="00763A54" w:rsidRDefault="00F766C7" w:rsidP="00F766C7">
      <w:pPr>
        <w:spacing w:before="120"/>
        <w:ind w:left="567" w:hanging="567"/>
      </w:pPr>
      <w:r>
        <w:t>4.</w:t>
      </w:r>
      <w:r>
        <w:tab/>
      </w:r>
      <w:r w:rsidR="00392D35" w:rsidRPr="00763A54">
        <w:t>All r</w:t>
      </w:r>
      <w:r w:rsidR="00392D35">
        <w:t>oll-</w:t>
      </w:r>
      <w:r w:rsidR="00392D35" w:rsidRPr="00763A54">
        <w:t>y</w:t>
      </w:r>
      <w:r w:rsidR="00392D35">
        <w:t>our-</w:t>
      </w:r>
      <w:r w:rsidR="00392D35" w:rsidRPr="00763A54">
        <w:t>o</w:t>
      </w:r>
      <w:r w:rsidR="00392D35">
        <w:t>wn (RYO)</w:t>
      </w:r>
      <w:r w:rsidR="00392D35" w:rsidRPr="00763A54">
        <w:t xml:space="preserve"> tobacco should be sold in rigid containers of specified sizes and dimensions.</w:t>
      </w:r>
    </w:p>
    <w:p w14:paraId="5536AC58" w14:textId="77777777" w:rsidR="00392D35" w:rsidRPr="00763A54" w:rsidRDefault="00F766C7" w:rsidP="00F766C7">
      <w:pPr>
        <w:spacing w:before="120"/>
        <w:ind w:left="567" w:hanging="567"/>
      </w:pPr>
      <w:r>
        <w:t>5.</w:t>
      </w:r>
      <w:r>
        <w:tab/>
      </w:r>
      <w:r w:rsidR="00392D35" w:rsidRPr="00763A54">
        <w:t>Quitline and other cessation information should be reformatted on tobacco packages to have greater visual impact.</w:t>
      </w:r>
    </w:p>
    <w:p w14:paraId="2D7E856F" w14:textId="77777777" w:rsidR="00392D35" w:rsidRDefault="00F766C7" w:rsidP="00F766C7">
      <w:pPr>
        <w:spacing w:before="120"/>
        <w:ind w:left="567" w:hanging="567"/>
      </w:pPr>
      <w:r>
        <w:t>6.</w:t>
      </w:r>
      <w:r>
        <w:tab/>
      </w:r>
      <w:r w:rsidR="00392D35" w:rsidRPr="00763A54">
        <w:t>Inserts should be included in tobacco packaging, which would provide more detailed warning and cessation support information.</w:t>
      </w:r>
    </w:p>
    <w:p w14:paraId="69D1C884" w14:textId="77777777" w:rsidR="00392D35" w:rsidRPr="00763A54" w:rsidRDefault="00F766C7" w:rsidP="00F766C7">
      <w:pPr>
        <w:spacing w:before="120"/>
        <w:ind w:left="567" w:hanging="567"/>
      </w:pPr>
      <w:r>
        <w:t>7.</w:t>
      </w:r>
      <w:r>
        <w:tab/>
      </w:r>
      <w:r w:rsidR="00392D35" w:rsidRPr="001E71ED">
        <w:t>C</w:t>
      </w:r>
      <w:r w:rsidR="00392D35">
        <w:t>igarettes containing flavour capsules</w:t>
      </w:r>
      <w:r w:rsidR="00392D35" w:rsidRPr="00763A54">
        <w:t xml:space="preserve"> should be prohibited, as these types of cigarettes appeal to young people.</w:t>
      </w:r>
    </w:p>
    <w:p w14:paraId="30065DF3" w14:textId="77777777" w:rsidR="00392D35" w:rsidRPr="005F216D" w:rsidRDefault="00F766C7" w:rsidP="00F766C7">
      <w:pPr>
        <w:spacing w:before="120"/>
        <w:ind w:left="567" w:hanging="567"/>
      </w:pPr>
      <w:r>
        <w:t>8.</w:t>
      </w:r>
      <w:r>
        <w:tab/>
      </w:r>
      <w:r w:rsidR="00392D35" w:rsidRPr="00763A54">
        <w:t>A comprehensive evaluation programme should be developed to assess the impact of standardised packaging.</w:t>
      </w:r>
    </w:p>
    <w:p w14:paraId="7F4EFFA0" w14:textId="77777777" w:rsidR="00F766C7" w:rsidRDefault="00F766C7" w:rsidP="00F766C7"/>
    <w:p w14:paraId="14B1A0DA" w14:textId="77777777" w:rsidR="00392D35" w:rsidRPr="00763A54" w:rsidRDefault="00392D35" w:rsidP="00F766C7">
      <w:r w:rsidRPr="00763A54">
        <w:t xml:space="preserve">In addition to the </w:t>
      </w:r>
      <w:r>
        <w:t xml:space="preserve">measures </w:t>
      </w:r>
      <w:r w:rsidRPr="00763A54">
        <w:t>above, the following suggestio</w:t>
      </w:r>
      <w:r>
        <w:t>ns were made.</w:t>
      </w:r>
    </w:p>
    <w:p w14:paraId="7D748B41" w14:textId="77777777" w:rsidR="00392D35" w:rsidRPr="00633EE9" w:rsidRDefault="00F766C7" w:rsidP="00F766C7">
      <w:pPr>
        <w:spacing w:before="120"/>
        <w:ind w:left="567" w:hanging="567"/>
      </w:pPr>
      <w:r>
        <w:t>1.</w:t>
      </w:r>
      <w:r>
        <w:tab/>
      </w:r>
      <w:r w:rsidR="00392D35" w:rsidRPr="00633EE9">
        <w:t>Bidis, shisha and cigarillos should be included in standardised packaging regulations.</w:t>
      </w:r>
    </w:p>
    <w:p w14:paraId="7B0F486D" w14:textId="77777777" w:rsidR="00392D35" w:rsidRDefault="00F766C7" w:rsidP="00F766C7">
      <w:pPr>
        <w:spacing w:before="120"/>
        <w:ind w:left="567" w:hanging="567"/>
      </w:pPr>
      <w:r>
        <w:t>2.</w:t>
      </w:r>
      <w:r>
        <w:tab/>
      </w:r>
      <w:r w:rsidR="00392D35" w:rsidRPr="00633EE9">
        <w:t>The sale of single cigars should be prohibited.</w:t>
      </w:r>
    </w:p>
    <w:p w14:paraId="145A7BB4" w14:textId="77777777" w:rsidR="00392D35" w:rsidRPr="00633EE9" w:rsidRDefault="00F766C7" w:rsidP="00F766C7">
      <w:pPr>
        <w:spacing w:before="120"/>
        <w:ind w:left="567" w:hanging="567"/>
      </w:pPr>
      <w:r>
        <w:t>3.</w:t>
      </w:r>
      <w:r>
        <w:tab/>
      </w:r>
      <w:r w:rsidR="00392D35" w:rsidRPr="00633EE9">
        <w:t>Smartphone</w:t>
      </w:r>
      <w:r w:rsidR="00392D35">
        <w:t>-</w:t>
      </w:r>
      <w:r w:rsidR="00392D35" w:rsidRPr="00633EE9">
        <w:t>readable QR codes</w:t>
      </w:r>
      <w:r w:rsidR="00392D35" w:rsidRPr="00F766C7">
        <w:rPr>
          <w:rStyle w:val="FootnoteReference"/>
        </w:rPr>
        <w:footnoteReference w:id="1"/>
      </w:r>
      <w:r w:rsidR="00392D35" w:rsidRPr="00633EE9">
        <w:t xml:space="preserve"> that direct </w:t>
      </w:r>
      <w:r w:rsidR="00392D35">
        <w:t xml:space="preserve">the user </w:t>
      </w:r>
      <w:r w:rsidR="00392D35" w:rsidRPr="00633EE9">
        <w:t>to the Quitline website should be provided on tobacco packaging.</w:t>
      </w:r>
    </w:p>
    <w:p w14:paraId="6E4876D7" w14:textId="77777777" w:rsidR="00392D35" w:rsidRDefault="00F766C7" w:rsidP="00F766C7">
      <w:pPr>
        <w:spacing w:before="120"/>
        <w:ind w:left="567" w:hanging="567"/>
      </w:pPr>
      <w:r>
        <w:t>4.</w:t>
      </w:r>
      <w:r>
        <w:tab/>
      </w:r>
      <w:r w:rsidR="00392D35" w:rsidRPr="00633EE9">
        <w:t xml:space="preserve">There should be regulations concerning compliance </w:t>
      </w:r>
      <w:r w:rsidR="00392D35">
        <w:t xml:space="preserve">with </w:t>
      </w:r>
      <w:r w:rsidR="00392D35" w:rsidRPr="00633EE9">
        <w:t>and enforcement of packaging regulations.</w:t>
      </w:r>
    </w:p>
    <w:p w14:paraId="6D03F6C3" w14:textId="77777777" w:rsidR="00392D35" w:rsidRPr="00633EE9" w:rsidRDefault="00F766C7" w:rsidP="00F766C7">
      <w:pPr>
        <w:spacing w:before="120"/>
        <w:ind w:left="567" w:hanging="567"/>
      </w:pPr>
      <w:r>
        <w:t>5.</w:t>
      </w:r>
      <w:r>
        <w:tab/>
      </w:r>
      <w:r w:rsidR="00392D35" w:rsidRPr="00633EE9">
        <w:t>There should be regulations concerning online sales of tobacco.</w:t>
      </w:r>
    </w:p>
    <w:p w14:paraId="4C1E7CF7" w14:textId="77777777" w:rsidR="00392D35" w:rsidRDefault="00F766C7" w:rsidP="00F766C7">
      <w:pPr>
        <w:spacing w:before="120"/>
        <w:ind w:left="567" w:hanging="567"/>
      </w:pPr>
      <w:r>
        <w:t>6.</w:t>
      </w:r>
      <w:r>
        <w:tab/>
      </w:r>
      <w:r w:rsidR="00392D35" w:rsidRPr="00633EE9">
        <w:t xml:space="preserve">The wording </w:t>
      </w:r>
      <w:r w:rsidR="00392D35">
        <w:t xml:space="preserve">that describes the characteristic of a tobacco product </w:t>
      </w:r>
      <w:r w:rsidR="00392D35" w:rsidRPr="00633EE9">
        <w:t xml:space="preserve">on </w:t>
      </w:r>
      <w:r w:rsidR="00392D35">
        <w:t>its</w:t>
      </w:r>
      <w:r w:rsidR="00392D35" w:rsidRPr="00633EE9">
        <w:t xml:space="preserve"> packaging</w:t>
      </w:r>
      <w:r w:rsidR="00392D35">
        <w:t>,</w:t>
      </w:r>
      <w:r w:rsidR="00392D35" w:rsidRPr="00633EE9">
        <w:t xml:space="preserve"> </w:t>
      </w:r>
      <w:r w:rsidR="00392D35">
        <w:t xml:space="preserve">for example ‘natural’, </w:t>
      </w:r>
      <w:r w:rsidR="00392D35" w:rsidRPr="00633EE9">
        <w:t>should be changed</w:t>
      </w:r>
      <w:r w:rsidR="00392D35">
        <w:t xml:space="preserve"> to wording such as ‘</w:t>
      </w:r>
      <w:r w:rsidR="00392D35" w:rsidRPr="00633EE9">
        <w:t>unaltered</w:t>
      </w:r>
      <w:r w:rsidR="00392D35">
        <w:t>’</w:t>
      </w:r>
      <w:r w:rsidR="00392D35" w:rsidRPr="00633EE9">
        <w:t xml:space="preserve"> and </w:t>
      </w:r>
      <w:r w:rsidR="00392D35">
        <w:t>‘</w:t>
      </w:r>
      <w:r w:rsidR="00392D35" w:rsidRPr="00633EE9">
        <w:t>unchanged</w:t>
      </w:r>
      <w:r w:rsidR="00392D35">
        <w:t>’</w:t>
      </w:r>
      <w:r w:rsidR="00392D35" w:rsidRPr="00633EE9">
        <w:t>.</w:t>
      </w:r>
    </w:p>
    <w:p w14:paraId="48ACFFC0" w14:textId="77777777" w:rsidR="00392D35" w:rsidRPr="00633EE9" w:rsidRDefault="00F766C7" w:rsidP="00F766C7">
      <w:pPr>
        <w:spacing w:before="120"/>
        <w:ind w:left="567" w:hanging="567"/>
      </w:pPr>
      <w:r>
        <w:t>7.</w:t>
      </w:r>
      <w:r>
        <w:tab/>
      </w:r>
      <w:r w:rsidR="00392D35" w:rsidRPr="00633EE9">
        <w:t>There should be regulations concerning child</w:t>
      </w:r>
      <w:r w:rsidR="00392D35">
        <w:t>-</w:t>
      </w:r>
      <w:r w:rsidR="00392D35" w:rsidRPr="00633EE9">
        <w:t>proof pouches for loose tobacco.</w:t>
      </w:r>
    </w:p>
    <w:p w14:paraId="2FDC316F" w14:textId="77777777" w:rsidR="00392D35" w:rsidRDefault="00F766C7" w:rsidP="00F766C7">
      <w:pPr>
        <w:spacing w:before="120"/>
        <w:ind w:left="567" w:hanging="567"/>
      </w:pPr>
      <w:r>
        <w:t>8.</w:t>
      </w:r>
      <w:r>
        <w:tab/>
      </w:r>
      <w:r w:rsidR="00392D35" w:rsidRPr="00633EE9">
        <w:t>The size of cigarette filter</w:t>
      </w:r>
      <w:r w:rsidR="00392D35">
        <w:t>s</w:t>
      </w:r>
      <w:r w:rsidR="00392D35" w:rsidRPr="00633EE9">
        <w:t xml:space="preserve"> should be regulated.</w:t>
      </w:r>
    </w:p>
    <w:p w14:paraId="2D612A25" w14:textId="77777777" w:rsidR="00392D35" w:rsidRPr="00E33192" w:rsidRDefault="00392D35" w:rsidP="00F766C7"/>
    <w:p w14:paraId="039A9779" w14:textId="77777777" w:rsidR="00392D35" w:rsidRDefault="00392D35" w:rsidP="00F766C7">
      <w:r w:rsidRPr="00AC21DE">
        <w:t xml:space="preserve">There was a mixed response to including the country of origin on tobacco packaging. The two </w:t>
      </w:r>
      <w:r>
        <w:t>main</w:t>
      </w:r>
      <w:r w:rsidRPr="00AC21DE">
        <w:t xml:space="preserve"> views were:</w:t>
      </w:r>
    </w:p>
    <w:p w14:paraId="5CB1C21D" w14:textId="77777777" w:rsidR="00392D35" w:rsidRDefault="00392D35" w:rsidP="00F766C7">
      <w:pPr>
        <w:pStyle w:val="Bullet"/>
      </w:pPr>
      <w:r>
        <w:t>c</w:t>
      </w:r>
      <w:r w:rsidRPr="00C426C3">
        <w:t xml:space="preserve">ountry of origin labelling on packaging would increase </w:t>
      </w:r>
      <w:r>
        <w:t xml:space="preserve">the </w:t>
      </w:r>
      <w:r w:rsidRPr="00C426C3">
        <w:t>appeal of tobacco products</w:t>
      </w:r>
    </w:p>
    <w:p w14:paraId="2A70C57A" w14:textId="77777777" w:rsidR="00392D35" w:rsidRDefault="00392D35" w:rsidP="00F766C7">
      <w:pPr>
        <w:pStyle w:val="Bullet"/>
      </w:pPr>
      <w:r>
        <w:t>c</w:t>
      </w:r>
      <w:r w:rsidRPr="00C426C3">
        <w:t>ountry of origin labelling on packaging would increase transparency</w:t>
      </w:r>
      <w:r>
        <w:t>.</w:t>
      </w:r>
    </w:p>
    <w:p w14:paraId="4354A539" w14:textId="77777777" w:rsidR="00392D35" w:rsidRPr="00765FBF" w:rsidRDefault="00392D35" w:rsidP="00F766C7"/>
    <w:p w14:paraId="215355A0" w14:textId="77777777" w:rsidR="00392D35" w:rsidRPr="00AC21DE" w:rsidRDefault="00392D35" w:rsidP="00F766C7">
      <w:r w:rsidRPr="00AC21DE">
        <w:t>There was also a mixed response to the inclusion of anti-counterfeiting marks. The responses included:</w:t>
      </w:r>
    </w:p>
    <w:p w14:paraId="15088D68" w14:textId="77777777" w:rsidR="00392D35" w:rsidRPr="00C426C3" w:rsidRDefault="00392D35" w:rsidP="00F766C7">
      <w:pPr>
        <w:pStyle w:val="Bullet"/>
      </w:pPr>
      <w:r>
        <w:t>a</w:t>
      </w:r>
      <w:r w:rsidRPr="00C426C3">
        <w:t>nti-counterfeiting marks should be allowed on tobacco packaging</w:t>
      </w:r>
      <w:r>
        <w:t>,</w:t>
      </w:r>
      <w:r w:rsidRPr="00C426C3">
        <w:t xml:space="preserve"> but regulated</w:t>
      </w:r>
    </w:p>
    <w:p w14:paraId="04257DB1" w14:textId="77777777" w:rsidR="00392D35" w:rsidRPr="00C426C3" w:rsidRDefault="00392D35" w:rsidP="00F766C7">
      <w:pPr>
        <w:pStyle w:val="Bullet"/>
      </w:pPr>
      <w:r>
        <w:t>a</w:t>
      </w:r>
      <w:r w:rsidRPr="00C426C3">
        <w:t>nti-counterfeiting marks should not be allowed</w:t>
      </w:r>
      <w:r>
        <w:t>,</w:t>
      </w:r>
      <w:r w:rsidRPr="00C426C3">
        <w:t xml:space="preserve"> as this would promote brand variance among tobacco products</w:t>
      </w:r>
    </w:p>
    <w:p w14:paraId="2D53978A" w14:textId="77777777" w:rsidR="00392D35" w:rsidRPr="00C426C3" w:rsidRDefault="00392D35" w:rsidP="00F766C7">
      <w:pPr>
        <w:pStyle w:val="Bullet"/>
      </w:pPr>
      <w:r>
        <w:t>a</w:t>
      </w:r>
      <w:r w:rsidRPr="00C426C3">
        <w:t>nti-counterfeiting marks should only have alphanumeric codes</w:t>
      </w:r>
    </w:p>
    <w:p w14:paraId="7AE9515C" w14:textId="77777777" w:rsidR="00392D35" w:rsidRPr="00C426C3" w:rsidRDefault="00392D35" w:rsidP="00F766C7">
      <w:pPr>
        <w:pStyle w:val="Bullet"/>
      </w:pPr>
      <w:r>
        <w:t>a</w:t>
      </w:r>
      <w:r w:rsidRPr="00C426C3">
        <w:t>nti-counterfeiting marks should have track</w:t>
      </w:r>
      <w:r>
        <w:t>-</w:t>
      </w:r>
      <w:r w:rsidRPr="00C426C3">
        <w:t>and</w:t>
      </w:r>
      <w:r>
        <w:t>-</w:t>
      </w:r>
      <w:r w:rsidRPr="00C426C3">
        <w:t>trace, security and/or authentication codes</w:t>
      </w:r>
      <w:r w:rsidR="00F766C7">
        <w:t>.</w:t>
      </w:r>
    </w:p>
    <w:p w14:paraId="63E33A85" w14:textId="77777777" w:rsidR="00392D35" w:rsidRPr="00633EE9" w:rsidRDefault="00392D35" w:rsidP="00F766C7"/>
    <w:p w14:paraId="1F48E326" w14:textId="77777777" w:rsidR="00392D35" w:rsidRPr="00F766C7" w:rsidRDefault="00392D35" w:rsidP="00F766C7">
      <w:pPr>
        <w:pStyle w:val="Heading2"/>
      </w:pPr>
      <w:bookmarkStart w:id="10" w:name="_Toc480535330"/>
      <w:bookmarkStart w:id="11" w:name="_Toc481746334"/>
      <w:r w:rsidRPr="00763A54">
        <w:t>Submissions received from overseas-based NGOs</w:t>
      </w:r>
      <w:bookmarkEnd w:id="10"/>
      <w:bookmarkEnd w:id="11"/>
    </w:p>
    <w:p w14:paraId="4A3EF2AF" w14:textId="77777777" w:rsidR="00392D35" w:rsidRPr="00763A54" w:rsidRDefault="00392D35" w:rsidP="00F766C7">
      <w:r w:rsidRPr="00763A54">
        <w:t>Overseas-based NGOs supported the proposed regulations. As well as supporting the recommendations made by the academic group</w:t>
      </w:r>
      <w:r>
        <w:t>’</w:t>
      </w:r>
      <w:r w:rsidRPr="00763A54">
        <w:t>s submission</w:t>
      </w:r>
      <w:r>
        <w:t xml:space="preserve"> (listed above), NGOs mad</w:t>
      </w:r>
      <w:r w:rsidRPr="00763A54">
        <w:t xml:space="preserve">e </w:t>
      </w:r>
      <w:r>
        <w:t xml:space="preserve">the following </w:t>
      </w:r>
      <w:r w:rsidRPr="00D27095">
        <w:t>r</w:t>
      </w:r>
      <w:r w:rsidRPr="00763A54">
        <w:t>ecommendations</w:t>
      </w:r>
      <w:r>
        <w:t>.</w:t>
      </w:r>
    </w:p>
    <w:p w14:paraId="6BF10128" w14:textId="77777777" w:rsidR="00392D35" w:rsidRDefault="00F766C7" w:rsidP="00F766C7">
      <w:pPr>
        <w:spacing w:before="120"/>
        <w:ind w:left="567" w:hanging="567"/>
      </w:pPr>
      <w:r>
        <w:t>1.</w:t>
      </w:r>
      <w:r>
        <w:tab/>
      </w:r>
      <w:r w:rsidR="00392D35" w:rsidRPr="00763A54">
        <w:t>The regulations should consider setting minimum height, width and depth for cigar packaging, cigarette cartons, and loose tobacco packs.</w:t>
      </w:r>
    </w:p>
    <w:p w14:paraId="17C656B7" w14:textId="77777777" w:rsidR="00392D35" w:rsidRDefault="00F766C7" w:rsidP="00F766C7">
      <w:pPr>
        <w:spacing w:before="120"/>
        <w:ind w:left="567" w:hanging="567"/>
      </w:pPr>
      <w:r>
        <w:t>2.</w:t>
      </w:r>
      <w:r>
        <w:tab/>
      </w:r>
      <w:r w:rsidR="00392D35" w:rsidRPr="00763A54">
        <w:t xml:space="preserve">The inside surfaces of cigarette packaging, cigarette stick colour, and rolling papers should be standardised with the same unattractive drab colour as </w:t>
      </w:r>
      <w:r w:rsidR="00392D35">
        <w:t xml:space="preserve">the </w:t>
      </w:r>
      <w:r w:rsidR="00392D35" w:rsidRPr="00763A54">
        <w:t>outside packaging.</w:t>
      </w:r>
    </w:p>
    <w:p w14:paraId="2EF975A3" w14:textId="77777777" w:rsidR="00392D35" w:rsidRDefault="00F766C7" w:rsidP="00F766C7">
      <w:pPr>
        <w:spacing w:before="120"/>
        <w:ind w:left="567" w:hanging="567"/>
      </w:pPr>
      <w:r>
        <w:t>3.</w:t>
      </w:r>
      <w:r>
        <w:tab/>
      </w:r>
      <w:r w:rsidR="00392D35">
        <w:t>‘L</w:t>
      </w:r>
      <w:r w:rsidR="00392D35" w:rsidRPr="00763A54">
        <w:t>ift-out</w:t>
      </w:r>
      <w:r w:rsidR="00392D35">
        <w:t>’</w:t>
      </w:r>
      <w:r w:rsidR="00392D35" w:rsidRPr="00763A54">
        <w:t xml:space="preserve"> lining designs</w:t>
      </w:r>
      <w:r w:rsidR="00392D35">
        <w:t>,</w:t>
      </w:r>
      <w:r w:rsidR="00392D35" w:rsidRPr="00763A54">
        <w:t xml:space="preserve"> such as </w:t>
      </w:r>
      <w:r w:rsidR="00392D35">
        <w:t xml:space="preserve">those </w:t>
      </w:r>
      <w:r w:rsidR="00392D35" w:rsidRPr="00763A54">
        <w:t>deployed by Imperial Tobacco in Australia</w:t>
      </w:r>
      <w:r w:rsidR="00392D35">
        <w:t>, should be prohibited</w:t>
      </w:r>
      <w:r w:rsidR="00392D35" w:rsidRPr="00763A54">
        <w:t xml:space="preserve">. This would </w:t>
      </w:r>
      <w:r w:rsidR="00392D35">
        <w:t>stop</w:t>
      </w:r>
      <w:r w:rsidR="00392D35" w:rsidRPr="00763A54">
        <w:t xml:space="preserve"> consumers from removing the outer packaging</w:t>
      </w:r>
      <w:r w:rsidR="00392D35">
        <w:t>,</w:t>
      </w:r>
      <w:r w:rsidR="00392D35" w:rsidRPr="00763A54">
        <w:t xml:space="preserve"> which contains the health warning information.</w:t>
      </w:r>
    </w:p>
    <w:p w14:paraId="3322A8CF" w14:textId="77777777" w:rsidR="00392D35" w:rsidRDefault="00F766C7" w:rsidP="00F766C7">
      <w:pPr>
        <w:spacing w:before="120"/>
        <w:ind w:left="567" w:hanging="567"/>
      </w:pPr>
      <w:r>
        <w:t>4.</w:t>
      </w:r>
      <w:r>
        <w:tab/>
      </w:r>
      <w:r w:rsidR="00392D35" w:rsidRPr="00763A54">
        <w:t>The length of rolling papers should be prescribed at a maximum of 95</w:t>
      </w:r>
      <w:r w:rsidR="00392D35">
        <w:t xml:space="preserve"> </w:t>
      </w:r>
      <w:r w:rsidR="00392D35" w:rsidRPr="00763A54">
        <w:t xml:space="preserve">mm (to </w:t>
      </w:r>
      <w:r w:rsidR="00392D35">
        <w:t>match</w:t>
      </w:r>
      <w:r w:rsidR="00392D35" w:rsidRPr="00763A54">
        <w:t xml:space="preserve"> </w:t>
      </w:r>
      <w:r w:rsidR="00392D35">
        <w:t>the</w:t>
      </w:r>
      <w:r w:rsidR="00392D35" w:rsidRPr="00763A54">
        <w:t xml:space="preserve"> length </w:t>
      </w:r>
      <w:r w:rsidR="00392D35">
        <w:t>of</w:t>
      </w:r>
      <w:r w:rsidR="00392D35" w:rsidRPr="00763A54">
        <w:t xml:space="preserve"> cigarettes), to prevent a surface area that can be used for marketing </w:t>
      </w:r>
      <w:r w:rsidR="00392D35">
        <w:t>by</w:t>
      </w:r>
      <w:r w:rsidR="00392D35" w:rsidRPr="00763A54">
        <w:t xml:space="preserve"> tobacco companies.</w:t>
      </w:r>
    </w:p>
    <w:p w14:paraId="53B2E8B0" w14:textId="77777777" w:rsidR="00392D35" w:rsidRDefault="00F766C7" w:rsidP="00F766C7">
      <w:pPr>
        <w:spacing w:before="120"/>
        <w:ind w:left="567" w:hanging="567"/>
      </w:pPr>
      <w:r>
        <w:t>5.</w:t>
      </w:r>
      <w:r>
        <w:tab/>
      </w:r>
      <w:r w:rsidR="00392D35">
        <w:t>The material used for embellishing cigarette packaging should be standardised</w:t>
      </w:r>
      <w:r w:rsidR="00392D35" w:rsidRPr="00763A54">
        <w:t>.</w:t>
      </w:r>
    </w:p>
    <w:p w14:paraId="11957976" w14:textId="77777777" w:rsidR="00392D35" w:rsidRDefault="00F766C7" w:rsidP="00F766C7">
      <w:pPr>
        <w:spacing w:before="120"/>
        <w:ind w:left="567" w:hanging="567"/>
      </w:pPr>
      <w:r>
        <w:t>6.</w:t>
      </w:r>
      <w:r>
        <w:tab/>
      </w:r>
      <w:r w:rsidR="00392D35">
        <w:t>Adhesives and/or glues used in tobacco packaging should be regulated.</w:t>
      </w:r>
    </w:p>
    <w:p w14:paraId="2E616F52" w14:textId="77777777" w:rsidR="00392D35" w:rsidRDefault="00F766C7" w:rsidP="00F766C7">
      <w:pPr>
        <w:spacing w:before="120"/>
        <w:ind w:left="567" w:hanging="567"/>
      </w:pPr>
      <w:r>
        <w:t>7.</w:t>
      </w:r>
      <w:r>
        <w:tab/>
      </w:r>
      <w:r w:rsidR="00392D35">
        <w:t>T</w:t>
      </w:r>
      <w:r w:rsidR="00392D35" w:rsidRPr="00763A54">
        <w:t>he use of re-sealable tabs on cigar and RYO tobacco packaging</w:t>
      </w:r>
      <w:r w:rsidR="00392D35">
        <w:t xml:space="preserve"> should be regulated</w:t>
      </w:r>
      <w:r w:rsidR="00392D35" w:rsidRPr="00763A54">
        <w:t>.</w:t>
      </w:r>
    </w:p>
    <w:p w14:paraId="6AF87341" w14:textId="77777777" w:rsidR="00392D35" w:rsidRPr="00763A54" w:rsidRDefault="00F766C7" w:rsidP="00F766C7">
      <w:pPr>
        <w:spacing w:before="120"/>
        <w:ind w:left="567" w:hanging="567"/>
      </w:pPr>
      <w:r>
        <w:t>8.</w:t>
      </w:r>
      <w:r>
        <w:tab/>
      </w:r>
      <w:r w:rsidR="00392D35">
        <w:t>T</w:t>
      </w:r>
      <w:r w:rsidR="00392D35" w:rsidRPr="00763A54">
        <w:t>he use of windows or cut-outs in tobacco packaging</w:t>
      </w:r>
      <w:r w:rsidR="00392D35">
        <w:t xml:space="preserve"> should be regulated</w:t>
      </w:r>
      <w:r w:rsidR="00392D35" w:rsidRPr="00763A54">
        <w:t>.</w:t>
      </w:r>
    </w:p>
    <w:p w14:paraId="586A75FB" w14:textId="77777777" w:rsidR="00392D35" w:rsidRPr="00763A54" w:rsidRDefault="00F766C7" w:rsidP="00F766C7">
      <w:pPr>
        <w:spacing w:before="120"/>
        <w:ind w:left="567" w:hanging="567"/>
      </w:pPr>
      <w:r>
        <w:t>9.</w:t>
      </w:r>
      <w:r>
        <w:tab/>
      </w:r>
      <w:r w:rsidR="00392D35">
        <w:t>T</w:t>
      </w:r>
      <w:r w:rsidR="00392D35" w:rsidRPr="00763A54">
        <w:t xml:space="preserve">he use of </w:t>
      </w:r>
      <w:r w:rsidR="00392D35">
        <w:t>‘</w:t>
      </w:r>
      <w:r w:rsidR="00392D35" w:rsidRPr="00763A54">
        <w:t>onserts</w:t>
      </w:r>
      <w:r w:rsidR="00392D35">
        <w:t>’</w:t>
      </w:r>
      <w:r w:rsidR="00392D35" w:rsidRPr="00763A54">
        <w:t xml:space="preserve"> (similar to inserts) in tobacco packaging</w:t>
      </w:r>
      <w:r w:rsidR="00392D35">
        <w:t xml:space="preserve"> should be regulated</w:t>
      </w:r>
      <w:r w:rsidR="00392D35" w:rsidRPr="00763A54">
        <w:t>.</w:t>
      </w:r>
    </w:p>
    <w:p w14:paraId="073CF148" w14:textId="77777777" w:rsidR="00392D35" w:rsidRPr="00763A54" w:rsidRDefault="00F766C7" w:rsidP="00F766C7">
      <w:pPr>
        <w:spacing w:before="120"/>
        <w:ind w:left="567" w:hanging="567"/>
      </w:pPr>
      <w:r>
        <w:t>10.</w:t>
      </w:r>
      <w:r>
        <w:tab/>
      </w:r>
      <w:r w:rsidR="00392D35" w:rsidRPr="00763A54">
        <w:t>Graphic health warnings should be refreshed regularly.</w:t>
      </w:r>
    </w:p>
    <w:p w14:paraId="48011B7E" w14:textId="77777777" w:rsidR="00392D35" w:rsidRDefault="00F766C7" w:rsidP="00F766C7">
      <w:pPr>
        <w:spacing w:before="120"/>
        <w:ind w:left="567" w:hanging="567"/>
      </w:pPr>
      <w:r>
        <w:t>11.</w:t>
      </w:r>
      <w:r>
        <w:tab/>
      </w:r>
      <w:r w:rsidR="00392D35" w:rsidRPr="00763A54">
        <w:t>Tobacco packaging features (such as origin marks and bar codes) should be prohibited</w:t>
      </w:r>
      <w:r w:rsidR="00392D35">
        <w:t>,</w:t>
      </w:r>
      <w:r w:rsidR="00392D35" w:rsidRPr="00763A54">
        <w:t xml:space="preserve"> as these might be used for tobacco advertising.</w:t>
      </w:r>
    </w:p>
    <w:p w14:paraId="6D887D6C" w14:textId="77777777" w:rsidR="00392D35" w:rsidRDefault="00F766C7" w:rsidP="00F766C7">
      <w:pPr>
        <w:spacing w:before="120"/>
        <w:ind w:left="567" w:hanging="567"/>
      </w:pPr>
      <w:r>
        <w:t>12.</w:t>
      </w:r>
      <w:r>
        <w:tab/>
      </w:r>
      <w:r w:rsidR="00392D35" w:rsidRPr="00763A54">
        <w:t>No anti-counterfeiting marks should be permitted on tobacco products, as these marks may be used for tobacco advertising or promotion, obscure health warnings, be false</w:t>
      </w:r>
      <w:r w:rsidR="00392D35">
        <w:t xml:space="preserve">, </w:t>
      </w:r>
      <w:r w:rsidR="00392D35" w:rsidRPr="00763A54">
        <w:t>misleading</w:t>
      </w:r>
      <w:r w:rsidR="00392D35">
        <w:t xml:space="preserve"> or </w:t>
      </w:r>
      <w:r w:rsidR="00392D35" w:rsidRPr="00763A54">
        <w:t xml:space="preserve">deceptive, be linked to the emission yields of a product, or be linked to </w:t>
      </w:r>
      <w:r w:rsidR="00392D35">
        <w:t xml:space="preserve">the brand and/or brand </w:t>
      </w:r>
      <w:r w:rsidR="00392D35" w:rsidRPr="00763A54">
        <w:t xml:space="preserve">variant name of </w:t>
      </w:r>
      <w:r w:rsidR="00392D35">
        <w:t xml:space="preserve">the </w:t>
      </w:r>
      <w:r w:rsidR="00392D35" w:rsidRPr="00763A54">
        <w:t>product.</w:t>
      </w:r>
    </w:p>
    <w:p w14:paraId="28409178" w14:textId="77777777" w:rsidR="00392D35" w:rsidRDefault="00F766C7" w:rsidP="00F766C7">
      <w:pPr>
        <w:keepNext/>
        <w:spacing w:before="120"/>
        <w:ind w:left="567" w:hanging="567"/>
      </w:pPr>
      <w:r>
        <w:t>13.</w:t>
      </w:r>
      <w:r>
        <w:tab/>
      </w:r>
      <w:r w:rsidR="00392D35" w:rsidRPr="00763A54">
        <w:t>Flavour capsules and other similar innovations should be banned</w:t>
      </w:r>
      <w:r w:rsidR="00392D35">
        <w:t>,</w:t>
      </w:r>
      <w:r w:rsidR="00392D35" w:rsidRPr="00763A54">
        <w:t xml:space="preserve"> as these filters can be crushed by the consumer</w:t>
      </w:r>
      <w:r w:rsidR="00392D35">
        <w:t>,</w:t>
      </w:r>
      <w:r w:rsidR="00392D35" w:rsidRPr="00763A54">
        <w:t xml:space="preserve"> giving cigarettes an appealing taste.</w:t>
      </w:r>
    </w:p>
    <w:p w14:paraId="50197E89" w14:textId="77777777" w:rsidR="00392D35" w:rsidRDefault="00F766C7" w:rsidP="00F766C7">
      <w:pPr>
        <w:spacing w:before="120"/>
        <w:ind w:left="567" w:hanging="567"/>
      </w:pPr>
      <w:r>
        <w:t>14.</w:t>
      </w:r>
      <w:r>
        <w:tab/>
      </w:r>
      <w:r w:rsidR="00392D35" w:rsidRPr="00763A54">
        <w:t>The implementation timeframe for standardised packaging should be a maximum of 12</w:t>
      </w:r>
      <w:r>
        <w:t> </w:t>
      </w:r>
      <w:r w:rsidR="00392D35" w:rsidRPr="00763A54">
        <w:t>months.</w:t>
      </w:r>
    </w:p>
    <w:p w14:paraId="7D1834B8" w14:textId="77777777" w:rsidR="00392D35" w:rsidRDefault="00392D35" w:rsidP="00F766C7"/>
    <w:p w14:paraId="24AB66B7" w14:textId="77777777" w:rsidR="00392D35" w:rsidRPr="009C14DA" w:rsidRDefault="00392D35" w:rsidP="00F766C7">
      <w:pPr>
        <w:pStyle w:val="Heading2"/>
      </w:pPr>
      <w:bookmarkStart w:id="12" w:name="_Toc480535331"/>
      <w:bookmarkStart w:id="13" w:name="_Toc481746335"/>
      <w:r w:rsidRPr="009C14DA">
        <w:t>Retail organisations</w:t>
      </w:r>
      <w:bookmarkEnd w:id="12"/>
      <w:bookmarkEnd w:id="13"/>
    </w:p>
    <w:p w14:paraId="5E90354C" w14:textId="77777777" w:rsidR="00392D35" w:rsidRPr="0034170D" w:rsidRDefault="00392D35" w:rsidP="00F766C7">
      <w:r w:rsidRPr="009C14DA">
        <w:t xml:space="preserve">The majority of retail organisations </w:t>
      </w:r>
      <w:r>
        <w:t>did</w:t>
      </w:r>
      <w:r w:rsidRPr="009C14DA">
        <w:t xml:space="preserve"> not support the proposed regulations.</w:t>
      </w:r>
      <w:r>
        <w:t xml:space="preserve"> </w:t>
      </w:r>
      <w:r w:rsidRPr="009C14DA">
        <w:t>One retail organisation raised the concern t</w:t>
      </w:r>
      <w:r>
        <w:t>hat ‘regulatory imposition’ would</w:t>
      </w:r>
      <w:r w:rsidRPr="009C14DA">
        <w:t xml:space="preserve"> place further costs of compliance on businesses, whil</w:t>
      </w:r>
      <w:r>
        <w:t>e</w:t>
      </w:r>
      <w:r w:rsidRPr="009C14DA">
        <w:t xml:space="preserve"> another was concerned that the proposed regulations </w:t>
      </w:r>
      <w:r>
        <w:t>‘</w:t>
      </w:r>
      <w:r w:rsidRPr="009C14DA">
        <w:t>set a bad precedent</w:t>
      </w:r>
      <w:r>
        <w:t>’</w:t>
      </w:r>
      <w:r w:rsidRPr="009C14DA">
        <w:t xml:space="preserve"> in regard to intellectual property rights and commodity trading principles. The </w:t>
      </w:r>
      <w:r>
        <w:t>key themes that emerged from the submissions included the following.</w:t>
      </w:r>
    </w:p>
    <w:p w14:paraId="5D599500" w14:textId="77777777" w:rsidR="00392D35" w:rsidRDefault="00F766C7" w:rsidP="00F766C7">
      <w:pPr>
        <w:spacing w:before="120"/>
        <w:ind w:left="567" w:hanging="567"/>
      </w:pPr>
      <w:r>
        <w:t>1.</w:t>
      </w:r>
      <w:r>
        <w:tab/>
      </w:r>
      <w:r w:rsidR="00392D35" w:rsidRPr="00A30625">
        <w:t>The width of brand nam</w:t>
      </w:r>
      <w:r w:rsidR="00392D35">
        <w:t>e information (set at 35 mm) would</w:t>
      </w:r>
      <w:r w:rsidR="00392D35" w:rsidRPr="00A30625">
        <w:t xml:space="preserve"> mean that brand names that are longer will have smaller font on </w:t>
      </w:r>
      <w:r w:rsidR="00392D35">
        <w:t xml:space="preserve">the </w:t>
      </w:r>
      <w:r w:rsidR="00392D35" w:rsidRPr="00A30625">
        <w:t>packaging, making it more difficult for staff to read and identify products. This</w:t>
      </w:r>
      <w:r w:rsidR="00392D35">
        <w:t xml:space="preserve"> would</w:t>
      </w:r>
      <w:r w:rsidR="00392D35" w:rsidRPr="00A30625">
        <w:t xml:space="preserve"> slow transaction times, reduce checkout efficiency and frustrate customers.</w:t>
      </w:r>
    </w:p>
    <w:p w14:paraId="50B60C85" w14:textId="77777777" w:rsidR="00392D35" w:rsidRDefault="00F766C7" w:rsidP="00F766C7">
      <w:pPr>
        <w:spacing w:before="120"/>
        <w:ind w:left="567" w:hanging="567"/>
      </w:pPr>
      <w:r>
        <w:t>2.</w:t>
      </w:r>
      <w:r>
        <w:tab/>
      </w:r>
      <w:r w:rsidR="00392D35" w:rsidRPr="00A30625">
        <w:t>The proposed standardised packaging regulations are different to Australia</w:t>
      </w:r>
      <w:r w:rsidR="00392D35">
        <w:t>’s</w:t>
      </w:r>
      <w:r w:rsidR="00392D35" w:rsidRPr="00A30625">
        <w:t xml:space="preserve"> in terms of the size and dimensions of tobacco packaging, w</w:t>
      </w:r>
      <w:r w:rsidR="00392D35">
        <w:t xml:space="preserve">hich </w:t>
      </w:r>
      <w:r w:rsidR="00392D35" w:rsidRPr="00A30625">
        <w:t>potentially constrain</w:t>
      </w:r>
      <w:r w:rsidR="00392D35">
        <w:t>s</w:t>
      </w:r>
      <w:r w:rsidR="00392D35" w:rsidRPr="00A30625">
        <w:t xml:space="preserve"> trans-Tasman trade relationships.</w:t>
      </w:r>
    </w:p>
    <w:p w14:paraId="730B3D41" w14:textId="77777777" w:rsidR="00392D35" w:rsidRDefault="00F766C7" w:rsidP="00F766C7">
      <w:pPr>
        <w:spacing w:before="120"/>
        <w:ind w:left="567" w:hanging="567"/>
      </w:pPr>
      <w:r>
        <w:t>3.</w:t>
      </w:r>
      <w:r>
        <w:tab/>
      </w:r>
      <w:r w:rsidR="00392D35" w:rsidRPr="00A30625">
        <w:t>The cabinetry that holds tobacco products is spring loaded, with a bottom lip that obscures the bottom part of the products. The impact of this is that tobacco products would be difficult to locate</w:t>
      </w:r>
      <w:r w:rsidR="00392D35">
        <w:t xml:space="preserve"> and identify by staff. There is</w:t>
      </w:r>
      <w:r w:rsidR="00392D35" w:rsidRPr="00A30625">
        <w:t xml:space="preserve"> also the issue of safety</w:t>
      </w:r>
      <w:r w:rsidR="00392D35">
        <w:t>,</w:t>
      </w:r>
      <w:r w:rsidR="00392D35" w:rsidRPr="00A30625">
        <w:t xml:space="preserve"> as staff need their backs turned for longer periods of time in order to identify products, leading to risk of theft/burglary</w:t>
      </w:r>
      <w:r w:rsidR="00392D35">
        <w:t>,</w:t>
      </w:r>
      <w:r w:rsidR="00392D35" w:rsidRPr="00A30625">
        <w:t xml:space="preserve"> and risk to personal safety.</w:t>
      </w:r>
    </w:p>
    <w:p w14:paraId="1139D8E2" w14:textId="77777777" w:rsidR="00392D35" w:rsidRDefault="00F766C7" w:rsidP="00F766C7">
      <w:pPr>
        <w:spacing w:before="120"/>
        <w:ind w:left="567" w:hanging="567"/>
      </w:pPr>
      <w:r>
        <w:t>4.</w:t>
      </w:r>
      <w:r>
        <w:tab/>
      </w:r>
      <w:r w:rsidR="00392D35" w:rsidRPr="00E060A0">
        <w:t xml:space="preserve">Frequent rotation of graphic health </w:t>
      </w:r>
      <w:r w:rsidR="00392D35">
        <w:t>warning labels on packaging would</w:t>
      </w:r>
      <w:r w:rsidR="00392D35" w:rsidRPr="00E060A0">
        <w:t xml:space="preserve"> result in retailers bearing the cost of product non-compliance, as well as the increased risk burden of having extra stock on premises and selling through old stock. One retail organisation stated that having a rotation of health warnings is unnecessary and expensive.</w:t>
      </w:r>
    </w:p>
    <w:p w14:paraId="734209B9" w14:textId="77777777" w:rsidR="00392D35" w:rsidRDefault="00F766C7" w:rsidP="00F766C7">
      <w:pPr>
        <w:spacing w:before="120"/>
        <w:ind w:left="567" w:hanging="567"/>
      </w:pPr>
      <w:r>
        <w:t>5.</w:t>
      </w:r>
      <w:r>
        <w:tab/>
      </w:r>
      <w:r w:rsidR="00392D35" w:rsidRPr="004E2ECD">
        <w:t>T</w:t>
      </w:r>
      <w:r w:rsidR="00392D35">
        <w:t>he proposed regulations would</w:t>
      </w:r>
      <w:r w:rsidR="00392D35" w:rsidRPr="004E2ECD">
        <w:t xml:space="preserve"> </w:t>
      </w:r>
      <w:r w:rsidR="00392D35">
        <w:t xml:space="preserve">have an </w:t>
      </w:r>
      <w:r w:rsidR="00392D35" w:rsidRPr="004E2ECD">
        <w:t xml:space="preserve">impact on </w:t>
      </w:r>
      <w:r w:rsidR="00392D35">
        <w:t xml:space="preserve">the </w:t>
      </w:r>
      <w:r w:rsidR="00392D35" w:rsidRPr="004E2ECD">
        <w:t>illicit tobacco trade and counterfeiting. The concern was</w:t>
      </w:r>
      <w:r w:rsidR="00392D35">
        <w:t xml:space="preserve"> that standardised</w:t>
      </w:r>
      <w:r w:rsidR="00392D35" w:rsidRPr="004E2ECD">
        <w:t xml:space="preserve"> packaging would lead to a lack of differentiation between products and increase the counterfeiting of black market tobacco.</w:t>
      </w:r>
    </w:p>
    <w:p w14:paraId="477C042E" w14:textId="77777777" w:rsidR="00392D35" w:rsidRDefault="00F766C7" w:rsidP="00F766C7">
      <w:pPr>
        <w:spacing w:before="120"/>
        <w:ind w:left="567" w:hanging="567"/>
      </w:pPr>
      <w:r>
        <w:t>6.</w:t>
      </w:r>
      <w:r>
        <w:tab/>
      </w:r>
      <w:r w:rsidR="00392D35" w:rsidRPr="004E2ECD">
        <w:t xml:space="preserve">Transition timeframes for implementing regulations </w:t>
      </w:r>
      <w:r w:rsidR="00392D35">
        <w:t>would</w:t>
      </w:r>
      <w:r w:rsidR="00392D35" w:rsidRPr="004E2ECD">
        <w:t xml:space="preserve"> be too short to</w:t>
      </w:r>
      <w:r w:rsidR="00392D35">
        <w:t xml:space="preserve"> sell through old stock, or would</w:t>
      </w:r>
      <w:r w:rsidR="00392D35" w:rsidRPr="004E2ECD">
        <w:t xml:space="preserve"> fall on key dates such as the Christmas</w:t>
      </w:r>
      <w:r w:rsidR="00392D35">
        <w:t xml:space="preserve"> </w:t>
      </w:r>
      <w:r w:rsidR="00392D35" w:rsidRPr="004E2ECD">
        <w:t>/</w:t>
      </w:r>
      <w:r w:rsidR="00392D35">
        <w:t xml:space="preserve"> </w:t>
      </w:r>
      <w:r w:rsidR="00392D35" w:rsidRPr="004E2ECD">
        <w:t>New Year period or near excise tax change. The retailers recommend</w:t>
      </w:r>
      <w:r w:rsidR="00392D35">
        <w:t>ed</w:t>
      </w:r>
      <w:r w:rsidR="00392D35" w:rsidRPr="004E2ECD">
        <w:t xml:space="preserve"> a transition timeframe ranging from 6 to 12 months.</w:t>
      </w:r>
    </w:p>
    <w:p w14:paraId="7BB929DB" w14:textId="77777777" w:rsidR="00F766C7" w:rsidRDefault="00F766C7" w:rsidP="00F766C7"/>
    <w:p w14:paraId="0987ABE6" w14:textId="77777777" w:rsidR="00392D35" w:rsidRDefault="00392D35" w:rsidP="00F766C7">
      <w:pPr>
        <w:pStyle w:val="Heading2"/>
      </w:pPr>
      <w:bookmarkStart w:id="14" w:name="_Toc480535332"/>
      <w:bookmarkStart w:id="15" w:name="_Toc481746336"/>
      <w:r w:rsidRPr="001A0D66">
        <w:t>Cigar industry</w:t>
      </w:r>
      <w:bookmarkEnd w:id="14"/>
      <w:bookmarkEnd w:id="15"/>
    </w:p>
    <w:p w14:paraId="34DA5B6A" w14:textId="77777777" w:rsidR="00392D35" w:rsidRDefault="00392D35" w:rsidP="00F766C7">
      <w:r>
        <w:t>The two cigar importers</w:t>
      </w:r>
      <w:r w:rsidRPr="001A0D66">
        <w:t xml:space="preserve"> that made submissions suggested that the proposed regulations for standardised packaging of cigar products should align with the current Australian regulations. The key themes that emerged from these submissions include</w:t>
      </w:r>
      <w:r>
        <w:t>d the following.</w:t>
      </w:r>
    </w:p>
    <w:p w14:paraId="37F1C893" w14:textId="77777777" w:rsidR="00392D35" w:rsidRDefault="00F766C7" w:rsidP="00F766C7">
      <w:pPr>
        <w:spacing w:before="120"/>
        <w:ind w:left="567" w:hanging="567"/>
      </w:pPr>
      <w:r>
        <w:t>1.</w:t>
      </w:r>
      <w:r>
        <w:tab/>
      </w:r>
      <w:r w:rsidR="00392D35">
        <w:t>There was c</w:t>
      </w:r>
      <w:r w:rsidR="00392D35" w:rsidRPr="001A0D66">
        <w:t xml:space="preserve">oncern </w:t>
      </w:r>
      <w:r w:rsidR="00392D35">
        <w:t>at</w:t>
      </w:r>
      <w:r w:rsidR="00392D35" w:rsidRPr="001A0D66">
        <w:t xml:space="preserve"> the proposal to limit the number of cigars that may be sold in a pack. The submitters stated that the proposed requirement that cigars be sold in pack sizes of either 5 or 10 cannot be met. Repacking cigars into these quantities would compromise the integrity of the product, as well as being prohibited by the </w:t>
      </w:r>
      <w:r w:rsidR="00392D35">
        <w:t>s</w:t>
      </w:r>
      <w:r w:rsidR="00392D35" w:rsidRPr="001A0D66">
        <w:t xml:space="preserve">tate </w:t>
      </w:r>
      <w:r w:rsidR="00392D35">
        <w:t>e</w:t>
      </w:r>
      <w:r w:rsidR="00392D35" w:rsidRPr="001A0D66">
        <w:t xml:space="preserve">nterprise </w:t>
      </w:r>
      <w:r w:rsidR="00392D35">
        <w:t>that</w:t>
      </w:r>
      <w:r w:rsidR="00392D35" w:rsidRPr="001A0D66">
        <w:t xml:space="preserve"> regulates the cigar industry in Cuba.</w:t>
      </w:r>
    </w:p>
    <w:p w14:paraId="51A88BCA" w14:textId="77777777" w:rsidR="00392D35" w:rsidRPr="00AC6B93" w:rsidRDefault="00F766C7" w:rsidP="00F766C7">
      <w:pPr>
        <w:keepLines/>
        <w:spacing w:before="120"/>
        <w:ind w:left="567" w:hanging="567"/>
      </w:pPr>
      <w:r>
        <w:t>2.</w:t>
      </w:r>
      <w:r>
        <w:tab/>
      </w:r>
      <w:r w:rsidR="00392D35" w:rsidRPr="00AC6B93">
        <w:t xml:space="preserve">RYO tobacco packaging cannot be made entirely of plastic. The pouch is currently made from printed paper placed in </w:t>
      </w:r>
      <w:r w:rsidR="00392D35">
        <w:t xml:space="preserve">a </w:t>
      </w:r>
      <w:r w:rsidR="00392D35" w:rsidRPr="00AC6B93">
        <w:t xml:space="preserve">plastic envelope, </w:t>
      </w:r>
      <w:r w:rsidR="00392D35">
        <w:t>so</w:t>
      </w:r>
      <w:r w:rsidR="00392D35" w:rsidRPr="00AC6B93">
        <w:t xml:space="preserve"> they are not made entirely of plastic. The cigar industry recommended that the regulations allow for pouches to be made of a combination of plastic (on the outside) and paper (on the inside)</w:t>
      </w:r>
      <w:r w:rsidR="00392D35">
        <w:t>,</w:t>
      </w:r>
      <w:r w:rsidR="00392D35" w:rsidRPr="00AC6B93">
        <w:t xml:space="preserve"> or a certain type of </w:t>
      </w:r>
      <w:r w:rsidR="00392D35">
        <w:t>‘</w:t>
      </w:r>
      <w:r w:rsidR="00392D35" w:rsidRPr="00AC6B93">
        <w:t>plastic</w:t>
      </w:r>
      <w:r w:rsidR="00392D35">
        <w:t>’</w:t>
      </w:r>
      <w:r w:rsidR="00392D35" w:rsidRPr="00AC6B93">
        <w:t xml:space="preserve"> laminate.</w:t>
      </w:r>
    </w:p>
    <w:p w14:paraId="4A079CCC" w14:textId="77777777" w:rsidR="00392D35" w:rsidRPr="00AC6B93" w:rsidRDefault="00F766C7" w:rsidP="00F766C7">
      <w:pPr>
        <w:spacing w:before="120"/>
        <w:ind w:left="567" w:hanging="567"/>
      </w:pPr>
      <w:r>
        <w:t>3.</w:t>
      </w:r>
      <w:r>
        <w:tab/>
      </w:r>
      <w:r w:rsidR="00392D35" w:rsidRPr="00AC6B93">
        <w:t>Pipe tobacco needs to be stored in tins to preserve the quality of the product. The cigar companies recommended that the draft regulations be amended to allow for pipe tobacco to be sold in tins in New Zealand.</w:t>
      </w:r>
    </w:p>
    <w:p w14:paraId="211724D7" w14:textId="77777777" w:rsidR="00392D35" w:rsidRDefault="00F766C7" w:rsidP="00F766C7">
      <w:pPr>
        <w:spacing w:before="120"/>
        <w:ind w:left="567" w:hanging="567"/>
      </w:pPr>
      <w:r>
        <w:t>4.</w:t>
      </w:r>
      <w:r>
        <w:tab/>
      </w:r>
      <w:r w:rsidR="00392D35">
        <w:t>T</w:t>
      </w:r>
      <w:r w:rsidR="00392D35" w:rsidRPr="00F63D30">
        <w:t>he</w:t>
      </w:r>
      <w:r w:rsidR="00392D35">
        <w:t>re was an issue surrounding the</w:t>
      </w:r>
      <w:r w:rsidR="00392D35" w:rsidRPr="00F63D30">
        <w:t xml:space="preserve"> size of warning labels on single cigar packaging. The cigar importers state</w:t>
      </w:r>
      <w:r w:rsidR="00392D35">
        <w:t>d</w:t>
      </w:r>
      <w:r w:rsidR="00392D35" w:rsidRPr="00F63D30">
        <w:t xml:space="preserve"> that </w:t>
      </w:r>
      <w:r w:rsidR="00392D35">
        <w:t>size restrictions</w:t>
      </w:r>
      <w:r w:rsidR="00392D35" w:rsidRPr="00F63D30">
        <w:t xml:space="preserve"> </w:t>
      </w:r>
      <w:r w:rsidR="00392D35">
        <w:t xml:space="preserve">are </w:t>
      </w:r>
      <w:r w:rsidR="00392D35" w:rsidRPr="00F63D30">
        <w:t xml:space="preserve">not possible unless the definition of the length of a </w:t>
      </w:r>
      <w:r w:rsidR="00392D35">
        <w:t xml:space="preserve">cigar </w:t>
      </w:r>
      <w:r w:rsidR="00392D35" w:rsidRPr="00F63D30">
        <w:t>tube is defined as the length between the rim of the tube (just under the lid of a tube) and the end of the tube, including the round bottom.</w:t>
      </w:r>
    </w:p>
    <w:p w14:paraId="0FED00B5" w14:textId="77777777" w:rsidR="00392D35" w:rsidRDefault="00F766C7" w:rsidP="00F766C7">
      <w:pPr>
        <w:spacing w:before="120"/>
        <w:ind w:left="567" w:hanging="567"/>
      </w:pPr>
      <w:r>
        <w:t>5.</w:t>
      </w:r>
      <w:r>
        <w:tab/>
      </w:r>
      <w:r w:rsidR="00392D35">
        <w:t>F</w:t>
      </w:r>
      <w:r w:rsidR="00392D35" w:rsidRPr="00F63D30">
        <w:t xml:space="preserve">actory and date codes, alphanumeric codes and country of manufacture </w:t>
      </w:r>
      <w:r w:rsidR="00392D35">
        <w:t>should be allowed</w:t>
      </w:r>
      <w:r w:rsidR="00392D35" w:rsidRPr="00F63D30">
        <w:t xml:space="preserve"> on cigar packaging</w:t>
      </w:r>
      <w:r w:rsidR="00392D35">
        <w:t xml:space="preserve"> in order to de-incentivise counterfeiting of tobacco products</w:t>
      </w:r>
      <w:r w:rsidR="00392D35" w:rsidRPr="00F63D30">
        <w:t>.</w:t>
      </w:r>
    </w:p>
    <w:p w14:paraId="1240E6DD" w14:textId="77777777" w:rsidR="00392D35" w:rsidRPr="00AC6B93" w:rsidRDefault="00F766C7" w:rsidP="00F766C7">
      <w:pPr>
        <w:spacing w:before="120"/>
        <w:ind w:left="567" w:hanging="567"/>
      </w:pPr>
      <w:r>
        <w:t>6.</w:t>
      </w:r>
      <w:r>
        <w:tab/>
      </w:r>
      <w:r w:rsidR="00392D35" w:rsidRPr="00AC6B93">
        <w:t>The cigar industry stated that in order to avoid losing older stock (</w:t>
      </w:r>
      <w:r w:rsidR="00392D35">
        <w:t>stock</w:t>
      </w:r>
      <w:r w:rsidR="00392D35" w:rsidRPr="00AC6B93">
        <w:t xml:space="preserve"> not wrapped in standardised packaging)</w:t>
      </w:r>
      <w:r w:rsidR="00392D35">
        <w:t>,</w:t>
      </w:r>
      <w:r w:rsidR="00392D35" w:rsidRPr="00AC6B93">
        <w:t xml:space="preserve"> cigars and pipe tobacco should be allowed on the market at least </w:t>
      </w:r>
      <w:r w:rsidR="00392D35">
        <w:t>one</w:t>
      </w:r>
      <w:r w:rsidR="00392D35" w:rsidRPr="00AC6B93">
        <w:t xml:space="preserve"> year after the new regulations come into force.</w:t>
      </w:r>
    </w:p>
    <w:p w14:paraId="5EE56E38" w14:textId="77777777" w:rsidR="00392D35" w:rsidRDefault="00392D35" w:rsidP="00F766C7"/>
    <w:p w14:paraId="22C2548E" w14:textId="77777777" w:rsidR="00392D35" w:rsidRPr="00523EA0" w:rsidRDefault="00392D35" w:rsidP="00F766C7">
      <w:pPr>
        <w:pStyle w:val="Heading2"/>
      </w:pPr>
      <w:bookmarkStart w:id="16" w:name="_Toc480535333"/>
      <w:bookmarkStart w:id="17" w:name="_Toc481746337"/>
      <w:r w:rsidRPr="00523EA0">
        <w:t>Tobacco industry</w:t>
      </w:r>
      <w:bookmarkEnd w:id="16"/>
      <w:bookmarkEnd w:id="17"/>
    </w:p>
    <w:p w14:paraId="143288E1" w14:textId="77777777" w:rsidR="00392D35" w:rsidRPr="00523EA0" w:rsidRDefault="00392D35" w:rsidP="00F766C7">
      <w:r>
        <w:t>Six</w:t>
      </w:r>
      <w:r w:rsidRPr="00523EA0">
        <w:t xml:space="preserve"> tobacco companies with a presence in the New Zealand market </w:t>
      </w:r>
      <w:r>
        <w:t>made a submission.</w:t>
      </w:r>
    </w:p>
    <w:p w14:paraId="71B9E98A" w14:textId="77777777" w:rsidR="00F766C7" w:rsidRDefault="00F766C7" w:rsidP="00F766C7"/>
    <w:p w14:paraId="0441501E" w14:textId="77777777" w:rsidR="00392D35" w:rsidRPr="00523EA0" w:rsidRDefault="00392D35" w:rsidP="00F766C7">
      <w:r w:rsidRPr="00523EA0">
        <w:t>Tobacco companies asked for alignment of the proposed regulations with Australia</w:t>
      </w:r>
      <w:r>
        <w:t>,</w:t>
      </w:r>
      <w:r w:rsidRPr="00523EA0">
        <w:t xml:space="preserve"> and state</w:t>
      </w:r>
      <w:r>
        <w:t>d</w:t>
      </w:r>
      <w:r w:rsidRPr="00523EA0">
        <w:t xml:space="preserve"> that, as currently drafted, the proposed New Zealand regulations </w:t>
      </w:r>
      <w:r>
        <w:t>are</w:t>
      </w:r>
      <w:r w:rsidRPr="00523EA0">
        <w:t xml:space="preserve"> too restrictive.</w:t>
      </w:r>
    </w:p>
    <w:p w14:paraId="58AB4179" w14:textId="77777777" w:rsidR="00F766C7" w:rsidRDefault="00F766C7" w:rsidP="00F766C7"/>
    <w:p w14:paraId="3CFBB019" w14:textId="77777777" w:rsidR="00392D35" w:rsidRDefault="00392D35" w:rsidP="00F766C7">
      <w:r w:rsidRPr="00523EA0">
        <w:t xml:space="preserve">All companies </w:t>
      </w:r>
      <w:r>
        <w:t>stated</w:t>
      </w:r>
      <w:r w:rsidRPr="00523EA0">
        <w:t xml:space="preserve"> that standardised packaging in New Zealand should not continue whil</w:t>
      </w:r>
      <w:r>
        <w:t>e</w:t>
      </w:r>
      <w:r w:rsidRPr="00523EA0">
        <w:t xml:space="preserve"> </w:t>
      </w:r>
      <w:r w:rsidRPr="00E044F7">
        <w:t>the W</w:t>
      </w:r>
      <w:r>
        <w:t>orld Trade Organization</w:t>
      </w:r>
      <w:r w:rsidRPr="00E044F7">
        <w:t xml:space="preserve"> </w:t>
      </w:r>
      <w:r>
        <w:t>has</w:t>
      </w:r>
      <w:r w:rsidRPr="00523EA0">
        <w:t xml:space="preserve"> yet to rule on disputes </w:t>
      </w:r>
      <w:r>
        <w:t>relating to</w:t>
      </w:r>
      <w:r w:rsidRPr="00523EA0">
        <w:t xml:space="preserve"> Australia</w:t>
      </w:r>
      <w:r>
        <w:t>’</w:t>
      </w:r>
      <w:r w:rsidRPr="00523EA0">
        <w:t xml:space="preserve">s standardised packaging regulations. </w:t>
      </w:r>
      <w:r>
        <w:t>Any comments made on the effectiveness of standardised packaging were considered out of scope of this consultation.</w:t>
      </w:r>
    </w:p>
    <w:p w14:paraId="1E9F9390" w14:textId="77777777" w:rsidR="00F766C7" w:rsidRDefault="00F766C7" w:rsidP="00F766C7"/>
    <w:p w14:paraId="6AECC50A" w14:textId="77777777" w:rsidR="00392D35" w:rsidRPr="00523EA0" w:rsidRDefault="00392D35" w:rsidP="00F766C7">
      <w:r w:rsidRPr="00523EA0">
        <w:t xml:space="preserve">The tobacco industry raised a number of issues with the proposed regulations, and </w:t>
      </w:r>
      <w:r>
        <w:t>made the following recommendations.</w:t>
      </w:r>
    </w:p>
    <w:p w14:paraId="185006A6" w14:textId="77777777" w:rsidR="00392D35" w:rsidRDefault="00F766C7" w:rsidP="00F766C7">
      <w:pPr>
        <w:spacing w:before="120"/>
        <w:ind w:left="567" w:hanging="567"/>
      </w:pPr>
      <w:r>
        <w:t>1.</w:t>
      </w:r>
      <w:r>
        <w:tab/>
      </w:r>
      <w:r w:rsidR="00392D35" w:rsidRPr="00523EA0">
        <w:t xml:space="preserve">Existing brand, and brand variant, names should not be subject to </w:t>
      </w:r>
      <w:r w:rsidR="00392D35">
        <w:t xml:space="preserve">the </w:t>
      </w:r>
      <w:r w:rsidR="00392D35" w:rsidRPr="00523EA0">
        <w:t>proposed restrictions on length, use of capital letters and full stops, and appearance (fonts).</w:t>
      </w:r>
    </w:p>
    <w:p w14:paraId="511BC514" w14:textId="77777777" w:rsidR="00392D35" w:rsidRDefault="00F766C7" w:rsidP="00F766C7">
      <w:pPr>
        <w:spacing w:before="120"/>
        <w:ind w:left="567" w:hanging="567"/>
      </w:pPr>
      <w:r>
        <w:t>2.</w:t>
      </w:r>
      <w:r>
        <w:tab/>
      </w:r>
      <w:r w:rsidR="00392D35" w:rsidRPr="00523EA0">
        <w:t xml:space="preserve">There should be no requirement to colour the inner foil of tobacco products. The issue </w:t>
      </w:r>
      <w:r w:rsidR="00392D35">
        <w:t>here is that coloured ink would</w:t>
      </w:r>
      <w:r w:rsidR="00392D35" w:rsidRPr="00523EA0">
        <w:t xml:space="preserve"> dislodge from the foil and infiltrate the cigarette sticks, contaminating the product.</w:t>
      </w:r>
    </w:p>
    <w:p w14:paraId="316461A4" w14:textId="77777777" w:rsidR="00392D35" w:rsidRDefault="00F766C7" w:rsidP="00F766C7">
      <w:pPr>
        <w:spacing w:before="120"/>
        <w:ind w:left="567" w:hanging="567"/>
      </w:pPr>
      <w:r>
        <w:t>3.</w:t>
      </w:r>
      <w:r>
        <w:tab/>
      </w:r>
      <w:r w:rsidR="00392D35">
        <w:t>The tobacco industry would</w:t>
      </w:r>
      <w:r w:rsidR="00392D35" w:rsidRPr="00523EA0">
        <w:t xml:space="preserve"> not be able to comply with changes in relation to the colour of the lining and some of the font colours on the packs.</w:t>
      </w:r>
    </w:p>
    <w:p w14:paraId="73028E17" w14:textId="77777777" w:rsidR="00392D35" w:rsidRDefault="00F766C7" w:rsidP="00F766C7">
      <w:pPr>
        <w:spacing w:before="120"/>
        <w:ind w:left="567" w:hanging="567"/>
      </w:pPr>
      <w:r>
        <w:t>4.</w:t>
      </w:r>
      <w:r>
        <w:tab/>
      </w:r>
      <w:r w:rsidR="00392D35" w:rsidRPr="00523EA0">
        <w:t>Tear strips on tobacco wrapping, outer tobacco packaging and bar codes on cigarette sticks should be required to be either Pantone 448C or black.</w:t>
      </w:r>
    </w:p>
    <w:p w14:paraId="44120D6E" w14:textId="77777777" w:rsidR="00392D35" w:rsidRDefault="00F766C7" w:rsidP="00F766C7">
      <w:pPr>
        <w:spacing w:before="120"/>
        <w:ind w:left="567" w:hanging="567"/>
      </w:pPr>
      <w:r>
        <w:t>5.</w:t>
      </w:r>
      <w:r>
        <w:tab/>
      </w:r>
      <w:r w:rsidR="00392D35" w:rsidRPr="00523EA0">
        <w:t>Track</w:t>
      </w:r>
      <w:r w:rsidR="00392D35">
        <w:t>-</w:t>
      </w:r>
      <w:r w:rsidR="00392D35" w:rsidRPr="00523EA0">
        <w:t>and</w:t>
      </w:r>
      <w:r w:rsidR="00392D35">
        <w:t>-</w:t>
      </w:r>
      <w:r w:rsidR="00392D35" w:rsidRPr="00523EA0">
        <w:t xml:space="preserve">trace printed codes should be allowed on cigarette sticks and tobacco packaging, and </w:t>
      </w:r>
      <w:r w:rsidR="00392D35">
        <w:t xml:space="preserve">should </w:t>
      </w:r>
      <w:r w:rsidR="00392D35" w:rsidRPr="00523EA0">
        <w:t xml:space="preserve">not </w:t>
      </w:r>
      <w:r w:rsidR="00392D35">
        <w:t xml:space="preserve">be </w:t>
      </w:r>
      <w:r w:rsidR="00392D35" w:rsidRPr="00523EA0">
        <w:t>required to be coloured Pantone 448C or black. These track</w:t>
      </w:r>
      <w:r w:rsidR="00392D35">
        <w:t>-</w:t>
      </w:r>
      <w:r w:rsidR="00392D35" w:rsidRPr="00523EA0">
        <w:t>and</w:t>
      </w:r>
      <w:r w:rsidR="00392D35">
        <w:t>-</w:t>
      </w:r>
      <w:r w:rsidR="00392D35" w:rsidRPr="00523EA0">
        <w:t>trace codes should also be allowed to be numeric and alphanumeric.</w:t>
      </w:r>
    </w:p>
    <w:p w14:paraId="0399FF38" w14:textId="77777777" w:rsidR="00392D35" w:rsidRDefault="00F766C7" w:rsidP="00F766C7">
      <w:pPr>
        <w:spacing w:before="120"/>
        <w:ind w:left="567" w:hanging="567"/>
      </w:pPr>
      <w:r>
        <w:t>6.</w:t>
      </w:r>
      <w:r>
        <w:tab/>
      </w:r>
      <w:r w:rsidR="00392D35" w:rsidRPr="00523EA0">
        <w:t>Cigarette packaging should not be restricted by size</w:t>
      </w:r>
      <w:r w:rsidR="00392D35">
        <w:t>,</w:t>
      </w:r>
      <w:r w:rsidR="00392D35" w:rsidRPr="00523EA0">
        <w:t xml:space="preserve"> as this </w:t>
      </w:r>
      <w:r w:rsidR="00392D35">
        <w:t xml:space="preserve">would </w:t>
      </w:r>
      <w:r w:rsidR="00392D35" w:rsidRPr="00523EA0">
        <w:t>disadvantage existing tobacco products on the market.</w:t>
      </w:r>
    </w:p>
    <w:p w14:paraId="45E0BB0B" w14:textId="77777777" w:rsidR="00392D35" w:rsidRDefault="00F766C7" w:rsidP="00F766C7">
      <w:pPr>
        <w:keepNext/>
        <w:spacing w:before="120"/>
        <w:ind w:left="567" w:hanging="567"/>
      </w:pPr>
      <w:r>
        <w:t>7.</w:t>
      </w:r>
      <w:r>
        <w:tab/>
      </w:r>
      <w:r w:rsidR="00392D35">
        <w:t>Proposals</w:t>
      </w:r>
      <w:r w:rsidR="00392D35" w:rsidRPr="00523EA0">
        <w:t xml:space="preserve"> </w:t>
      </w:r>
      <w:r w:rsidR="00392D35">
        <w:t>relating to</w:t>
      </w:r>
      <w:r w:rsidR="00392D35" w:rsidRPr="00523EA0">
        <w:t xml:space="preserve"> the smell of tobacco products should be removed from regulations.</w:t>
      </w:r>
    </w:p>
    <w:p w14:paraId="59747B92" w14:textId="77777777" w:rsidR="00392D35" w:rsidRPr="00523EA0" w:rsidRDefault="00F766C7" w:rsidP="00F766C7">
      <w:pPr>
        <w:keepNext/>
        <w:spacing w:before="120"/>
        <w:ind w:left="567" w:hanging="567"/>
      </w:pPr>
      <w:r>
        <w:t>8.</w:t>
      </w:r>
      <w:r>
        <w:tab/>
      </w:r>
      <w:r w:rsidR="00392D35" w:rsidRPr="00523EA0">
        <w:t>Country of origin and anti-counterfeiting marks should be included on tobacco packaging.</w:t>
      </w:r>
    </w:p>
    <w:p w14:paraId="64B5836D" w14:textId="77777777" w:rsidR="00392D35" w:rsidRDefault="00F766C7" w:rsidP="00F766C7">
      <w:pPr>
        <w:spacing w:before="120"/>
        <w:ind w:left="567" w:hanging="567"/>
      </w:pPr>
      <w:r>
        <w:t>9.</w:t>
      </w:r>
      <w:r>
        <w:tab/>
      </w:r>
      <w:r w:rsidR="00392D35" w:rsidRPr="00523EA0">
        <w:t>Graphic health warnings should not be rotated regularly.</w:t>
      </w:r>
    </w:p>
    <w:p w14:paraId="227FE250" w14:textId="77777777" w:rsidR="00392D35" w:rsidRDefault="00F766C7" w:rsidP="00F766C7">
      <w:pPr>
        <w:spacing w:before="120"/>
        <w:ind w:left="567" w:hanging="567"/>
      </w:pPr>
      <w:r>
        <w:t>10.</w:t>
      </w:r>
      <w:r>
        <w:tab/>
      </w:r>
      <w:r w:rsidR="00392D35" w:rsidRPr="00523EA0">
        <w:t>Transition timeframes are too short</w:t>
      </w:r>
      <w:r w:rsidR="00392D35">
        <w:t>:</w:t>
      </w:r>
      <w:r w:rsidR="00392D35" w:rsidRPr="00523EA0">
        <w:t xml:space="preserve"> the tobacco industry recommend</w:t>
      </w:r>
      <w:r w:rsidR="00392D35">
        <w:t>s</w:t>
      </w:r>
      <w:r w:rsidR="00392D35" w:rsidRPr="00523EA0">
        <w:t xml:space="preserve"> an implementation timeframe ranging from 12 months to 20 months.</w:t>
      </w:r>
    </w:p>
    <w:p w14:paraId="1F19D841" w14:textId="77777777" w:rsidR="00392D35" w:rsidRPr="00A2507A" w:rsidRDefault="00F766C7" w:rsidP="00F766C7">
      <w:pPr>
        <w:spacing w:before="120"/>
        <w:ind w:left="567" w:hanging="567"/>
      </w:pPr>
      <w:r>
        <w:t>11.</w:t>
      </w:r>
      <w:r>
        <w:tab/>
      </w:r>
      <w:r w:rsidR="00392D35" w:rsidRPr="00A2507A">
        <w:t>An explicit provision should be made for the regulations to be reviewed in full two years after implementation.</w:t>
      </w:r>
    </w:p>
    <w:p w14:paraId="3D89EA23" w14:textId="77777777" w:rsidR="00392D35" w:rsidRDefault="00392D35" w:rsidP="00F766C7"/>
    <w:p w14:paraId="6EE82737" w14:textId="77777777" w:rsidR="00392D35" w:rsidRDefault="00392D35" w:rsidP="00F766C7">
      <w:pPr>
        <w:pStyle w:val="Heading2"/>
      </w:pPr>
      <w:bookmarkStart w:id="18" w:name="_Toc480535334"/>
      <w:bookmarkStart w:id="19" w:name="_Toc481746338"/>
      <w:r w:rsidRPr="000C0A16">
        <w:t>Other interested parties (t</w:t>
      </w:r>
      <w:r>
        <w:t>obacco packaging company and</w:t>
      </w:r>
      <w:r w:rsidRPr="000C0A16">
        <w:t xml:space="preserve"> </w:t>
      </w:r>
      <w:r>
        <w:t>i</w:t>
      </w:r>
      <w:r w:rsidRPr="000C0A16">
        <w:t xml:space="preserve">nternational </w:t>
      </w:r>
      <w:r>
        <w:t>t</w:t>
      </w:r>
      <w:r w:rsidRPr="000C0A16">
        <w:t>rade organisation)</w:t>
      </w:r>
      <w:bookmarkEnd w:id="18"/>
      <w:bookmarkEnd w:id="19"/>
    </w:p>
    <w:p w14:paraId="5B355566" w14:textId="77777777" w:rsidR="00392D35" w:rsidRDefault="00392D35" w:rsidP="00F766C7">
      <w:r w:rsidRPr="000C0A16">
        <w:t xml:space="preserve">These parties did not support the </w:t>
      </w:r>
      <w:r>
        <w:t>standardised</w:t>
      </w:r>
      <w:r w:rsidRPr="000C0A16">
        <w:t xml:space="preserve"> packaging proposal</w:t>
      </w:r>
      <w:r>
        <w:t>. Both raised concerns around standardised packaging and its impact on intellectual property rights and the illicit trade of tobacco</w:t>
      </w:r>
      <w:r w:rsidRPr="000C0A16">
        <w:t>. Two key points arose from these submissions</w:t>
      </w:r>
      <w:r>
        <w:t>.</w:t>
      </w:r>
    </w:p>
    <w:p w14:paraId="281A23F7" w14:textId="77777777" w:rsidR="00392D35" w:rsidRDefault="00F766C7" w:rsidP="00F766C7">
      <w:pPr>
        <w:spacing w:before="120"/>
        <w:ind w:left="567" w:hanging="567"/>
      </w:pPr>
      <w:r>
        <w:t>1.</w:t>
      </w:r>
      <w:r>
        <w:tab/>
      </w:r>
      <w:r w:rsidR="00392D35" w:rsidRPr="000C0A16">
        <w:t xml:space="preserve">The introduction of standardised packaging would lead to issues </w:t>
      </w:r>
      <w:r w:rsidR="00392D35">
        <w:t>relating to</w:t>
      </w:r>
      <w:r w:rsidR="00392D35" w:rsidRPr="000C0A16">
        <w:t xml:space="preserve"> intellectual property rights in New Zealand. The proposed regulations would lead to the number of counterfeit goods increasing, in turn reducing consumer choice and making trademarking pointless.</w:t>
      </w:r>
    </w:p>
    <w:p w14:paraId="0DE28284" w14:textId="77777777" w:rsidR="00392D35" w:rsidRDefault="00F766C7" w:rsidP="00F766C7">
      <w:pPr>
        <w:spacing w:before="120"/>
        <w:ind w:left="567" w:hanging="567"/>
      </w:pPr>
      <w:r>
        <w:t>2.</w:t>
      </w:r>
      <w:r>
        <w:tab/>
      </w:r>
      <w:r w:rsidR="00392D35">
        <w:t>A</w:t>
      </w:r>
      <w:r w:rsidR="00392D35" w:rsidRPr="000C0A16">
        <w:t xml:space="preserve">nti-counterfeiting marks </w:t>
      </w:r>
      <w:r w:rsidR="00392D35">
        <w:t xml:space="preserve">should </w:t>
      </w:r>
      <w:r w:rsidR="00392D35" w:rsidRPr="000C0A16">
        <w:t>be used to ensure product differentiation and prevent the counterfeiting of products. Further, these anti-counterfeiting marks should be fixed onto packs and not attached via a label</w:t>
      </w:r>
      <w:r w:rsidR="00392D35">
        <w:t xml:space="preserve">. Regulation should also allow for </w:t>
      </w:r>
      <w:r w:rsidR="00392D35" w:rsidRPr="000C0A16">
        <w:t xml:space="preserve">the possibility of rotating marks on products in line </w:t>
      </w:r>
      <w:r w:rsidR="00392D35">
        <w:t>with innovations in technology</w:t>
      </w:r>
      <w:r w:rsidR="00392D35" w:rsidRPr="000C0A16">
        <w:t>.</w:t>
      </w:r>
    </w:p>
    <w:p w14:paraId="45B5B5E1" w14:textId="77777777" w:rsidR="00F766C7" w:rsidRDefault="00F766C7" w:rsidP="00F766C7"/>
    <w:p w14:paraId="512AB196" w14:textId="77777777" w:rsidR="00032C0A" w:rsidRPr="00032C0A" w:rsidRDefault="00032C0A" w:rsidP="00F766C7"/>
    <w:sectPr w:rsidR="00032C0A" w:rsidRPr="00032C0A" w:rsidSect="009D5125">
      <w:headerReference w:type="default" r:id="rId18"/>
      <w:footerReference w:type="default" r:id="rId19"/>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81520" w14:textId="77777777" w:rsidR="007604E7" w:rsidRDefault="007604E7">
      <w:pPr>
        <w:spacing w:line="240" w:lineRule="auto"/>
      </w:pPr>
      <w:r>
        <w:separator/>
      </w:r>
    </w:p>
    <w:p w14:paraId="4D4F420B" w14:textId="77777777" w:rsidR="007604E7" w:rsidRDefault="007604E7"/>
  </w:endnote>
  <w:endnote w:type="continuationSeparator" w:id="0">
    <w:p w14:paraId="0BA753C3" w14:textId="77777777" w:rsidR="007604E7" w:rsidRDefault="007604E7">
      <w:pPr>
        <w:spacing w:line="240" w:lineRule="auto"/>
      </w:pPr>
      <w:r>
        <w:continuationSeparator/>
      </w:r>
    </w:p>
    <w:p w14:paraId="2D45181D" w14:textId="77777777" w:rsidR="007604E7" w:rsidRDefault="00760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1C376" w14:textId="77777777" w:rsidR="00EE5CB7" w:rsidRPr="00581136" w:rsidRDefault="009216CC" w:rsidP="00F9366A">
    <w:pPr>
      <w:pStyle w:val="Footer"/>
      <w:pBdr>
        <w:bottom w:val="single" w:sz="4" w:space="1" w:color="auto"/>
      </w:pBdr>
      <w:tabs>
        <w:tab w:val="right" w:pos="8504"/>
      </w:tabs>
      <w:ind w:left="-1559"/>
      <w:rPr>
        <w:b/>
      </w:rPr>
    </w:pPr>
    <w:r w:rsidRPr="00581136">
      <w:rPr>
        <w:b/>
      </w:rPr>
      <w:t>Released 201</w:t>
    </w:r>
    <w:r w:rsidR="00A83E9D">
      <w:rPr>
        <w:b/>
      </w:rPr>
      <w:t>7</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3522C" w14:textId="77777777" w:rsidR="00EE5CB7" w:rsidRDefault="00EE5CB7"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77380" w14:textId="77777777" w:rsidR="00EE5CB7" w:rsidRDefault="00EE5CB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E5885" w14:textId="77777777" w:rsidR="00671078" w:rsidRPr="00275D08" w:rsidRDefault="00671078"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96350E">
      <w:rPr>
        <w:rStyle w:val="PageNumber"/>
        <w:noProof/>
      </w:rPr>
      <w:t>6</w:t>
    </w:r>
    <w:r w:rsidRPr="00FC46E7">
      <w:rPr>
        <w:rStyle w:val="PageNumber"/>
      </w:rPr>
      <w:fldChar w:fldCharType="end"/>
    </w:r>
    <w:r>
      <w:tab/>
    </w:r>
    <w:r w:rsidR="00392D35">
      <w:t>Standardised Tobacco Products Packaging Draft Regulations: Summary of submissions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49276" w14:textId="77777777" w:rsidR="005621F2" w:rsidRDefault="005621F2" w:rsidP="00533B90">
    <w:pPr>
      <w:pStyle w:val="RectoFooter"/>
    </w:pPr>
    <w:r>
      <w:tab/>
    </w:r>
    <w:r w:rsidR="00392D35">
      <w:t>Standardised Tobacco Products Packaging Draft Regulations</w:t>
    </w:r>
    <w:r>
      <w:t xml:space="preserve">: </w:t>
    </w:r>
    <w:r w:rsidR="00392D35">
      <w:t>Summary of submissions</w:t>
    </w:r>
    <w:r>
      <w:tab/>
    </w:r>
    <w:r>
      <w:rPr>
        <w:rStyle w:val="PageNumber"/>
      </w:rPr>
      <w:fldChar w:fldCharType="begin"/>
    </w:r>
    <w:r>
      <w:rPr>
        <w:rStyle w:val="PageNumber"/>
      </w:rPr>
      <w:instrText xml:space="preserve"> PAGE </w:instrText>
    </w:r>
    <w:r>
      <w:rPr>
        <w:rStyle w:val="PageNumber"/>
      </w:rPr>
      <w:fldChar w:fldCharType="separate"/>
    </w:r>
    <w:r w:rsidR="0096350E">
      <w:rPr>
        <w:rStyle w:val="PageNumber"/>
        <w:noProof/>
      </w:rPr>
      <w:t>iii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AFEAF" w14:textId="77777777" w:rsidR="00D23323" w:rsidRDefault="005621F2" w:rsidP="009E3C8C">
    <w:pPr>
      <w:pStyle w:val="RectoFooter"/>
    </w:pPr>
    <w:r>
      <w:tab/>
    </w:r>
    <w:r w:rsidR="00392D35">
      <w:t>Standardised Tobacco Products Packaging Draft Regulations: Summary of submissions</w:t>
    </w:r>
    <w:r>
      <w:tab/>
    </w:r>
    <w:r>
      <w:rPr>
        <w:rStyle w:val="PageNumber"/>
      </w:rPr>
      <w:fldChar w:fldCharType="begin"/>
    </w:r>
    <w:r>
      <w:rPr>
        <w:rStyle w:val="PageNumber"/>
      </w:rPr>
      <w:instrText xml:space="preserve"> PAGE </w:instrText>
    </w:r>
    <w:r>
      <w:rPr>
        <w:rStyle w:val="PageNumber"/>
      </w:rPr>
      <w:fldChar w:fldCharType="separate"/>
    </w:r>
    <w:r w:rsidR="0096350E">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40668" w14:textId="77777777" w:rsidR="007604E7" w:rsidRPr="00A26E6B" w:rsidRDefault="007604E7" w:rsidP="00A26E6B"/>
  </w:footnote>
  <w:footnote w:type="continuationSeparator" w:id="0">
    <w:p w14:paraId="4E6A61EC" w14:textId="77777777" w:rsidR="007604E7" w:rsidRDefault="007604E7">
      <w:pPr>
        <w:spacing w:line="240" w:lineRule="auto"/>
      </w:pPr>
      <w:r>
        <w:continuationSeparator/>
      </w:r>
    </w:p>
    <w:p w14:paraId="623B7296" w14:textId="77777777" w:rsidR="007604E7" w:rsidRDefault="007604E7"/>
  </w:footnote>
  <w:footnote w:id="1">
    <w:p w14:paraId="59C35A6A" w14:textId="77777777" w:rsidR="00392D35" w:rsidRPr="00A82505" w:rsidRDefault="00392D35" w:rsidP="00392D35">
      <w:pPr>
        <w:pStyle w:val="FootnoteText"/>
      </w:pPr>
      <w:r w:rsidRPr="00F766C7">
        <w:rPr>
          <w:rStyle w:val="FootnoteReference"/>
        </w:rPr>
        <w:footnoteRef/>
      </w:r>
      <w:r w:rsidR="00F766C7">
        <w:tab/>
      </w:r>
      <w:r>
        <w:t>A QR (quick response) code is a type of barcode that contains information which can be read on devices such as phones or tablets.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F15CC" w14:textId="77777777" w:rsidR="001B4BF8" w:rsidRDefault="009216CC" w:rsidP="009216CC">
    <w:pPr>
      <w:pStyle w:val="Header"/>
      <w:ind w:left="-1559"/>
    </w:pPr>
    <w:r>
      <w:rPr>
        <w:noProof/>
        <w:lang w:eastAsia="en-NZ"/>
      </w:rPr>
      <w:drawing>
        <wp:inline distT="0" distB="0" distL="0" distR="0" wp14:anchorId="17881DF2" wp14:editId="5BF17932">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D1ED5" w14:textId="77777777" w:rsidR="009E6B77" w:rsidRDefault="009E6B77"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82658" w14:textId="77777777" w:rsidR="009E6B77" w:rsidRDefault="009E6B77"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A6732" w14:textId="77777777" w:rsidR="00D23323" w:rsidRDefault="00D233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
  </w:num>
  <w:num w:numId="2">
    <w:abstractNumId w:val="3"/>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32C0A"/>
    <w:rsid w:val="00035257"/>
    <w:rsid w:val="0006228D"/>
    <w:rsid w:val="00072BD6"/>
    <w:rsid w:val="00075B78"/>
    <w:rsid w:val="00082CD6"/>
    <w:rsid w:val="00084053"/>
    <w:rsid w:val="00085AFE"/>
    <w:rsid w:val="000B0730"/>
    <w:rsid w:val="000F2AE2"/>
    <w:rsid w:val="00102063"/>
    <w:rsid w:val="0010541C"/>
    <w:rsid w:val="00106F93"/>
    <w:rsid w:val="00111D50"/>
    <w:rsid w:val="00113B8E"/>
    <w:rsid w:val="001342C7"/>
    <w:rsid w:val="0013585C"/>
    <w:rsid w:val="00142954"/>
    <w:rsid w:val="001460E0"/>
    <w:rsid w:val="00147F71"/>
    <w:rsid w:val="00150A6E"/>
    <w:rsid w:val="0016468A"/>
    <w:rsid w:val="001A21B4"/>
    <w:rsid w:val="001A5CF5"/>
    <w:rsid w:val="001B39D2"/>
    <w:rsid w:val="001B4BF8"/>
    <w:rsid w:val="001C4326"/>
    <w:rsid w:val="001D3541"/>
    <w:rsid w:val="001F45A7"/>
    <w:rsid w:val="00201A01"/>
    <w:rsid w:val="002104D3"/>
    <w:rsid w:val="00213A33"/>
    <w:rsid w:val="0021763B"/>
    <w:rsid w:val="00237FB3"/>
    <w:rsid w:val="00246DB1"/>
    <w:rsid w:val="002476B5"/>
    <w:rsid w:val="00253ECF"/>
    <w:rsid w:val="002546A1"/>
    <w:rsid w:val="00275D08"/>
    <w:rsid w:val="002858E3"/>
    <w:rsid w:val="0029190A"/>
    <w:rsid w:val="00292C5A"/>
    <w:rsid w:val="00295241"/>
    <w:rsid w:val="002A4DFC"/>
    <w:rsid w:val="002A58E3"/>
    <w:rsid w:val="002B047D"/>
    <w:rsid w:val="002B732B"/>
    <w:rsid w:val="002C2219"/>
    <w:rsid w:val="002D0DF2"/>
    <w:rsid w:val="002D23BD"/>
    <w:rsid w:val="002E0B47"/>
    <w:rsid w:val="002F7213"/>
    <w:rsid w:val="0030382F"/>
    <w:rsid w:val="0030408D"/>
    <w:rsid w:val="003060E4"/>
    <w:rsid w:val="003160E7"/>
    <w:rsid w:val="0031739E"/>
    <w:rsid w:val="003325AB"/>
    <w:rsid w:val="003332D1"/>
    <w:rsid w:val="0033412B"/>
    <w:rsid w:val="003354B4"/>
    <w:rsid w:val="00343365"/>
    <w:rsid w:val="00353501"/>
    <w:rsid w:val="003606F8"/>
    <w:rsid w:val="003648EF"/>
    <w:rsid w:val="003673E6"/>
    <w:rsid w:val="00377264"/>
    <w:rsid w:val="00392D35"/>
    <w:rsid w:val="003A26A5"/>
    <w:rsid w:val="003A3761"/>
    <w:rsid w:val="003A5FEA"/>
    <w:rsid w:val="003B1D10"/>
    <w:rsid w:val="003C76D4"/>
    <w:rsid w:val="003D2CC5"/>
    <w:rsid w:val="003E7C46"/>
    <w:rsid w:val="003F52A7"/>
    <w:rsid w:val="0040240C"/>
    <w:rsid w:val="00413021"/>
    <w:rsid w:val="00440BE0"/>
    <w:rsid w:val="00442C1C"/>
    <w:rsid w:val="0044584B"/>
    <w:rsid w:val="00447CB7"/>
    <w:rsid w:val="00455CC9"/>
    <w:rsid w:val="00460826"/>
    <w:rsid w:val="00460EA7"/>
    <w:rsid w:val="0046195B"/>
    <w:rsid w:val="0046596D"/>
    <w:rsid w:val="00487C04"/>
    <w:rsid w:val="004907E1"/>
    <w:rsid w:val="004A035B"/>
    <w:rsid w:val="004A38D7"/>
    <w:rsid w:val="004A778C"/>
    <w:rsid w:val="004C2E6A"/>
    <w:rsid w:val="004C64B8"/>
    <w:rsid w:val="004D2A2D"/>
    <w:rsid w:val="004D6689"/>
    <w:rsid w:val="004E1D1D"/>
    <w:rsid w:val="004E7AC8"/>
    <w:rsid w:val="004F0C94"/>
    <w:rsid w:val="005019AE"/>
    <w:rsid w:val="00503749"/>
    <w:rsid w:val="00504CF4"/>
    <w:rsid w:val="0050635B"/>
    <w:rsid w:val="005151C2"/>
    <w:rsid w:val="00524FB7"/>
    <w:rsid w:val="0053199F"/>
    <w:rsid w:val="00533B90"/>
    <w:rsid w:val="005410F8"/>
    <w:rsid w:val="005448EC"/>
    <w:rsid w:val="00545963"/>
    <w:rsid w:val="00550256"/>
    <w:rsid w:val="00553958"/>
    <w:rsid w:val="0055763D"/>
    <w:rsid w:val="005621F2"/>
    <w:rsid w:val="00567B58"/>
    <w:rsid w:val="005763E0"/>
    <w:rsid w:val="00581136"/>
    <w:rsid w:val="005A27CA"/>
    <w:rsid w:val="005A43BD"/>
    <w:rsid w:val="005E226E"/>
    <w:rsid w:val="005E2636"/>
    <w:rsid w:val="006015D7"/>
    <w:rsid w:val="00601B21"/>
    <w:rsid w:val="006041F0"/>
    <w:rsid w:val="00626CF8"/>
    <w:rsid w:val="00634ED8"/>
    <w:rsid w:val="00636D7D"/>
    <w:rsid w:val="00637408"/>
    <w:rsid w:val="00642868"/>
    <w:rsid w:val="00647AFE"/>
    <w:rsid w:val="006512BC"/>
    <w:rsid w:val="00653A5A"/>
    <w:rsid w:val="006575F4"/>
    <w:rsid w:val="006579E6"/>
    <w:rsid w:val="00663EDC"/>
    <w:rsid w:val="006667AE"/>
    <w:rsid w:val="00671078"/>
    <w:rsid w:val="006758CA"/>
    <w:rsid w:val="00680A04"/>
    <w:rsid w:val="00686D80"/>
    <w:rsid w:val="00694895"/>
    <w:rsid w:val="00697E2E"/>
    <w:rsid w:val="006A25A2"/>
    <w:rsid w:val="006B0E73"/>
    <w:rsid w:val="006B4A4D"/>
    <w:rsid w:val="006B5695"/>
    <w:rsid w:val="006C78EB"/>
    <w:rsid w:val="006D1660"/>
    <w:rsid w:val="006F1B67"/>
    <w:rsid w:val="0070091D"/>
    <w:rsid w:val="00702854"/>
    <w:rsid w:val="0071388C"/>
    <w:rsid w:val="0071741C"/>
    <w:rsid w:val="00742B90"/>
    <w:rsid w:val="0074434D"/>
    <w:rsid w:val="007604E7"/>
    <w:rsid w:val="00771B1E"/>
    <w:rsid w:val="00773C95"/>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A3755"/>
    <w:rsid w:val="008B264F"/>
    <w:rsid w:val="008B6F83"/>
    <w:rsid w:val="008B7FD8"/>
    <w:rsid w:val="008C2973"/>
    <w:rsid w:val="008C6324"/>
    <w:rsid w:val="008C64C4"/>
    <w:rsid w:val="008D74D5"/>
    <w:rsid w:val="008F29BE"/>
    <w:rsid w:val="008F4AE5"/>
    <w:rsid w:val="008F51EB"/>
    <w:rsid w:val="00900197"/>
    <w:rsid w:val="00902F55"/>
    <w:rsid w:val="0090582B"/>
    <w:rsid w:val="009060C0"/>
    <w:rsid w:val="009133F5"/>
    <w:rsid w:val="00920A27"/>
    <w:rsid w:val="00921216"/>
    <w:rsid w:val="009216CC"/>
    <w:rsid w:val="00930D08"/>
    <w:rsid w:val="00932D69"/>
    <w:rsid w:val="00944647"/>
    <w:rsid w:val="0096350E"/>
    <w:rsid w:val="00977B8A"/>
    <w:rsid w:val="00982971"/>
    <w:rsid w:val="009845AD"/>
    <w:rsid w:val="00995BA0"/>
    <w:rsid w:val="009A418B"/>
    <w:rsid w:val="009A4473"/>
    <w:rsid w:val="009C151C"/>
    <w:rsid w:val="009D5125"/>
    <w:rsid w:val="009D60B8"/>
    <w:rsid w:val="009D7D4B"/>
    <w:rsid w:val="009E36ED"/>
    <w:rsid w:val="009E3C8C"/>
    <w:rsid w:val="009E6B77"/>
    <w:rsid w:val="009F460A"/>
    <w:rsid w:val="00A043FB"/>
    <w:rsid w:val="00A0729C"/>
    <w:rsid w:val="00A07779"/>
    <w:rsid w:val="00A20B2E"/>
    <w:rsid w:val="00A238FA"/>
    <w:rsid w:val="00A25069"/>
    <w:rsid w:val="00A26E6B"/>
    <w:rsid w:val="00A3068F"/>
    <w:rsid w:val="00A3145B"/>
    <w:rsid w:val="00A339D0"/>
    <w:rsid w:val="00A41002"/>
    <w:rsid w:val="00A4201A"/>
    <w:rsid w:val="00A553CE"/>
    <w:rsid w:val="00A5677A"/>
    <w:rsid w:val="00A6490D"/>
    <w:rsid w:val="00A80363"/>
    <w:rsid w:val="00A83E9D"/>
    <w:rsid w:val="00A9169D"/>
    <w:rsid w:val="00AA240C"/>
    <w:rsid w:val="00AC101C"/>
    <w:rsid w:val="00AD4CF1"/>
    <w:rsid w:val="00AD5988"/>
    <w:rsid w:val="00AF7800"/>
    <w:rsid w:val="00B072E0"/>
    <w:rsid w:val="00B253F6"/>
    <w:rsid w:val="00B305DB"/>
    <w:rsid w:val="00B332F8"/>
    <w:rsid w:val="00B3492B"/>
    <w:rsid w:val="00B35DEC"/>
    <w:rsid w:val="00B4646F"/>
    <w:rsid w:val="00B55C7D"/>
    <w:rsid w:val="00B63038"/>
    <w:rsid w:val="00B64BD8"/>
    <w:rsid w:val="00B701D1"/>
    <w:rsid w:val="00B73AF2"/>
    <w:rsid w:val="00B7551A"/>
    <w:rsid w:val="00B773F1"/>
    <w:rsid w:val="00B86AB1"/>
    <w:rsid w:val="00BB2CBB"/>
    <w:rsid w:val="00BC59F1"/>
    <w:rsid w:val="00BE5E46"/>
    <w:rsid w:val="00BF3DE1"/>
    <w:rsid w:val="00BF4843"/>
    <w:rsid w:val="00BF5205"/>
    <w:rsid w:val="00BF692B"/>
    <w:rsid w:val="00C12508"/>
    <w:rsid w:val="00C23728"/>
    <w:rsid w:val="00C45AA2"/>
    <w:rsid w:val="00C55BEF"/>
    <w:rsid w:val="00C66296"/>
    <w:rsid w:val="00C77282"/>
    <w:rsid w:val="00C84DE5"/>
    <w:rsid w:val="00C86248"/>
    <w:rsid w:val="00CA4C33"/>
    <w:rsid w:val="00CA6F4A"/>
    <w:rsid w:val="00CD2119"/>
    <w:rsid w:val="00CD237A"/>
    <w:rsid w:val="00CD36AC"/>
    <w:rsid w:val="00CE13A3"/>
    <w:rsid w:val="00CF1747"/>
    <w:rsid w:val="00D23323"/>
    <w:rsid w:val="00D2392A"/>
    <w:rsid w:val="00D25FFE"/>
    <w:rsid w:val="00D4476F"/>
    <w:rsid w:val="00D54D50"/>
    <w:rsid w:val="00D66797"/>
    <w:rsid w:val="00D7087C"/>
    <w:rsid w:val="00D70C3C"/>
    <w:rsid w:val="00D72BE5"/>
    <w:rsid w:val="00D82F26"/>
    <w:rsid w:val="00D863D0"/>
    <w:rsid w:val="00D87C87"/>
    <w:rsid w:val="00D90E07"/>
    <w:rsid w:val="00DB3196"/>
    <w:rsid w:val="00DB39CF"/>
    <w:rsid w:val="00DD0BCD"/>
    <w:rsid w:val="00DD447A"/>
    <w:rsid w:val="00DE3B20"/>
    <w:rsid w:val="00DE6C94"/>
    <w:rsid w:val="00DE6FD7"/>
    <w:rsid w:val="00E21680"/>
    <w:rsid w:val="00E23271"/>
    <w:rsid w:val="00E24F80"/>
    <w:rsid w:val="00E259F3"/>
    <w:rsid w:val="00E33238"/>
    <w:rsid w:val="00E4486C"/>
    <w:rsid w:val="00E460B6"/>
    <w:rsid w:val="00E511D5"/>
    <w:rsid w:val="00E60249"/>
    <w:rsid w:val="00E65269"/>
    <w:rsid w:val="00E76D66"/>
    <w:rsid w:val="00EA796A"/>
    <w:rsid w:val="00EB1856"/>
    <w:rsid w:val="00EC50CE"/>
    <w:rsid w:val="00EC5B34"/>
    <w:rsid w:val="00EE2D5C"/>
    <w:rsid w:val="00EE4ADE"/>
    <w:rsid w:val="00EE5CB7"/>
    <w:rsid w:val="00F024FE"/>
    <w:rsid w:val="00F05AD4"/>
    <w:rsid w:val="00F25970"/>
    <w:rsid w:val="00F5180D"/>
    <w:rsid w:val="00F63781"/>
    <w:rsid w:val="00F67496"/>
    <w:rsid w:val="00F766C7"/>
    <w:rsid w:val="00F801BA"/>
    <w:rsid w:val="00F9366A"/>
    <w:rsid w:val="00F946C9"/>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5598E9"/>
  <w15:docId w15:val="{C417BA58-125F-4142-8ACC-4340158E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D35"/>
    <w:pPr>
      <w:spacing w:line="264" w:lineRule="auto"/>
    </w:pPr>
    <w:rPr>
      <w:rFonts w:ascii="Georgia" w:hAnsi="Georgia"/>
      <w:sz w:val="22"/>
      <w:lang w:eastAsia="en-GB"/>
    </w:rPr>
  </w:style>
  <w:style w:type="paragraph" w:styleId="Heading1">
    <w:name w:val="heading 1"/>
    <w:basedOn w:val="Normal"/>
    <w:next w:val="Normal"/>
    <w:link w:val="Heading1Char"/>
    <w:qFormat/>
    <w:rsid w:val="00035257"/>
    <w:pPr>
      <w:pageBreakBefore/>
      <w:pBdr>
        <w:top w:val="single" w:sz="48" w:space="16" w:color="auto"/>
      </w:pBdr>
      <w:spacing w:after="360"/>
      <w:outlineLvl w:val="0"/>
    </w:pPr>
    <w:rPr>
      <w:b/>
      <w:sz w:val="60"/>
    </w:rPr>
  </w:style>
  <w:style w:type="paragraph" w:styleId="Heading2">
    <w:name w:val="heading 2"/>
    <w:basedOn w:val="Normal"/>
    <w:next w:val="Normal"/>
    <w:link w:val="Heading2Char"/>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06228D"/>
    <w:pPr>
      <w:tabs>
        <w:tab w:val="right" w:pos="9356"/>
      </w:tabs>
      <w:spacing w:before="30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qFormat/>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392D35"/>
    <w:pPr>
      <w:pBdr>
        <w:bottom w:val="single" w:sz="48" w:space="6" w:color="auto"/>
      </w:pBdr>
      <w:ind w:right="1701"/>
    </w:pPr>
    <w:rPr>
      <w:b/>
      <w:sz w:val="72"/>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basedOn w:val="DefaultParagraphFont"/>
    <w:uiPriority w:val="99"/>
    <w:unhideWhenUsed/>
    <w:qFormat/>
    <w:rsid w:val="00F766C7"/>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C55BEF"/>
    <w:rPr>
      <w:rFonts w:ascii="Arial" w:hAnsi="Arial"/>
      <w:sz w:val="18"/>
      <w:lang w:eastAsia="en-GB"/>
    </w:rPr>
  </w:style>
  <w:style w:type="character" w:customStyle="1" w:styleId="FootnoteTextChar">
    <w:name w:val="Footnote Text Char"/>
    <w:link w:val="FootnoteText"/>
    <w:uiPriority w:val="99"/>
    <w:rsid w:val="003060E4"/>
    <w:rPr>
      <w:rFonts w:ascii="Georgia" w:hAnsi="Georgia"/>
      <w:sz w:val="18"/>
      <w:lang w:eastAsia="en-GB"/>
    </w:rPr>
  </w:style>
  <w:style w:type="table" w:styleId="TableGrid">
    <w:name w:val="Table Grid"/>
    <w:basedOn w:val="TableNormal"/>
    <w:uiPriority w:val="39"/>
    <w:rsid w:val="00503749"/>
    <w:pPr>
      <w:spacing w:line="264"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035257"/>
    <w:rPr>
      <w:rFonts w:ascii="Georgia" w:hAnsi="Georgia"/>
      <w:b/>
      <w:sz w:val="60"/>
      <w:lang w:eastAsia="en-GB"/>
    </w:rPr>
  </w:style>
  <w:style w:type="paragraph" w:styleId="Revision">
    <w:name w:val="Revision"/>
    <w:hidden/>
    <w:uiPriority w:val="71"/>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customStyle="1" w:styleId="Year">
    <w:name w:val="Year"/>
    <w:basedOn w:val="Subhead"/>
    <w:next w:val="Subhead"/>
    <w:qFormat/>
    <w:rsid w:val="00F63781"/>
    <w:pPr>
      <w:pBdr>
        <w:bottom w:val="single" w:sz="48" w:space="6" w:color="auto"/>
      </w:pBdr>
    </w:pPr>
    <w:rPr>
      <w:sz w:val="56"/>
    </w:rPr>
  </w:style>
  <w:style w:type="character" w:styleId="CommentReference">
    <w:name w:val="annotation reference"/>
    <w:basedOn w:val="DefaultParagraphFont"/>
    <w:uiPriority w:val="99"/>
    <w:semiHidden/>
    <w:unhideWhenUsed/>
    <w:rsid w:val="00DB3196"/>
    <w:rPr>
      <w:sz w:val="16"/>
      <w:szCs w:val="16"/>
    </w:rPr>
  </w:style>
  <w:style w:type="paragraph" w:styleId="CommentText">
    <w:name w:val="annotation text"/>
    <w:basedOn w:val="Normal"/>
    <w:link w:val="CommentTextChar"/>
    <w:uiPriority w:val="99"/>
    <w:semiHidden/>
    <w:unhideWhenUsed/>
    <w:rsid w:val="00DB3196"/>
    <w:pPr>
      <w:spacing w:line="240" w:lineRule="auto"/>
    </w:pPr>
    <w:rPr>
      <w:sz w:val="20"/>
    </w:rPr>
  </w:style>
  <w:style w:type="character" w:customStyle="1" w:styleId="CommentTextChar">
    <w:name w:val="Comment Text Char"/>
    <w:basedOn w:val="DefaultParagraphFont"/>
    <w:link w:val="CommentText"/>
    <w:uiPriority w:val="99"/>
    <w:semiHidden/>
    <w:rsid w:val="00DB3196"/>
    <w:rPr>
      <w:rFonts w:ascii="Georgia" w:hAnsi="Georgia"/>
      <w:lang w:eastAsia="en-GB"/>
    </w:rPr>
  </w:style>
  <w:style w:type="paragraph" w:styleId="CommentSubject">
    <w:name w:val="annotation subject"/>
    <w:basedOn w:val="CommentText"/>
    <w:next w:val="CommentText"/>
    <w:link w:val="CommentSubjectChar"/>
    <w:uiPriority w:val="99"/>
    <w:semiHidden/>
    <w:unhideWhenUsed/>
    <w:rsid w:val="00DB3196"/>
    <w:rPr>
      <w:b/>
      <w:bCs/>
    </w:rPr>
  </w:style>
  <w:style w:type="character" w:customStyle="1" w:styleId="CommentSubjectChar">
    <w:name w:val="Comment Subject Char"/>
    <w:basedOn w:val="CommentTextChar"/>
    <w:link w:val="CommentSubject"/>
    <w:uiPriority w:val="99"/>
    <w:semiHidden/>
    <w:rsid w:val="00DB3196"/>
    <w:rPr>
      <w:rFonts w:ascii="Georgia" w:hAnsi="Georgia"/>
      <w:b/>
      <w:bCs/>
      <w:lang w:eastAsia="en-GB"/>
    </w:rPr>
  </w:style>
  <w:style w:type="paragraph" w:styleId="BalloonText">
    <w:name w:val="Balloon Text"/>
    <w:basedOn w:val="Normal"/>
    <w:link w:val="BalloonTextChar"/>
    <w:uiPriority w:val="99"/>
    <w:semiHidden/>
    <w:unhideWhenUsed/>
    <w:rsid w:val="00DB31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196"/>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6775-5782-4676-B5BB-6CFB7188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46</TotalTime>
  <Pages>11</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Standardised Tobacco Products Packaging Draft Regulations - Summary of Submissions</vt:lpstr>
    </vt:vector>
  </TitlesOfParts>
  <Company>Microsoft</Company>
  <LinksUpToDate>false</LinksUpToDate>
  <CharactersWithSpaces>16477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Tobacco Products Packaging Draft Regulations - Summary of Submissions</dc:title>
  <dc:creator>Ministry of Health</dc:creator>
  <cp:lastModifiedBy>Allan Potter</cp:lastModifiedBy>
  <cp:revision>13</cp:revision>
  <cp:lastPrinted>2017-06-01T02:08:00Z</cp:lastPrinted>
  <dcterms:created xsi:type="dcterms:W3CDTF">2017-04-28T23:48:00Z</dcterms:created>
  <dcterms:modified xsi:type="dcterms:W3CDTF">2017-06-01T02:09:00Z</dcterms:modified>
</cp:coreProperties>
</file>